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F5E26">
      <w:pPr>
        <w:pStyle w:val="299"/>
      </w:pPr>
    </w:p>
    <w:p w14:paraId="777CBE4F">
      <w:pPr>
        <w:pStyle w:val="299"/>
      </w:pPr>
    </w:p>
    <w:p w14:paraId="7DADC897">
      <w:pPr>
        <w:pStyle w:val="299"/>
        <w:spacing w:line="360" w:lineRule="auto"/>
        <w:rPr>
          <w:b/>
        </w:rPr>
      </w:pPr>
    </w:p>
    <w:p w14:paraId="62B2EDC7">
      <w:pPr>
        <w:pStyle w:val="299"/>
        <w:spacing w:line="360" w:lineRule="auto"/>
        <w:rPr>
          <w:b/>
        </w:rPr>
      </w:pPr>
    </w:p>
    <w:p w14:paraId="6A399601">
      <w:pPr>
        <w:pStyle w:val="299"/>
        <w:spacing w:line="360" w:lineRule="auto"/>
        <w:jc w:val="center"/>
        <w:rPr>
          <w:b/>
          <w:sz w:val="52"/>
          <w:szCs w:val="52"/>
        </w:rPr>
      </w:pPr>
      <w:r>
        <w:rPr>
          <w:rFonts w:hint="eastAsia"/>
          <w:b/>
          <w:sz w:val="52"/>
          <w:szCs w:val="52"/>
          <w:lang w:val="en-US" w:eastAsia="zh-CN"/>
        </w:rPr>
        <w:t>乐山市</w:t>
      </w:r>
      <w:r>
        <w:rPr>
          <w:rFonts w:hint="eastAsia"/>
          <w:b/>
          <w:sz w:val="52"/>
          <w:szCs w:val="52"/>
        </w:rPr>
        <w:t>普通公路工程电子招标</w:t>
      </w:r>
    </w:p>
    <w:p w14:paraId="03F713DE">
      <w:pPr>
        <w:pStyle w:val="299"/>
        <w:spacing w:line="360" w:lineRule="auto"/>
        <w:jc w:val="center"/>
        <w:rPr>
          <w:b/>
          <w:w w:val="75"/>
          <w:sz w:val="96"/>
          <w:szCs w:val="96"/>
        </w:rPr>
      </w:pPr>
      <w:r>
        <w:rPr>
          <w:rFonts w:hint="eastAsia"/>
          <w:b/>
          <w:w w:val="70"/>
          <w:sz w:val="96"/>
          <w:szCs w:val="96"/>
        </w:rPr>
        <w:t>标准设计施工总承包招标文件</w:t>
      </w:r>
    </w:p>
    <w:p w14:paraId="17FFBA2F">
      <w:pPr>
        <w:pStyle w:val="299"/>
        <w:spacing w:line="360" w:lineRule="auto"/>
        <w:jc w:val="center"/>
        <w:rPr>
          <w:rFonts w:hint="eastAsia"/>
          <w:sz w:val="44"/>
          <w:szCs w:val="44"/>
        </w:rPr>
      </w:pPr>
      <w:r>
        <w:rPr>
          <w:rFonts w:hint="eastAsia" w:ascii="宋体" w:hAnsi="宋体" w:cs="宋体"/>
          <w:sz w:val="44"/>
          <w:szCs w:val="44"/>
        </w:rPr>
        <w:t>暗标盲评</w:t>
      </w:r>
    </w:p>
    <w:p w14:paraId="0E5F57E3">
      <w:pPr>
        <w:pStyle w:val="299"/>
        <w:spacing w:line="360" w:lineRule="auto"/>
        <w:jc w:val="center"/>
        <w:rPr>
          <w:rFonts w:hint="eastAsia" w:eastAsia="宋体"/>
          <w:sz w:val="44"/>
          <w:szCs w:val="44"/>
          <w:lang w:val="en-US" w:eastAsia="zh-CN"/>
        </w:rPr>
      </w:pPr>
      <w:r>
        <w:rPr>
          <w:rFonts w:hint="eastAsia"/>
          <w:sz w:val="44"/>
          <w:szCs w:val="44"/>
        </w:rPr>
        <w:t>（20</w:t>
      </w:r>
      <w:r>
        <w:rPr>
          <w:sz w:val="44"/>
          <w:szCs w:val="44"/>
        </w:rPr>
        <w:t>2</w:t>
      </w:r>
      <w:r>
        <w:rPr>
          <w:rFonts w:hint="eastAsia"/>
          <w:sz w:val="44"/>
          <w:szCs w:val="44"/>
          <w:lang w:val="en-US" w:eastAsia="zh-CN"/>
        </w:rPr>
        <w:t>5</w:t>
      </w:r>
      <w:r>
        <w:rPr>
          <w:rFonts w:hint="eastAsia"/>
          <w:sz w:val="44"/>
          <w:szCs w:val="44"/>
        </w:rPr>
        <w:t>年版）</w:t>
      </w:r>
    </w:p>
    <w:p w14:paraId="42FA1616">
      <w:pPr>
        <w:pStyle w:val="299"/>
        <w:spacing w:line="360" w:lineRule="auto"/>
        <w:jc w:val="center"/>
      </w:pPr>
    </w:p>
    <w:p w14:paraId="558B9EBC">
      <w:pPr>
        <w:pStyle w:val="299"/>
      </w:pPr>
    </w:p>
    <w:p w14:paraId="0544B1F4">
      <w:pPr>
        <w:pStyle w:val="299"/>
      </w:pPr>
    </w:p>
    <w:p w14:paraId="237EAB15">
      <w:pPr>
        <w:pStyle w:val="299"/>
      </w:pPr>
    </w:p>
    <w:p w14:paraId="70989E7B">
      <w:pPr>
        <w:pStyle w:val="299"/>
      </w:pPr>
    </w:p>
    <w:p w14:paraId="61658060">
      <w:pPr>
        <w:pStyle w:val="299"/>
      </w:pPr>
    </w:p>
    <w:p w14:paraId="195627BD">
      <w:pPr>
        <w:pStyle w:val="299"/>
      </w:pPr>
    </w:p>
    <w:p w14:paraId="3E459BAC">
      <w:pPr>
        <w:pStyle w:val="299"/>
      </w:pPr>
    </w:p>
    <w:p w14:paraId="1059B0E6">
      <w:pPr>
        <w:pStyle w:val="299"/>
        <w:jc w:val="center"/>
      </w:pPr>
    </w:p>
    <w:p w14:paraId="175FE8C6">
      <w:pPr>
        <w:pStyle w:val="299"/>
      </w:pPr>
    </w:p>
    <w:p w14:paraId="758AF3B8">
      <w:pPr>
        <w:pStyle w:val="299"/>
      </w:pPr>
    </w:p>
    <w:p w14:paraId="1F296419">
      <w:pPr>
        <w:pStyle w:val="299"/>
      </w:pPr>
    </w:p>
    <w:p w14:paraId="14CE4574">
      <w:pPr>
        <w:pStyle w:val="299"/>
      </w:pPr>
    </w:p>
    <w:p w14:paraId="61DF3834">
      <w:pPr>
        <w:pStyle w:val="299"/>
      </w:pPr>
    </w:p>
    <w:p w14:paraId="24EFBE6C">
      <w:pPr>
        <w:pStyle w:val="299"/>
      </w:pPr>
    </w:p>
    <w:p w14:paraId="6C08789A">
      <w:pPr>
        <w:pStyle w:val="299"/>
      </w:pPr>
    </w:p>
    <w:p w14:paraId="3ADD1BAC">
      <w:pPr>
        <w:pStyle w:val="299"/>
        <w:ind w:left="210" w:right="210"/>
      </w:pPr>
    </w:p>
    <w:p w14:paraId="7EE5EEA1">
      <w:pPr>
        <w:pStyle w:val="299"/>
        <w:ind w:left="391" w:leftChars="186" w:right="210" w:rightChars="100"/>
      </w:pPr>
    </w:p>
    <w:p w14:paraId="75AF0FF8">
      <w:pPr>
        <w:pStyle w:val="299"/>
        <w:ind w:left="391" w:leftChars="186" w:right="210" w:rightChars="100"/>
      </w:pPr>
    </w:p>
    <w:p w14:paraId="63B8F786">
      <w:pPr>
        <w:pStyle w:val="299"/>
        <w:ind w:left="391" w:leftChars="186" w:right="210" w:rightChars="100"/>
      </w:pPr>
    </w:p>
    <w:p w14:paraId="6BB4CDD3">
      <w:pPr>
        <w:pStyle w:val="299"/>
        <w:ind w:left="391" w:leftChars="186" w:right="210" w:rightChars="100"/>
      </w:pPr>
    </w:p>
    <w:p w14:paraId="0AE7AAE5">
      <w:pPr>
        <w:pStyle w:val="299"/>
      </w:pPr>
    </w:p>
    <w:p w14:paraId="220CEF7A">
      <w:pPr>
        <w:pStyle w:val="299"/>
      </w:pPr>
    </w:p>
    <w:p w14:paraId="59B2A6C5">
      <w:pPr>
        <w:pStyle w:val="299"/>
      </w:pPr>
    </w:p>
    <w:p w14:paraId="2F1504B4">
      <w:pPr>
        <w:pStyle w:val="299"/>
      </w:pPr>
    </w:p>
    <w:p w14:paraId="0DEE9726">
      <w:pPr>
        <w:pStyle w:val="299"/>
        <w:jc w:val="center"/>
        <w:rPr>
          <w:rFonts w:ascii="宋体" w:hAnsi="宋体"/>
          <w:b/>
          <w:sz w:val="36"/>
          <w:szCs w:val="36"/>
        </w:rPr>
      </w:pPr>
    </w:p>
    <w:p w14:paraId="289E450F">
      <w:pPr>
        <w:pStyle w:val="299"/>
        <w:jc w:val="center"/>
      </w:pPr>
    </w:p>
    <w:p w14:paraId="59F6E0F6">
      <w:pPr>
        <w:pStyle w:val="299"/>
      </w:pPr>
    </w:p>
    <w:p w14:paraId="156F627E">
      <w:pPr>
        <w:jc w:val="center"/>
        <w:rPr>
          <w:rFonts w:hint="eastAsia" w:ascii="黑体" w:hAnsi="黑体" w:eastAsia="黑体"/>
          <w:sz w:val="44"/>
          <w:szCs w:val="44"/>
        </w:rPr>
      </w:pPr>
      <w:r>
        <w:rPr>
          <w:rFonts w:hint="eastAsia" w:ascii="黑体" w:hAnsi="黑体" w:eastAsia="黑体"/>
          <w:sz w:val="44"/>
          <w:szCs w:val="44"/>
        </w:rPr>
        <w:br w:type="page"/>
      </w:r>
    </w:p>
    <w:p w14:paraId="4D394ECB">
      <w:pPr>
        <w:pStyle w:val="299"/>
        <w:spacing w:line="360" w:lineRule="auto"/>
        <w:jc w:val="center"/>
        <w:rPr>
          <w:rFonts w:ascii="黑体" w:hAnsi="黑体" w:eastAsia="黑体"/>
          <w:sz w:val="44"/>
          <w:szCs w:val="44"/>
        </w:rPr>
      </w:pPr>
      <w:r>
        <w:rPr>
          <w:rFonts w:hint="eastAsia" w:ascii="黑体" w:hAnsi="黑体" w:eastAsia="黑体"/>
          <w:sz w:val="44"/>
          <w:szCs w:val="44"/>
        </w:rPr>
        <w:t>使 用 说 明</w:t>
      </w:r>
    </w:p>
    <w:p w14:paraId="1749FA53">
      <w:pPr>
        <w:pStyle w:val="299"/>
        <w:spacing w:line="360" w:lineRule="auto"/>
        <w:ind w:firstLine="480" w:firstLineChars="200"/>
        <w:rPr>
          <w:rFonts w:ascii="仿宋" w:hAnsi="仿宋" w:eastAsia="仿宋"/>
          <w:sz w:val="24"/>
        </w:rPr>
      </w:pPr>
    </w:p>
    <w:p w14:paraId="219E25BC">
      <w:pPr>
        <w:pStyle w:val="299"/>
        <w:spacing w:line="360" w:lineRule="auto"/>
        <w:ind w:firstLine="480" w:firstLineChars="200"/>
        <w:rPr>
          <w:rFonts w:ascii="仿宋" w:hAnsi="仿宋" w:eastAsia="仿宋"/>
          <w:sz w:val="24"/>
        </w:rPr>
      </w:pPr>
      <w:r>
        <w:rPr>
          <w:rFonts w:hint="eastAsia" w:ascii="仿宋" w:hAnsi="仿宋" w:eastAsia="仿宋"/>
          <w:sz w:val="24"/>
        </w:rPr>
        <w:t>一、为加强</w:t>
      </w:r>
      <w:r>
        <w:rPr>
          <w:rFonts w:hint="eastAsia" w:ascii="仿宋" w:hAnsi="仿宋" w:eastAsia="仿宋"/>
          <w:sz w:val="24"/>
          <w:lang w:val="en-US" w:eastAsia="zh-CN"/>
        </w:rPr>
        <w:t>乐山市</w:t>
      </w:r>
      <w:r>
        <w:rPr>
          <w:rFonts w:hint="eastAsia" w:ascii="仿宋" w:hAnsi="仿宋" w:eastAsia="仿宋"/>
          <w:sz w:val="24"/>
        </w:rPr>
        <w:t>普通公路工程电子招标管理，规范招标文件编制工作，</w:t>
      </w:r>
      <w:r>
        <w:rPr>
          <w:rFonts w:hint="eastAsia" w:ascii="仿宋" w:hAnsi="仿宋" w:eastAsia="仿宋"/>
          <w:sz w:val="24"/>
          <w:lang w:val="en-US" w:eastAsia="zh-CN"/>
        </w:rPr>
        <w:t>根据</w:t>
      </w:r>
      <w:r>
        <w:rPr>
          <w:rFonts w:hint="eastAsia" w:ascii="仿宋" w:hAnsi="仿宋" w:eastAsia="仿宋"/>
          <w:sz w:val="24"/>
          <w:lang w:eastAsia="zh-CN"/>
        </w:rPr>
        <w:t>《中华人民共和国标准设计施工总承包招标文件》（20</w:t>
      </w:r>
      <w:r>
        <w:rPr>
          <w:rFonts w:hint="eastAsia" w:ascii="仿宋" w:hAnsi="仿宋" w:eastAsia="仿宋"/>
          <w:sz w:val="24"/>
          <w:lang w:val="en-US" w:eastAsia="zh-CN"/>
        </w:rPr>
        <w:t>12</w:t>
      </w:r>
      <w:r>
        <w:rPr>
          <w:rFonts w:hint="eastAsia" w:ascii="仿宋" w:hAnsi="仿宋" w:eastAsia="仿宋"/>
          <w:sz w:val="24"/>
          <w:lang w:eastAsia="zh-CN"/>
        </w:rPr>
        <w:t>年版）、</w:t>
      </w:r>
      <w:r>
        <w:rPr>
          <w:rFonts w:hint="eastAsia" w:ascii="仿宋" w:hAnsi="仿宋" w:eastAsia="仿宋"/>
          <w:sz w:val="24"/>
        </w:rPr>
        <w:t>四川省交通运输厅《四川省普通公路工程电子招标标准施工招标文件》《四川省普通公路工程电子招标标准勘察设计招标文件》（</w:t>
      </w:r>
      <w:r>
        <w:rPr>
          <w:rFonts w:ascii="仿宋" w:hAnsi="仿宋" w:eastAsia="仿宋"/>
          <w:sz w:val="24"/>
        </w:rPr>
        <w:t>202</w:t>
      </w:r>
      <w:r>
        <w:rPr>
          <w:rFonts w:hint="eastAsia" w:ascii="仿宋" w:hAnsi="仿宋" w:eastAsia="仿宋"/>
          <w:sz w:val="24"/>
        </w:rPr>
        <w:t>4年版）</w:t>
      </w:r>
      <w:r>
        <w:rPr>
          <w:rFonts w:hint="eastAsia" w:ascii="仿宋" w:hAnsi="仿宋" w:eastAsia="仿宋"/>
          <w:sz w:val="24"/>
          <w:lang w:eastAsia="zh-CN"/>
        </w:rPr>
        <w:t>，</w:t>
      </w:r>
      <w:r>
        <w:rPr>
          <w:rFonts w:hint="eastAsia" w:ascii="仿宋" w:hAnsi="仿宋" w:eastAsia="仿宋"/>
          <w:sz w:val="24"/>
          <w:lang w:val="en-US" w:eastAsia="zh-CN"/>
        </w:rPr>
        <w:t>结合乐山实际，</w:t>
      </w:r>
      <w:r>
        <w:rPr>
          <w:rFonts w:hint="eastAsia" w:ascii="仿宋" w:hAnsi="仿宋" w:eastAsia="仿宋"/>
          <w:sz w:val="24"/>
        </w:rPr>
        <w:t>编制并经审定形成了《</w:t>
      </w:r>
      <w:r>
        <w:rPr>
          <w:rFonts w:hint="eastAsia" w:ascii="仿宋" w:hAnsi="仿宋" w:eastAsia="仿宋"/>
          <w:sz w:val="24"/>
          <w:lang w:val="en-US" w:eastAsia="zh-CN"/>
        </w:rPr>
        <w:t>乐山市</w:t>
      </w:r>
      <w:r>
        <w:rPr>
          <w:rFonts w:hint="eastAsia" w:ascii="仿宋" w:hAnsi="仿宋" w:eastAsia="仿宋"/>
          <w:sz w:val="24"/>
        </w:rPr>
        <w:t>普通公路工程电子招标标准设计施工总承包招标文件》（</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年版）（以下简称</w:t>
      </w:r>
      <w:r>
        <w:rPr>
          <w:rFonts w:hint="eastAsia" w:ascii="仿宋" w:hAnsi="仿宋" w:eastAsia="仿宋"/>
          <w:sz w:val="24"/>
          <w:lang w:eastAsia="zh-CN"/>
        </w:rPr>
        <w:t>《普通公路标准文件》</w:t>
      </w:r>
      <w:r>
        <w:rPr>
          <w:rFonts w:hint="eastAsia" w:ascii="仿宋" w:hAnsi="仿宋" w:eastAsia="仿宋"/>
          <w:sz w:val="24"/>
        </w:rPr>
        <w:t>）。</w:t>
      </w:r>
    </w:p>
    <w:p w14:paraId="41D2BA40">
      <w:pPr>
        <w:pStyle w:val="299"/>
        <w:spacing w:line="360" w:lineRule="auto"/>
        <w:ind w:firstLine="480" w:firstLineChars="200"/>
        <w:rPr>
          <w:rFonts w:ascii="仿宋" w:hAnsi="仿宋" w:eastAsia="仿宋"/>
          <w:sz w:val="24"/>
        </w:rPr>
      </w:pPr>
      <w:r>
        <w:rPr>
          <w:rFonts w:hint="eastAsia" w:ascii="仿宋" w:hAnsi="仿宋" w:eastAsia="仿宋"/>
          <w:sz w:val="24"/>
        </w:rPr>
        <w:t>二、</w:t>
      </w:r>
      <w:r>
        <w:rPr>
          <w:rFonts w:hint="eastAsia" w:ascii="仿宋" w:hAnsi="仿宋" w:eastAsia="仿宋"/>
          <w:sz w:val="24"/>
          <w:lang w:eastAsia="zh-CN"/>
        </w:rPr>
        <w:t>《普通公路标准文件》</w:t>
      </w:r>
      <w:r>
        <w:rPr>
          <w:rFonts w:hint="eastAsia" w:ascii="仿宋" w:hAnsi="仿宋" w:eastAsia="仿宋"/>
          <w:sz w:val="24"/>
        </w:rPr>
        <w:t>以《中华人民共和国标准设计施工总承包招标文件》（</w:t>
      </w:r>
      <w:r>
        <w:rPr>
          <w:rFonts w:ascii="仿宋" w:hAnsi="仿宋" w:eastAsia="仿宋"/>
          <w:sz w:val="24"/>
        </w:rPr>
        <w:t>2012</w:t>
      </w:r>
      <w:r>
        <w:rPr>
          <w:rFonts w:hint="eastAsia" w:ascii="仿宋" w:hAnsi="仿宋" w:eastAsia="仿宋"/>
          <w:sz w:val="24"/>
        </w:rPr>
        <w:t>年版）为基础，同时结合交通运输部《公路工程标准勘察设计招标文件》（</w:t>
      </w:r>
      <w:r>
        <w:rPr>
          <w:rFonts w:ascii="仿宋" w:hAnsi="仿宋" w:eastAsia="仿宋"/>
          <w:sz w:val="24"/>
        </w:rPr>
        <w:t>2018年版）</w:t>
      </w:r>
      <w:r>
        <w:rPr>
          <w:rFonts w:hint="eastAsia" w:ascii="仿宋" w:hAnsi="仿宋" w:eastAsia="仿宋"/>
          <w:sz w:val="24"/>
        </w:rPr>
        <w:t>、交通运输部《公路工程标准施工招标文件》（</w:t>
      </w:r>
      <w:r>
        <w:rPr>
          <w:rFonts w:ascii="仿宋" w:hAnsi="仿宋" w:eastAsia="仿宋"/>
          <w:sz w:val="24"/>
        </w:rPr>
        <w:t>2018年版）</w:t>
      </w:r>
      <w:r>
        <w:rPr>
          <w:rFonts w:hint="eastAsia" w:ascii="仿宋" w:hAnsi="仿宋" w:eastAsia="仿宋"/>
          <w:sz w:val="24"/>
        </w:rPr>
        <w:t>，以《中华人民共和国招标投标法》《中华人民共和国招标投标法实施条例》《电子招标投标办法》（2021年2月4日 国家发展和改革委员会 工业和信息化部 监察部 住房和城乡建设部 交通运输部 铁道部 水利部 商务部令第20号）、《公路工程建设项目招标投标管理办法》（交通运输部令</w:t>
      </w:r>
      <w:r>
        <w:rPr>
          <w:rFonts w:ascii="仿宋" w:hAnsi="仿宋" w:eastAsia="仿宋"/>
          <w:sz w:val="24"/>
        </w:rPr>
        <w:t>2015</w:t>
      </w:r>
      <w:r>
        <w:rPr>
          <w:rFonts w:hint="eastAsia" w:ascii="仿宋" w:hAnsi="仿宋" w:eastAsia="仿宋"/>
          <w:sz w:val="24"/>
        </w:rPr>
        <w:t>年第</w:t>
      </w:r>
      <w:r>
        <w:rPr>
          <w:rFonts w:ascii="仿宋" w:hAnsi="仿宋" w:eastAsia="仿宋"/>
          <w:sz w:val="24"/>
        </w:rPr>
        <w:t>24</w:t>
      </w:r>
      <w:r>
        <w:rPr>
          <w:rFonts w:hint="eastAsia" w:ascii="仿宋" w:hAnsi="仿宋" w:eastAsia="仿宋"/>
          <w:sz w:val="24"/>
        </w:rPr>
        <w:t>号）、《公路工程设计施工总承包管理办法》（交通运输部令2015年第10号）、交通运输部《公路工程建设项目评标工作细则》（</w:t>
      </w:r>
      <w:r>
        <w:rPr>
          <w:rFonts w:hint="eastAsia" w:ascii="仿宋" w:hAnsi="仿宋" w:eastAsia="仿宋" w:cs="宋体"/>
          <w:sz w:val="24"/>
        </w:rPr>
        <w:t>交公路规〔</w:t>
      </w:r>
      <w:r>
        <w:rPr>
          <w:rFonts w:ascii="仿宋" w:hAnsi="仿宋" w:eastAsia="仿宋" w:cs="宋体"/>
          <w:sz w:val="24"/>
        </w:rPr>
        <w:t>20</w:t>
      </w:r>
      <w:r>
        <w:rPr>
          <w:rFonts w:hint="eastAsia" w:ascii="仿宋" w:hAnsi="仿宋" w:eastAsia="仿宋" w:cs="宋体"/>
          <w:sz w:val="24"/>
        </w:rPr>
        <w:t>22</w:t>
      </w:r>
      <w:r>
        <w:rPr>
          <w:rFonts w:ascii="仿宋" w:hAnsi="仿宋" w:eastAsia="仿宋" w:cs="宋体"/>
          <w:sz w:val="24"/>
        </w:rPr>
        <w:t>〕</w:t>
      </w:r>
      <w:r>
        <w:rPr>
          <w:rFonts w:hint="eastAsia" w:ascii="仿宋" w:hAnsi="仿宋" w:eastAsia="仿宋" w:cs="宋体"/>
          <w:sz w:val="24"/>
        </w:rPr>
        <w:t>8</w:t>
      </w:r>
      <w:r>
        <w:rPr>
          <w:rFonts w:ascii="仿宋" w:hAnsi="仿宋" w:eastAsia="仿宋" w:cs="宋体"/>
          <w:sz w:val="24"/>
        </w:rPr>
        <w:t>号</w:t>
      </w:r>
      <w:r>
        <w:rPr>
          <w:rFonts w:hint="eastAsia" w:ascii="仿宋" w:hAnsi="仿宋" w:eastAsia="仿宋"/>
          <w:sz w:val="24"/>
        </w:rPr>
        <w:t>）、四川省交通运输厅《四川省公路工程建设项目招标投标管理实施细则》（</w:t>
      </w:r>
      <w:r>
        <w:rPr>
          <w:rFonts w:hint="eastAsia" w:ascii="仿宋" w:hAnsi="仿宋" w:eastAsia="仿宋"/>
          <w:sz w:val="24"/>
          <w:lang w:eastAsia="zh-CN"/>
        </w:rPr>
        <w:t>川交规〔2024〕7号</w:t>
      </w:r>
      <w:r>
        <w:rPr>
          <w:rFonts w:ascii="仿宋" w:hAnsi="仿宋" w:eastAsia="仿宋"/>
          <w:sz w:val="24"/>
        </w:rPr>
        <w:t>）</w:t>
      </w:r>
      <w:r>
        <w:rPr>
          <w:rFonts w:hint="eastAsia" w:ascii="仿宋" w:hAnsi="仿宋" w:eastAsia="仿宋"/>
          <w:sz w:val="24"/>
          <w:lang w:eastAsia="zh-CN"/>
        </w:rPr>
        <w:t>、</w:t>
      </w:r>
      <w:r>
        <w:rPr>
          <w:rFonts w:hint="eastAsia" w:ascii="仿宋" w:hAnsi="仿宋" w:eastAsia="仿宋"/>
          <w:sz w:val="24"/>
        </w:rPr>
        <w:t>《四川省农村公路条例》（四川省第十二届人民代表大会常务委员会公告第89号）、《农村公路建设管理办法》（交通运输部令2018年第4号）、《</w:t>
      </w:r>
      <w:r>
        <w:fldChar w:fldCharType="begin"/>
      </w:r>
      <w:r>
        <w:instrText xml:space="preserve"> HYPERLINK "https://baike.so.com/doc/5397698-5635041.html" \t "https://baike.so.com/doc/_blank" </w:instrText>
      </w:r>
      <w:r>
        <w:fldChar w:fldCharType="separate"/>
      </w:r>
      <w:r>
        <w:rPr>
          <w:rFonts w:hint="eastAsia" w:ascii="仿宋" w:hAnsi="仿宋" w:eastAsia="仿宋"/>
          <w:sz w:val="24"/>
        </w:rPr>
        <w:t>农村</w:t>
      </w:r>
      <w:r>
        <w:rPr>
          <w:rFonts w:hint="eastAsia" w:ascii="仿宋" w:hAnsi="仿宋" w:eastAsia="仿宋"/>
          <w:sz w:val="24"/>
        </w:rPr>
        <w:fldChar w:fldCharType="end"/>
      </w:r>
      <w:r>
        <w:rPr>
          <w:rFonts w:hint="eastAsia" w:ascii="仿宋" w:hAnsi="仿宋" w:eastAsia="仿宋"/>
          <w:sz w:val="24"/>
        </w:rPr>
        <w:t>公路建设质量管理办法》(交安监发〔2018〕152号)、四川省交通运输厅《四川省公路工程建设项目招标投标管理实施细则》（</w:t>
      </w:r>
      <w:r>
        <w:rPr>
          <w:rFonts w:hint="eastAsia" w:ascii="仿宋" w:hAnsi="仿宋" w:eastAsia="仿宋"/>
          <w:sz w:val="24"/>
          <w:lang w:eastAsia="zh-CN"/>
        </w:rPr>
        <w:t>川交规〔2024〕7号</w:t>
      </w:r>
      <w:r>
        <w:rPr>
          <w:rFonts w:hint="eastAsia" w:ascii="仿宋" w:hAnsi="仿宋" w:eastAsia="仿宋"/>
          <w:sz w:val="24"/>
        </w:rPr>
        <w:t>）及《四川省农村公路建设管理办法》（川交规〔2022〕2号）等法律法规规章及行政规范性文件为依据，结合</w:t>
      </w:r>
      <w:r>
        <w:rPr>
          <w:rFonts w:hint="eastAsia" w:ascii="仿宋" w:hAnsi="仿宋" w:eastAsia="仿宋"/>
          <w:sz w:val="24"/>
          <w:lang w:val="en-US" w:eastAsia="zh-CN"/>
        </w:rPr>
        <w:t>乐山市</w:t>
      </w:r>
      <w:r>
        <w:rPr>
          <w:rFonts w:hint="eastAsia" w:ascii="仿宋" w:hAnsi="仿宋" w:eastAsia="仿宋"/>
          <w:sz w:val="24"/>
        </w:rPr>
        <w:t>普通公路</w:t>
      </w:r>
      <w:r>
        <w:rPr>
          <w:rFonts w:hint="eastAsia" w:ascii="仿宋" w:hAnsi="仿宋" w:eastAsia="仿宋"/>
          <w:sz w:val="24"/>
          <w:lang w:val="en-US" w:eastAsia="zh-CN"/>
        </w:rPr>
        <w:t>设计施工总承包招</w:t>
      </w:r>
      <w:r>
        <w:rPr>
          <w:rFonts w:hint="eastAsia" w:ascii="仿宋" w:hAnsi="仿宋" w:eastAsia="仿宋"/>
          <w:sz w:val="24"/>
        </w:rPr>
        <w:t>标特点和电子招标管理需要编制而成。</w:t>
      </w:r>
    </w:p>
    <w:p w14:paraId="700834FC">
      <w:pPr>
        <w:pStyle w:val="299"/>
        <w:spacing w:line="360" w:lineRule="auto"/>
        <w:ind w:firstLine="480" w:firstLineChars="200"/>
        <w:rPr>
          <w:rFonts w:ascii="仿宋" w:hAnsi="仿宋" w:eastAsia="仿宋"/>
          <w:sz w:val="24"/>
        </w:rPr>
      </w:pPr>
      <w:r>
        <w:rPr>
          <w:rFonts w:hint="eastAsia" w:ascii="仿宋" w:hAnsi="仿宋" w:eastAsia="仿宋"/>
          <w:sz w:val="24"/>
        </w:rPr>
        <w:t>三、</w:t>
      </w:r>
      <w:r>
        <w:rPr>
          <w:rFonts w:hint="eastAsia" w:ascii="仿宋" w:hAnsi="仿宋" w:eastAsia="仿宋"/>
          <w:sz w:val="24"/>
          <w:lang w:eastAsia="zh-CN"/>
        </w:rPr>
        <w:t>《普通公路标准文件》</w:t>
      </w:r>
      <w:r>
        <w:rPr>
          <w:rFonts w:hint="eastAsia" w:ascii="仿宋" w:hAnsi="仿宋" w:eastAsia="仿宋"/>
          <w:sz w:val="24"/>
        </w:rPr>
        <w:t>适用于依法招标的</w:t>
      </w:r>
      <w:r>
        <w:rPr>
          <w:rFonts w:hint="eastAsia" w:ascii="仿宋" w:hAnsi="仿宋" w:eastAsia="仿宋"/>
          <w:sz w:val="24"/>
          <w:lang w:val="en-US" w:eastAsia="zh-CN"/>
        </w:rPr>
        <w:t>乐山市</w:t>
      </w:r>
      <w:r>
        <w:rPr>
          <w:rFonts w:ascii="仿宋" w:hAnsi="仿宋" w:eastAsia="仿宋" w:cs="宋体"/>
          <w:sz w:val="24"/>
        </w:rPr>
        <w:t>普通</w:t>
      </w:r>
      <w:r>
        <w:rPr>
          <w:rFonts w:hint="eastAsia" w:ascii="仿宋" w:hAnsi="仿宋" w:eastAsia="仿宋" w:cs="宋体"/>
          <w:sz w:val="24"/>
          <w:lang w:val="en-US" w:eastAsia="zh-CN"/>
        </w:rPr>
        <w:t>公路</w:t>
      </w:r>
      <w:r>
        <w:rPr>
          <w:rFonts w:hint="eastAsia" w:ascii="仿宋" w:hAnsi="仿宋" w:eastAsia="仿宋"/>
          <w:sz w:val="24"/>
        </w:rPr>
        <w:t>建设项目的路基</w:t>
      </w:r>
      <w:r>
        <w:rPr>
          <w:rFonts w:ascii="仿宋" w:hAnsi="仿宋" w:eastAsia="仿宋"/>
          <w:sz w:val="24"/>
        </w:rPr>
        <w:t>、路面</w:t>
      </w:r>
      <w:r>
        <w:rPr>
          <w:rFonts w:hint="eastAsia" w:ascii="仿宋" w:hAnsi="仿宋" w:eastAsia="仿宋"/>
          <w:sz w:val="24"/>
        </w:rPr>
        <w:t>、桥梁</w:t>
      </w:r>
      <w:r>
        <w:rPr>
          <w:rFonts w:ascii="仿宋" w:hAnsi="仿宋" w:eastAsia="仿宋"/>
          <w:sz w:val="24"/>
        </w:rPr>
        <w:t>、隧道</w:t>
      </w:r>
      <w:r>
        <w:rPr>
          <w:rFonts w:hint="eastAsia" w:ascii="仿宋" w:hAnsi="仿宋" w:eastAsia="仿宋"/>
          <w:sz w:val="24"/>
        </w:rPr>
        <w:t>、</w:t>
      </w:r>
      <w:r>
        <w:rPr>
          <w:rFonts w:ascii="仿宋" w:hAnsi="仿宋" w:eastAsia="仿宋"/>
          <w:sz w:val="24"/>
        </w:rPr>
        <w:t>交通安全设施</w:t>
      </w:r>
      <w:r>
        <w:rPr>
          <w:rFonts w:hint="eastAsia" w:ascii="仿宋" w:hAnsi="仿宋" w:eastAsia="仿宋"/>
          <w:sz w:val="24"/>
        </w:rPr>
        <w:t>、绿化及环境保护设施、房建、机电等</w:t>
      </w:r>
      <w:r>
        <w:rPr>
          <w:rFonts w:hint="eastAsia" w:ascii="仿宋" w:hAnsi="仿宋" w:eastAsia="仿宋"/>
          <w:sz w:val="24"/>
          <w:lang w:val="en-US" w:eastAsia="zh-CN"/>
        </w:rPr>
        <w:t>勘察设计</w:t>
      </w:r>
      <w:r>
        <w:rPr>
          <w:rFonts w:ascii="仿宋" w:hAnsi="仿宋" w:eastAsia="仿宋"/>
          <w:sz w:val="24"/>
        </w:rPr>
        <w:t>施工</w:t>
      </w:r>
      <w:r>
        <w:rPr>
          <w:rFonts w:hint="eastAsia" w:ascii="仿宋" w:hAnsi="仿宋" w:eastAsia="仿宋"/>
          <w:sz w:val="24"/>
          <w:lang w:val="en-US" w:eastAsia="zh-CN"/>
        </w:rPr>
        <w:t>总承包</w:t>
      </w:r>
      <w:r>
        <w:rPr>
          <w:rFonts w:ascii="仿宋" w:hAnsi="仿宋" w:eastAsia="仿宋"/>
          <w:sz w:val="24"/>
        </w:rPr>
        <w:t>项目</w:t>
      </w:r>
      <w:r>
        <w:rPr>
          <w:rFonts w:hint="eastAsia" w:ascii="仿宋" w:hAnsi="仿宋" w:eastAsia="仿宋"/>
          <w:sz w:val="24"/>
        </w:rPr>
        <w:t>，</w:t>
      </w:r>
      <w:r>
        <w:rPr>
          <w:rFonts w:ascii="仿宋" w:hAnsi="仿宋" w:eastAsia="仿宋"/>
          <w:sz w:val="24"/>
        </w:rPr>
        <w:t>普通公路养护工程参照使用</w:t>
      </w:r>
      <w:r>
        <w:rPr>
          <w:rFonts w:hint="eastAsia" w:ascii="仿宋" w:hAnsi="仿宋" w:eastAsia="仿宋"/>
          <w:sz w:val="24"/>
          <w:lang w:eastAsia="zh-CN"/>
        </w:rPr>
        <w:t>，</w:t>
      </w:r>
      <w:r>
        <w:rPr>
          <w:rFonts w:hint="eastAsia" w:ascii="仿宋" w:hAnsi="仿宋" w:eastAsia="仿宋"/>
          <w:sz w:val="24"/>
          <w:lang w:val="en-US" w:eastAsia="zh-CN"/>
        </w:rPr>
        <w:t>具体从业企业资质、信用管理等要求按照部、省</w:t>
      </w:r>
      <w:r>
        <w:rPr>
          <w:rFonts w:ascii="仿宋" w:hAnsi="仿宋" w:eastAsia="仿宋"/>
          <w:sz w:val="24"/>
        </w:rPr>
        <w:t>普通公路养护工程</w:t>
      </w:r>
      <w:r>
        <w:rPr>
          <w:rFonts w:hint="eastAsia" w:ascii="仿宋" w:hAnsi="仿宋" w:eastAsia="仿宋"/>
          <w:sz w:val="24"/>
          <w:lang w:val="en-US" w:eastAsia="zh-CN"/>
        </w:rPr>
        <w:t>相关规定执行</w:t>
      </w:r>
      <w:r>
        <w:rPr>
          <w:rFonts w:ascii="仿宋" w:hAnsi="仿宋" w:eastAsia="仿宋"/>
          <w:sz w:val="24"/>
        </w:rPr>
        <w:t>。</w:t>
      </w:r>
    </w:p>
    <w:p w14:paraId="15521B2A">
      <w:pPr>
        <w:pStyle w:val="299"/>
        <w:spacing w:line="360" w:lineRule="auto"/>
        <w:ind w:firstLine="480" w:firstLineChars="200"/>
        <w:rPr>
          <w:rFonts w:ascii="仿宋" w:hAnsi="仿宋" w:eastAsia="仿宋"/>
          <w:sz w:val="24"/>
        </w:rPr>
      </w:pPr>
      <w:r>
        <w:rPr>
          <w:rFonts w:hint="eastAsia" w:ascii="仿宋" w:hAnsi="仿宋" w:eastAsia="仿宋"/>
          <w:sz w:val="24"/>
        </w:rPr>
        <w:t>四、招标人根据</w:t>
      </w:r>
      <w:r>
        <w:rPr>
          <w:rFonts w:hint="eastAsia" w:ascii="仿宋" w:hAnsi="仿宋" w:eastAsia="仿宋"/>
          <w:sz w:val="24"/>
          <w:lang w:eastAsia="zh-CN"/>
        </w:rPr>
        <w:t>《普通公路标准文件》</w:t>
      </w:r>
      <w:r>
        <w:rPr>
          <w:rFonts w:hint="eastAsia" w:ascii="仿宋" w:hAnsi="仿宋" w:eastAsia="仿宋"/>
          <w:sz w:val="24"/>
        </w:rPr>
        <w:t>编制项目招标文件时，不得修改“投标人须知”正文和“评标办法”正文，但可在前附表中对“投标人须知”和“评标办法”进行补充、细化，补充和细化的内容不得与“投标人须知”和“评标办法”正文内容相抵触。</w:t>
      </w:r>
    </w:p>
    <w:p w14:paraId="2BD17700">
      <w:pPr>
        <w:pStyle w:val="299"/>
        <w:spacing w:line="360" w:lineRule="auto"/>
        <w:ind w:firstLine="480" w:firstLineChars="200"/>
        <w:rPr>
          <w:rFonts w:ascii="仿宋" w:hAnsi="仿宋" w:eastAsia="仿宋"/>
          <w:sz w:val="24"/>
        </w:rPr>
      </w:pPr>
      <w:r>
        <w:rPr>
          <w:rFonts w:hint="eastAsia" w:ascii="仿宋" w:hAnsi="仿宋" w:eastAsia="仿宋"/>
          <w:sz w:val="24"/>
        </w:rPr>
        <w:t>五、招标人在根据</w:t>
      </w:r>
      <w:r>
        <w:rPr>
          <w:rFonts w:hint="eastAsia" w:ascii="仿宋" w:hAnsi="仿宋" w:eastAsia="仿宋"/>
          <w:sz w:val="24"/>
          <w:lang w:eastAsia="zh-CN"/>
        </w:rPr>
        <w:t>《普通公路标准文件》</w:t>
      </w:r>
      <w:r>
        <w:rPr>
          <w:rFonts w:hint="eastAsia" w:ascii="仿宋" w:hAnsi="仿宋" w:eastAsia="仿宋"/>
          <w:sz w:val="24"/>
        </w:rPr>
        <w:t>编制项目招标文件中的“专用合同条款”时，可根据招标项目的具体特点和实际需要，</w:t>
      </w:r>
      <w:r>
        <w:rPr>
          <w:rFonts w:hint="eastAsia" w:ascii="仿宋" w:hAnsi="仿宋" w:eastAsia="仿宋"/>
          <w:sz w:val="24"/>
          <w:lang w:val="en-US" w:eastAsia="zh-CN"/>
        </w:rPr>
        <w:t>对原文引用《中华人民共和国标准设计施工总承包招标文件》（2012年版）</w:t>
      </w:r>
      <w:r>
        <w:rPr>
          <w:rFonts w:hint="eastAsia" w:ascii="仿宋" w:hAnsi="仿宋" w:eastAsia="仿宋"/>
          <w:sz w:val="24"/>
        </w:rPr>
        <w:t>“通用合同条款”进行补充、细化，除“通用合同条款”明确“专用合同条款”可作出不同约定外，补充和细化的内容不得与“通用合同条款”强制性规定相抵触。同时，补充、细化或约定的内容，不得违反法律、行政法规的强制性规定和平等、自愿、公平</w:t>
      </w:r>
      <w:r>
        <w:rPr>
          <w:rFonts w:hint="eastAsia" w:ascii="仿宋" w:hAnsi="仿宋" w:eastAsia="仿宋"/>
          <w:sz w:val="24"/>
          <w:lang w:eastAsia="zh-CN"/>
        </w:rPr>
        <w:t>、</w:t>
      </w:r>
      <w:r>
        <w:rPr>
          <w:rFonts w:hint="eastAsia" w:ascii="仿宋" w:hAnsi="仿宋" w:eastAsia="仿宋"/>
          <w:sz w:val="24"/>
        </w:rPr>
        <w:t>诚实信用原则。</w:t>
      </w:r>
    </w:p>
    <w:p w14:paraId="15C45C25">
      <w:pPr>
        <w:pStyle w:val="299"/>
        <w:spacing w:line="360" w:lineRule="auto"/>
        <w:ind w:firstLine="480" w:firstLineChars="200"/>
        <w:jc w:val="left"/>
        <w:rPr>
          <w:rFonts w:ascii="仿宋" w:hAnsi="仿宋" w:eastAsia="仿宋"/>
          <w:sz w:val="24"/>
        </w:rPr>
      </w:pPr>
      <w:r>
        <w:rPr>
          <w:rFonts w:hint="eastAsia" w:ascii="仿宋" w:hAnsi="仿宋" w:eastAsia="仿宋"/>
          <w:sz w:val="24"/>
        </w:rPr>
        <w:t>六、</w:t>
      </w:r>
      <w:r>
        <w:rPr>
          <w:rFonts w:hint="eastAsia" w:ascii="仿宋" w:hAnsi="仿宋" w:eastAsia="仿宋" w:cs="宋体"/>
          <w:sz w:val="24"/>
          <w:lang w:eastAsia="zh-CN"/>
        </w:rPr>
        <w:t>《普通公路标准文件》</w:t>
      </w:r>
      <w:r>
        <w:rPr>
          <w:rFonts w:hint="eastAsia" w:ascii="仿宋" w:hAnsi="仿宋" w:eastAsia="仿宋" w:cs="宋体"/>
          <w:sz w:val="24"/>
        </w:rPr>
        <w:t>条款</w:t>
      </w:r>
      <w:r>
        <w:rPr>
          <w:rFonts w:ascii="仿宋" w:hAnsi="仿宋" w:eastAsia="仿宋"/>
          <w:sz w:val="24"/>
        </w:rPr>
        <w:t>符号说明：</w:t>
      </w:r>
    </w:p>
    <w:p w14:paraId="381BAB27">
      <w:pPr>
        <w:pStyle w:val="299"/>
        <w:spacing w:line="360" w:lineRule="auto"/>
        <w:ind w:firstLine="480" w:firstLineChars="200"/>
        <w:jc w:val="left"/>
        <w:rPr>
          <w:rFonts w:hint="eastAsia" w:ascii="仿宋" w:hAnsi="仿宋" w:eastAsia="仿宋" w:cs="宋体"/>
          <w:sz w:val="24"/>
          <w:lang w:eastAsia="zh-CN"/>
        </w:rPr>
      </w:pPr>
      <w:r>
        <w:rPr>
          <w:rFonts w:hint="eastAsia" w:ascii="仿宋" w:hAnsi="仿宋" w:eastAsia="仿宋" w:cs="宋体"/>
          <w:sz w:val="24"/>
          <w:lang w:val="en-US" w:eastAsia="zh-CN"/>
        </w:rPr>
        <w:t>1.</w:t>
      </w:r>
      <w:r>
        <w:rPr>
          <w:rFonts w:ascii="仿宋" w:hAnsi="仿宋" w:eastAsia="仿宋" w:cs="宋体"/>
          <w:sz w:val="24"/>
        </w:rPr>
        <w:t>用相同序号标示的章、节、条、款、项、目，供招标人选择使用</w:t>
      </w:r>
      <w:r>
        <w:rPr>
          <w:rFonts w:hint="eastAsia" w:ascii="仿宋" w:hAnsi="仿宋" w:eastAsia="仿宋" w:cs="宋体"/>
          <w:sz w:val="24"/>
          <w:lang w:eastAsia="zh-CN"/>
        </w:rPr>
        <w:t>。</w:t>
      </w:r>
    </w:p>
    <w:p w14:paraId="2D0C4CCE">
      <w:pPr>
        <w:pStyle w:val="299"/>
        <w:spacing w:line="360" w:lineRule="auto"/>
        <w:ind w:firstLine="480" w:firstLineChars="200"/>
        <w:jc w:val="left"/>
        <w:rPr>
          <w:rFonts w:hint="eastAsia" w:ascii="仿宋" w:hAnsi="仿宋" w:eastAsia="仿宋" w:cs="宋体"/>
          <w:sz w:val="24"/>
          <w:lang w:eastAsia="zh-CN"/>
        </w:rPr>
      </w:pPr>
      <w:r>
        <w:rPr>
          <w:rFonts w:hint="eastAsia" w:ascii="仿宋" w:hAnsi="仿宋" w:eastAsia="仿宋" w:cs="宋体"/>
          <w:sz w:val="24"/>
          <w:lang w:val="en-US" w:eastAsia="zh-CN"/>
        </w:rPr>
        <w:t>2.</w:t>
      </w:r>
      <w:r>
        <w:rPr>
          <w:rFonts w:ascii="仿宋" w:hAnsi="仿宋" w:eastAsia="仿宋" w:cs="宋体"/>
          <w:sz w:val="24"/>
        </w:rPr>
        <w:t>以空格标示的部分，招标人应根据招标项目具体特点和实际需要进行填写，确实没有需要填写的，在空格中用“／”或“</w:t>
      </w:r>
      <w:r>
        <w:rPr>
          <w:rFonts w:hint="eastAsia" w:ascii="仿宋" w:hAnsi="仿宋" w:eastAsia="仿宋" w:cs="宋体"/>
          <w:sz w:val="24"/>
        </w:rPr>
        <w:t>无</w:t>
      </w:r>
      <w:r>
        <w:rPr>
          <w:rFonts w:ascii="仿宋" w:hAnsi="仿宋" w:eastAsia="仿宋" w:cs="宋体"/>
          <w:sz w:val="24"/>
        </w:rPr>
        <w:t>”</w:t>
      </w:r>
      <w:r>
        <w:rPr>
          <w:rFonts w:hint="eastAsia" w:ascii="仿宋" w:hAnsi="仿宋" w:eastAsia="仿宋" w:cs="宋体"/>
          <w:sz w:val="24"/>
        </w:rPr>
        <w:t>标示</w:t>
      </w:r>
      <w:r>
        <w:rPr>
          <w:rFonts w:hint="eastAsia" w:ascii="仿宋" w:hAnsi="仿宋" w:eastAsia="仿宋" w:cs="宋体"/>
          <w:sz w:val="24"/>
          <w:lang w:eastAsia="zh-CN"/>
        </w:rPr>
        <w:t>。</w:t>
      </w:r>
    </w:p>
    <w:p w14:paraId="60C52741">
      <w:pPr>
        <w:pStyle w:val="299"/>
        <w:spacing w:line="360" w:lineRule="auto"/>
        <w:ind w:firstLine="480" w:firstLineChars="200"/>
        <w:jc w:val="left"/>
        <w:rPr>
          <w:rFonts w:hint="eastAsia" w:ascii="仿宋" w:hAnsi="仿宋" w:eastAsia="仿宋" w:cs="宋体"/>
          <w:sz w:val="24"/>
          <w:lang w:eastAsia="zh-CN"/>
        </w:rPr>
      </w:pPr>
      <w:r>
        <w:rPr>
          <w:rFonts w:hint="eastAsia" w:ascii="仿宋" w:hAnsi="仿宋" w:eastAsia="仿宋" w:cs="宋体"/>
          <w:sz w:val="24"/>
          <w:lang w:val="en-US" w:eastAsia="zh-CN"/>
        </w:rPr>
        <w:t>3.</w:t>
      </w:r>
      <w:r>
        <w:rPr>
          <w:rFonts w:ascii="仿宋" w:hAnsi="仿宋" w:eastAsia="仿宋" w:cs="宋体"/>
          <w:sz w:val="24"/>
        </w:rPr>
        <w:t>文中“</w:t>
      </w:r>
      <w:r>
        <w:rPr>
          <w:rFonts w:hint="eastAsia" w:ascii="仿宋" w:hAnsi="仿宋" w:eastAsia="仿宋" w:cs="宋体"/>
          <w:sz w:val="24"/>
        </w:rPr>
        <w:t>□</w:t>
      </w:r>
      <w:r>
        <w:rPr>
          <w:rFonts w:ascii="仿宋" w:hAnsi="仿宋" w:eastAsia="仿宋" w:cs="宋体"/>
          <w:sz w:val="24"/>
        </w:rPr>
        <w:t>”</w:t>
      </w:r>
      <w:r>
        <w:rPr>
          <w:rFonts w:hint="eastAsia" w:ascii="仿宋" w:hAnsi="仿宋" w:eastAsia="仿宋" w:cs="宋体"/>
          <w:sz w:val="24"/>
        </w:rPr>
        <w:t>表示</w:t>
      </w:r>
      <w:r>
        <w:rPr>
          <w:rFonts w:ascii="仿宋" w:hAnsi="仿宋" w:eastAsia="仿宋" w:cs="宋体"/>
          <w:sz w:val="24"/>
        </w:rPr>
        <w:t>可选择项，招标人、投标人</w:t>
      </w:r>
      <w:r>
        <w:rPr>
          <w:rFonts w:hint="eastAsia" w:ascii="仿宋" w:hAnsi="仿宋" w:eastAsia="仿宋" w:cs="宋体"/>
          <w:sz w:val="24"/>
        </w:rPr>
        <w:t>在</w:t>
      </w:r>
      <w:r>
        <w:rPr>
          <w:rFonts w:ascii="仿宋" w:hAnsi="仿宋" w:eastAsia="仿宋" w:cs="宋体"/>
          <w:sz w:val="24"/>
        </w:rPr>
        <w:t>可选择项</w:t>
      </w:r>
      <w:r>
        <w:rPr>
          <w:rFonts w:hint="eastAsia" w:ascii="仿宋" w:hAnsi="仿宋" w:eastAsia="仿宋" w:cs="宋体"/>
          <w:sz w:val="24"/>
        </w:rPr>
        <w:t>中任选其一</w:t>
      </w:r>
      <w:r>
        <w:rPr>
          <w:rFonts w:ascii="仿宋" w:hAnsi="仿宋" w:eastAsia="仿宋" w:cs="宋体"/>
          <w:sz w:val="24"/>
        </w:rPr>
        <w:t>或者对选择有规定的从其规定</w:t>
      </w:r>
      <w:r>
        <w:rPr>
          <w:rFonts w:hint="eastAsia" w:ascii="仿宋" w:hAnsi="仿宋" w:eastAsia="仿宋" w:cs="宋体"/>
          <w:sz w:val="24"/>
        </w:rPr>
        <w:t>，</w:t>
      </w:r>
      <w:r>
        <w:rPr>
          <w:rFonts w:ascii="仿宋" w:hAnsi="仿宋" w:eastAsia="仿宋" w:cs="宋体"/>
          <w:sz w:val="24"/>
        </w:rPr>
        <w:t>没有</w:t>
      </w:r>
      <w:r>
        <w:rPr>
          <w:rFonts w:hint="eastAsia" w:ascii="仿宋" w:hAnsi="仿宋" w:eastAsia="仿宋" w:cs="宋体"/>
          <w:sz w:val="24"/>
        </w:rPr>
        <w:t>选择的视为</w:t>
      </w:r>
      <w:r>
        <w:rPr>
          <w:rFonts w:ascii="仿宋" w:hAnsi="仿宋" w:eastAsia="仿宋" w:cs="宋体"/>
          <w:sz w:val="24"/>
        </w:rPr>
        <w:t>不采纳</w:t>
      </w:r>
      <w:r>
        <w:rPr>
          <w:rFonts w:hint="eastAsia" w:ascii="仿宋" w:hAnsi="仿宋" w:eastAsia="仿宋" w:cs="宋体"/>
          <w:sz w:val="24"/>
        </w:rPr>
        <w:t>该内容</w:t>
      </w:r>
      <w:r>
        <w:rPr>
          <w:rFonts w:ascii="仿宋" w:hAnsi="仿宋" w:eastAsia="仿宋" w:cs="宋体"/>
          <w:sz w:val="24"/>
        </w:rPr>
        <w:t>（</w:t>
      </w:r>
      <w:r>
        <w:rPr>
          <w:rFonts w:hint="eastAsia" w:ascii="仿宋" w:hAnsi="仿宋" w:eastAsia="仿宋" w:cs="宋体"/>
          <w:sz w:val="24"/>
        </w:rPr>
        <w:t>在可以编辑的</w:t>
      </w:r>
      <w:r>
        <w:rPr>
          <w:rFonts w:ascii="仿宋" w:hAnsi="仿宋" w:eastAsia="仿宋" w:cs="宋体"/>
          <w:sz w:val="24"/>
        </w:rPr>
        <w:t>情形下，</w:t>
      </w:r>
      <w:r>
        <w:rPr>
          <w:rFonts w:hint="eastAsia" w:ascii="仿宋" w:hAnsi="仿宋" w:eastAsia="仿宋" w:cs="宋体"/>
          <w:sz w:val="24"/>
        </w:rPr>
        <w:t>没有被选择的</w:t>
      </w:r>
      <w:r>
        <w:rPr>
          <w:rFonts w:ascii="仿宋" w:hAnsi="仿宋" w:eastAsia="仿宋" w:cs="宋体"/>
          <w:sz w:val="24"/>
        </w:rPr>
        <w:t>项后面相应的内容删除）</w:t>
      </w:r>
      <w:r>
        <w:rPr>
          <w:rFonts w:hint="eastAsia" w:ascii="仿宋" w:hAnsi="仿宋" w:eastAsia="仿宋" w:cs="宋体"/>
          <w:sz w:val="24"/>
          <w:lang w:eastAsia="zh-CN"/>
        </w:rPr>
        <w:t>。</w:t>
      </w:r>
    </w:p>
    <w:p w14:paraId="4682F3EA">
      <w:pPr>
        <w:spacing w:line="360" w:lineRule="auto"/>
        <w:ind w:firstLine="480" w:firstLineChars="200"/>
        <w:jc w:val="left"/>
        <w:rPr>
          <w:rFonts w:hint="eastAsia" w:ascii="仿宋" w:hAnsi="仿宋" w:eastAsia="仿宋" w:cs="宋体"/>
          <w:sz w:val="24"/>
          <w:lang w:eastAsia="zh-CN"/>
        </w:rPr>
      </w:pPr>
      <w:r>
        <w:rPr>
          <w:rFonts w:hint="eastAsia" w:ascii="仿宋" w:hAnsi="仿宋" w:eastAsia="仿宋" w:cs="宋体"/>
          <w:sz w:val="24"/>
          <w:lang w:val="en-US" w:eastAsia="zh-CN"/>
        </w:rPr>
        <w:t>4.</w:t>
      </w:r>
      <w:r>
        <w:rPr>
          <w:rFonts w:hint="eastAsia" w:ascii="仿宋" w:hAnsi="仿宋" w:eastAsia="仿宋" w:cs="宋体"/>
          <w:sz w:val="24"/>
        </w:rPr>
        <w:t>文中</w:t>
      </w:r>
      <w:r>
        <w:rPr>
          <w:rFonts w:hint="eastAsia" w:ascii="仿宋" w:hAnsi="仿宋" w:eastAsia="仿宋"/>
          <w:sz w:val="24"/>
        </w:rPr>
        <w:t>的</w:t>
      </w:r>
      <w:r>
        <w:rPr>
          <w:rFonts w:ascii="仿宋" w:hAnsi="仿宋" w:eastAsia="仿宋" w:cs="宋体"/>
          <w:sz w:val="24"/>
        </w:rPr>
        <w:t>“</w:t>
      </w:r>
      <w:r>
        <w:rPr>
          <w:rFonts w:hint="eastAsia" w:ascii="仿宋" w:hAnsi="仿宋" w:eastAsia="仿宋" w:cs="宋体"/>
          <w:sz w:val="24"/>
        </w:rPr>
        <w:t>□</w:t>
      </w:r>
      <w:r>
        <w:rPr>
          <w:rFonts w:ascii="仿宋" w:hAnsi="仿宋" w:eastAsia="仿宋" w:cs="宋体"/>
          <w:sz w:val="24"/>
        </w:rPr>
        <w:t>”</w:t>
      </w:r>
      <w:r>
        <w:rPr>
          <w:rFonts w:hint="eastAsia" w:ascii="仿宋" w:hAnsi="仿宋" w:eastAsia="仿宋"/>
          <w:sz w:val="24"/>
        </w:rPr>
        <w:t>选择项为单选或多选，在多选时由招标人根据实际需要设定选择项之间是“或”还是“同时”的关系</w:t>
      </w:r>
      <w:r>
        <w:rPr>
          <w:rFonts w:hint="eastAsia" w:ascii="仿宋" w:hAnsi="仿宋" w:eastAsia="仿宋" w:cs="宋体"/>
          <w:sz w:val="24"/>
          <w:lang w:eastAsia="zh-CN"/>
        </w:rPr>
        <w:t>。</w:t>
      </w:r>
    </w:p>
    <w:p w14:paraId="55E5A1C8">
      <w:pPr>
        <w:spacing w:line="360" w:lineRule="auto"/>
        <w:ind w:firstLine="480" w:firstLineChars="200"/>
        <w:jc w:val="left"/>
        <w:rPr>
          <w:rFonts w:hint="eastAsia" w:ascii="仿宋" w:hAnsi="仿宋" w:eastAsia="仿宋" w:cs="宋体"/>
          <w:sz w:val="24"/>
          <w:lang w:eastAsia="zh-CN"/>
        </w:rPr>
      </w:pPr>
      <w:r>
        <w:rPr>
          <w:rFonts w:hint="eastAsia" w:ascii="仿宋" w:hAnsi="仿宋" w:eastAsia="仿宋" w:cs="宋体"/>
          <w:sz w:val="24"/>
          <w:lang w:val="en-US" w:eastAsia="zh-CN"/>
        </w:rPr>
        <w:t>5.</w:t>
      </w:r>
      <w:r>
        <w:rPr>
          <w:rFonts w:ascii="仿宋" w:hAnsi="仿宋" w:eastAsia="仿宋" w:cs="宋体"/>
          <w:sz w:val="24"/>
        </w:rPr>
        <w:t>招标人在编制</w:t>
      </w:r>
      <w:r>
        <w:rPr>
          <w:rFonts w:hint="eastAsia" w:ascii="仿宋" w:hAnsi="仿宋" w:eastAsia="仿宋" w:cs="宋体"/>
          <w:sz w:val="24"/>
        </w:rPr>
        <w:t>招标文件时</w:t>
      </w:r>
      <w:r>
        <w:rPr>
          <w:rFonts w:ascii="仿宋" w:hAnsi="仿宋" w:eastAsia="仿宋" w:cs="宋体"/>
          <w:sz w:val="24"/>
        </w:rPr>
        <w:t>，下划线</w:t>
      </w:r>
      <w:r>
        <w:rPr>
          <w:rFonts w:hint="eastAsia" w:ascii="仿宋" w:hAnsi="仿宋" w:eastAsia="仿宋" w:cs="宋体"/>
          <w:sz w:val="24"/>
        </w:rPr>
        <w:t>内</w:t>
      </w:r>
      <w:r>
        <w:rPr>
          <w:rFonts w:ascii="仿宋" w:hAnsi="仿宋" w:eastAsia="仿宋" w:cs="宋体"/>
          <w:sz w:val="24"/>
        </w:rPr>
        <w:t>的</w:t>
      </w:r>
      <w:r>
        <w:rPr>
          <w:rFonts w:hint="eastAsia" w:ascii="仿宋" w:hAnsi="仿宋" w:eastAsia="仿宋" w:cs="宋体"/>
          <w:sz w:val="24"/>
        </w:rPr>
        <w:t>内容</w:t>
      </w:r>
      <w:r>
        <w:rPr>
          <w:rFonts w:ascii="仿宋" w:hAnsi="仿宋" w:eastAsia="仿宋" w:cs="宋体"/>
          <w:sz w:val="24"/>
        </w:rPr>
        <w:t>可以</w:t>
      </w:r>
      <w:r>
        <w:rPr>
          <w:rFonts w:hint="eastAsia" w:ascii="仿宋" w:hAnsi="仿宋" w:eastAsia="仿宋" w:cs="宋体"/>
          <w:sz w:val="24"/>
        </w:rPr>
        <w:t>编辑</w:t>
      </w:r>
      <w:r>
        <w:rPr>
          <w:rFonts w:hint="eastAsia" w:ascii="仿宋" w:hAnsi="仿宋" w:eastAsia="仿宋" w:cs="宋体"/>
          <w:sz w:val="24"/>
          <w:lang w:eastAsia="zh-CN"/>
        </w:rPr>
        <w:t>。</w:t>
      </w:r>
    </w:p>
    <w:p w14:paraId="079C8327">
      <w:pPr>
        <w:pStyle w:val="299"/>
        <w:spacing w:line="360" w:lineRule="auto"/>
        <w:ind w:firstLine="480" w:firstLineChars="200"/>
        <w:rPr>
          <w:rFonts w:ascii="仿宋" w:hAnsi="仿宋" w:eastAsia="仿宋"/>
          <w:sz w:val="24"/>
        </w:rPr>
      </w:pPr>
      <w:r>
        <w:rPr>
          <w:rFonts w:hint="eastAsia" w:ascii="仿宋" w:hAnsi="仿宋" w:eastAsia="仿宋" w:cs="宋体"/>
          <w:sz w:val="24"/>
          <w:lang w:val="en-US" w:eastAsia="zh-CN"/>
        </w:rPr>
        <w:t>6.</w:t>
      </w:r>
      <w:r>
        <w:rPr>
          <w:rFonts w:hint="eastAsia" w:ascii="仿宋" w:hAnsi="仿宋" w:eastAsia="仿宋" w:cs="宋体"/>
          <w:sz w:val="24"/>
        </w:rPr>
        <w:t>标有下划线的引用条款</w:t>
      </w:r>
      <w:r>
        <w:rPr>
          <w:rFonts w:ascii="仿宋" w:hAnsi="仿宋" w:eastAsia="仿宋" w:cs="宋体"/>
          <w:sz w:val="24"/>
        </w:rPr>
        <w:t>内容</w:t>
      </w:r>
      <w:r>
        <w:rPr>
          <w:rFonts w:hint="eastAsia" w:ascii="仿宋" w:hAnsi="仿宋" w:eastAsia="仿宋" w:cs="宋体"/>
          <w:sz w:val="24"/>
        </w:rPr>
        <w:t>，</w:t>
      </w:r>
      <w:r>
        <w:rPr>
          <w:rFonts w:hint="eastAsia" w:ascii="仿宋" w:hAnsi="仿宋" w:eastAsia="仿宋" w:cs="宋体"/>
          <w:color w:val="auto"/>
          <w:sz w:val="24"/>
        </w:rPr>
        <w:t>当</w:t>
      </w:r>
      <w:r>
        <w:rPr>
          <w:rFonts w:hint="eastAsia" w:ascii="仿宋" w:hAnsi="仿宋" w:eastAsia="仿宋" w:cs="宋体"/>
          <w:sz w:val="24"/>
        </w:rPr>
        <w:t>国家、部、省等</w:t>
      </w:r>
      <w:r>
        <w:rPr>
          <w:rFonts w:hint="eastAsia" w:ascii="仿宋" w:hAnsi="仿宋" w:eastAsia="仿宋" w:cs="宋体"/>
          <w:color w:val="auto"/>
          <w:sz w:val="24"/>
        </w:rPr>
        <w:t>有</w:t>
      </w:r>
      <w:r>
        <w:rPr>
          <w:rFonts w:hint="eastAsia" w:ascii="仿宋" w:hAnsi="仿宋" w:eastAsia="仿宋" w:cs="宋体"/>
          <w:sz w:val="24"/>
        </w:rPr>
        <w:t>相关新的规定出台</w:t>
      </w:r>
      <w:r>
        <w:rPr>
          <w:rFonts w:hint="eastAsia" w:ascii="仿宋" w:hAnsi="仿宋" w:eastAsia="仿宋" w:cs="宋体"/>
          <w:color w:val="auto"/>
          <w:sz w:val="24"/>
        </w:rPr>
        <w:t>时</w:t>
      </w:r>
      <w:r>
        <w:rPr>
          <w:rFonts w:ascii="仿宋" w:hAnsi="仿宋" w:eastAsia="仿宋" w:cs="宋体"/>
          <w:sz w:val="24"/>
        </w:rPr>
        <w:t>，</w:t>
      </w:r>
      <w:r>
        <w:rPr>
          <w:rFonts w:hint="eastAsia" w:ascii="仿宋" w:hAnsi="仿宋" w:eastAsia="仿宋" w:cs="宋体"/>
          <w:sz w:val="24"/>
        </w:rPr>
        <w:t>招标人根据实际情况及</w:t>
      </w:r>
      <w:r>
        <w:rPr>
          <w:rFonts w:ascii="仿宋" w:hAnsi="仿宋" w:eastAsia="仿宋" w:cs="宋体"/>
          <w:sz w:val="24"/>
        </w:rPr>
        <w:t>项目具体特点</w:t>
      </w:r>
      <w:r>
        <w:rPr>
          <w:rFonts w:hint="eastAsia" w:ascii="仿宋" w:hAnsi="仿宋" w:eastAsia="仿宋" w:cs="宋体"/>
          <w:sz w:val="24"/>
        </w:rPr>
        <w:t>进行调整</w:t>
      </w:r>
      <w:r>
        <w:rPr>
          <w:rFonts w:ascii="仿宋" w:hAnsi="仿宋" w:eastAsia="仿宋" w:cs="宋体"/>
          <w:sz w:val="24"/>
        </w:rPr>
        <w:t>。</w:t>
      </w:r>
    </w:p>
    <w:p w14:paraId="4694B1D4">
      <w:pPr>
        <w:pStyle w:val="299"/>
        <w:spacing w:line="360" w:lineRule="auto"/>
        <w:ind w:firstLine="480" w:firstLineChars="200"/>
        <w:rPr>
          <w:rFonts w:ascii="仿宋" w:hAnsi="仿宋" w:eastAsia="仿宋"/>
          <w:sz w:val="24"/>
        </w:rPr>
      </w:pPr>
      <w:r>
        <w:rPr>
          <w:rFonts w:hint="eastAsia" w:ascii="仿宋" w:hAnsi="仿宋" w:eastAsia="仿宋"/>
          <w:sz w:val="24"/>
        </w:rPr>
        <w:t>七、招标人按照</w:t>
      </w:r>
      <w:r>
        <w:rPr>
          <w:rFonts w:hint="eastAsia" w:ascii="仿宋" w:hAnsi="仿宋" w:eastAsia="仿宋"/>
          <w:sz w:val="24"/>
          <w:lang w:eastAsia="zh-CN"/>
        </w:rPr>
        <w:t>《普通公路标准文件》</w:t>
      </w:r>
      <w:r>
        <w:rPr>
          <w:rFonts w:hint="eastAsia" w:ascii="仿宋" w:hAnsi="仿宋" w:eastAsia="仿宋"/>
          <w:sz w:val="24"/>
        </w:rPr>
        <w:t>第一章的格式发布招标公告后，将实际发布的招标公告编入向投标人提供的招标文件中，作为招标文件的组成部分。其中，招标公告应同时注明发布的所有媒介名称。</w:t>
      </w:r>
    </w:p>
    <w:p w14:paraId="3F812579">
      <w:pPr>
        <w:pStyle w:val="299"/>
        <w:spacing w:line="360" w:lineRule="auto"/>
        <w:ind w:firstLine="480" w:firstLineChars="200"/>
        <w:rPr>
          <w:rFonts w:ascii="仿宋" w:hAnsi="仿宋" w:eastAsia="仿宋"/>
          <w:sz w:val="24"/>
        </w:rPr>
      </w:pPr>
      <w:r>
        <w:rPr>
          <w:rFonts w:hint="eastAsia" w:ascii="仿宋" w:hAnsi="仿宋" w:eastAsia="仿宋"/>
          <w:sz w:val="24"/>
        </w:rPr>
        <w:t>八、</w:t>
      </w:r>
      <w:r>
        <w:rPr>
          <w:rFonts w:hint="eastAsia" w:ascii="仿宋" w:hAnsi="仿宋" w:eastAsia="仿宋"/>
          <w:sz w:val="24"/>
          <w:lang w:eastAsia="zh-CN"/>
        </w:rPr>
        <w:t>《普通公路标准文件》</w:t>
      </w:r>
      <w:r>
        <w:rPr>
          <w:rFonts w:hint="eastAsia" w:ascii="仿宋" w:hAnsi="仿宋" w:eastAsia="仿宋"/>
          <w:sz w:val="24"/>
        </w:rPr>
        <w:t>第三章“评标办法”按照《四川省公路工程建设项目招标投标管理实施细则》</w:t>
      </w:r>
      <w:r>
        <w:rPr>
          <w:rFonts w:hint="eastAsia" w:ascii="仿宋" w:hAnsi="仿宋" w:eastAsia="仿宋" w:cs="宋体"/>
          <w:sz w:val="24"/>
        </w:rPr>
        <w:t>（川交</w:t>
      </w:r>
      <w:r>
        <w:rPr>
          <w:rFonts w:hint="eastAsia" w:ascii="仿宋" w:hAnsi="仿宋" w:eastAsia="仿宋" w:cs="宋体"/>
          <w:sz w:val="24"/>
          <w:lang w:val="en-US" w:eastAsia="zh-CN"/>
        </w:rPr>
        <w:t>规</w:t>
      </w:r>
      <w:r>
        <w:rPr>
          <w:rFonts w:hint="eastAsia" w:ascii="仿宋" w:hAnsi="仿宋" w:eastAsia="仿宋" w:cs="宋体"/>
          <w:sz w:val="24"/>
        </w:rPr>
        <w:t>〔</w:t>
      </w:r>
      <w:r>
        <w:rPr>
          <w:rFonts w:ascii="仿宋" w:hAnsi="仿宋" w:eastAsia="仿宋" w:cs="宋体"/>
          <w:sz w:val="24"/>
        </w:rPr>
        <w:t>20</w:t>
      </w:r>
      <w:r>
        <w:rPr>
          <w:rFonts w:hint="eastAsia" w:ascii="仿宋" w:hAnsi="仿宋" w:eastAsia="仿宋" w:cs="宋体"/>
          <w:sz w:val="24"/>
          <w:lang w:val="en-US" w:eastAsia="zh-CN"/>
        </w:rPr>
        <w:t>24</w:t>
      </w:r>
      <w:r>
        <w:rPr>
          <w:rFonts w:ascii="仿宋" w:hAnsi="仿宋" w:eastAsia="仿宋" w:cs="宋体"/>
          <w:sz w:val="24"/>
        </w:rPr>
        <w:t>〕</w:t>
      </w:r>
      <w:r>
        <w:rPr>
          <w:rFonts w:hint="eastAsia" w:ascii="仿宋" w:hAnsi="仿宋" w:eastAsia="仿宋" w:cs="宋体"/>
          <w:sz w:val="24"/>
          <w:lang w:val="en-US" w:eastAsia="zh-CN"/>
        </w:rPr>
        <w:t>7</w:t>
      </w:r>
      <w:r>
        <w:rPr>
          <w:rFonts w:ascii="仿宋" w:hAnsi="仿宋" w:eastAsia="仿宋" w:cs="宋体"/>
          <w:sz w:val="24"/>
        </w:rPr>
        <w:t>号）</w:t>
      </w:r>
      <w:r>
        <w:rPr>
          <w:rFonts w:hint="eastAsia" w:ascii="仿宋" w:hAnsi="仿宋" w:eastAsia="仿宋"/>
          <w:sz w:val="24"/>
        </w:rPr>
        <w:t>规定，编写了</w:t>
      </w:r>
      <w:r>
        <w:rPr>
          <w:rFonts w:ascii="仿宋" w:hAnsi="仿宋" w:eastAsia="仿宋"/>
          <w:sz w:val="24"/>
        </w:rPr>
        <w:t>技术评分最低标价法、综合评分法和</w:t>
      </w:r>
      <w:r>
        <w:rPr>
          <w:rFonts w:hint="eastAsia" w:ascii="仿宋" w:hAnsi="仿宋" w:eastAsia="仿宋"/>
          <w:sz w:val="24"/>
        </w:rPr>
        <w:t>经评审的最低投标价法三种评标方法。第三章“评标办法”前附表应列明全部评审因素和评审标准，并在本章</w:t>
      </w:r>
      <w:r>
        <w:rPr>
          <w:rFonts w:ascii="仿宋" w:hAnsi="仿宋" w:eastAsia="仿宋"/>
          <w:sz w:val="24"/>
        </w:rPr>
        <w:t>（</w:t>
      </w:r>
      <w:r>
        <w:rPr>
          <w:rFonts w:hint="eastAsia" w:ascii="仿宋" w:hAnsi="仿宋" w:eastAsia="仿宋"/>
          <w:sz w:val="24"/>
        </w:rPr>
        <w:t>前附表及正文</w:t>
      </w:r>
      <w:r>
        <w:rPr>
          <w:rFonts w:ascii="仿宋" w:hAnsi="仿宋" w:eastAsia="仿宋"/>
          <w:sz w:val="24"/>
        </w:rPr>
        <w:t>）</w:t>
      </w:r>
      <w:r>
        <w:rPr>
          <w:rFonts w:hint="eastAsia" w:ascii="仿宋" w:hAnsi="仿宋" w:eastAsia="仿宋"/>
          <w:sz w:val="24"/>
        </w:rPr>
        <w:t>标明投标人不满足要求即导致否决投标的全部条款。招标人在满足第三章“评标办法”相关注释的前提下，</w:t>
      </w:r>
      <w:r>
        <w:rPr>
          <w:rFonts w:hint="eastAsia" w:ascii="仿宋" w:hAnsi="仿宋" w:eastAsia="仿宋" w:cs="宋体"/>
          <w:sz w:val="24"/>
        </w:rPr>
        <w:t>各评审因素的评审标准和分值等由招标人根据项目特点和需要</w:t>
      </w:r>
      <w:r>
        <w:rPr>
          <w:rFonts w:ascii="仿宋" w:hAnsi="仿宋" w:eastAsia="仿宋" w:cs="宋体"/>
          <w:sz w:val="24"/>
        </w:rPr>
        <w:t>合理</w:t>
      </w:r>
      <w:r>
        <w:rPr>
          <w:rFonts w:hint="eastAsia" w:ascii="仿宋" w:hAnsi="仿宋" w:eastAsia="仿宋" w:cs="宋体"/>
          <w:sz w:val="24"/>
        </w:rPr>
        <w:t>确定</w:t>
      </w:r>
      <w:r>
        <w:rPr>
          <w:rFonts w:hint="eastAsia" w:ascii="仿宋" w:hAnsi="仿宋" w:eastAsia="仿宋"/>
          <w:sz w:val="24"/>
        </w:rPr>
        <w:t>。</w:t>
      </w:r>
    </w:p>
    <w:p w14:paraId="2936F21B">
      <w:pPr>
        <w:pStyle w:val="299"/>
        <w:spacing w:line="360" w:lineRule="auto"/>
        <w:ind w:firstLine="480" w:firstLineChars="200"/>
        <w:rPr>
          <w:rFonts w:ascii="仿宋" w:hAnsi="仿宋" w:eastAsia="仿宋"/>
          <w:sz w:val="24"/>
        </w:rPr>
      </w:pPr>
      <w:r>
        <w:rPr>
          <w:rFonts w:hint="eastAsia" w:ascii="仿宋" w:hAnsi="仿宋" w:eastAsia="仿宋"/>
          <w:sz w:val="24"/>
        </w:rPr>
        <w:t>九、第五章“价格清单”，其中“勘察工作清单”“设计工作清单”可参照交通运输部《公路工程标准勘察设计招标文件》（</w:t>
      </w:r>
      <w:r>
        <w:rPr>
          <w:rFonts w:ascii="仿宋" w:hAnsi="仿宋" w:eastAsia="仿宋"/>
          <w:sz w:val="24"/>
        </w:rPr>
        <w:t>2018年版）、“施工清单”</w:t>
      </w:r>
      <w:r>
        <w:rPr>
          <w:rFonts w:hint="eastAsia" w:ascii="仿宋" w:hAnsi="仿宋" w:eastAsia="仿宋"/>
          <w:sz w:val="24"/>
        </w:rPr>
        <w:t>可参照交通运输部《公路工程标准</w:t>
      </w:r>
      <w:r>
        <w:rPr>
          <w:rFonts w:ascii="仿宋" w:hAnsi="仿宋" w:eastAsia="仿宋"/>
          <w:sz w:val="24"/>
        </w:rPr>
        <w:t>施工</w:t>
      </w:r>
      <w:r>
        <w:rPr>
          <w:rFonts w:hint="eastAsia" w:ascii="仿宋" w:hAnsi="仿宋" w:eastAsia="仿宋"/>
          <w:sz w:val="24"/>
        </w:rPr>
        <w:t>招标文件》（</w:t>
      </w:r>
      <w:r>
        <w:rPr>
          <w:rFonts w:ascii="仿宋" w:hAnsi="仿宋" w:eastAsia="仿宋"/>
          <w:sz w:val="24"/>
        </w:rPr>
        <w:t>2018年版），并由招标人根据</w:t>
      </w:r>
      <w:r>
        <w:rPr>
          <w:rFonts w:hint="eastAsia" w:ascii="仿宋" w:hAnsi="仿宋" w:eastAsia="仿宋"/>
          <w:sz w:val="24"/>
          <w:lang w:eastAsia="zh-CN"/>
        </w:rPr>
        <w:t>《普通公路标准文件》</w:t>
      </w:r>
      <w:r>
        <w:rPr>
          <w:rFonts w:ascii="仿宋" w:hAnsi="仿宋" w:eastAsia="仿宋"/>
          <w:sz w:val="24"/>
        </w:rPr>
        <w:t>、招标项目具体特点和实际需要编制。价格清单应</w:t>
      </w:r>
      <w:r>
        <w:rPr>
          <w:rFonts w:hint="eastAsia" w:ascii="仿宋" w:hAnsi="仿宋" w:eastAsia="仿宋"/>
          <w:sz w:val="24"/>
        </w:rPr>
        <w:t>与“通用合同条款”“专用合同条款”“发包人要求”“发包人提供的资料”“</w:t>
      </w:r>
      <w:r>
        <w:rPr>
          <w:rFonts w:ascii="仿宋" w:hAnsi="仿宋" w:eastAsia="仿宋"/>
          <w:sz w:val="24"/>
        </w:rPr>
        <w:t>投标文件格式</w:t>
      </w:r>
      <w:r>
        <w:rPr>
          <w:rFonts w:hint="eastAsia" w:ascii="仿宋" w:hAnsi="仿宋" w:eastAsia="仿宋"/>
          <w:sz w:val="24"/>
        </w:rPr>
        <w:t>”相衔接。</w:t>
      </w:r>
    </w:p>
    <w:p w14:paraId="18E5D8CD">
      <w:pPr>
        <w:pStyle w:val="299"/>
        <w:spacing w:line="360" w:lineRule="auto"/>
        <w:ind w:firstLine="480" w:firstLineChars="200"/>
        <w:rPr>
          <w:rFonts w:ascii="仿宋" w:hAnsi="仿宋" w:eastAsia="仿宋"/>
          <w:sz w:val="24"/>
        </w:rPr>
      </w:pPr>
      <w:r>
        <w:rPr>
          <w:rFonts w:hint="eastAsia" w:ascii="仿宋" w:hAnsi="仿宋" w:eastAsia="仿宋"/>
          <w:sz w:val="24"/>
        </w:rPr>
        <w:t>十、第六章“发包人要求”由招标人根据《中华人民共和国标准设计施工总承包招标文件》</w:t>
      </w:r>
      <w:r>
        <w:rPr>
          <w:rFonts w:hint="eastAsia" w:ascii="仿宋" w:hAnsi="仿宋" w:eastAsia="仿宋"/>
          <w:sz w:val="24"/>
          <w:lang w:eastAsia="zh-CN"/>
        </w:rPr>
        <w:t>（</w:t>
      </w:r>
      <w:r>
        <w:rPr>
          <w:rFonts w:hint="eastAsia" w:ascii="仿宋" w:hAnsi="仿宋" w:eastAsia="仿宋"/>
          <w:sz w:val="24"/>
          <w:lang w:val="en-US" w:eastAsia="zh-CN"/>
        </w:rPr>
        <w:t>2012年版</w:t>
      </w:r>
      <w:r>
        <w:rPr>
          <w:rFonts w:hint="eastAsia" w:ascii="仿宋" w:hAnsi="仿宋" w:eastAsia="仿宋"/>
          <w:sz w:val="24"/>
          <w:lang w:eastAsia="zh-CN"/>
        </w:rPr>
        <w:t>）</w:t>
      </w:r>
      <w:r>
        <w:rPr>
          <w:rFonts w:hint="eastAsia" w:ascii="仿宋" w:hAnsi="仿宋" w:eastAsia="仿宋"/>
          <w:sz w:val="24"/>
        </w:rPr>
        <w:t>、招标项目具体特点和实际需要编制，并与“投标人须知”“通用合同条款”“专用合同条款”相衔接。</w:t>
      </w:r>
    </w:p>
    <w:p w14:paraId="4D733EBE">
      <w:pPr>
        <w:pStyle w:val="299"/>
        <w:spacing w:line="360" w:lineRule="auto"/>
        <w:ind w:firstLine="480" w:firstLineChars="200"/>
        <w:rPr>
          <w:rFonts w:ascii="仿宋" w:hAnsi="仿宋" w:eastAsia="仿宋"/>
          <w:sz w:val="24"/>
        </w:rPr>
      </w:pPr>
      <w:r>
        <w:rPr>
          <w:rFonts w:hint="eastAsia" w:ascii="仿宋" w:hAnsi="仿宋" w:eastAsia="仿宋"/>
          <w:sz w:val="24"/>
        </w:rPr>
        <w:t>十一、</w:t>
      </w:r>
      <w:bookmarkStart w:id="0" w:name="_Hlk98866082"/>
      <w:r>
        <w:rPr>
          <w:rFonts w:hint="eastAsia" w:ascii="仿宋" w:hAnsi="仿宋" w:eastAsia="仿宋" w:cs="宋体"/>
          <w:sz w:val="24"/>
        </w:rPr>
        <w:t>全国公共资源交易平台（</w:t>
      </w:r>
      <w:r>
        <w:rPr>
          <w:rFonts w:hint="eastAsia" w:ascii="仿宋" w:hAnsi="仿宋" w:eastAsia="仿宋"/>
          <w:sz w:val="24"/>
        </w:rPr>
        <w:t>四川省·</w:t>
      </w:r>
      <w:r>
        <w:rPr>
          <w:rFonts w:hint="eastAsia" w:ascii="仿宋" w:hAnsi="仿宋" w:eastAsia="仿宋"/>
          <w:sz w:val="24"/>
          <w:lang w:val="en-US" w:eastAsia="zh-CN"/>
        </w:rPr>
        <w:t>乐山</w:t>
      </w:r>
      <w:r>
        <w:rPr>
          <w:rFonts w:hint="eastAsia" w:ascii="仿宋" w:hAnsi="仿宋" w:eastAsia="仿宋"/>
          <w:sz w:val="24"/>
        </w:rPr>
        <w:t>市</w:t>
      </w:r>
      <w:r>
        <w:rPr>
          <w:rFonts w:hint="eastAsia" w:ascii="仿宋" w:hAnsi="仿宋" w:eastAsia="仿宋" w:cs="宋体"/>
          <w:sz w:val="24"/>
        </w:rPr>
        <w:t>）已按照《普通公路标准文件》的要求建设“</w:t>
      </w:r>
      <w:r>
        <w:rPr>
          <w:rFonts w:hint="eastAsia" w:ascii="仿宋" w:hAnsi="仿宋" w:eastAsia="仿宋"/>
          <w:sz w:val="24"/>
        </w:rPr>
        <w:t>乐山市公共资源交易服务平台</w:t>
      </w:r>
      <w:r>
        <w:rPr>
          <w:rFonts w:hint="eastAsia" w:ascii="仿宋" w:hAnsi="仿宋" w:eastAsia="仿宋"/>
          <w:sz w:val="24"/>
          <w:lang w:val="en-US" w:eastAsia="zh-CN"/>
        </w:rPr>
        <w:t>电子招投标系统</w:t>
      </w:r>
      <w:r>
        <w:rPr>
          <w:rFonts w:hint="eastAsia" w:ascii="仿宋" w:hAnsi="仿宋" w:eastAsia="仿宋" w:cs="宋体"/>
          <w:sz w:val="24"/>
        </w:rPr>
        <w:t>”，招标人在线编制招标文件。</w:t>
      </w:r>
      <w:bookmarkEnd w:id="0"/>
    </w:p>
    <w:p w14:paraId="7EBB520F">
      <w:pPr>
        <w:pStyle w:val="299"/>
        <w:spacing w:line="360" w:lineRule="auto"/>
        <w:ind w:firstLine="480" w:firstLineChars="200"/>
        <w:rPr>
          <w:rFonts w:ascii="仿宋" w:hAnsi="仿宋" w:eastAsia="仿宋"/>
          <w:sz w:val="24"/>
        </w:rPr>
      </w:pPr>
      <w:r>
        <w:rPr>
          <w:rFonts w:hint="eastAsia" w:ascii="仿宋" w:hAnsi="仿宋" w:eastAsia="仿宋"/>
          <w:sz w:val="24"/>
        </w:rPr>
        <w:t>十二、各使用单位对</w:t>
      </w:r>
      <w:r>
        <w:rPr>
          <w:rFonts w:hint="eastAsia" w:ascii="仿宋" w:hAnsi="仿宋" w:eastAsia="仿宋"/>
          <w:sz w:val="24"/>
          <w:lang w:eastAsia="zh-CN"/>
        </w:rPr>
        <w:t>《普通公路标准文件》</w:t>
      </w:r>
      <w:r>
        <w:rPr>
          <w:rFonts w:hint="eastAsia" w:ascii="仿宋" w:hAnsi="仿宋" w:eastAsia="仿宋"/>
          <w:sz w:val="24"/>
        </w:rPr>
        <w:t>在实施过程中，遇到的相关问题或修改意见和建议，请及时反馈</w:t>
      </w:r>
      <w:r>
        <w:rPr>
          <w:rFonts w:hint="eastAsia" w:ascii="仿宋" w:hAnsi="仿宋" w:eastAsia="仿宋"/>
          <w:sz w:val="24"/>
          <w:lang w:val="en-US" w:eastAsia="zh-CN"/>
        </w:rPr>
        <w:t>乐山市</w:t>
      </w:r>
      <w:r>
        <w:rPr>
          <w:rFonts w:hint="eastAsia" w:ascii="仿宋" w:hAnsi="仿宋" w:eastAsia="仿宋"/>
          <w:sz w:val="24"/>
        </w:rPr>
        <w:t>交通运输局。</w:t>
      </w:r>
    </w:p>
    <w:p w14:paraId="21FD4BDC">
      <w:pPr>
        <w:pStyle w:val="299"/>
      </w:pPr>
      <w:r>
        <w:br w:type="page"/>
      </w:r>
    </w:p>
    <w:p w14:paraId="740105F4">
      <w:pPr>
        <w:pStyle w:val="299"/>
      </w:pPr>
    </w:p>
    <w:p w14:paraId="0C73F794">
      <w:pPr>
        <w:pStyle w:val="299"/>
        <w:jc w:val="center"/>
      </w:pPr>
    </w:p>
    <w:p w14:paraId="307541EE">
      <w:pPr>
        <w:pStyle w:val="299"/>
        <w:jc w:val="center"/>
      </w:pPr>
    </w:p>
    <w:p w14:paraId="75F1D89B">
      <w:pPr>
        <w:pStyle w:val="299"/>
      </w:pPr>
    </w:p>
    <w:p w14:paraId="16166D1C">
      <w:pPr>
        <w:pStyle w:val="299"/>
        <w:spacing w:line="360" w:lineRule="auto"/>
        <w:jc w:val="center"/>
        <w:rPr>
          <w:rFonts w:hint="default" w:ascii="黑体" w:hAnsi="黑体" w:eastAsia="黑体"/>
          <w:sz w:val="36"/>
          <w:szCs w:val="36"/>
          <w:lang w:val="en-US" w:eastAsia="zh-CN"/>
        </w:rPr>
      </w:pPr>
      <w:r>
        <w:rPr>
          <w:rFonts w:hint="eastAsia"/>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（招标项目名称）</w:t>
      </w:r>
      <w:r>
        <w:rPr>
          <w:rFonts w:hint="eastAsia" w:ascii="黑体" w:hAnsi="黑体" w:eastAsia="黑体"/>
          <w:sz w:val="36"/>
          <w:szCs w:val="36"/>
          <w:lang w:val="en-US" w:eastAsia="zh-CN"/>
        </w:rPr>
        <w:t>设计施工总承包</w:t>
      </w:r>
      <w:r>
        <w:rPr>
          <w:rFonts w:ascii="黑体" w:hAnsi="黑体" w:eastAsia="黑体"/>
          <w:sz w:val="36"/>
          <w:szCs w:val="36"/>
        </w:rPr>
        <w:t>___</w:t>
      </w:r>
      <w:r>
        <w:rPr>
          <w:rFonts w:hint="eastAsia" w:ascii="黑体" w:hAnsi="黑体" w:eastAsia="黑体"/>
          <w:sz w:val="36"/>
          <w:szCs w:val="36"/>
        </w:rPr>
        <w:t>标段招标</w:t>
      </w:r>
    </w:p>
    <w:p w14:paraId="3BFFDBEB">
      <w:pPr>
        <w:pStyle w:val="299"/>
      </w:pPr>
    </w:p>
    <w:p w14:paraId="120E16AE">
      <w:pPr>
        <w:pStyle w:val="299"/>
      </w:pPr>
    </w:p>
    <w:p w14:paraId="34B50B1A">
      <w:pPr>
        <w:pStyle w:val="299"/>
      </w:pPr>
    </w:p>
    <w:p w14:paraId="280CDB74">
      <w:pPr>
        <w:pStyle w:val="299"/>
      </w:pPr>
    </w:p>
    <w:p w14:paraId="2386D4C5">
      <w:pPr>
        <w:pStyle w:val="299"/>
      </w:pPr>
    </w:p>
    <w:p w14:paraId="0337CE3A">
      <w:pPr>
        <w:pStyle w:val="299"/>
      </w:pPr>
    </w:p>
    <w:p w14:paraId="0B3FE776">
      <w:pPr>
        <w:pStyle w:val="299"/>
      </w:pPr>
    </w:p>
    <w:p w14:paraId="7B381BE6">
      <w:pPr>
        <w:pStyle w:val="299"/>
      </w:pPr>
    </w:p>
    <w:p w14:paraId="3C618C42">
      <w:pPr>
        <w:pStyle w:val="299"/>
      </w:pPr>
    </w:p>
    <w:p w14:paraId="0EE3EA41">
      <w:pPr>
        <w:pStyle w:val="299"/>
      </w:pPr>
    </w:p>
    <w:p w14:paraId="57F78D2F">
      <w:pPr>
        <w:pStyle w:val="299"/>
      </w:pPr>
    </w:p>
    <w:p w14:paraId="7B4A35D3">
      <w:pPr>
        <w:pStyle w:val="299"/>
      </w:pPr>
    </w:p>
    <w:p w14:paraId="13B6A9A9">
      <w:pPr>
        <w:pStyle w:val="299"/>
      </w:pPr>
    </w:p>
    <w:p w14:paraId="793626D8">
      <w:pPr>
        <w:pStyle w:val="299"/>
        <w:jc w:val="left"/>
      </w:pPr>
    </w:p>
    <w:p w14:paraId="5034A4D2">
      <w:pPr>
        <w:pStyle w:val="299"/>
        <w:jc w:val="center"/>
        <w:rPr>
          <w:rFonts w:ascii="黑体" w:hAnsi="黑体" w:eastAsia="黑体"/>
          <w:sz w:val="80"/>
          <w:szCs w:val="80"/>
        </w:rPr>
      </w:pPr>
      <w:r>
        <w:rPr>
          <w:rFonts w:hint="eastAsia" w:ascii="黑体" w:hAnsi="黑体" w:eastAsia="黑体"/>
          <w:sz w:val="80"/>
          <w:szCs w:val="80"/>
        </w:rPr>
        <w:t>招 标 文 件</w:t>
      </w:r>
    </w:p>
    <w:p w14:paraId="26C44DC8">
      <w:pPr>
        <w:pStyle w:val="299"/>
      </w:pPr>
    </w:p>
    <w:p w14:paraId="577BF8C3">
      <w:pPr>
        <w:pStyle w:val="299"/>
      </w:pPr>
    </w:p>
    <w:p w14:paraId="46F67124">
      <w:pPr>
        <w:pStyle w:val="299"/>
      </w:pPr>
    </w:p>
    <w:p w14:paraId="036882CB">
      <w:pPr>
        <w:pStyle w:val="299"/>
      </w:pPr>
    </w:p>
    <w:p w14:paraId="3F781C7E">
      <w:pPr>
        <w:pStyle w:val="299"/>
      </w:pPr>
    </w:p>
    <w:p w14:paraId="63DBA983">
      <w:pPr>
        <w:pStyle w:val="299"/>
      </w:pPr>
    </w:p>
    <w:p w14:paraId="17A951CE">
      <w:pPr>
        <w:pStyle w:val="299"/>
      </w:pPr>
    </w:p>
    <w:p w14:paraId="4BD2CA7B">
      <w:pPr>
        <w:pStyle w:val="299"/>
      </w:pPr>
    </w:p>
    <w:p w14:paraId="5A10927A">
      <w:pPr>
        <w:pStyle w:val="299"/>
      </w:pPr>
    </w:p>
    <w:p w14:paraId="2379B8AB">
      <w:pPr>
        <w:pStyle w:val="299"/>
      </w:pPr>
    </w:p>
    <w:p w14:paraId="3157CFB9">
      <w:pPr>
        <w:pStyle w:val="299"/>
      </w:pPr>
    </w:p>
    <w:p w14:paraId="7D113872">
      <w:pPr>
        <w:pStyle w:val="299"/>
      </w:pPr>
    </w:p>
    <w:p w14:paraId="7D31B0C9">
      <w:pPr>
        <w:pStyle w:val="299"/>
      </w:pPr>
    </w:p>
    <w:p w14:paraId="7F6D5387">
      <w:pPr>
        <w:pStyle w:val="299"/>
      </w:pPr>
    </w:p>
    <w:p w14:paraId="03C21509">
      <w:pPr>
        <w:pStyle w:val="299"/>
      </w:pPr>
    </w:p>
    <w:p w14:paraId="6037BA79">
      <w:pPr>
        <w:pStyle w:val="299"/>
        <w:spacing w:line="480" w:lineRule="auto"/>
        <w:jc w:val="center"/>
        <w:rPr>
          <w:rFonts w:ascii="黑体" w:hAnsi="黑体" w:eastAsia="黑体"/>
          <w:sz w:val="28"/>
          <w:szCs w:val="28"/>
        </w:rPr>
      </w:pPr>
      <w:r>
        <w:rPr>
          <w:rFonts w:hint="eastAsia" w:ascii="黑体" w:hAnsi="黑体" w:eastAsia="黑体"/>
          <w:sz w:val="28"/>
          <w:szCs w:val="28"/>
        </w:rPr>
        <w:t>招标人：</w:t>
      </w:r>
      <w:r>
        <w:rPr>
          <w:rFonts w:hint="eastAsia" w:ascii="黑体" w:hAnsi="黑体" w:eastAsia="黑体"/>
          <w:sz w:val="28"/>
          <w:szCs w:val="28"/>
          <w:u w:val="single"/>
        </w:rPr>
        <w:t xml:space="preserve">                      </w:t>
      </w:r>
      <w:r>
        <w:rPr>
          <w:rFonts w:hint="eastAsia" w:ascii="黑体" w:hAnsi="黑体" w:eastAsia="黑体"/>
          <w:sz w:val="28"/>
          <w:szCs w:val="28"/>
        </w:rPr>
        <w:t>（盖单位电子印章）</w:t>
      </w:r>
    </w:p>
    <w:p w14:paraId="6CECEE55">
      <w:pPr>
        <w:pStyle w:val="299"/>
        <w:spacing w:line="480" w:lineRule="auto"/>
        <w:jc w:val="center"/>
        <w:rPr>
          <w:rFonts w:ascii="黑体" w:hAnsi="黑体" w:eastAsia="黑体"/>
          <w:sz w:val="28"/>
          <w:szCs w:val="28"/>
        </w:rPr>
      </w:pPr>
      <w:r>
        <w:rPr>
          <w:rFonts w:hint="eastAsia" w:ascii="黑体" w:hAnsi="黑体" w:eastAsia="黑体"/>
          <w:b/>
          <w:sz w:val="28"/>
          <w:szCs w:val="28"/>
        </w:rPr>
        <w:t xml:space="preserve">□ </w:t>
      </w:r>
      <w:r>
        <w:rPr>
          <w:rFonts w:hint="eastAsia" w:ascii="黑体" w:hAnsi="黑体" w:eastAsia="黑体"/>
          <w:sz w:val="28"/>
          <w:szCs w:val="28"/>
        </w:rPr>
        <w:t>招标代理机构：</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sz w:val="28"/>
          <w:szCs w:val="28"/>
        </w:rPr>
        <w:t>（盖单位电子印章）</w:t>
      </w:r>
    </w:p>
    <w:p w14:paraId="14C312C2">
      <w:pPr>
        <w:pStyle w:val="299"/>
        <w:spacing w:line="480" w:lineRule="auto"/>
        <w:jc w:val="center"/>
        <w:rPr>
          <w:rFonts w:ascii="黑体" w:hAnsi="黑体" w:eastAsia="黑体"/>
          <w:sz w:val="32"/>
          <w:szCs w:val="32"/>
        </w:rPr>
      </w:pPr>
      <w:r>
        <w:rPr>
          <w:rFonts w:hint="eastAsia" w:ascii="黑体" w:hAnsi="黑体" w:eastAsia="黑体"/>
          <w:sz w:val="28"/>
          <w:szCs w:val="28"/>
          <w:u w:val="single"/>
        </w:rPr>
        <w:t xml:space="preserve">           </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p>
    <w:p w14:paraId="54400B9E">
      <w:pPr>
        <w:pStyle w:val="34"/>
        <w:tabs>
          <w:tab w:val="right" w:leader="dot" w:pos="9282"/>
        </w:tabs>
        <w:rPr>
          <w:rFonts w:hint="eastAsia"/>
          <w:sz w:val="44"/>
          <w:szCs w:val="44"/>
        </w:rPr>
      </w:pPr>
    </w:p>
    <w:p w14:paraId="4BC6BFA4">
      <w:pPr>
        <w:pStyle w:val="34"/>
        <w:tabs>
          <w:tab w:val="right" w:leader="dot" w:pos="9282"/>
        </w:tabs>
        <w:rPr>
          <w:rFonts w:hint="eastAsia"/>
          <w:sz w:val="44"/>
          <w:szCs w:val="44"/>
        </w:rPr>
      </w:pPr>
    </w:p>
    <w:p w14:paraId="37464870">
      <w:pPr>
        <w:pStyle w:val="34"/>
        <w:tabs>
          <w:tab w:val="right" w:leader="dot" w:pos="9282"/>
        </w:tabs>
        <w:rPr>
          <w:sz w:val="44"/>
          <w:szCs w:val="44"/>
        </w:rPr>
      </w:pPr>
      <w:r>
        <w:rPr>
          <w:rFonts w:hint="eastAsia"/>
          <w:sz w:val="44"/>
          <w:szCs w:val="44"/>
        </w:rPr>
        <w:t>目   录</w:t>
      </w:r>
    </w:p>
    <w:p w14:paraId="0FD62D01">
      <w:pPr>
        <w:jc w:val="center"/>
        <w:rPr>
          <w:rStyle w:val="57"/>
          <w:rFonts w:ascii="黑体" w:hAnsi="黑体" w:eastAsia="黑体" w:cs="黑体"/>
          <w:b/>
          <w:bCs/>
          <w:caps/>
          <w:color w:val="auto"/>
          <w:sz w:val="30"/>
          <w:szCs w:val="30"/>
          <w:u w:val="none"/>
        </w:rPr>
      </w:pPr>
    </w:p>
    <w:p w14:paraId="70729929">
      <w:pPr>
        <w:spacing w:before="240" w:beforeLines="100" w:after="240" w:afterLines="100" w:line="480" w:lineRule="auto"/>
        <w:jc w:val="center"/>
        <w:rPr>
          <w:rStyle w:val="57"/>
          <w:rFonts w:ascii="黑体" w:hAnsi="黑体" w:eastAsia="黑体"/>
          <w:color w:val="auto"/>
          <w:sz w:val="30"/>
          <w:szCs w:val="30"/>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"_Toc53685569" </w:instrText>
      </w:r>
      <w:r>
        <w:fldChar w:fldCharType="separate"/>
      </w:r>
      <w:r>
        <w:rPr>
          <w:rStyle w:val="57"/>
          <w:rFonts w:hint="eastAsia" w:ascii="黑体" w:hAnsi="黑体" w:eastAsia="黑体"/>
          <w:color w:val="auto"/>
          <w:sz w:val="30"/>
          <w:szCs w:val="30"/>
        </w:rPr>
        <w:t>第</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一</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卷</w:t>
      </w:r>
      <w:r>
        <w:rPr>
          <w:rStyle w:val="57"/>
          <w:rFonts w:ascii="黑体" w:hAnsi="黑体" w:eastAsia="黑体"/>
          <w:color w:val="auto"/>
          <w:sz w:val="30"/>
          <w:szCs w:val="30"/>
        </w:rPr>
        <w:tab/>
      </w:r>
      <w:r>
        <w:rPr>
          <w:rStyle w:val="57"/>
          <w:rFonts w:ascii="黑体" w:hAnsi="黑体" w:eastAsia="黑体"/>
          <w:color w:val="auto"/>
          <w:sz w:val="30"/>
          <w:szCs w:val="30"/>
        </w:rPr>
        <w:fldChar w:fldCharType="end"/>
      </w:r>
    </w:p>
    <w:p w14:paraId="58F749C5">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"_Toc53685570" </w:instrText>
      </w:r>
      <w:r>
        <w:fldChar w:fldCharType="separate"/>
      </w:r>
      <w:r>
        <w:rPr>
          <w:rStyle w:val="57"/>
          <w:rFonts w:hint="eastAsia" w:asciiTheme="minorEastAsia" w:hAnsiTheme="minorEastAsia" w:eastAsiaTheme="minorEastAsia"/>
          <w:color w:val="auto"/>
          <w:sz w:val="24"/>
          <w:szCs w:val="24"/>
        </w:rPr>
        <w:t>第一章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招标公告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_Toc53685570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2974207A">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"_Toc53685580" </w:instrText>
      </w:r>
      <w:r>
        <w:fldChar w:fldCharType="separate"/>
      </w:r>
      <w:r>
        <w:rPr>
          <w:rStyle w:val="57"/>
          <w:rFonts w:hint="eastAsia" w:asciiTheme="minorEastAsia" w:hAnsiTheme="minorEastAsia" w:eastAsiaTheme="minorEastAsia"/>
          <w:color w:val="auto"/>
          <w:sz w:val="24"/>
          <w:szCs w:val="24"/>
        </w:rPr>
        <w:t>第二章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投标人须知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_Toc53685580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3C33E7BB">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"_Toc53685650" </w:instrText>
      </w:r>
      <w:r>
        <w:fldChar w:fldCharType="separate"/>
      </w:r>
      <w:r>
        <w:rPr>
          <w:rStyle w:val="57"/>
          <w:rFonts w:hint="eastAsia" w:asciiTheme="minorEastAsia" w:hAnsiTheme="minorEastAsia" w:eastAsiaTheme="minorEastAsia"/>
          <w:color w:val="auto"/>
          <w:sz w:val="24"/>
          <w:szCs w:val="24"/>
        </w:rPr>
        <w:t>第三章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评标办法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_Toc53685650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695A00F4">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"_Toc53685712" </w:instrText>
      </w:r>
      <w:r>
        <w:fldChar w:fldCharType="separate"/>
      </w:r>
      <w:r>
        <w:rPr>
          <w:rStyle w:val="57"/>
          <w:rFonts w:hint="eastAsia" w:asciiTheme="minorEastAsia" w:hAnsiTheme="minorEastAsia" w:eastAsiaTheme="minorEastAsia"/>
          <w:color w:val="auto"/>
          <w:sz w:val="24"/>
          <w:szCs w:val="24"/>
        </w:rPr>
        <w:t>第四章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合同条款及格式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142</w:t>
      </w:r>
    </w:p>
    <w:p w14:paraId="2D8A23DB">
      <w:pPr>
        <w:pStyle w:val="34"/>
        <w:tabs>
          <w:tab w:val="right" w:leader="dot" w:pos="8771"/>
        </w:tabs>
        <w:spacing w:line="360" w:lineRule="auto"/>
        <w:rPr>
          <w:rFonts w:asciiTheme="minorHAnsi" w:hAnsiTheme="minorHAnsi" w:eastAsiaTheme="minorEastAsia" w:cstheme="minorBidi"/>
          <w:kern w:val="2"/>
          <w:sz w:val="24"/>
          <w:szCs w:val="24"/>
          <w:lang w:eastAsia="zh-CN"/>
        </w:rPr>
      </w:pPr>
      <w:r>
        <w:fldChar w:fldCharType="begin"/>
      </w:r>
      <w:r>
        <w:instrText xml:space="preserve"> HYPERLINK \l "_Toc53685806" </w:instrText>
      </w:r>
      <w:r>
        <w:fldChar w:fldCharType="separate"/>
      </w:r>
      <w:r>
        <w:rPr>
          <w:rStyle w:val="57"/>
          <w:rFonts w:hint="eastAsia" w:asciiTheme="minorEastAsia" w:hAnsiTheme="minorEastAsia" w:eastAsiaTheme="minorEastAsia"/>
          <w:color w:val="auto"/>
          <w:sz w:val="24"/>
          <w:szCs w:val="24"/>
        </w:rPr>
        <w:t>第五章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lang w:eastAsia="zh-CN"/>
        </w:rPr>
        <w:t>价格</w:t>
      </w:r>
      <w:r>
        <w:rPr>
          <w:rStyle w:val="57"/>
          <w:rFonts w:hint="eastAsia" w:asciiTheme="minorEastAsia" w:hAnsiTheme="minorEastAsia" w:eastAsiaTheme="minorEastAsia"/>
          <w:color w:val="auto"/>
          <w:sz w:val="24"/>
          <w:szCs w:val="24"/>
        </w:rPr>
        <w:t>清单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_Toc53685806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249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3F641F53">
      <w:pPr>
        <w:spacing w:before="240" w:beforeLines="100" w:after="240" w:afterLines="100" w:line="480" w:lineRule="auto"/>
        <w:jc w:val="center"/>
        <w:rPr>
          <w:rFonts w:ascii="黑体" w:hAnsi="黑体" w:eastAsia="黑体" w:cstheme="minorBidi"/>
          <w:sz w:val="30"/>
          <w:szCs w:val="30"/>
        </w:rPr>
      </w:pPr>
      <w:r>
        <w:fldChar w:fldCharType="begin"/>
      </w:r>
      <w:r>
        <w:instrText xml:space="preserve"> HYPERLINK \l "_Toc53685807" </w:instrText>
      </w:r>
      <w:r>
        <w:fldChar w:fldCharType="separate"/>
      </w:r>
      <w:r>
        <w:rPr>
          <w:rStyle w:val="57"/>
          <w:rFonts w:hint="eastAsia" w:ascii="黑体" w:hAnsi="黑体" w:eastAsia="黑体"/>
          <w:color w:val="auto"/>
          <w:sz w:val="30"/>
          <w:szCs w:val="30"/>
        </w:rPr>
        <w:t>第</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二</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卷</w:t>
      </w:r>
      <w:r>
        <w:rPr>
          <w:rFonts w:ascii="黑体" w:hAnsi="黑体" w:eastAsia="黑体"/>
          <w:sz w:val="30"/>
          <w:szCs w:val="30"/>
        </w:rPr>
        <w:tab/>
      </w:r>
      <w:r>
        <w:rPr>
          <w:rFonts w:ascii="黑体" w:hAnsi="黑体" w:eastAsia="黑体"/>
          <w:sz w:val="30"/>
          <w:szCs w:val="30"/>
        </w:rPr>
        <w:fldChar w:fldCharType="end"/>
      </w:r>
    </w:p>
    <w:p w14:paraId="62F34E7B">
      <w:pPr>
        <w:pStyle w:val="34"/>
        <w:tabs>
          <w:tab w:val="right" w:leader="dot" w:pos="8771"/>
        </w:tabs>
        <w:spacing w:line="360" w:lineRule="auto"/>
        <w:jc w:val="both"/>
        <w:rPr>
          <w:rFonts w:asciiTheme="minorEastAsia" w:hAnsiTheme="minorEastAsia" w:eastAsiaTheme="minorEastAsia" w:cstheme="minorBidi"/>
          <w:kern w:val="2"/>
          <w:sz w:val="24"/>
          <w:szCs w:val="24"/>
          <w:lang w:eastAsia="zh-CN"/>
        </w:rPr>
      </w:pPr>
      <w:r>
        <w:fldChar w:fldCharType="begin"/>
      </w:r>
      <w:r>
        <w:instrText xml:space="preserve"> HYPERLINK \l "_Toc53685808" </w:instrText>
      </w:r>
      <w:r>
        <w:fldChar w:fldCharType="separate"/>
      </w:r>
      <w:r>
        <w:rPr>
          <w:rStyle w:val="57"/>
          <w:rFonts w:hint="eastAsia" w:asciiTheme="minorEastAsia" w:hAnsiTheme="minorEastAsia" w:eastAsiaTheme="minorEastAsia"/>
          <w:color w:val="auto"/>
          <w:sz w:val="24"/>
          <w:szCs w:val="24"/>
        </w:rPr>
        <w:t>第六章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lang w:eastAsia="zh-CN"/>
        </w:rPr>
        <w:t xml:space="preserve">发包人要求 </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_Toc53685808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254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0E09A987">
      <w:pPr>
        <w:pStyle w:val="34"/>
        <w:tabs>
          <w:tab w:val="right" w:leader="dot" w:pos="8771"/>
        </w:tabs>
        <w:spacing w:line="360" w:lineRule="auto"/>
        <w:rPr>
          <w:rFonts w:asciiTheme="minorEastAsia" w:hAnsiTheme="minorEastAsia" w:eastAsiaTheme="minorEastAsia" w:cstheme="minorBidi"/>
          <w:kern w:val="2"/>
          <w:sz w:val="24"/>
          <w:szCs w:val="24"/>
          <w:lang w:eastAsia="zh-CN"/>
        </w:rPr>
      </w:pPr>
      <w:r>
        <w:fldChar w:fldCharType="begin"/>
      </w:r>
      <w:r>
        <w:instrText xml:space="preserve"> HYPERLINK \l "_Toc53685810" </w:instrText>
      </w:r>
      <w:r>
        <w:fldChar w:fldCharType="separate"/>
      </w:r>
      <w:r>
        <w:rPr>
          <w:rStyle w:val="57"/>
          <w:rFonts w:hint="eastAsia" w:asciiTheme="minorEastAsia" w:hAnsiTheme="minorEastAsia" w:eastAsiaTheme="minorEastAsia"/>
          <w:color w:val="auto"/>
          <w:sz w:val="24"/>
          <w:szCs w:val="24"/>
        </w:rPr>
        <w:t>第七章</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lang w:eastAsia="zh-CN"/>
        </w:rPr>
        <w:t>发包人提供的资料</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_Toc53685810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259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39DB5FE6">
      <w:pPr>
        <w:spacing w:before="240" w:beforeLines="100" w:after="240" w:afterLines="100" w:line="480" w:lineRule="auto"/>
        <w:jc w:val="center"/>
        <w:rPr>
          <w:rStyle w:val="57"/>
          <w:rFonts w:ascii="黑体" w:hAnsi="黑体" w:eastAsia="黑体"/>
          <w:color w:val="auto"/>
          <w:sz w:val="30"/>
          <w:szCs w:val="30"/>
        </w:rPr>
      </w:pPr>
      <w:r>
        <w:fldChar w:fldCharType="begin"/>
      </w:r>
      <w:r>
        <w:instrText xml:space="preserve"> HYPERLINK \l "_Toc53685812" </w:instrText>
      </w:r>
      <w:r>
        <w:fldChar w:fldCharType="separate"/>
      </w:r>
      <w:r>
        <w:rPr>
          <w:rStyle w:val="57"/>
          <w:rFonts w:hint="eastAsia" w:ascii="黑体" w:hAnsi="黑体" w:eastAsia="黑体"/>
          <w:color w:val="auto"/>
          <w:sz w:val="30"/>
          <w:szCs w:val="30"/>
        </w:rPr>
        <w:t>第</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三</w:t>
      </w:r>
      <w:r>
        <w:rPr>
          <w:rStyle w:val="57"/>
          <w:rFonts w:ascii="黑体" w:hAnsi="黑体" w:eastAsia="黑体"/>
          <w:color w:val="auto"/>
          <w:sz w:val="30"/>
          <w:szCs w:val="30"/>
        </w:rPr>
        <w:t xml:space="preserve"> </w:t>
      </w:r>
      <w:r>
        <w:rPr>
          <w:rStyle w:val="57"/>
          <w:rFonts w:hint="eastAsia" w:ascii="黑体" w:hAnsi="黑体" w:eastAsia="黑体"/>
          <w:color w:val="auto"/>
          <w:sz w:val="30"/>
          <w:szCs w:val="30"/>
        </w:rPr>
        <w:t>卷</w:t>
      </w:r>
      <w:r>
        <w:rPr>
          <w:rStyle w:val="57"/>
          <w:rFonts w:hint="eastAsia" w:ascii="黑体" w:hAnsi="黑体" w:eastAsia="黑体"/>
          <w:color w:val="auto"/>
          <w:sz w:val="30"/>
          <w:szCs w:val="30"/>
        </w:rPr>
        <w:fldChar w:fldCharType="end"/>
      </w:r>
    </w:p>
    <w:p w14:paraId="6A30401C">
      <w:pPr>
        <w:pStyle w:val="34"/>
        <w:tabs>
          <w:tab w:val="right" w:leader="dot" w:pos="8771"/>
        </w:tabs>
        <w:spacing w:line="360" w:lineRule="auto"/>
        <w:jc w:val="both"/>
        <w:rPr>
          <w:rFonts w:asciiTheme="minorEastAsia" w:hAnsiTheme="minorEastAsia" w:eastAsiaTheme="minorEastAsia" w:cstheme="minorBidi"/>
          <w:kern w:val="2"/>
          <w:sz w:val="24"/>
          <w:szCs w:val="24"/>
          <w:lang w:eastAsia="zh-CN"/>
        </w:rPr>
      </w:pPr>
      <w:r>
        <w:fldChar w:fldCharType="begin"/>
      </w:r>
      <w:r>
        <w:instrText xml:space="preserve"> HYPERLINK \l "_Toc53685813" </w:instrText>
      </w:r>
      <w:r>
        <w:fldChar w:fldCharType="separate"/>
      </w:r>
      <w:r>
        <w:rPr>
          <w:rStyle w:val="57"/>
          <w:rFonts w:hint="eastAsia" w:asciiTheme="minorEastAsia" w:hAnsiTheme="minorEastAsia" w:eastAsiaTheme="minorEastAsia"/>
          <w:color w:val="auto"/>
          <w:sz w:val="24"/>
          <w:szCs w:val="24"/>
        </w:rPr>
        <w:t>第</w:t>
      </w:r>
      <w:r>
        <w:rPr>
          <w:rStyle w:val="57"/>
          <w:rFonts w:hint="eastAsia" w:asciiTheme="minorEastAsia" w:hAnsiTheme="minorEastAsia" w:eastAsiaTheme="minorEastAsia"/>
          <w:color w:val="auto"/>
          <w:sz w:val="24"/>
          <w:szCs w:val="24"/>
          <w:lang w:eastAsia="zh-CN"/>
        </w:rPr>
        <w:t>八</w:t>
      </w:r>
      <w:r>
        <w:rPr>
          <w:rStyle w:val="57"/>
          <w:rFonts w:hint="eastAsia" w:asciiTheme="minorEastAsia" w:hAnsiTheme="minorEastAsia" w:eastAsiaTheme="minorEastAsia"/>
          <w:color w:val="auto"/>
          <w:sz w:val="24"/>
          <w:szCs w:val="24"/>
        </w:rPr>
        <w:t>章</w:t>
      </w:r>
      <w:r>
        <w:rPr>
          <w:rStyle w:val="57"/>
          <w:rFonts w:hint="eastAsia" w:asciiTheme="minorEastAsia" w:hAnsiTheme="minorEastAsia" w:eastAsiaTheme="minorEastAsia"/>
          <w:color w:val="auto"/>
          <w:sz w:val="24"/>
          <w:szCs w:val="24"/>
          <w:lang w:val="en-US" w:eastAsia="zh-CN"/>
        </w:rPr>
        <w:t xml:space="preserve"> </w:t>
      </w:r>
      <w:r>
        <w:rPr>
          <w:rStyle w:val="57"/>
          <w:rFonts w:asciiTheme="minorEastAsia" w:hAnsiTheme="minorEastAsia" w:eastAsiaTheme="minorEastAsia"/>
          <w:color w:val="auto"/>
          <w:sz w:val="24"/>
          <w:szCs w:val="24"/>
        </w:rPr>
        <w:t xml:space="preserve"> </w:t>
      </w:r>
      <w:r>
        <w:rPr>
          <w:rStyle w:val="57"/>
          <w:rFonts w:hint="eastAsia" w:asciiTheme="minorEastAsia" w:hAnsiTheme="minorEastAsia" w:eastAsiaTheme="minorEastAsia"/>
          <w:color w:val="auto"/>
          <w:sz w:val="24"/>
          <w:szCs w:val="24"/>
        </w:rPr>
        <w:t>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_Toc53685813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260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332A7F08">
      <w:pPr>
        <w:spacing w:line="360" w:lineRule="auto"/>
        <w:rPr>
          <w:sz w:val="28"/>
          <w:szCs w:val="28"/>
        </w:rPr>
      </w:pPr>
      <w:r>
        <w:rPr>
          <w:rFonts w:ascii="宋体" w:hAnsi="宋体"/>
          <w:sz w:val="28"/>
          <w:szCs w:val="28"/>
        </w:rPr>
        <w:fldChar w:fldCharType="end"/>
      </w:r>
    </w:p>
    <w:p w14:paraId="41C01A24">
      <w:pPr>
        <w:rPr>
          <w:rFonts w:ascii="宋体" w:hAnsi="宋体"/>
          <w:sz w:val="30"/>
          <w:szCs w:val="30"/>
        </w:rPr>
      </w:pPr>
    </w:p>
    <w:p w14:paraId="44D2587A">
      <w:pPr>
        <w:rPr>
          <w:rFonts w:ascii="宋体" w:hAnsi="宋体"/>
          <w:sz w:val="30"/>
          <w:szCs w:val="30"/>
        </w:rPr>
      </w:pPr>
    </w:p>
    <w:p w14:paraId="57884592">
      <w:pPr>
        <w:rPr>
          <w:rFonts w:ascii="宋体" w:hAnsi="宋体"/>
          <w:sz w:val="30"/>
          <w:szCs w:val="30"/>
        </w:rPr>
      </w:pPr>
    </w:p>
    <w:p w14:paraId="06EEFB10">
      <w:pPr>
        <w:rPr>
          <w:rFonts w:ascii="宋体" w:hAnsi="宋体"/>
          <w:sz w:val="30"/>
          <w:szCs w:val="30"/>
        </w:rPr>
        <w:sectPr>
          <w:footerReference r:id="rId4" w:type="default"/>
          <w:footnotePr>
            <w:numFmt w:val="decimalEnclosedCircleChinese"/>
            <w:numRestart w:val="eachPage"/>
          </w:footnotePr>
          <w:pgSz w:w="11900" w:h="16840"/>
          <w:pgMar w:top="1418" w:right="1418" w:bottom="1418" w:left="1587" w:header="885" w:footer="839" w:gutter="0"/>
          <w:pgNumType w:start="1"/>
          <w:cols w:space="720" w:num="1"/>
          <w:docGrid w:linePitch="312" w:charSpace="0"/>
        </w:sectPr>
      </w:pPr>
    </w:p>
    <w:p w14:paraId="224E6837">
      <w:pPr>
        <w:spacing w:before="120" w:after="120"/>
        <w:jc w:val="center"/>
      </w:pPr>
      <w:bookmarkStart w:id="1" w:name="_Toc27059842"/>
      <w:bookmarkStart w:id="2" w:name="_Toc27059740"/>
    </w:p>
    <w:p w14:paraId="32B8C81E">
      <w:pPr>
        <w:spacing w:before="120" w:after="120"/>
        <w:jc w:val="center"/>
      </w:pPr>
    </w:p>
    <w:p w14:paraId="653E7D8E">
      <w:pPr>
        <w:spacing w:before="120" w:after="120"/>
        <w:jc w:val="center"/>
      </w:pPr>
    </w:p>
    <w:p w14:paraId="44324B7E"/>
    <w:p w14:paraId="66498BCA"/>
    <w:p w14:paraId="0D83C698"/>
    <w:p w14:paraId="73036DD0"/>
    <w:p w14:paraId="350CD3B0"/>
    <w:p w14:paraId="42097349"/>
    <w:p w14:paraId="38D6B5EA"/>
    <w:p w14:paraId="056DDDB8"/>
    <w:p w14:paraId="78F4EBB9">
      <w:pPr>
        <w:pStyle w:val="2"/>
        <w:spacing w:before="120" w:after="120" w:line="480" w:lineRule="auto"/>
        <w:jc w:val="center"/>
        <w:rPr>
          <w:rStyle w:val="175"/>
          <w:b/>
          <w:bCs/>
          <w:sz w:val="76"/>
          <w:szCs w:val="76"/>
        </w:rPr>
      </w:pPr>
      <w:bookmarkStart w:id="3" w:name="_Toc27060636"/>
      <w:bookmarkStart w:id="4" w:name="_Toc53685569"/>
      <w:r>
        <w:rPr>
          <w:rStyle w:val="175"/>
          <w:rFonts w:hint="eastAsia"/>
          <w:b/>
          <w:bCs/>
          <w:sz w:val="76"/>
          <w:szCs w:val="76"/>
        </w:rPr>
        <w:t>第</w:t>
      </w:r>
      <w:r>
        <w:rPr>
          <w:rStyle w:val="175"/>
          <w:b/>
          <w:bCs/>
          <w:sz w:val="76"/>
          <w:szCs w:val="76"/>
        </w:rPr>
        <w:t xml:space="preserve"> </w:t>
      </w:r>
      <w:r>
        <w:rPr>
          <w:rStyle w:val="175"/>
          <w:rFonts w:hint="eastAsia"/>
          <w:b/>
          <w:bCs/>
          <w:sz w:val="76"/>
          <w:szCs w:val="76"/>
        </w:rPr>
        <w:t>一</w:t>
      </w:r>
      <w:r>
        <w:rPr>
          <w:rStyle w:val="175"/>
          <w:b/>
          <w:bCs/>
          <w:sz w:val="76"/>
          <w:szCs w:val="76"/>
        </w:rPr>
        <w:t xml:space="preserve"> </w:t>
      </w:r>
      <w:r>
        <w:rPr>
          <w:rStyle w:val="175"/>
          <w:rFonts w:hint="eastAsia"/>
          <w:b/>
          <w:bCs/>
          <w:sz w:val="76"/>
          <w:szCs w:val="76"/>
        </w:rPr>
        <w:t>卷</w:t>
      </w:r>
      <w:bookmarkEnd w:id="1"/>
      <w:bookmarkEnd w:id="2"/>
      <w:bookmarkEnd w:id="3"/>
      <w:bookmarkEnd w:id="4"/>
    </w:p>
    <w:p w14:paraId="0631D1E4">
      <w:pPr>
        <w:rPr>
          <w:rFonts w:ascii="宋体" w:hAnsi="宋体"/>
          <w:sz w:val="30"/>
          <w:szCs w:val="30"/>
        </w:rPr>
      </w:pPr>
    </w:p>
    <w:p w14:paraId="13C28FA9">
      <w:pPr>
        <w:tabs>
          <w:tab w:val="center" w:pos="4646"/>
        </w:tabs>
        <w:jc w:val="left"/>
        <w:rPr>
          <w:rStyle w:val="175"/>
        </w:rPr>
      </w:pPr>
      <w:r>
        <w:rPr>
          <w:rFonts w:ascii="宋体" w:hAnsi="宋体"/>
          <w:sz w:val="30"/>
          <w:szCs w:val="30"/>
        </w:rPr>
        <w:tab/>
      </w:r>
    </w:p>
    <w:p w14:paraId="52C1B47D">
      <w:pPr>
        <w:tabs>
          <w:tab w:val="left" w:pos="5542"/>
        </w:tabs>
        <w:spacing w:line="500" w:lineRule="exact"/>
        <w:ind w:firstLine="150" w:firstLineChars="50"/>
        <w:jc w:val="center"/>
        <w:rPr>
          <w:rFonts w:ascii="宋体" w:hAnsi="宋体"/>
          <w:sz w:val="30"/>
          <w:szCs w:val="30"/>
          <w:u w:val="single"/>
        </w:rPr>
      </w:pPr>
    </w:p>
    <w:p w14:paraId="7D7540CF">
      <w:pPr>
        <w:tabs>
          <w:tab w:val="left" w:pos="5542"/>
        </w:tabs>
        <w:spacing w:line="500" w:lineRule="exact"/>
        <w:ind w:firstLine="150" w:firstLineChars="50"/>
        <w:jc w:val="center"/>
        <w:rPr>
          <w:rFonts w:ascii="宋体" w:hAnsi="宋体"/>
          <w:sz w:val="30"/>
          <w:szCs w:val="30"/>
          <w:u w:val="single"/>
        </w:rPr>
      </w:pPr>
    </w:p>
    <w:p w14:paraId="39F55B3A">
      <w:pPr>
        <w:tabs>
          <w:tab w:val="left" w:pos="5542"/>
        </w:tabs>
        <w:spacing w:line="500" w:lineRule="exact"/>
        <w:ind w:firstLine="150" w:firstLineChars="50"/>
        <w:jc w:val="center"/>
        <w:rPr>
          <w:rFonts w:ascii="宋体" w:hAnsi="宋体"/>
          <w:sz w:val="30"/>
          <w:szCs w:val="30"/>
          <w:u w:val="single"/>
        </w:rPr>
      </w:pPr>
    </w:p>
    <w:p w14:paraId="4FC2F988">
      <w:pPr>
        <w:tabs>
          <w:tab w:val="left" w:pos="5542"/>
        </w:tabs>
        <w:spacing w:line="500" w:lineRule="exact"/>
        <w:ind w:firstLine="150" w:firstLineChars="50"/>
        <w:jc w:val="center"/>
        <w:rPr>
          <w:rFonts w:ascii="宋体" w:hAnsi="宋体"/>
          <w:sz w:val="30"/>
          <w:szCs w:val="30"/>
          <w:u w:val="single"/>
        </w:rPr>
      </w:pPr>
    </w:p>
    <w:p w14:paraId="7E24271F">
      <w:pPr>
        <w:tabs>
          <w:tab w:val="left" w:pos="5542"/>
        </w:tabs>
        <w:spacing w:line="500" w:lineRule="exact"/>
        <w:ind w:firstLine="150" w:firstLineChars="50"/>
        <w:jc w:val="center"/>
        <w:rPr>
          <w:rFonts w:ascii="宋体" w:hAnsi="宋体"/>
          <w:sz w:val="30"/>
          <w:szCs w:val="30"/>
          <w:u w:val="single"/>
        </w:rPr>
        <w:sectPr>
          <w:footerReference r:id="rId5" w:type="default"/>
          <w:footnotePr>
            <w:numFmt w:val="decimalEnclosedCircleChinese"/>
            <w:numRestart w:val="eachPage"/>
          </w:footnotePr>
          <w:pgSz w:w="11900" w:h="16840"/>
          <w:pgMar w:top="1418" w:right="1418" w:bottom="1418" w:left="1701" w:header="885" w:footer="839" w:gutter="0"/>
          <w:pgNumType w:start="1"/>
          <w:cols w:space="720" w:num="1"/>
          <w:docGrid w:linePitch="312" w:charSpace="0"/>
        </w:sectPr>
      </w:pPr>
    </w:p>
    <w:p w14:paraId="6F333739">
      <w:pPr>
        <w:tabs>
          <w:tab w:val="left" w:pos="5542"/>
        </w:tabs>
        <w:spacing w:line="500" w:lineRule="exact"/>
        <w:ind w:firstLine="150" w:firstLineChars="50"/>
        <w:jc w:val="center"/>
        <w:rPr>
          <w:rFonts w:ascii="宋体" w:hAnsi="宋体"/>
          <w:sz w:val="30"/>
          <w:szCs w:val="30"/>
          <w:u w:val="single"/>
        </w:rPr>
      </w:pPr>
    </w:p>
    <w:p w14:paraId="2A1DD4A3">
      <w:pPr>
        <w:tabs>
          <w:tab w:val="left" w:pos="5542"/>
        </w:tabs>
        <w:spacing w:line="500" w:lineRule="exact"/>
        <w:ind w:firstLine="150" w:firstLineChars="50"/>
        <w:jc w:val="center"/>
        <w:rPr>
          <w:rFonts w:ascii="宋体" w:hAnsi="宋体"/>
          <w:sz w:val="30"/>
          <w:szCs w:val="30"/>
          <w:u w:val="single"/>
        </w:rPr>
      </w:pPr>
    </w:p>
    <w:p w14:paraId="4D314C41">
      <w:pPr>
        <w:tabs>
          <w:tab w:val="left" w:pos="5542"/>
        </w:tabs>
        <w:spacing w:line="500" w:lineRule="exact"/>
        <w:ind w:firstLine="150" w:firstLineChars="50"/>
        <w:jc w:val="center"/>
        <w:rPr>
          <w:rFonts w:ascii="宋体" w:hAnsi="宋体"/>
          <w:sz w:val="30"/>
          <w:szCs w:val="30"/>
          <w:u w:val="single"/>
        </w:rPr>
      </w:pPr>
    </w:p>
    <w:p w14:paraId="6B31D453">
      <w:pPr>
        <w:tabs>
          <w:tab w:val="left" w:pos="5542"/>
        </w:tabs>
        <w:spacing w:line="500" w:lineRule="exact"/>
        <w:ind w:firstLine="150" w:firstLineChars="50"/>
        <w:jc w:val="center"/>
        <w:rPr>
          <w:rFonts w:ascii="宋体" w:hAnsi="宋体"/>
          <w:sz w:val="30"/>
          <w:szCs w:val="30"/>
          <w:u w:val="single"/>
        </w:rPr>
      </w:pPr>
    </w:p>
    <w:p w14:paraId="53D167D7">
      <w:pPr>
        <w:tabs>
          <w:tab w:val="left" w:pos="5542"/>
        </w:tabs>
        <w:spacing w:line="500" w:lineRule="exact"/>
        <w:ind w:firstLine="150" w:firstLineChars="50"/>
        <w:jc w:val="center"/>
        <w:rPr>
          <w:rFonts w:ascii="宋体" w:hAnsi="宋体"/>
          <w:sz w:val="30"/>
          <w:szCs w:val="30"/>
          <w:u w:val="single"/>
        </w:rPr>
      </w:pPr>
    </w:p>
    <w:p w14:paraId="32593F1F">
      <w:pPr>
        <w:tabs>
          <w:tab w:val="left" w:pos="5542"/>
        </w:tabs>
        <w:spacing w:line="500" w:lineRule="exact"/>
        <w:ind w:firstLine="150" w:firstLineChars="50"/>
        <w:jc w:val="center"/>
        <w:rPr>
          <w:rFonts w:ascii="宋体" w:hAnsi="宋体"/>
          <w:sz w:val="30"/>
          <w:szCs w:val="30"/>
          <w:u w:val="single"/>
        </w:rPr>
      </w:pPr>
    </w:p>
    <w:p w14:paraId="45A83469">
      <w:pPr>
        <w:tabs>
          <w:tab w:val="left" w:pos="5542"/>
        </w:tabs>
        <w:spacing w:line="500" w:lineRule="exact"/>
        <w:ind w:firstLine="150" w:firstLineChars="50"/>
        <w:jc w:val="center"/>
        <w:rPr>
          <w:rFonts w:ascii="宋体" w:hAnsi="宋体"/>
          <w:sz w:val="30"/>
          <w:szCs w:val="30"/>
          <w:u w:val="single"/>
        </w:rPr>
      </w:pPr>
    </w:p>
    <w:p w14:paraId="6085DB25">
      <w:pPr>
        <w:tabs>
          <w:tab w:val="left" w:pos="5542"/>
        </w:tabs>
        <w:spacing w:line="500" w:lineRule="exact"/>
        <w:ind w:firstLine="150" w:firstLineChars="50"/>
        <w:jc w:val="center"/>
        <w:rPr>
          <w:rFonts w:ascii="宋体" w:hAnsi="宋体"/>
          <w:sz w:val="30"/>
          <w:szCs w:val="30"/>
          <w:u w:val="single"/>
        </w:rPr>
      </w:pPr>
    </w:p>
    <w:p w14:paraId="09AA6E56">
      <w:pPr>
        <w:tabs>
          <w:tab w:val="left" w:pos="5542"/>
        </w:tabs>
        <w:spacing w:line="500" w:lineRule="exact"/>
        <w:ind w:firstLine="150" w:firstLineChars="50"/>
        <w:jc w:val="center"/>
        <w:rPr>
          <w:rFonts w:ascii="宋体" w:hAnsi="宋体"/>
          <w:sz w:val="30"/>
          <w:szCs w:val="30"/>
          <w:u w:val="single"/>
        </w:rPr>
      </w:pPr>
    </w:p>
    <w:p w14:paraId="58883B0C">
      <w:pPr>
        <w:tabs>
          <w:tab w:val="left" w:pos="5542"/>
        </w:tabs>
        <w:spacing w:line="500" w:lineRule="exact"/>
        <w:ind w:firstLine="150" w:firstLineChars="50"/>
        <w:jc w:val="center"/>
        <w:rPr>
          <w:rFonts w:ascii="宋体" w:hAnsi="宋体"/>
          <w:sz w:val="30"/>
          <w:szCs w:val="30"/>
          <w:u w:val="single"/>
        </w:rPr>
      </w:pPr>
    </w:p>
    <w:p w14:paraId="43D56C74">
      <w:pPr>
        <w:pStyle w:val="2"/>
        <w:spacing w:before="120" w:after="120" w:line="480" w:lineRule="auto"/>
        <w:jc w:val="center"/>
        <w:rPr>
          <w:rStyle w:val="175"/>
          <w:b w:val="0"/>
          <w:bCs/>
          <w:szCs w:val="52"/>
        </w:rPr>
      </w:pPr>
      <w:bookmarkStart w:id="5" w:name="_Toc519844447"/>
      <w:bookmarkStart w:id="6" w:name="_Toc53685570"/>
      <w:r>
        <w:rPr>
          <w:rStyle w:val="175"/>
          <w:rFonts w:hint="eastAsia"/>
          <w:b w:val="0"/>
          <w:bCs/>
          <w:szCs w:val="52"/>
        </w:rPr>
        <w:t>第一章</w:t>
      </w:r>
      <w:r>
        <w:rPr>
          <w:rStyle w:val="175"/>
          <w:b w:val="0"/>
          <w:bCs/>
          <w:szCs w:val="52"/>
        </w:rPr>
        <w:t xml:space="preserve">  </w:t>
      </w:r>
      <w:r>
        <w:rPr>
          <w:rStyle w:val="175"/>
          <w:rFonts w:hint="eastAsia"/>
          <w:b w:val="0"/>
          <w:bCs/>
          <w:szCs w:val="52"/>
        </w:rPr>
        <w:t>招标公告</w:t>
      </w:r>
      <w:bookmarkEnd w:id="5"/>
      <w:bookmarkEnd w:id="6"/>
    </w:p>
    <w:p w14:paraId="248F79C2">
      <w:pPr>
        <w:tabs>
          <w:tab w:val="left" w:pos="5542"/>
        </w:tabs>
        <w:spacing w:line="500" w:lineRule="exact"/>
        <w:ind w:firstLine="150" w:firstLineChars="50"/>
        <w:jc w:val="center"/>
        <w:rPr>
          <w:rFonts w:ascii="宋体" w:hAnsi="宋体"/>
          <w:sz w:val="30"/>
          <w:szCs w:val="30"/>
          <w:u w:val="single"/>
        </w:rPr>
      </w:pPr>
    </w:p>
    <w:p w14:paraId="585C9E3A">
      <w:pPr>
        <w:tabs>
          <w:tab w:val="left" w:pos="5542"/>
        </w:tabs>
        <w:spacing w:line="500" w:lineRule="exact"/>
        <w:ind w:firstLine="150" w:firstLineChars="50"/>
        <w:jc w:val="center"/>
        <w:rPr>
          <w:rFonts w:ascii="宋体" w:hAnsi="宋体"/>
          <w:sz w:val="30"/>
          <w:szCs w:val="30"/>
          <w:u w:val="single"/>
        </w:rPr>
      </w:pPr>
    </w:p>
    <w:p w14:paraId="5ED59C19">
      <w:pPr>
        <w:pStyle w:val="40"/>
        <w:spacing w:before="120" w:after="120"/>
        <w:rPr>
          <w:lang w:eastAsia="zh-CN"/>
        </w:rPr>
      </w:pPr>
    </w:p>
    <w:p w14:paraId="3985D5AB">
      <w:pPr>
        <w:tabs>
          <w:tab w:val="left" w:pos="5542"/>
        </w:tabs>
        <w:spacing w:line="500" w:lineRule="exact"/>
        <w:ind w:firstLine="150" w:firstLineChars="50"/>
        <w:jc w:val="center"/>
        <w:rPr>
          <w:rFonts w:ascii="宋体" w:hAnsi="宋体"/>
          <w:sz w:val="30"/>
          <w:szCs w:val="30"/>
          <w:u w:val="single"/>
        </w:rPr>
      </w:pPr>
    </w:p>
    <w:p w14:paraId="459991B0">
      <w:pPr>
        <w:tabs>
          <w:tab w:val="left" w:pos="5542"/>
        </w:tabs>
        <w:spacing w:line="500" w:lineRule="exact"/>
        <w:ind w:firstLine="150" w:firstLineChars="50"/>
        <w:jc w:val="center"/>
        <w:rPr>
          <w:rFonts w:ascii="宋体" w:hAnsi="宋体"/>
          <w:sz w:val="30"/>
          <w:szCs w:val="30"/>
          <w:u w:val="single"/>
        </w:rPr>
      </w:pPr>
    </w:p>
    <w:p w14:paraId="599A5DF8">
      <w:pPr>
        <w:tabs>
          <w:tab w:val="left" w:pos="5542"/>
        </w:tabs>
        <w:spacing w:line="500" w:lineRule="exact"/>
        <w:ind w:firstLine="150" w:firstLineChars="50"/>
        <w:jc w:val="center"/>
        <w:rPr>
          <w:rFonts w:ascii="宋体" w:hAnsi="宋体"/>
          <w:sz w:val="30"/>
          <w:szCs w:val="30"/>
          <w:u w:val="single"/>
        </w:rPr>
      </w:pPr>
    </w:p>
    <w:p w14:paraId="1D4E5BA6">
      <w:pPr>
        <w:tabs>
          <w:tab w:val="left" w:pos="5542"/>
        </w:tabs>
        <w:spacing w:line="500" w:lineRule="exact"/>
        <w:ind w:firstLine="150" w:firstLineChars="50"/>
        <w:jc w:val="center"/>
        <w:rPr>
          <w:rFonts w:ascii="宋体" w:hAnsi="宋体"/>
          <w:sz w:val="30"/>
          <w:szCs w:val="30"/>
          <w:u w:val="single"/>
        </w:rPr>
      </w:pPr>
    </w:p>
    <w:p w14:paraId="0F6FC139">
      <w:pPr>
        <w:tabs>
          <w:tab w:val="left" w:pos="5542"/>
        </w:tabs>
        <w:spacing w:line="500" w:lineRule="exact"/>
        <w:ind w:firstLine="150" w:firstLineChars="50"/>
        <w:jc w:val="center"/>
        <w:rPr>
          <w:rFonts w:ascii="宋体" w:hAnsi="宋体"/>
          <w:sz w:val="30"/>
          <w:szCs w:val="30"/>
          <w:u w:val="single"/>
        </w:rPr>
      </w:pPr>
    </w:p>
    <w:p w14:paraId="33CC9BEE">
      <w:pPr>
        <w:tabs>
          <w:tab w:val="left" w:pos="5542"/>
        </w:tabs>
        <w:spacing w:line="500" w:lineRule="exact"/>
        <w:ind w:firstLine="150" w:firstLineChars="50"/>
        <w:jc w:val="center"/>
        <w:rPr>
          <w:rFonts w:ascii="宋体" w:hAnsi="宋体"/>
          <w:sz w:val="30"/>
          <w:szCs w:val="30"/>
          <w:u w:val="single"/>
        </w:rPr>
      </w:pPr>
    </w:p>
    <w:p w14:paraId="7E0D6EB9">
      <w:pPr>
        <w:tabs>
          <w:tab w:val="left" w:pos="5542"/>
        </w:tabs>
        <w:spacing w:line="500" w:lineRule="exact"/>
        <w:ind w:firstLine="150" w:firstLineChars="50"/>
        <w:jc w:val="center"/>
        <w:rPr>
          <w:rFonts w:ascii="宋体" w:hAnsi="宋体"/>
          <w:sz w:val="30"/>
          <w:szCs w:val="30"/>
          <w:u w:val="single"/>
        </w:rPr>
      </w:pPr>
    </w:p>
    <w:p w14:paraId="72C10FA4">
      <w:pPr>
        <w:tabs>
          <w:tab w:val="left" w:pos="5542"/>
        </w:tabs>
        <w:spacing w:line="500" w:lineRule="exact"/>
        <w:ind w:firstLine="150" w:firstLineChars="50"/>
        <w:jc w:val="center"/>
        <w:rPr>
          <w:rFonts w:ascii="宋体" w:hAnsi="宋体"/>
          <w:sz w:val="30"/>
          <w:szCs w:val="30"/>
          <w:u w:val="single"/>
        </w:rPr>
      </w:pPr>
    </w:p>
    <w:p w14:paraId="7D4C6E06">
      <w:pPr>
        <w:tabs>
          <w:tab w:val="left" w:pos="5542"/>
        </w:tabs>
        <w:spacing w:line="500" w:lineRule="exact"/>
        <w:rPr>
          <w:rFonts w:ascii="宋体" w:hAnsi="宋体"/>
          <w:sz w:val="30"/>
          <w:szCs w:val="30"/>
        </w:rPr>
      </w:pPr>
      <w:r>
        <w:rPr>
          <w:rFonts w:ascii="宋体" w:hAnsi="宋体"/>
          <w:sz w:val="30"/>
          <w:szCs w:val="30"/>
        </w:rPr>
        <w:br w:type="page"/>
      </w:r>
    </w:p>
    <w:p w14:paraId="72F8B7C7">
      <w:pPr>
        <w:tabs>
          <w:tab w:val="left" w:pos="5542"/>
        </w:tabs>
        <w:spacing w:line="360" w:lineRule="auto"/>
        <w:ind w:firstLine="180" w:firstLineChars="50"/>
        <w:jc w:val="center"/>
        <w:rPr>
          <w:rFonts w:ascii="黑体" w:hAnsi="黑体" w:eastAsia="黑体"/>
          <w:sz w:val="30"/>
          <w:szCs w:val="30"/>
          <w:u w:val="single"/>
        </w:rPr>
      </w:pPr>
      <w:r>
        <w:rPr>
          <w:rFonts w:hint="eastAsia" w:ascii="黑体" w:hAnsi="黑体" w:eastAsia="黑体" w:cs="宋体"/>
          <w:sz w:val="36"/>
          <w:szCs w:val="36"/>
        </w:rPr>
        <w:t>第一章</w:t>
      </w:r>
      <w:r>
        <w:rPr>
          <w:rFonts w:ascii="黑体" w:hAnsi="黑体" w:eastAsia="黑体" w:cs="宋体"/>
          <w:sz w:val="36"/>
          <w:szCs w:val="36"/>
        </w:rPr>
        <w:t xml:space="preserve">  招标公告</w:t>
      </w:r>
    </w:p>
    <w:p w14:paraId="61875F0B">
      <w:pPr>
        <w:tabs>
          <w:tab w:val="left" w:pos="5542"/>
        </w:tabs>
        <w:spacing w:line="360" w:lineRule="auto"/>
        <w:ind w:firstLine="150" w:firstLineChars="50"/>
        <w:jc w:val="center"/>
        <w:rPr>
          <w:rFonts w:ascii="黑体" w:hAnsi="黑体" w:eastAsia="黑体"/>
          <w:b/>
          <w:sz w:val="30"/>
          <w:szCs w:val="30"/>
        </w:rPr>
      </w:pPr>
      <w:r>
        <w:rPr>
          <w:rFonts w:ascii="黑体" w:hAnsi="黑体" w:eastAsia="黑体"/>
          <w:sz w:val="30"/>
          <w:szCs w:val="30"/>
          <w:u w:val="single"/>
        </w:rPr>
        <w:t xml:space="preserve">       </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ascii="黑体" w:hAnsi="黑体" w:eastAsia="黑体"/>
          <w:sz w:val="30"/>
          <w:szCs w:val="30"/>
        </w:rPr>
        <w:t xml:space="preserve"> </w:t>
      </w:r>
      <w:r>
        <w:rPr>
          <w:rFonts w:hint="eastAsia" w:ascii="黑体" w:hAnsi="黑体" w:eastAsia="黑体"/>
          <w:sz w:val="30"/>
          <w:szCs w:val="30"/>
        </w:rPr>
        <w:t>（招标项目名称）招标公告</w:t>
      </w:r>
    </w:p>
    <w:p w14:paraId="0E927701">
      <w:pPr>
        <w:spacing w:line="360" w:lineRule="auto"/>
      </w:pPr>
      <w:bookmarkStart w:id="7" w:name="_Toc27059651"/>
      <w:bookmarkStart w:id="8" w:name="_Toc519844448"/>
      <w:bookmarkStart w:id="9" w:name="_Toc27059470"/>
      <w:bookmarkStart w:id="10" w:name="_Toc27059741"/>
      <w:bookmarkStart w:id="11" w:name="_Toc27059843"/>
      <w:bookmarkStart w:id="12" w:name="_Toc27060638"/>
    </w:p>
    <w:p w14:paraId="45C8A7AF">
      <w:pPr>
        <w:pStyle w:val="2"/>
        <w:spacing w:before="240" w:after="240" w:line="240" w:lineRule="atLeast"/>
        <w:rPr>
          <w:rFonts w:ascii="黑体"/>
          <w:sz w:val="28"/>
          <w:szCs w:val="28"/>
        </w:rPr>
      </w:pPr>
      <w:bookmarkStart w:id="13" w:name="_Toc53685571"/>
      <w:r>
        <w:rPr>
          <w:rFonts w:hint="eastAsia" w:ascii="黑体"/>
          <w:sz w:val="28"/>
          <w:szCs w:val="28"/>
        </w:rPr>
        <w:t>1．招标条件</w:t>
      </w:r>
      <w:bookmarkEnd w:id="7"/>
      <w:bookmarkEnd w:id="8"/>
      <w:bookmarkEnd w:id="9"/>
      <w:bookmarkEnd w:id="10"/>
      <w:bookmarkEnd w:id="11"/>
      <w:bookmarkEnd w:id="12"/>
      <w:bookmarkEnd w:id="13"/>
    </w:p>
    <w:p w14:paraId="570B1EF4">
      <w:pPr>
        <w:adjustRightInd w:val="0"/>
        <w:snapToGrid w:val="0"/>
        <w:spacing w:line="360" w:lineRule="auto"/>
        <w:ind w:firstLine="480" w:firstLineChars="200"/>
        <w:rPr>
          <w:rFonts w:ascii="宋体" w:hAnsi="宋体"/>
          <w:sz w:val="24"/>
          <w:u w:val="single"/>
        </w:rPr>
      </w:pPr>
      <w:r>
        <w:rPr>
          <w:rFonts w:hint="eastAsia" w:ascii="宋体" w:hAnsi="宋体"/>
          <w:sz w:val="24"/>
        </w:rPr>
        <w:t>本招标项目</w:t>
      </w:r>
      <w:r>
        <w:rPr>
          <w:rFonts w:ascii="宋体" w:hAnsi="宋体"/>
          <w:sz w:val="24"/>
          <w:u w:val="single"/>
        </w:rPr>
        <w:t xml:space="preserve">             </w:t>
      </w:r>
      <w:r>
        <w:rPr>
          <w:rFonts w:hint="eastAsia" w:ascii="宋体" w:hAnsi="宋体"/>
          <w:sz w:val="24"/>
        </w:rPr>
        <w:t>（项目名称）已由</w:t>
      </w:r>
      <w:r>
        <w:rPr>
          <w:rFonts w:ascii="宋体" w:hAnsi="宋体"/>
          <w:sz w:val="24"/>
          <w:u w:val="single"/>
        </w:rPr>
        <w:t xml:space="preserve">        </w:t>
      </w:r>
      <w:r>
        <w:rPr>
          <w:rFonts w:hint="eastAsia" w:ascii="宋体" w:hAnsi="宋体"/>
          <w:sz w:val="24"/>
        </w:rPr>
        <w:t>（项目审批、核准或备案机关名称）以</w:t>
      </w:r>
      <w:r>
        <w:rPr>
          <w:rFonts w:ascii="宋体" w:hAnsi="宋体"/>
          <w:sz w:val="24"/>
          <w:u w:val="single"/>
        </w:rPr>
        <w:t xml:space="preserve">          </w:t>
      </w:r>
      <w:r>
        <w:rPr>
          <w:rFonts w:hint="eastAsia" w:ascii="宋体" w:hAnsi="宋体"/>
          <w:sz w:val="24"/>
        </w:rPr>
        <w:t>（批文名称及编号）批准建设，初步设计已由</w:t>
      </w:r>
      <w:r>
        <w:rPr>
          <w:rFonts w:ascii="宋体" w:hAnsi="宋体"/>
          <w:sz w:val="24"/>
          <w:u w:val="single"/>
        </w:rPr>
        <w:t xml:space="preserve">            </w:t>
      </w:r>
      <w:r>
        <w:rPr>
          <w:rFonts w:hint="eastAsia" w:ascii="宋体" w:hAnsi="宋体"/>
          <w:sz w:val="24"/>
        </w:rPr>
        <w:t>（批准机关名称）以</w:t>
      </w:r>
      <w:r>
        <w:rPr>
          <w:rFonts w:ascii="宋体" w:hAnsi="宋体"/>
          <w:sz w:val="24"/>
        </w:rPr>
        <w:t xml:space="preserve"> </w:t>
      </w:r>
      <w:r>
        <w:rPr>
          <w:rFonts w:ascii="宋体" w:hAnsi="宋体"/>
          <w:sz w:val="24"/>
          <w:u w:val="single"/>
        </w:rPr>
        <w:t xml:space="preserve">         </w:t>
      </w:r>
      <w:r>
        <w:rPr>
          <w:rFonts w:hint="eastAsia" w:ascii="宋体" w:hAnsi="宋体"/>
          <w:sz w:val="24"/>
        </w:rPr>
        <w:t>（批文名称及编号）批准，项目业主为</w:t>
      </w:r>
      <w:r>
        <w:rPr>
          <w:rFonts w:ascii="宋体" w:hAnsi="宋体"/>
          <w:sz w:val="24"/>
          <w:u w:val="single"/>
        </w:rPr>
        <w:t xml:space="preserve">        </w:t>
      </w:r>
      <w:r>
        <w:rPr>
          <w:rFonts w:hint="eastAsia" w:ascii="宋体" w:hAnsi="宋体"/>
          <w:sz w:val="24"/>
        </w:rPr>
        <w:t>，建设资金来自</w:t>
      </w:r>
      <w:r>
        <w:rPr>
          <w:rFonts w:ascii="宋体" w:hAnsi="宋体"/>
          <w:sz w:val="24"/>
          <w:u w:val="single"/>
        </w:rPr>
        <w:t xml:space="preserve">         </w:t>
      </w:r>
      <w:r>
        <w:rPr>
          <w:rFonts w:hint="eastAsia" w:ascii="宋体" w:hAnsi="宋体"/>
          <w:sz w:val="24"/>
        </w:rPr>
        <w:t>（资金来源），出资比例为</w:t>
      </w:r>
      <w:r>
        <w:rPr>
          <w:rFonts w:ascii="宋体" w:hAnsi="宋体"/>
          <w:sz w:val="24"/>
          <w:u w:val="single"/>
        </w:rPr>
        <w:t xml:space="preserve">     </w:t>
      </w:r>
      <w:r>
        <w:rPr>
          <w:rFonts w:hint="eastAsia" w:ascii="宋体" w:hAnsi="宋体"/>
          <w:sz w:val="24"/>
        </w:rPr>
        <w:t>，招标人为</w:t>
      </w:r>
      <w:r>
        <w:rPr>
          <w:rFonts w:ascii="宋体" w:hAnsi="宋体"/>
          <w:sz w:val="24"/>
          <w:u w:val="single"/>
        </w:rPr>
        <w:t xml:space="preserve">         </w:t>
      </w:r>
      <w:r>
        <w:rPr>
          <w:rFonts w:hint="eastAsia" w:ascii="宋体" w:hAnsi="宋体"/>
          <w:sz w:val="24"/>
        </w:rPr>
        <w:t xml:space="preserve">。项目已具备招标条件，现对该项目的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（招标类别）</w:t>
      </w:r>
      <w:r>
        <w:rPr>
          <w:rFonts w:ascii="宋体" w:hAnsi="宋体" w:cs="宋体"/>
          <w:sz w:val="24"/>
          <w:u w:val="single"/>
        </w:rPr>
        <w:t xml:space="preserve">     </w:t>
      </w:r>
      <w:r>
        <w:rPr>
          <w:rFonts w:hint="eastAsia" w:ascii="宋体" w:hAnsi="宋体" w:cs="宋体"/>
          <w:sz w:val="24"/>
        </w:rPr>
        <w:t>标段</w:t>
      </w:r>
      <w:r>
        <w:rPr>
          <w:rFonts w:hint="eastAsia" w:ascii="宋体" w:hAnsi="宋体"/>
          <w:sz w:val="24"/>
        </w:rPr>
        <w:t>进行公开招标。</w:t>
      </w:r>
    </w:p>
    <w:p w14:paraId="69E7FACB">
      <w:pPr>
        <w:pStyle w:val="2"/>
        <w:spacing w:before="240" w:after="240" w:line="240" w:lineRule="atLeast"/>
        <w:rPr>
          <w:rFonts w:ascii="黑体" w:hAnsi="黑体"/>
          <w:sz w:val="28"/>
          <w:szCs w:val="28"/>
          <w:lang w:val="zh-CN"/>
        </w:rPr>
      </w:pPr>
      <w:bookmarkStart w:id="14" w:name="_Toc27060639"/>
      <w:bookmarkStart w:id="15" w:name="_Toc27059652"/>
      <w:bookmarkStart w:id="16" w:name="_Toc27059742"/>
      <w:bookmarkStart w:id="17" w:name="_Toc27059844"/>
      <w:bookmarkStart w:id="18" w:name="_Toc27059471"/>
      <w:bookmarkStart w:id="19" w:name="_Toc53685572"/>
      <w:bookmarkStart w:id="20" w:name="_Toc519844449"/>
      <w:r>
        <w:rPr>
          <w:rFonts w:ascii="黑体" w:hAnsi="黑体"/>
          <w:sz w:val="28"/>
          <w:szCs w:val="28"/>
          <w:lang w:val="zh-CN"/>
        </w:rPr>
        <w:t>2．项目概况与招标范围</w:t>
      </w:r>
      <w:bookmarkEnd w:id="14"/>
      <w:bookmarkEnd w:id="15"/>
      <w:bookmarkEnd w:id="16"/>
      <w:bookmarkEnd w:id="17"/>
      <w:bookmarkEnd w:id="18"/>
      <w:bookmarkEnd w:id="19"/>
      <w:bookmarkEnd w:id="20"/>
    </w:p>
    <w:p w14:paraId="2CC07EAD">
      <w:pPr>
        <w:tabs>
          <w:tab w:val="left" w:pos="5542"/>
        </w:tabs>
        <w:spacing w:line="360" w:lineRule="auto"/>
        <w:ind w:firstLine="480" w:firstLineChars="200"/>
        <w:jc w:val="left"/>
        <w:rPr>
          <w:rFonts w:ascii="宋体" w:hAnsi="宋体"/>
          <w:sz w:val="24"/>
          <w:u w:val="single"/>
        </w:rPr>
      </w:pPr>
      <w:r>
        <w:rPr>
          <w:rFonts w:ascii="宋体" w:hAnsi="宋体"/>
          <w:sz w:val="24"/>
        </w:rPr>
        <w:t>2.1</w:t>
      </w:r>
      <w:r>
        <w:rPr>
          <w:rFonts w:ascii="宋体" w:hAnsi="宋体"/>
          <w:b/>
          <w:sz w:val="24"/>
        </w:rPr>
        <w:t xml:space="preserve"> </w:t>
      </w:r>
      <w:r>
        <w:rPr>
          <w:rFonts w:hint="eastAsia" w:ascii="宋体" w:hAnsi="宋体"/>
          <w:sz w:val="24"/>
        </w:rPr>
        <w:t>工程概况：</w:t>
      </w:r>
      <w:r>
        <w:rPr>
          <w:rFonts w:ascii="宋体" w:hAnsi="宋体"/>
          <w:sz w:val="24"/>
          <w:u w:val="single"/>
        </w:rPr>
        <w:t xml:space="preserve">     （说明本次招标项目的建设地点、规模）           </w:t>
      </w:r>
      <w:r>
        <w:rPr>
          <w:rFonts w:ascii="宋体" w:hAnsi="宋体"/>
          <w:sz w:val="24"/>
        </w:rPr>
        <w:t xml:space="preserve"> 。</w:t>
      </w:r>
    </w:p>
    <w:p w14:paraId="241C1B3F">
      <w:pPr>
        <w:tabs>
          <w:tab w:val="left" w:pos="5542"/>
        </w:tabs>
        <w:spacing w:line="360" w:lineRule="auto"/>
        <w:ind w:firstLine="480" w:firstLineChars="200"/>
        <w:rPr>
          <w:rFonts w:ascii="宋体" w:hAnsi="宋体"/>
          <w:sz w:val="24"/>
          <w:u w:val="single"/>
        </w:rPr>
      </w:pPr>
      <w:r>
        <w:rPr>
          <w:rFonts w:ascii="宋体" w:hAnsi="宋体"/>
          <w:sz w:val="24"/>
        </w:rPr>
        <w:t>2.2</w:t>
      </w:r>
      <w:r>
        <w:rPr>
          <w:rFonts w:ascii="宋体" w:hAnsi="宋体"/>
          <w:b/>
          <w:sz w:val="24"/>
        </w:rPr>
        <w:t xml:space="preserve"> </w:t>
      </w:r>
      <w:r>
        <w:rPr>
          <w:rFonts w:hint="eastAsia" w:ascii="宋体" w:hAnsi="宋体"/>
          <w:sz w:val="24"/>
        </w:rPr>
        <w:t>技术标准：</w:t>
      </w:r>
      <w:r>
        <w:rPr>
          <w:rFonts w:ascii="宋体" w:hAnsi="宋体"/>
          <w:sz w:val="24"/>
          <w:u w:val="single"/>
        </w:rPr>
        <w:t xml:space="preserve">     （说明本次招标项目的技术标准等）               </w:t>
      </w:r>
      <w:r>
        <w:rPr>
          <w:rFonts w:ascii="宋体" w:hAnsi="宋体"/>
          <w:sz w:val="24"/>
        </w:rPr>
        <w:t xml:space="preserve"> 。</w:t>
      </w:r>
    </w:p>
    <w:p w14:paraId="0FF42865">
      <w:pPr>
        <w:tabs>
          <w:tab w:val="left" w:pos="5542"/>
        </w:tabs>
        <w:spacing w:line="360" w:lineRule="auto"/>
        <w:ind w:firstLine="480" w:firstLineChars="200"/>
        <w:rPr>
          <w:rFonts w:ascii="宋体" w:hAnsi="宋体"/>
          <w:sz w:val="24"/>
          <w:u w:val="single"/>
        </w:rPr>
      </w:pPr>
      <w:r>
        <w:rPr>
          <w:rFonts w:ascii="宋体" w:hAnsi="宋体"/>
          <w:sz w:val="24"/>
        </w:rPr>
        <w:t>2.3</w:t>
      </w:r>
      <w:r>
        <w:rPr>
          <w:rFonts w:ascii="宋体" w:hAnsi="宋体"/>
          <w:b/>
          <w:sz w:val="24"/>
        </w:rPr>
        <w:t xml:space="preserve"> </w:t>
      </w:r>
      <w:r>
        <w:rPr>
          <w:rFonts w:hint="eastAsia" w:ascii="宋体" w:hAnsi="宋体"/>
          <w:sz w:val="24"/>
        </w:rPr>
        <w:t>招标范围及标段划分、计划工期</w:t>
      </w:r>
    </w:p>
    <w:p w14:paraId="5FD9297D">
      <w:pPr>
        <w:spacing w:line="360" w:lineRule="auto"/>
        <w:ind w:firstLine="480" w:firstLineChars="200"/>
        <w:rPr>
          <w:rFonts w:ascii="宋体" w:hAnsi="宋体"/>
          <w:sz w:val="24"/>
        </w:rPr>
      </w:pPr>
      <w:r>
        <w:rPr>
          <w:rFonts w:ascii="宋体" w:hAnsi="宋体"/>
          <w:sz w:val="24"/>
        </w:rPr>
        <w:t>2.3.1</w:t>
      </w:r>
      <w:r>
        <w:rPr>
          <w:rFonts w:hint="eastAsia" w:ascii="宋体" w:hAnsi="宋体"/>
          <w:sz w:val="24"/>
        </w:rPr>
        <w:t>招标范围</w:t>
      </w:r>
    </w:p>
    <w:p w14:paraId="5583A0FB">
      <w:pPr>
        <w:spacing w:line="360" w:lineRule="auto"/>
        <w:ind w:firstLine="960" w:firstLineChars="400"/>
        <w:rPr>
          <w:rFonts w:ascii="宋体" w:hAnsi="宋体" w:cs="宋体"/>
          <w:sz w:val="24"/>
        </w:rPr>
      </w:pPr>
      <w:r>
        <w:rPr>
          <w:rFonts w:ascii="宋体" w:hAnsi="宋体" w:cs="宋体"/>
          <w:sz w:val="24"/>
        </w:rPr>
        <w:t>施工图勘察设计</w:t>
      </w:r>
      <w:r>
        <w:rPr>
          <w:rFonts w:hint="eastAsia" w:ascii="宋体" w:hAnsi="宋体" w:cs="宋体"/>
          <w:sz w:val="24"/>
        </w:rPr>
        <w:t>、工程</w:t>
      </w:r>
      <w:r>
        <w:rPr>
          <w:rFonts w:ascii="宋体" w:hAnsi="宋体" w:cs="宋体"/>
          <w:sz w:val="24"/>
        </w:rPr>
        <w:t>施工</w:t>
      </w:r>
      <w:r>
        <w:rPr>
          <w:rFonts w:hint="eastAsia" w:ascii="宋体" w:hAnsi="宋体" w:cs="宋体"/>
          <w:sz w:val="24"/>
        </w:rPr>
        <w:t>。</w:t>
      </w:r>
    </w:p>
    <w:p w14:paraId="05DA6D91">
      <w:pPr>
        <w:spacing w:line="360" w:lineRule="auto"/>
        <w:ind w:firstLine="480" w:firstLineChars="200"/>
        <w:rPr>
          <w:rFonts w:ascii="宋体" w:hAnsi="宋体" w:cs="宋体"/>
          <w:sz w:val="24"/>
        </w:rPr>
      </w:pPr>
      <w:r>
        <w:rPr>
          <w:rFonts w:ascii="宋体" w:hAnsi="宋体" w:cs="宋体"/>
          <w:sz w:val="24"/>
        </w:rPr>
        <w:t>2.3.2招标内容</w:t>
      </w:r>
    </w:p>
    <w:p w14:paraId="673CCF9D">
      <w:pPr>
        <w:spacing w:line="360" w:lineRule="auto"/>
        <w:ind w:left="181" w:leftChars="86" w:firstLine="480" w:firstLineChars="200"/>
        <w:rPr>
          <w:rFonts w:ascii="宋体" w:hAnsi="宋体" w:cs="宋体"/>
          <w:sz w:val="24"/>
        </w:rPr>
      </w:pPr>
      <w:r>
        <w:rPr>
          <w:rFonts w:hint="eastAsia" w:ascii="宋体" w:hAnsi="宋体" w:cs="宋体"/>
          <w:sz w:val="24"/>
        </w:rPr>
        <w:t>起讫桩号</w:t>
      </w:r>
      <w:r>
        <w:rPr>
          <w:rFonts w:ascii="宋体" w:hAnsi="宋体" w:cs="宋体"/>
          <w:sz w:val="24"/>
          <w:u w:val="single"/>
        </w:rPr>
        <w:t xml:space="preserve">          </w:t>
      </w:r>
      <w:r>
        <w:rPr>
          <w:rFonts w:hint="eastAsia" w:ascii="宋体" w:hAnsi="宋体" w:cs="宋体"/>
          <w:sz w:val="24"/>
        </w:rPr>
        <w:t>范围内：</w:t>
      </w:r>
    </w:p>
    <w:p w14:paraId="25CB7969">
      <w:pPr>
        <w:spacing w:line="360" w:lineRule="auto"/>
        <w:ind w:firstLine="480" w:firstLineChars="200"/>
        <w:rPr>
          <w:rFonts w:ascii="宋体" w:hAnsi="宋体"/>
          <w:sz w:val="24"/>
        </w:rPr>
      </w:pPr>
      <w:r>
        <w:rPr>
          <w:rFonts w:ascii="宋体" w:hAnsi="宋体" w:cs="宋体"/>
          <w:sz w:val="24"/>
        </w:rPr>
        <w:t>施工图勘察设计主要</w:t>
      </w:r>
      <w:r>
        <w:rPr>
          <w:rFonts w:hint="eastAsia" w:ascii="宋体" w:hAnsi="宋体" w:cs="宋体"/>
          <w:sz w:val="24"/>
        </w:rPr>
        <w:t>工程</w:t>
      </w:r>
      <w:r>
        <w:rPr>
          <w:rFonts w:ascii="宋体" w:hAnsi="宋体" w:cs="宋体"/>
          <w:sz w:val="24"/>
        </w:rPr>
        <w:t>内容</w:t>
      </w:r>
      <w:r>
        <w:rPr>
          <w:rFonts w:hint="eastAsia" w:ascii="宋体" w:hAnsi="宋体" w:cs="宋体"/>
          <w:sz w:val="24"/>
        </w:rPr>
        <w:t>：□路基、□路面、□桥涵、□隧道、</w:t>
      </w:r>
      <w:r>
        <w:rPr>
          <w:rFonts w:hint="eastAsia" w:ascii="宋体" w:hAnsi="宋体" w:cs="宋体"/>
          <w:bCs/>
          <w:sz w:val="24"/>
        </w:rPr>
        <w:t>□路线交叉、</w:t>
      </w:r>
      <w:r>
        <w:rPr>
          <w:rFonts w:hint="eastAsia" w:ascii="宋体" w:hAnsi="宋体" w:cs="宋体"/>
          <w:sz w:val="24"/>
        </w:rPr>
        <w:t>□交通安全设施、□绿化及环境保护设施、□房建、□机电、□其他：</w:t>
      </w:r>
      <w:r>
        <w:rPr>
          <w:rFonts w:ascii="宋体" w:hAnsi="宋体" w:cs="宋体"/>
          <w:sz w:val="24"/>
          <w:u w:val="single"/>
        </w:rPr>
        <w:t xml:space="preserve">       </w:t>
      </w:r>
      <w:r>
        <w:rPr>
          <w:rFonts w:hint="eastAsia" w:ascii="宋体" w:hAnsi="宋体"/>
          <w:sz w:val="24"/>
        </w:rPr>
        <w:t>。</w:t>
      </w:r>
    </w:p>
    <w:p w14:paraId="6A236CA1">
      <w:pPr>
        <w:spacing w:line="360" w:lineRule="auto"/>
        <w:ind w:firstLine="480" w:firstLineChars="200"/>
        <w:jc w:val="left"/>
        <w:rPr>
          <w:rFonts w:ascii="宋体" w:hAnsi="宋体" w:cs="宋体"/>
          <w:sz w:val="24"/>
        </w:rPr>
      </w:pPr>
      <w:r>
        <w:rPr>
          <w:rFonts w:ascii="宋体" w:hAnsi="宋体" w:cs="宋体"/>
          <w:sz w:val="24"/>
        </w:rPr>
        <w:t>施工主要工程内容</w:t>
      </w:r>
      <w:r>
        <w:rPr>
          <w:rFonts w:hint="eastAsia" w:ascii="宋体" w:hAnsi="宋体" w:cs="宋体"/>
          <w:sz w:val="24"/>
        </w:rPr>
        <w:t>：□路基、□路面、□桥涵、□隧道、□交通安全设施、□绿化及环境保护设施、□房建、□机电、□其他：</w:t>
      </w:r>
      <w:r>
        <w:rPr>
          <w:rFonts w:ascii="宋体" w:hAnsi="宋体" w:cs="宋体"/>
          <w:sz w:val="24"/>
          <w:u w:val="single"/>
        </w:rPr>
        <w:t xml:space="preserve">       </w:t>
      </w:r>
      <w:r>
        <w:rPr>
          <w:rFonts w:hint="eastAsia" w:ascii="宋体" w:hAnsi="宋体"/>
          <w:sz w:val="24"/>
        </w:rPr>
        <w:t>。</w:t>
      </w:r>
    </w:p>
    <w:p w14:paraId="30195540">
      <w:pPr>
        <w:spacing w:line="360" w:lineRule="auto"/>
        <w:ind w:firstLine="420" w:firstLineChars="200"/>
      </w:pPr>
      <w:r>
        <w:rPr>
          <w:rFonts w:hint="eastAsia"/>
        </w:rPr>
        <w:t>_</w:t>
      </w:r>
      <w:r>
        <w:t>_________________________________________</w:t>
      </w:r>
    </w:p>
    <w:p w14:paraId="070D21E8">
      <w:pPr>
        <w:pStyle w:val="48"/>
        <w:ind w:firstLine="4" w:firstLineChars="2"/>
        <w:rPr>
          <w:rFonts w:ascii="宋体" w:hAnsi="宋体" w:cs="宋体"/>
          <w:sz w:val="21"/>
          <w:szCs w:val="21"/>
        </w:rPr>
      </w:pPr>
      <w:r>
        <w:rPr>
          <w:rFonts w:hint="eastAsia" w:ascii="宋体" w:hAnsi="宋体" w:cs="宋体"/>
          <w:sz w:val="21"/>
          <w:szCs w:val="21"/>
        </w:rPr>
        <w:t>注：招标范围可为选择项中的一项或多项，</w:t>
      </w:r>
      <w:r>
        <w:rPr>
          <w:rFonts w:ascii="宋体" w:hAnsi="宋体" w:cs="宋体"/>
          <w:sz w:val="21"/>
          <w:szCs w:val="21"/>
        </w:rPr>
        <w:t>未</w:t>
      </w:r>
      <w:r>
        <w:rPr>
          <w:rFonts w:hint="eastAsia" w:ascii="宋体" w:hAnsi="宋体" w:cs="宋体"/>
          <w:sz w:val="21"/>
          <w:szCs w:val="21"/>
        </w:rPr>
        <w:t>选择的项</w:t>
      </w:r>
      <w:r>
        <w:rPr>
          <w:rFonts w:ascii="宋体" w:hAnsi="宋体" w:cs="宋体"/>
          <w:sz w:val="21"/>
          <w:szCs w:val="21"/>
        </w:rPr>
        <w:t>，视为</w:t>
      </w:r>
      <w:r>
        <w:rPr>
          <w:rFonts w:hint="eastAsia" w:ascii="宋体" w:hAnsi="宋体" w:cs="宋体"/>
          <w:sz w:val="21"/>
          <w:szCs w:val="21"/>
        </w:rPr>
        <w:t>不含该项内容。</w:t>
      </w:r>
    </w:p>
    <w:p w14:paraId="303D5104">
      <w:pPr>
        <w:spacing w:line="360" w:lineRule="auto"/>
        <w:ind w:firstLine="480" w:firstLineChars="200"/>
        <w:rPr>
          <w:rFonts w:ascii="宋体" w:hAnsi="宋体"/>
          <w:sz w:val="24"/>
        </w:rPr>
      </w:pPr>
      <w:r>
        <w:rPr>
          <w:rFonts w:ascii="宋体" w:hAnsi="宋体"/>
          <w:sz w:val="24"/>
        </w:rPr>
        <w:t>2.3.3</w:t>
      </w:r>
      <w:r>
        <w:rPr>
          <w:rFonts w:hint="eastAsia" w:ascii="宋体" w:hAnsi="宋体"/>
          <w:sz w:val="24"/>
        </w:rPr>
        <w:t>标段划分</w:t>
      </w:r>
    </w:p>
    <w:p w14:paraId="6B1A200A">
      <w:pPr>
        <w:spacing w:line="360" w:lineRule="auto"/>
        <w:ind w:firstLine="480" w:firstLineChars="200"/>
        <w:rPr>
          <w:rFonts w:ascii="宋体" w:hAnsi="宋体"/>
          <w:sz w:val="24"/>
        </w:rPr>
      </w:pPr>
      <w:r>
        <w:rPr>
          <w:rFonts w:hint="eastAsia" w:ascii="宋体" w:hAnsi="宋体"/>
          <w:sz w:val="24"/>
        </w:rPr>
        <w:t>本次招标划分为</w:t>
      </w:r>
      <w:r>
        <w:rPr>
          <w:rFonts w:ascii="宋体" w:hAnsi="宋体"/>
          <w:sz w:val="24"/>
          <w:u w:val="single"/>
        </w:rPr>
        <w:t xml:space="preserve">      </w:t>
      </w:r>
      <w:r>
        <w:rPr>
          <w:rFonts w:hint="eastAsia" w:ascii="宋体" w:hAnsi="宋体"/>
          <w:sz w:val="24"/>
        </w:rPr>
        <w:t>个标段，标段号为</w:t>
      </w:r>
      <w:r>
        <w:rPr>
          <w:rFonts w:ascii="宋体" w:hAnsi="宋体"/>
          <w:sz w:val="24"/>
          <w:u w:val="single"/>
        </w:rPr>
        <w:t xml:space="preserve">               </w:t>
      </w:r>
      <w:r>
        <w:rPr>
          <w:rFonts w:hint="eastAsia" w:ascii="宋体" w:hAnsi="宋体"/>
          <w:sz w:val="24"/>
        </w:rPr>
        <w:t>。具体标段划分、起讫桩号、主要工程内容及规模见</w:t>
      </w:r>
      <w:r>
        <w:rPr>
          <w:rFonts w:hint="eastAsia" w:ascii="宋体" w:hAnsi="宋体"/>
          <w:sz w:val="24"/>
          <w:lang w:val="en-US" w:eastAsia="zh-CN"/>
        </w:rPr>
        <w:t xml:space="preserve"> </w:t>
      </w:r>
      <w:r>
        <w:rPr>
          <w:rFonts w:hint="eastAsia" w:ascii="宋体" w:hAnsi="宋体"/>
          <w:sz w:val="24"/>
          <w:u w:val="single"/>
        </w:rPr>
        <w:t>本公告附表一</w:t>
      </w:r>
      <w:r>
        <w:rPr>
          <w:rFonts w:hint="eastAsia" w:ascii="宋体" w:hAnsi="宋体"/>
          <w:sz w:val="24"/>
        </w:rPr>
        <w:t>。</w:t>
      </w:r>
    </w:p>
    <w:p w14:paraId="147F67CE">
      <w:pPr>
        <w:spacing w:line="360" w:lineRule="auto"/>
        <w:ind w:firstLine="480" w:firstLineChars="200"/>
        <w:rPr>
          <w:rFonts w:ascii="宋体" w:hAnsi="宋体"/>
          <w:sz w:val="24"/>
        </w:rPr>
      </w:pPr>
      <w:r>
        <w:rPr>
          <w:rFonts w:ascii="宋体" w:hAnsi="宋体"/>
          <w:sz w:val="24"/>
        </w:rPr>
        <w:t>2.3.4</w:t>
      </w:r>
      <w:r>
        <w:rPr>
          <w:rFonts w:hint="eastAsia" w:ascii="宋体" w:hAnsi="宋体"/>
          <w:sz w:val="24"/>
        </w:rPr>
        <w:t>计划工期</w:t>
      </w:r>
    </w:p>
    <w:p w14:paraId="5A1482F1">
      <w:pPr>
        <w:spacing w:line="360" w:lineRule="auto"/>
        <w:ind w:firstLine="482" w:firstLineChars="200"/>
        <w:rPr>
          <w:rFonts w:ascii="宋体" w:hAnsi="宋体" w:cs="宋体"/>
          <w:sz w:val="24"/>
        </w:rPr>
      </w:pPr>
      <w:r>
        <w:rPr>
          <w:rFonts w:hint="eastAsia" w:ascii="宋体" w:hAnsi="宋体" w:cs="宋体"/>
          <w:b/>
          <w:sz w:val="24"/>
        </w:rPr>
        <w:t>□</w:t>
      </w:r>
      <w:r>
        <w:rPr>
          <w:rFonts w:ascii="宋体" w:hAnsi="宋体" w:cs="宋体"/>
          <w:sz w:val="24"/>
          <w:u w:val="single"/>
        </w:rPr>
        <w:t xml:space="preserve">   </w:t>
      </w:r>
      <w:r>
        <w:rPr>
          <w:rFonts w:hint="eastAsia" w:ascii="宋体" w:hAnsi="宋体" w:cs="宋体"/>
          <w:sz w:val="24"/>
        </w:rPr>
        <w:t>标段：总工期</w:t>
      </w:r>
      <w:r>
        <w:rPr>
          <w:rFonts w:ascii="宋体" w:hAnsi="宋体" w:cs="宋体"/>
          <w:sz w:val="24"/>
          <w:u w:val="single"/>
        </w:rPr>
        <w:t xml:space="preserve">   </w:t>
      </w:r>
      <w:r>
        <w:rPr>
          <w:rFonts w:hint="eastAsia" w:ascii="宋体" w:hAnsi="宋体" w:cs="宋体"/>
          <w:sz w:val="24"/>
        </w:rPr>
        <w:t>个月。其中，施工图勘察设计周期</w:t>
      </w:r>
      <w:r>
        <w:rPr>
          <w:rFonts w:ascii="宋体" w:hAnsi="宋体" w:cs="宋体"/>
          <w:sz w:val="24"/>
          <w:u w:val="single"/>
        </w:rPr>
        <w:t xml:space="preserve">    </w:t>
      </w:r>
      <w:r>
        <w:rPr>
          <w:rFonts w:ascii="宋体" w:hAnsi="宋体" w:cs="宋体"/>
          <w:sz w:val="24"/>
        </w:rPr>
        <w:t>个月</w:t>
      </w:r>
      <w:r>
        <w:rPr>
          <w:rFonts w:hint="eastAsia" w:ascii="宋体" w:hAnsi="宋体" w:cs="宋体"/>
          <w:sz w:val="24"/>
        </w:rPr>
        <w:t>；施工工期：</w:t>
      </w:r>
    </w:p>
    <w:p w14:paraId="0720A3AC">
      <w:pPr>
        <w:spacing w:line="360" w:lineRule="auto"/>
        <w:rPr>
          <w:rFonts w:ascii="宋体" w:hAnsi="宋体" w:cs="宋体"/>
          <w:sz w:val="24"/>
        </w:rPr>
      </w:pPr>
      <w:r>
        <w:rPr>
          <w:rFonts w:ascii="宋体" w:hAnsi="宋体" w:cs="宋体"/>
          <w:sz w:val="24"/>
          <w:u w:val="single"/>
        </w:rPr>
        <w:t xml:space="preserve">    </w:t>
      </w:r>
      <w:r>
        <w:rPr>
          <w:rFonts w:ascii="宋体" w:hAnsi="宋体" w:cs="宋体"/>
          <w:sz w:val="24"/>
        </w:rPr>
        <w:t>个月</w:t>
      </w:r>
      <w:r>
        <w:rPr>
          <w:rFonts w:hint="eastAsia" w:ascii="宋体" w:hAnsi="宋体" w:cs="宋体"/>
          <w:sz w:val="24"/>
        </w:rPr>
        <w:t>。</w:t>
      </w:r>
    </w:p>
    <w:p w14:paraId="609C80F8">
      <w:pPr>
        <w:spacing w:line="360" w:lineRule="auto"/>
        <w:ind w:firstLine="480" w:firstLineChars="200"/>
        <w:rPr>
          <w:rFonts w:hint="eastAsia" w:ascii="宋体" w:hAnsi="宋体" w:cs="宋体"/>
          <w:sz w:val="24"/>
          <w:u w:val="none"/>
        </w:rPr>
      </w:pPr>
      <w:r>
        <w:rPr>
          <w:rFonts w:hint="eastAsia" w:ascii="宋体" w:hAnsi="宋体" w:cs="宋体"/>
          <w:sz w:val="24"/>
          <w:u w:val="none"/>
        </w:rPr>
        <w:t>……</w:t>
      </w:r>
    </w:p>
    <w:p w14:paraId="0671E9B4">
      <w:pPr>
        <w:pStyle w:val="48"/>
        <w:ind w:left="0" w:leftChars="0" w:firstLine="420" w:firstLineChars="200"/>
        <w:rPr>
          <w:rFonts w:hint="eastAsia" w:ascii="宋体" w:hAnsi="宋体" w:cs="宋体"/>
          <w:sz w:val="24"/>
          <w:u w:val="none"/>
        </w:rPr>
      </w:pPr>
      <w:r>
        <w:rPr>
          <w:rFonts w:hint="eastAsia" w:ascii="宋体" w:hAnsi="宋体" w:cs="宋体"/>
          <w:sz w:val="21"/>
          <w:szCs w:val="21"/>
        </w:rPr>
        <w:t>注：招标范围包含机电工程（含隧道机电）施工时，应列明试运行期时间</w:t>
      </w:r>
      <w:r>
        <w:rPr>
          <w:rFonts w:ascii="宋体" w:hAnsi="宋体" w:cs="宋体"/>
          <w:sz w:val="21"/>
          <w:szCs w:val="21"/>
        </w:rPr>
        <w:t>。</w:t>
      </w:r>
    </w:p>
    <w:p w14:paraId="70C98B38">
      <w:pPr>
        <w:pStyle w:val="2"/>
        <w:spacing w:before="240" w:after="240" w:line="240" w:lineRule="atLeast"/>
        <w:rPr>
          <w:rFonts w:ascii="黑体" w:hAnsi="黑体"/>
          <w:sz w:val="28"/>
          <w:szCs w:val="28"/>
          <w:lang w:val="zh-CN"/>
        </w:rPr>
      </w:pPr>
      <w:bookmarkStart w:id="21" w:name="_Toc27059845"/>
      <w:bookmarkStart w:id="22" w:name="_Toc27060640"/>
      <w:bookmarkStart w:id="23" w:name="_Toc53685573"/>
      <w:bookmarkStart w:id="24" w:name="_Toc519844450"/>
      <w:bookmarkStart w:id="25" w:name="_Toc27059743"/>
      <w:bookmarkStart w:id="26" w:name="_Toc27059653"/>
      <w:bookmarkStart w:id="27" w:name="_Toc27059472"/>
      <w:r>
        <w:rPr>
          <w:rFonts w:ascii="黑体" w:hAnsi="黑体"/>
          <w:sz w:val="28"/>
          <w:szCs w:val="28"/>
          <w:lang w:val="zh-CN"/>
        </w:rPr>
        <w:t>3．投标人资格要求</w:t>
      </w:r>
      <w:bookmarkEnd w:id="21"/>
      <w:bookmarkEnd w:id="22"/>
      <w:bookmarkEnd w:id="23"/>
      <w:bookmarkEnd w:id="24"/>
      <w:bookmarkEnd w:id="25"/>
      <w:bookmarkEnd w:id="26"/>
      <w:bookmarkEnd w:id="27"/>
    </w:p>
    <w:p w14:paraId="07F3C6EE">
      <w:pPr>
        <w:tabs>
          <w:tab w:val="left" w:pos="360"/>
          <w:tab w:val="left" w:pos="5542"/>
        </w:tabs>
        <w:spacing w:line="360" w:lineRule="auto"/>
        <w:ind w:firstLine="480" w:firstLineChars="200"/>
        <w:rPr>
          <w:rFonts w:ascii="宋体" w:hAnsi="宋体"/>
          <w:sz w:val="24"/>
        </w:rPr>
      </w:pPr>
      <w:r>
        <w:rPr>
          <w:rFonts w:ascii="宋体" w:hAnsi="宋体"/>
          <w:sz w:val="24"/>
        </w:rPr>
        <w:t>3.1</w:t>
      </w:r>
      <w:r>
        <w:rPr>
          <w:rFonts w:ascii="宋体" w:hAnsi="宋体"/>
          <w:b/>
          <w:sz w:val="24"/>
        </w:rPr>
        <w:t xml:space="preserve"> </w:t>
      </w:r>
      <w:r>
        <w:rPr>
          <w:rFonts w:hint="eastAsia" w:ascii="宋体" w:hAnsi="宋体"/>
          <w:sz w:val="24"/>
        </w:rPr>
        <w:t>投标人资格条件：</w:t>
      </w:r>
      <w:r>
        <w:rPr>
          <w:rFonts w:hint="eastAsia" w:ascii="宋体" w:hAnsi="宋体"/>
          <w:sz w:val="24"/>
          <w:u w:val="single"/>
        </w:rPr>
        <w:t>见第二章“投标人须知”前附表附录资格审查条件</w:t>
      </w:r>
      <w:r>
        <w:rPr>
          <w:rFonts w:hint="eastAsia" w:ascii="宋体" w:hAnsi="宋体"/>
          <w:sz w:val="24"/>
        </w:rPr>
        <w:t>。</w:t>
      </w:r>
    </w:p>
    <w:p w14:paraId="47BC866D">
      <w:pPr>
        <w:pStyle w:val="20"/>
        <w:tabs>
          <w:tab w:val="left" w:pos="2941"/>
          <w:tab w:val="left" w:pos="3387"/>
        </w:tabs>
        <w:spacing w:line="360" w:lineRule="auto"/>
        <w:ind w:firstLine="480" w:firstLineChars="200"/>
      </w:pPr>
      <w:r>
        <w:t xml:space="preserve">3.2 </w:t>
      </w:r>
      <w:r>
        <w:rPr>
          <w:rFonts w:hint="eastAsia"/>
        </w:rPr>
        <w:t>本次招标：</w:t>
      </w:r>
      <w:r>
        <w:rPr>
          <w:rFonts w:hint="eastAsia"/>
          <w:b/>
        </w:rPr>
        <w:t>□</w:t>
      </w:r>
      <w:r>
        <w:rPr>
          <w:u w:val="single"/>
        </w:rPr>
        <w:t xml:space="preserve">     </w:t>
      </w:r>
      <w:r>
        <w:rPr>
          <w:rFonts w:hint="eastAsia"/>
        </w:rPr>
        <w:t>标段，不接受联合体投标。</w:t>
      </w:r>
    </w:p>
    <w:p w14:paraId="0EDA6C4E">
      <w:pPr>
        <w:pStyle w:val="20"/>
        <w:tabs>
          <w:tab w:val="left" w:pos="2941"/>
          <w:tab w:val="left" w:pos="3387"/>
        </w:tabs>
        <w:spacing w:line="360" w:lineRule="auto"/>
        <w:ind w:firstLine="482" w:firstLineChars="200"/>
      </w:pPr>
      <w:r>
        <w:rPr>
          <w:rFonts w:hint="eastAsia"/>
          <w:b/>
        </w:rPr>
        <w:t>□</w:t>
      </w:r>
      <w:r>
        <w:rPr>
          <w:u w:val="single"/>
        </w:rPr>
        <w:t xml:space="preserve">    </w:t>
      </w:r>
      <w:r>
        <w:rPr>
          <w:rFonts w:hint="eastAsia"/>
        </w:rPr>
        <w:t>标段，接受联合体投标，联合体所有成员数量不得超过</w:t>
      </w:r>
      <w:r>
        <w:rPr>
          <w:u w:val="single"/>
        </w:rPr>
        <w:t xml:space="preserve">    </w:t>
      </w:r>
      <w:r>
        <w:rPr>
          <w:rFonts w:hint="eastAsia"/>
        </w:rPr>
        <w:t>家，联合体应具有的资格条件要求：</w:t>
      </w:r>
      <w:r>
        <w:rPr>
          <w:rFonts w:hint="eastAsia"/>
          <w:u w:val="single"/>
        </w:rPr>
        <w:t>见第二章“投标人须知”前附表附录资格审查条件</w:t>
      </w:r>
      <w:r>
        <w:rPr>
          <w:u w:val="single"/>
        </w:rPr>
        <w:t xml:space="preserve"> </w:t>
      </w:r>
      <w:r>
        <w:rPr>
          <w:rFonts w:hint="eastAsia"/>
          <w:kern w:val="0"/>
        </w:rPr>
        <w:t>。</w:t>
      </w:r>
    </w:p>
    <w:p w14:paraId="21EC6D0A">
      <w:pPr>
        <w:pStyle w:val="20"/>
        <w:tabs>
          <w:tab w:val="left" w:pos="2941"/>
          <w:tab w:val="left" w:pos="3387"/>
        </w:tabs>
        <w:spacing w:line="360" w:lineRule="auto"/>
        <w:ind w:firstLine="420" w:firstLineChars="200"/>
        <w:rPr>
          <w:sz w:val="21"/>
          <w:szCs w:val="21"/>
        </w:rPr>
      </w:pPr>
      <w:r>
        <w:rPr>
          <w:rFonts w:hint="eastAsia"/>
          <w:kern w:val="0"/>
          <w:sz w:val="21"/>
          <w:szCs w:val="21"/>
        </w:rPr>
        <w:t>注：</w:t>
      </w:r>
      <w:r>
        <w:rPr>
          <w:rFonts w:hint="eastAsia"/>
          <w:sz w:val="21"/>
          <w:szCs w:val="21"/>
        </w:rPr>
        <w:t>允许联合体投标的，应明确对联合体各方的资质、</w:t>
      </w:r>
      <w:r>
        <w:rPr>
          <w:sz w:val="21"/>
          <w:szCs w:val="21"/>
        </w:rPr>
        <w:t>财务、</w:t>
      </w:r>
      <w:r>
        <w:rPr>
          <w:rFonts w:hint="eastAsia"/>
          <w:sz w:val="21"/>
          <w:szCs w:val="21"/>
        </w:rPr>
        <w:t>业绩、信誉、人员等要求。</w:t>
      </w:r>
    </w:p>
    <w:p w14:paraId="16FE1C2F">
      <w:pPr>
        <w:spacing w:line="360" w:lineRule="auto"/>
        <w:ind w:firstLine="480" w:firstLineChars="200"/>
        <w:rPr>
          <w:rFonts w:ascii="宋体" w:hAnsi="宋体"/>
          <w:sz w:val="24"/>
        </w:rPr>
      </w:pPr>
      <w:r>
        <w:rPr>
          <w:rFonts w:ascii="宋体" w:hAnsi="宋体"/>
          <w:sz w:val="24"/>
        </w:rPr>
        <w:t xml:space="preserve">3.3 </w:t>
      </w:r>
      <w:r>
        <w:rPr>
          <w:rFonts w:hint="eastAsia"/>
          <w:sz w:val="24"/>
        </w:rPr>
        <w:t>每个投标人最多可对</w:t>
      </w:r>
      <w:r>
        <w:rPr>
          <w:sz w:val="24"/>
          <w:u w:val="single"/>
        </w:rPr>
        <w:t xml:space="preserve">   </w:t>
      </w:r>
      <w:r>
        <w:rPr>
          <w:rFonts w:hint="eastAsia"/>
          <w:sz w:val="24"/>
        </w:rPr>
        <w:t>个标段投标，允许中</w:t>
      </w:r>
      <w:r>
        <w:rPr>
          <w:sz w:val="24"/>
          <w:u w:val="single"/>
        </w:rPr>
        <w:t xml:space="preserve">   </w:t>
      </w:r>
      <w:r>
        <w:rPr>
          <w:rFonts w:hint="eastAsia"/>
          <w:sz w:val="24"/>
        </w:rPr>
        <w:t>个标段。</w:t>
      </w:r>
      <w:bookmarkStart w:id="28" w:name="_Hlk94086780"/>
      <w:r>
        <w:rPr>
          <w:rFonts w:hint="eastAsia"/>
          <w:sz w:val="24"/>
        </w:rPr>
        <w:t>投标人投标标段数量超过允许投标人投标标段数量时，相关投标均无效。</w:t>
      </w:r>
      <w:bookmarkEnd w:id="28"/>
    </w:p>
    <w:p w14:paraId="023E605D">
      <w:pPr>
        <w:pStyle w:val="20"/>
        <w:tabs>
          <w:tab w:val="left" w:pos="2941"/>
          <w:tab w:val="left" w:pos="3387"/>
        </w:tabs>
        <w:spacing w:line="360" w:lineRule="auto"/>
        <w:ind w:firstLine="420" w:firstLineChars="200"/>
        <w:rPr>
          <w:kern w:val="0"/>
          <w:sz w:val="21"/>
          <w:szCs w:val="21"/>
        </w:rPr>
      </w:pPr>
      <w:r>
        <w:rPr>
          <w:rFonts w:hint="eastAsia"/>
          <w:kern w:val="0"/>
          <w:sz w:val="21"/>
          <w:szCs w:val="21"/>
        </w:rPr>
        <w:t>注：招标人可根据《四川省重点公路建设从业单位信用管理办法》/《四川省农村公路建设从业单位信用管理办法》</w:t>
      </w:r>
      <w:r>
        <w:rPr>
          <w:rFonts w:hint="eastAsia"/>
          <w:kern w:val="0"/>
          <w:sz w:val="21"/>
          <w:szCs w:val="21"/>
          <w:lang w:val="en-US" w:eastAsia="zh-CN"/>
        </w:rPr>
        <w:t>/</w:t>
      </w:r>
      <w:r>
        <w:rPr>
          <w:rFonts w:hint="eastAsia"/>
          <w:kern w:val="0"/>
          <w:sz w:val="21"/>
          <w:szCs w:val="21"/>
        </w:rPr>
        <w:t>《四川省重点公路养护工程从业单位信用管理办法》规定对投标人拟投标段数量及中标标段数量进行调整。</w:t>
      </w:r>
    </w:p>
    <w:p w14:paraId="7984C7A3">
      <w:pPr>
        <w:widowControl/>
        <w:spacing w:line="360" w:lineRule="auto"/>
        <w:ind w:firstLine="482" w:firstLineChars="200"/>
        <w:rPr>
          <w:rFonts w:ascii="宋体" w:hAnsi="宋体"/>
          <w:kern w:val="0"/>
          <w:sz w:val="24"/>
          <w:u w:val="single"/>
        </w:rPr>
      </w:pPr>
      <w:r>
        <w:rPr>
          <w:rFonts w:hint="eastAsia" w:ascii="宋体" w:hAnsi="宋体"/>
          <w:b/>
          <w:sz w:val="24"/>
        </w:rPr>
        <w:t>□</w:t>
      </w:r>
      <w:r>
        <w:rPr>
          <w:rFonts w:ascii="宋体" w:hAnsi="宋体"/>
          <w:sz w:val="24"/>
        </w:rPr>
        <w:t xml:space="preserve"> </w:t>
      </w:r>
      <w:r>
        <w:rPr>
          <w:rFonts w:hint="eastAsia" w:ascii="宋体" w:hAnsi="宋体" w:cs="宋体"/>
          <w:sz w:val="24"/>
        </w:rPr>
        <w:t>允许中</w:t>
      </w:r>
      <w:r>
        <w:rPr>
          <w:rFonts w:ascii="宋体" w:hAnsi="宋体" w:cs="宋体"/>
          <w:sz w:val="24"/>
        </w:rPr>
        <w:t>2个及以上标段</w:t>
      </w:r>
      <w:r>
        <w:rPr>
          <w:rFonts w:hint="eastAsia" w:ascii="宋体" w:hAnsi="宋体" w:cs="宋体"/>
          <w:sz w:val="24"/>
        </w:rPr>
        <w:t>的</w:t>
      </w:r>
      <w:r>
        <w:rPr>
          <w:rFonts w:ascii="宋体" w:hAnsi="宋体" w:cs="宋体"/>
          <w:sz w:val="24"/>
        </w:rPr>
        <w:t>，</w:t>
      </w:r>
      <w:r>
        <w:rPr>
          <w:rFonts w:hint="eastAsia" w:ascii="宋体" w:hAnsi="宋体" w:cs="宋体"/>
          <w:sz w:val="24"/>
        </w:rPr>
        <w:t>每个标段拟投入</w:t>
      </w:r>
      <w:r>
        <w:rPr>
          <w:rFonts w:ascii="宋体" w:hAnsi="宋体" w:cs="宋体"/>
          <w:sz w:val="24"/>
        </w:rPr>
        <w:t>主要人员</w:t>
      </w:r>
      <w:r>
        <w:rPr>
          <w:rFonts w:hint="eastAsia" w:ascii="宋体" w:hAnsi="宋体" w:cs="宋体"/>
          <w:sz w:val="24"/>
        </w:rPr>
        <w:t>不得相同</w:t>
      </w:r>
      <w:r>
        <w:rPr>
          <w:rFonts w:hint="eastAsia" w:ascii="宋体" w:hAnsi="宋体"/>
          <w:sz w:val="24"/>
        </w:rPr>
        <w:t>。</w:t>
      </w:r>
    </w:p>
    <w:p w14:paraId="58B74DD4">
      <w:pPr>
        <w:pStyle w:val="20"/>
        <w:tabs>
          <w:tab w:val="left" w:pos="2941"/>
          <w:tab w:val="left" w:pos="3387"/>
        </w:tabs>
        <w:spacing w:line="360" w:lineRule="auto"/>
        <w:ind w:firstLine="420" w:firstLineChars="200"/>
        <w:rPr>
          <w:kern w:val="0"/>
          <w:sz w:val="21"/>
          <w:szCs w:val="21"/>
        </w:rPr>
      </w:pPr>
      <w:r>
        <w:rPr>
          <w:rFonts w:hint="eastAsia"/>
          <w:kern w:val="0"/>
          <w:sz w:val="21"/>
          <w:szCs w:val="21"/>
        </w:rPr>
        <w:t>注：适用于招标人允许投标人可多标段投标，且可以中</w:t>
      </w:r>
      <w:r>
        <w:rPr>
          <w:kern w:val="0"/>
          <w:sz w:val="21"/>
          <w:szCs w:val="21"/>
        </w:rPr>
        <w:t>2</w:t>
      </w:r>
      <w:r>
        <w:rPr>
          <w:rFonts w:hint="eastAsia"/>
          <w:kern w:val="0"/>
          <w:sz w:val="21"/>
          <w:szCs w:val="21"/>
        </w:rPr>
        <w:t>个及以上标段的情形。</w:t>
      </w:r>
    </w:p>
    <w:p w14:paraId="24B7DD4E">
      <w:pPr>
        <w:widowControl/>
        <w:spacing w:line="360" w:lineRule="auto"/>
        <w:ind w:firstLine="480" w:firstLineChars="200"/>
        <w:rPr>
          <w:rFonts w:ascii="宋体" w:hAnsi="宋体"/>
          <w:sz w:val="24"/>
        </w:rPr>
      </w:pPr>
      <w:r>
        <w:rPr>
          <w:rFonts w:ascii="宋体" w:hAnsi="宋体" w:cs="宋体"/>
          <w:kern w:val="0"/>
          <w:sz w:val="24"/>
        </w:rPr>
        <w:t>3.4</w:t>
      </w:r>
      <w:r>
        <w:rPr>
          <w:rFonts w:ascii="宋体" w:hAnsi="宋体" w:cs="TimesNewRomanPSMT"/>
          <w:kern w:val="0"/>
          <w:sz w:val="24"/>
        </w:rPr>
        <w:t xml:space="preserve"> 与招标人存在利害关系可能影响招标公正性的单位、不得参加投标。</w:t>
      </w:r>
      <w:r>
        <w:rPr>
          <w:rFonts w:hint="eastAsia" w:ascii="宋体" w:hAnsi="宋体" w:cs="宋体"/>
          <w:kern w:val="0"/>
          <w:sz w:val="24"/>
        </w:rPr>
        <w:t>法定代表人为同一人或者存在控股、管理关系的不同单位，不得参加同一标段投标，否则，相关投标均无效。</w:t>
      </w:r>
    </w:p>
    <w:p w14:paraId="52400044">
      <w:pPr>
        <w:pStyle w:val="2"/>
        <w:spacing w:before="240" w:after="240" w:line="240" w:lineRule="atLeast"/>
        <w:rPr>
          <w:rFonts w:ascii="黑体" w:hAnsi="黑体"/>
          <w:sz w:val="28"/>
          <w:szCs w:val="28"/>
          <w:lang w:val="zh-CN"/>
        </w:rPr>
      </w:pPr>
      <w:bookmarkStart w:id="29" w:name="_Toc27059654"/>
      <w:bookmarkStart w:id="30" w:name="_Toc27059846"/>
      <w:bookmarkStart w:id="31" w:name="_Toc27059473"/>
      <w:bookmarkStart w:id="32" w:name="_Toc53685574"/>
      <w:bookmarkStart w:id="33" w:name="_Toc27059744"/>
      <w:bookmarkStart w:id="34" w:name="_Toc27060641"/>
      <w:bookmarkStart w:id="35" w:name="_Toc519844451"/>
      <w:r>
        <w:rPr>
          <w:rFonts w:ascii="黑体" w:hAnsi="黑体"/>
          <w:sz w:val="28"/>
          <w:szCs w:val="28"/>
          <w:lang w:val="zh-CN"/>
        </w:rPr>
        <w:t>4．招标文件的获取</w:t>
      </w:r>
      <w:bookmarkEnd w:id="29"/>
      <w:bookmarkEnd w:id="30"/>
      <w:bookmarkEnd w:id="31"/>
      <w:bookmarkEnd w:id="32"/>
      <w:bookmarkEnd w:id="33"/>
      <w:bookmarkEnd w:id="34"/>
      <w:r>
        <w:rPr>
          <w:rFonts w:ascii="黑体" w:hAnsi="黑体"/>
          <w:sz w:val="28"/>
          <w:szCs w:val="28"/>
          <w:lang w:val="zh-CN"/>
        </w:rPr>
        <w:t xml:space="preserve"> </w:t>
      </w:r>
      <w:bookmarkEnd w:id="35"/>
    </w:p>
    <w:p w14:paraId="097B28E1">
      <w:pPr>
        <w:tabs>
          <w:tab w:val="left" w:pos="5542"/>
        </w:tabs>
        <w:spacing w:line="360" w:lineRule="auto"/>
        <w:ind w:left="0" w:leftChars="0" w:firstLine="480" w:firstLineChars="200"/>
        <w:rPr>
          <w:rFonts w:ascii="宋体" w:hAnsi="宋体"/>
          <w:sz w:val="24"/>
        </w:rPr>
      </w:pPr>
      <w:r>
        <w:rPr>
          <w:rFonts w:ascii="宋体" w:hAnsi="宋体"/>
          <w:sz w:val="24"/>
        </w:rPr>
        <w:t>凡有意参加投标者，</w:t>
      </w:r>
      <w:r>
        <w:rPr>
          <w:rFonts w:hint="eastAsia" w:asciiTheme="minorEastAsia" w:hAnsiTheme="minorEastAsia" w:eastAsiaTheme="minorEastAsia"/>
          <w:sz w:val="24"/>
        </w:rPr>
        <w:t>请于</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至</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时</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分</w:t>
      </w:r>
      <w:r>
        <w:rPr>
          <w:rFonts w:hint="eastAsia" w:asciiTheme="minorEastAsia" w:hAnsiTheme="minorEastAsia" w:eastAsiaTheme="minorEastAsia"/>
          <w:sz w:val="24"/>
        </w:rPr>
        <w:t>登陆</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w:t>
      </w:r>
      <w:r>
        <w:rPr>
          <w:rFonts w:hint="eastAsia" w:ascii="宋体" w:hAnsi="宋体"/>
          <w:sz w:val="24"/>
        </w:rPr>
        <w:t>，投标人凭单位CA数字证书（包括但不限于CFCA、四川CA、重庆CA、天威诚信等）登录，免费获取招标文件、□图纸、□参考资料。</w:t>
      </w:r>
    </w:p>
    <w:p w14:paraId="2A383F18">
      <w:pPr>
        <w:tabs>
          <w:tab w:val="left" w:pos="5542"/>
        </w:tabs>
        <w:spacing w:line="360" w:lineRule="auto"/>
        <w:ind w:firstLine="840" w:firstLineChars="350"/>
        <w:rPr>
          <w:rFonts w:ascii="宋体" w:hAnsi="宋体"/>
          <w:sz w:val="24"/>
        </w:rPr>
      </w:pPr>
      <w:r>
        <w:rPr>
          <w:rFonts w:hint="eastAsia" w:ascii="宋体" w:hAnsi="宋体"/>
          <w:sz w:val="24"/>
        </w:rPr>
        <w:t xml:space="preserve">□ </w:t>
      </w:r>
      <w:r>
        <w:rPr>
          <w:rFonts w:hint="eastAsia" w:cs="宋体" w:asciiTheme="minorEastAsia" w:hAnsiTheme="minorEastAsia" w:eastAsiaTheme="minorEastAsia"/>
          <w:sz w:val="24"/>
        </w:rPr>
        <w:t>图纸、</w:t>
      </w:r>
      <w:r>
        <w:rPr>
          <w:rFonts w:hint="eastAsia" w:ascii="宋体" w:hAnsi="宋体"/>
          <w:sz w:val="24"/>
        </w:rPr>
        <w:t>□参考资料获取：</w:t>
      </w:r>
      <w:r>
        <w:rPr>
          <w:rFonts w:ascii="宋体" w:hAnsi="宋体"/>
          <w:sz w:val="24"/>
          <w:u w:val="single"/>
        </w:rPr>
        <w:t>（招标人指定获取方式）</w:t>
      </w:r>
      <w:r>
        <w:rPr>
          <w:rFonts w:hint="eastAsia" w:ascii="宋体" w:hAnsi="宋体"/>
          <w:sz w:val="24"/>
          <w:u w:val="single"/>
        </w:rPr>
        <w:t xml:space="preserve"> </w:t>
      </w:r>
      <w:r>
        <w:rPr>
          <w:rFonts w:hint="eastAsia" w:ascii="宋体" w:hAnsi="宋体"/>
          <w:sz w:val="24"/>
        </w:rPr>
        <w:t>。</w:t>
      </w:r>
      <w:bookmarkStart w:id="36" w:name="_Toc519844452"/>
    </w:p>
    <w:p w14:paraId="3B50C0C6">
      <w:pPr>
        <w:keepLines/>
        <w:spacing w:line="360" w:lineRule="auto"/>
        <w:ind w:firstLine="420" w:firstLineChars="200"/>
        <w:jc w:val="left"/>
        <w:rPr>
          <w:szCs w:val="21"/>
        </w:rPr>
      </w:pPr>
      <w:bookmarkStart w:id="37" w:name="_Hlk94031362"/>
      <w:r>
        <w:rPr>
          <w:rFonts w:hint="eastAsia" w:ascii="宋体" w:hAnsi="宋体"/>
          <w:sz w:val="21"/>
          <w:szCs w:val="21"/>
        </w:rPr>
        <w:t>注：按照《中华人民共和国保守国家秘密法》规定，不能提供线上图纸、参考资料的，由招标人指定获取方式。</w:t>
      </w:r>
    </w:p>
    <w:p w14:paraId="3BBADD14">
      <w:pPr>
        <w:spacing w:line="360" w:lineRule="auto"/>
        <w:ind w:firstLine="480" w:firstLineChars="200"/>
        <w:rPr>
          <w:rFonts w:ascii="宋体" w:hAnsi="宋体"/>
          <w:sz w:val="24"/>
        </w:rPr>
      </w:pPr>
      <w:r>
        <w:rPr>
          <w:rFonts w:hint="eastAsia" w:ascii="宋体" w:hAnsi="宋体"/>
          <w:sz w:val="24"/>
        </w:rPr>
        <w:t>投标人未按上述要求下载招标人提供的图纸（如有）、参考资料（如有）的，自行承担由此造成的影响。</w:t>
      </w:r>
      <w:bookmarkEnd w:id="37"/>
    </w:p>
    <w:p w14:paraId="49F2C868">
      <w:pPr>
        <w:pStyle w:val="2"/>
        <w:spacing w:before="240" w:after="240" w:line="240" w:lineRule="atLeast"/>
        <w:rPr>
          <w:rFonts w:ascii="黑体" w:hAnsi="黑体"/>
          <w:sz w:val="28"/>
          <w:szCs w:val="28"/>
          <w:lang w:val="zh-CN"/>
        </w:rPr>
      </w:pPr>
      <w:bookmarkStart w:id="38" w:name="_Toc27059847"/>
      <w:bookmarkStart w:id="39" w:name="_Toc27059474"/>
      <w:bookmarkStart w:id="40" w:name="_Toc27059655"/>
      <w:bookmarkStart w:id="41" w:name="_Toc53685575"/>
      <w:bookmarkStart w:id="42" w:name="_Toc27060642"/>
      <w:bookmarkStart w:id="43" w:name="_Toc27059745"/>
      <w:r>
        <w:rPr>
          <w:rFonts w:ascii="黑体" w:hAnsi="黑体"/>
          <w:sz w:val="28"/>
          <w:szCs w:val="28"/>
          <w:lang w:val="zh-CN"/>
        </w:rPr>
        <w:t>5．投标文件的递交及相关事宜</w:t>
      </w:r>
      <w:bookmarkEnd w:id="36"/>
      <w:bookmarkEnd w:id="38"/>
      <w:bookmarkEnd w:id="39"/>
      <w:bookmarkEnd w:id="40"/>
      <w:bookmarkEnd w:id="41"/>
      <w:bookmarkEnd w:id="42"/>
      <w:bookmarkEnd w:id="43"/>
    </w:p>
    <w:p w14:paraId="4F26D03C">
      <w:pPr>
        <w:tabs>
          <w:tab w:val="left" w:pos="5542"/>
        </w:tabs>
        <w:spacing w:line="360" w:lineRule="auto"/>
        <w:ind w:firstLine="480" w:firstLineChars="200"/>
        <w:rPr>
          <w:rFonts w:ascii="宋体" w:hAnsi="宋体"/>
          <w:sz w:val="24"/>
          <w:u w:val="single"/>
        </w:rPr>
      </w:pPr>
      <w:r>
        <w:rPr>
          <w:rFonts w:ascii="宋体" w:hAnsi="宋体"/>
          <w:sz w:val="24"/>
        </w:rPr>
        <w:t xml:space="preserve">5.1  招标人将 </w:t>
      </w:r>
      <w:r>
        <w:rPr>
          <w:rFonts w:hint="eastAsia" w:ascii="宋体" w:hAnsi="宋体" w:cs="宋体"/>
          <w:b/>
          <w:sz w:val="24"/>
        </w:rPr>
        <w:t>□</w:t>
      </w:r>
      <w:r>
        <w:rPr>
          <w:rFonts w:ascii="宋体" w:hAnsi="宋体" w:cs="宋体"/>
          <w:sz w:val="24"/>
        </w:rPr>
        <w:t xml:space="preserve"> </w:t>
      </w:r>
      <w:r>
        <w:rPr>
          <w:rFonts w:hint="eastAsia" w:ascii="宋体" w:hAnsi="宋体"/>
          <w:sz w:val="24"/>
        </w:rPr>
        <w:t>不组织进行工程现场踏勘和召开投标预备会。</w:t>
      </w:r>
    </w:p>
    <w:p w14:paraId="78CF79A3">
      <w:pPr>
        <w:tabs>
          <w:tab w:val="left" w:pos="5542"/>
        </w:tabs>
        <w:spacing w:line="360" w:lineRule="auto"/>
        <w:ind w:firstLine="2040" w:firstLineChars="850"/>
        <w:rPr>
          <w:rFonts w:ascii="宋体" w:hAnsi="宋体"/>
          <w:sz w:val="24"/>
        </w:rPr>
      </w:pPr>
      <w:r>
        <w:rPr>
          <w:rFonts w:ascii="宋体" w:hAnsi="宋体"/>
          <w:sz w:val="24"/>
        </w:rPr>
        <w:t xml:space="preserve"> </w:t>
      </w:r>
      <w:r>
        <w:rPr>
          <w:rFonts w:hint="eastAsia" w:ascii="宋体" w:hAnsi="宋体" w:cs="宋体"/>
          <w:b/>
          <w:sz w:val="24"/>
        </w:rPr>
        <w:t>□</w:t>
      </w:r>
      <w:r>
        <w:rPr>
          <w:rFonts w:ascii="宋体" w:hAnsi="宋体" w:cs="宋体"/>
          <w:sz w:val="24"/>
        </w:rPr>
        <w:t xml:space="preserve"> </w:t>
      </w:r>
      <w:r>
        <w:rPr>
          <w:rFonts w:hint="eastAsia" w:ascii="宋体" w:hAnsi="宋体"/>
          <w:sz w:val="24"/>
        </w:rPr>
        <w:t>组织进行工程现场踏勘和召开投标预备会。</w:t>
      </w:r>
    </w:p>
    <w:p w14:paraId="7DE6F0E5">
      <w:pPr>
        <w:tabs>
          <w:tab w:val="left" w:pos="5542"/>
        </w:tabs>
        <w:spacing w:line="360" w:lineRule="auto"/>
        <w:ind w:firstLine="480" w:firstLineChars="200"/>
        <w:rPr>
          <w:rFonts w:ascii="宋体" w:hAnsi="宋体"/>
          <w:sz w:val="24"/>
        </w:rPr>
      </w:pPr>
      <w:r>
        <w:rPr>
          <w:rFonts w:hint="eastAsia" w:ascii="宋体" w:hAnsi="宋体"/>
          <w:sz w:val="24"/>
        </w:rPr>
        <w:t>踏勘现场集中时间：</w:t>
      </w:r>
      <w:r>
        <w:rPr>
          <w:rFonts w:ascii="宋体" w:hAnsi="宋体"/>
          <w:b/>
          <w:sz w:val="24"/>
          <w:u w:val="single"/>
        </w:rPr>
        <w:t xml:space="preserve">   </w:t>
      </w:r>
      <w:r>
        <w:rPr>
          <w:rFonts w:hint="eastAsia" w:ascii="宋体" w:hAnsi="宋体"/>
          <w:sz w:val="24"/>
        </w:rPr>
        <w:t>年</w:t>
      </w:r>
      <w:r>
        <w:rPr>
          <w:rFonts w:ascii="宋体" w:hAnsi="宋体"/>
          <w:b/>
          <w:sz w:val="24"/>
          <w:u w:val="single"/>
        </w:rPr>
        <w:t xml:space="preserve">   </w:t>
      </w:r>
      <w:r>
        <w:rPr>
          <w:rFonts w:hint="eastAsia" w:ascii="宋体" w:hAnsi="宋体"/>
          <w:sz w:val="24"/>
        </w:rPr>
        <w:t>月</w:t>
      </w:r>
      <w:r>
        <w:rPr>
          <w:rFonts w:ascii="宋体" w:hAnsi="宋体"/>
          <w:b/>
          <w:sz w:val="24"/>
          <w:u w:val="single"/>
        </w:rPr>
        <w:t xml:space="preserve">   </w:t>
      </w:r>
      <w:r>
        <w:rPr>
          <w:rFonts w:hint="eastAsia" w:ascii="宋体" w:hAnsi="宋体"/>
          <w:sz w:val="24"/>
        </w:rPr>
        <w:t>日</w:t>
      </w:r>
      <w:r>
        <w:rPr>
          <w:rFonts w:ascii="宋体" w:hAnsi="宋体"/>
          <w:b/>
          <w:sz w:val="24"/>
          <w:u w:val="single"/>
        </w:rPr>
        <w:t xml:space="preserve">   </w:t>
      </w:r>
      <w:r>
        <w:rPr>
          <w:rFonts w:hint="eastAsia" w:ascii="宋体" w:hAnsi="宋体"/>
          <w:sz w:val="24"/>
        </w:rPr>
        <w:t>时</w:t>
      </w:r>
      <w:r>
        <w:rPr>
          <w:rFonts w:ascii="宋体" w:hAnsi="宋体"/>
          <w:b/>
          <w:sz w:val="24"/>
          <w:u w:val="single"/>
        </w:rPr>
        <w:t xml:space="preserve">   </w:t>
      </w:r>
      <w:r>
        <w:rPr>
          <w:rFonts w:hint="eastAsia" w:ascii="宋体" w:hAnsi="宋体"/>
          <w:sz w:val="24"/>
        </w:rPr>
        <w:t>分，集中地点：</w:t>
      </w:r>
      <w:r>
        <w:rPr>
          <w:rFonts w:ascii="宋体" w:hAnsi="宋体"/>
          <w:b/>
          <w:sz w:val="24"/>
          <w:u w:val="single"/>
        </w:rPr>
        <w:t xml:space="preserve">         </w:t>
      </w:r>
      <w:r>
        <w:rPr>
          <w:rFonts w:hint="eastAsia" w:ascii="宋体" w:hAnsi="宋体"/>
          <w:sz w:val="24"/>
        </w:rPr>
        <w:t>。</w:t>
      </w:r>
    </w:p>
    <w:p w14:paraId="6158A6C5">
      <w:pPr>
        <w:tabs>
          <w:tab w:val="left" w:pos="5542"/>
        </w:tabs>
        <w:spacing w:line="360" w:lineRule="auto"/>
        <w:ind w:firstLine="480" w:firstLineChars="200"/>
        <w:rPr>
          <w:rFonts w:ascii="宋体" w:hAnsi="宋体"/>
          <w:sz w:val="24"/>
        </w:rPr>
      </w:pPr>
      <w:r>
        <w:rPr>
          <w:rFonts w:hint="eastAsia" w:ascii="宋体" w:hAnsi="宋体"/>
          <w:sz w:val="24"/>
        </w:rPr>
        <w:t>投标预备会召开时间：</w:t>
      </w:r>
      <w:r>
        <w:rPr>
          <w:rFonts w:ascii="宋体" w:hAnsi="宋体"/>
          <w:b/>
          <w:sz w:val="24"/>
          <w:u w:val="single"/>
        </w:rPr>
        <w:t xml:space="preserve">   </w:t>
      </w:r>
      <w:r>
        <w:rPr>
          <w:rFonts w:hint="eastAsia" w:ascii="宋体" w:hAnsi="宋体"/>
          <w:sz w:val="24"/>
        </w:rPr>
        <w:t>年</w:t>
      </w:r>
      <w:r>
        <w:rPr>
          <w:rFonts w:ascii="宋体" w:hAnsi="宋体"/>
          <w:b/>
          <w:sz w:val="24"/>
          <w:u w:val="single"/>
        </w:rPr>
        <w:t xml:space="preserve">   </w:t>
      </w:r>
      <w:r>
        <w:rPr>
          <w:rFonts w:hint="eastAsia" w:ascii="宋体" w:hAnsi="宋体"/>
          <w:sz w:val="24"/>
        </w:rPr>
        <w:t>月</w:t>
      </w:r>
      <w:r>
        <w:rPr>
          <w:rFonts w:ascii="宋体" w:hAnsi="宋体"/>
          <w:b/>
          <w:sz w:val="24"/>
          <w:u w:val="single"/>
        </w:rPr>
        <w:t xml:space="preserve">   </w:t>
      </w:r>
      <w:r>
        <w:rPr>
          <w:rFonts w:hint="eastAsia" w:ascii="宋体" w:hAnsi="宋体"/>
          <w:sz w:val="24"/>
        </w:rPr>
        <w:t>日</w:t>
      </w:r>
      <w:r>
        <w:rPr>
          <w:rFonts w:ascii="宋体" w:hAnsi="宋体"/>
          <w:b/>
          <w:sz w:val="24"/>
          <w:u w:val="single"/>
        </w:rPr>
        <w:t xml:space="preserve">   </w:t>
      </w:r>
      <w:r>
        <w:rPr>
          <w:rFonts w:hint="eastAsia" w:ascii="宋体" w:hAnsi="宋体"/>
          <w:sz w:val="24"/>
        </w:rPr>
        <w:t>时</w:t>
      </w:r>
      <w:r>
        <w:rPr>
          <w:rFonts w:ascii="宋体" w:hAnsi="宋体"/>
          <w:b/>
          <w:sz w:val="24"/>
          <w:u w:val="single"/>
        </w:rPr>
        <w:t xml:space="preserve">   </w:t>
      </w:r>
      <w:r>
        <w:rPr>
          <w:rFonts w:hint="eastAsia" w:ascii="宋体" w:hAnsi="宋体"/>
          <w:sz w:val="24"/>
        </w:rPr>
        <w:t>分，召开地点：</w:t>
      </w:r>
      <w:r>
        <w:rPr>
          <w:rFonts w:ascii="宋体" w:hAnsi="宋体"/>
          <w:sz w:val="24"/>
          <w:u w:val="single"/>
        </w:rPr>
        <w:t xml:space="preserve">       </w:t>
      </w:r>
      <w:r>
        <w:rPr>
          <w:rFonts w:hint="eastAsia" w:ascii="宋体" w:hAnsi="宋体"/>
          <w:sz w:val="24"/>
        </w:rPr>
        <w:t>。</w:t>
      </w:r>
    </w:p>
    <w:p w14:paraId="538F17BE">
      <w:pPr>
        <w:tabs>
          <w:tab w:val="left" w:pos="5542"/>
        </w:tabs>
        <w:spacing w:line="360" w:lineRule="auto"/>
        <w:ind w:firstLine="480" w:firstLineChars="200"/>
        <w:rPr>
          <w:rFonts w:ascii="宋体" w:hAnsi="宋体"/>
          <w:sz w:val="24"/>
        </w:rPr>
      </w:pPr>
      <w:r>
        <w:rPr>
          <w:rFonts w:ascii="宋体" w:hAnsi="宋体"/>
          <w:sz w:val="24"/>
        </w:rPr>
        <w:t>5.2</w:t>
      </w:r>
      <w:r>
        <w:rPr>
          <w:rFonts w:hint="eastAsia" w:ascii="宋体" w:hAnsi="宋体"/>
          <w:sz w:val="24"/>
          <w:lang w:val="en-US" w:eastAsia="zh-CN"/>
        </w:rPr>
        <w:t xml:space="preserve">  </w:t>
      </w:r>
      <w:r>
        <w:rPr>
          <w:rFonts w:ascii="宋体" w:hAnsi="宋体"/>
          <w:sz w:val="24"/>
        </w:rPr>
        <w:t>投标文件递交的截止时间</w:t>
      </w:r>
      <w:r>
        <w:rPr>
          <w:rFonts w:hint="eastAsia" w:ascii="宋体" w:hAnsi="宋体"/>
          <w:sz w:val="24"/>
        </w:rPr>
        <w:t>（投标截止时间，下同）</w:t>
      </w:r>
      <w:r>
        <w:rPr>
          <w:rFonts w:ascii="宋体" w:hAnsi="宋体"/>
          <w:sz w:val="24"/>
        </w:rPr>
        <w:t>为</w:t>
      </w:r>
      <w:r>
        <w:rPr>
          <w:rFonts w:ascii="宋体" w:hAnsi="宋体"/>
          <w:b/>
          <w:sz w:val="24"/>
          <w:u w:val="single"/>
        </w:rPr>
        <w:t xml:space="preserve">     </w:t>
      </w:r>
      <w:r>
        <w:rPr>
          <w:rFonts w:hint="eastAsia" w:ascii="宋体" w:hAnsi="宋体"/>
          <w:sz w:val="24"/>
        </w:rPr>
        <w:t>年</w:t>
      </w:r>
      <w:r>
        <w:rPr>
          <w:rFonts w:ascii="宋体" w:hAnsi="宋体"/>
          <w:b/>
          <w:sz w:val="24"/>
          <w:u w:val="single"/>
        </w:rPr>
        <w:t xml:space="preserve">  </w:t>
      </w:r>
      <w:r>
        <w:rPr>
          <w:rFonts w:hint="eastAsia" w:ascii="宋体" w:hAnsi="宋体"/>
          <w:sz w:val="24"/>
        </w:rPr>
        <w:t>月</w:t>
      </w:r>
      <w:r>
        <w:rPr>
          <w:rFonts w:ascii="宋体" w:hAnsi="宋体"/>
          <w:b/>
          <w:sz w:val="24"/>
          <w:u w:val="single"/>
        </w:rPr>
        <w:t xml:space="preserve">   </w:t>
      </w:r>
      <w:r>
        <w:rPr>
          <w:rFonts w:hint="eastAsia" w:ascii="宋体" w:hAnsi="宋体"/>
          <w:sz w:val="24"/>
        </w:rPr>
        <w:t>日</w:t>
      </w:r>
      <w:r>
        <w:rPr>
          <w:rFonts w:ascii="宋体" w:hAnsi="宋体"/>
          <w:b/>
          <w:sz w:val="24"/>
          <w:u w:val="single"/>
        </w:rPr>
        <w:t xml:space="preserve">   </w:t>
      </w:r>
      <w:r>
        <w:rPr>
          <w:rFonts w:hint="eastAsia" w:ascii="宋体" w:hAnsi="宋体"/>
          <w:sz w:val="24"/>
        </w:rPr>
        <w:t>时</w:t>
      </w:r>
      <w:r>
        <w:rPr>
          <w:rFonts w:ascii="宋体" w:hAnsi="宋体"/>
          <w:b/>
          <w:sz w:val="24"/>
          <w:u w:val="single"/>
        </w:rPr>
        <w:t xml:space="preserve">   </w:t>
      </w:r>
      <w:r>
        <w:rPr>
          <w:rFonts w:hint="eastAsia" w:ascii="宋体" w:hAnsi="宋体"/>
          <w:sz w:val="24"/>
        </w:rPr>
        <w:t>分</w:t>
      </w:r>
      <w:r>
        <w:rPr>
          <w:rFonts w:hint="eastAsia" w:ascii="宋体" w:hAnsi="宋体"/>
          <w:sz w:val="24"/>
          <w:lang w:eastAsia="zh-CN"/>
        </w:rPr>
        <w:t>，</w:t>
      </w:r>
      <w:r>
        <w:rPr>
          <w:rFonts w:ascii="宋体" w:hAnsi="宋体"/>
          <w:sz w:val="24"/>
        </w:rPr>
        <w:t>投标人应在投标截止时间前，</w:t>
      </w:r>
      <w:r>
        <w:rPr>
          <w:rFonts w:hint="eastAsia" w:asciiTheme="minorEastAsia" w:hAnsiTheme="minorEastAsia" w:eastAsiaTheme="minorEastAsia"/>
          <w:sz w:val="24"/>
        </w:rPr>
        <w:t>通过</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（http://www.lsggzy.com.cn/），在首页点击“用户登录”入口，凭单位CFCA数字证书登录在线递交经投标人数字证书签名制作的数据加密电子投标文件</w:t>
      </w:r>
      <w:r>
        <w:rPr>
          <w:rFonts w:hint="eastAsia" w:ascii="宋体" w:hAnsi="宋体"/>
          <w:sz w:val="24"/>
        </w:rPr>
        <w:t>。</w:t>
      </w:r>
    </w:p>
    <w:p w14:paraId="14BCF67C">
      <w:pPr>
        <w:tabs>
          <w:tab w:val="left" w:pos="5542"/>
        </w:tabs>
        <w:spacing w:line="360" w:lineRule="auto"/>
        <w:ind w:firstLine="480" w:firstLineChars="200"/>
        <w:rPr>
          <w:rFonts w:ascii="宋体" w:hAnsi="宋体"/>
          <w:sz w:val="24"/>
        </w:rPr>
      </w:pPr>
      <w:r>
        <w:rPr>
          <w:rFonts w:ascii="宋体" w:hAnsi="宋体"/>
          <w:sz w:val="24"/>
        </w:rPr>
        <w:t xml:space="preserve">5.3 </w:t>
      </w:r>
      <w:r>
        <w:rPr>
          <w:rFonts w:hint="eastAsia" w:ascii="宋体" w:hAnsi="宋体"/>
          <w:sz w:val="24"/>
          <w:lang w:val="en-US" w:eastAsia="zh-CN"/>
        </w:rPr>
        <w:t xml:space="preserve"> </w:t>
      </w:r>
      <w:r>
        <w:rPr>
          <w:rFonts w:hint="eastAsia" w:ascii="宋体" w:hAnsi="宋体" w:cs="宋体"/>
          <w:sz w:val="24"/>
        </w:rPr>
        <w:t>本项目采用“双信封”模式开评标【即：第一个信封（商务及技术文件）和第二个信封（报价文件）】。逾期在线递交的投标文件，招标人将予以拒收。</w:t>
      </w:r>
    </w:p>
    <w:p w14:paraId="3F84FA03">
      <w:pPr>
        <w:spacing w:line="360" w:lineRule="auto"/>
        <w:ind w:firstLine="480" w:firstLineChars="200"/>
        <w:rPr>
          <w:rFonts w:ascii="宋体" w:hAnsi="宋体" w:cs="宋体"/>
          <w:sz w:val="24"/>
        </w:rPr>
      </w:pPr>
      <w:r>
        <w:rPr>
          <w:rFonts w:ascii="宋体" w:hAnsi="宋体" w:cs="宋体"/>
          <w:sz w:val="24"/>
        </w:rPr>
        <w:t xml:space="preserve">5.4 </w:t>
      </w:r>
      <w:r>
        <w:rPr>
          <w:rFonts w:hint="eastAsia" w:ascii="宋体" w:hAnsi="宋体" w:cs="宋体"/>
          <w:sz w:val="24"/>
        </w:rPr>
        <w:t>开标</w:t>
      </w:r>
    </w:p>
    <w:p w14:paraId="18C6CBFF">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1）开标时间：</w:t>
      </w:r>
      <w:r>
        <w:rPr>
          <w:rFonts w:hint="eastAsia" w:ascii="宋体" w:hAnsi="宋体" w:cs="宋体"/>
          <w:sz w:val="24"/>
        </w:rPr>
        <w:t>同</w:t>
      </w:r>
      <w:r>
        <w:rPr>
          <w:rFonts w:ascii="宋体" w:hAnsi="宋体" w:cs="宋体"/>
          <w:sz w:val="24"/>
        </w:rPr>
        <w:t>投标截止时间</w:t>
      </w:r>
      <w:r>
        <w:rPr>
          <w:rFonts w:hint="eastAsia" w:ascii="宋体" w:hAnsi="宋体" w:cs="宋体"/>
          <w:sz w:val="24"/>
        </w:rPr>
        <w:t>。</w:t>
      </w:r>
    </w:p>
    <w:p w14:paraId="4F17F2A2">
      <w:pPr>
        <w:tabs>
          <w:tab w:val="left" w:pos="5542"/>
        </w:tabs>
        <w:spacing w:line="360" w:lineRule="auto"/>
        <w:ind w:firstLine="480" w:firstLineChars="200"/>
        <w:rPr>
          <w:rFonts w:ascii="宋体" w:hAnsi="宋体"/>
          <w:bCs/>
          <w:iCs/>
          <w:sz w:val="24"/>
          <w:highlight w:val="yellow"/>
        </w:rPr>
      </w:pPr>
      <w:r>
        <w:rPr>
          <w:rFonts w:hint="eastAsia" w:ascii="宋体" w:hAnsi="宋体" w:cs="宋体"/>
          <w:sz w:val="24"/>
        </w:rPr>
        <w:t>（</w:t>
      </w:r>
      <w:r>
        <w:rPr>
          <w:rFonts w:ascii="宋体" w:hAnsi="宋体" w:cs="宋体"/>
          <w:sz w:val="24"/>
        </w:rPr>
        <w:t>2）开标地点：</w:t>
      </w:r>
      <w:r>
        <w:rPr>
          <w:rFonts w:hint="eastAsia" w:asciiTheme="minorEastAsia" w:hAnsiTheme="minorEastAsia" w:eastAsiaTheme="minorEastAsia"/>
          <w:sz w:val="24"/>
        </w:rPr>
        <w:t>投标人应在截止时间前通过</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（http://www.lsggzy.com.cn/），在首页点击“用户登录”入口，凭单位CFCA数字证书登录</w:t>
      </w:r>
      <w:r>
        <w:rPr>
          <w:rFonts w:hint="eastAsia" w:asciiTheme="minorEastAsia" w:hAnsiTheme="minorEastAsia" w:eastAsiaTheme="minorEastAsia"/>
          <w:sz w:val="24"/>
          <w:lang w:eastAsia="zh-CN"/>
        </w:rPr>
        <w:t>，</w:t>
      </w:r>
      <w:r>
        <w:rPr>
          <w:rFonts w:ascii="宋体" w:hAnsi="宋体" w:cs="宋体"/>
          <w:sz w:val="24"/>
        </w:rPr>
        <w:t>在“不见面开标大厅”参与开标过程。</w:t>
      </w:r>
    </w:p>
    <w:p w14:paraId="1EB75039">
      <w:pPr>
        <w:pStyle w:val="2"/>
        <w:spacing w:before="240" w:after="240" w:line="240" w:lineRule="atLeast"/>
        <w:rPr>
          <w:rFonts w:ascii="黑体"/>
          <w:sz w:val="28"/>
          <w:szCs w:val="28"/>
          <w:highlight w:val="none"/>
        </w:rPr>
      </w:pPr>
      <w:bookmarkStart w:id="44" w:name="_Toc27059656"/>
      <w:bookmarkStart w:id="45" w:name="_Toc27060643"/>
      <w:bookmarkStart w:id="46" w:name="_Toc519844453"/>
      <w:bookmarkStart w:id="47" w:name="_Toc53685576"/>
      <w:bookmarkStart w:id="48" w:name="_Toc27059475"/>
      <w:bookmarkStart w:id="49" w:name="_Toc27059848"/>
      <w:bookmarkStart w:id="50" w:name="_Toc27059746"/>
      <w:r>
        <w:rPr>
          <w:rFonts w:hint="eastAsia" w:ascii="黑体"/>
          <w:sz w:val="28"/>
          <w:szCs w:val="28"/>
          <w:highlight w:val="none"/>
        </w:rPr>
        <w:t>6．评标方法</w:t>
      </w:r>
      <w:bookmarkEnd w:id="44"/>
      <w:bookmarkEnd w:id="45"/>
      <w:bookmarkEnd w:id="46"/>
      <w:bookmarkEnd w:id="47"/>
      <w:bookmarkEnd w:id="48"/>
      <w:bookmarkEnd w:id="49"/>
      <w:bookmarkEnd w:id="50"/>
    </w:p>
    <w:p w14:paraId="33807579">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本次招标采用资格后审，双信封形式。评标方法采用</w:t>
      </w:r>
      <w:bookmarkStart w:id="51" w:name="_Toc519844454"/>
      <w:r>
        <w:rPr>
          <w:rFonts w:hint="eastAsia" w:ascii="宋体" w:hAnsi="宋体"/>
          <w:sz w:val="24"/>
          <w:highlight w:val="none"/>
        </w:rPr>
        <w:t>：</w:t>
      </w:r>
    </w:p>
    <w:p w14:paraId="17CFBD1E">
      <w:pPr>
        <w:tabs>
          <w:tab w:val="left" w:pos="5542"/>
        </w:tabs>
        <w:spacing w:line="360" w:lineRule="auto"/>
        <w:ind w:firstLine="482" w:firstLineChars="200"/>
        <w:rPr>
          <w:rFonts w:ascii="宋体" w:hAnsi="宋体"/>
          <w:sz w:val="24"/>
          <w:highlight w:val="none"/>
        </w:rPr>
      </w:pPr>
      <w:r>
        <w:rPr>
          <w:rFonts w:hint="eastAsia" w:ascii="宋体" w:hAnsi="宋体"/>
          <w:b/>
          <w:bCs/>
          <w:sz w:val="24"/>
          <w:highlight w:val="none"/>
        </w:rPr>
        <w:t xml:space="preserve">□ </w:t>
      </w:r>
      <w:r>
        <w:rPr>
          <w:rFonts w:hint="eastAsia" w:ascii="宋体" w:hAnsi="宋体"/>
          <w:sz w:val="24"/>
          <w:highlight w:val="none"/>
        </w:rPr>
        <w:t>技术评分最低标价法；</w:t>
      </w:r>
      <w:r>
        <w:rPr>
          <w:rFonts w:hint="eastAsia" w:ascii="宋体" w:hAnsi="宋体"/>
          <w:b/>
          <w:bCs/>
          <w:sz w:val="24"/>
          <w:highlight w:val="none"/>
        </w:rPr>
        <w:t xml:space="preserve">□ </w:t>
      </w:r>
      <w:r>
        <w:rPr>
          <w:rFonts w:hint="eastAsia" w:ascii="宋体" w:hAnsi="宋体"/>
          <w:sz w:val="24"/>
          <w:highlight w:val="none"/>
        </w:rPr>
        <w:t>综合评分法；</w:t>
      </w:r>
      <w:r>
        <w:rPr>
          <w:rFonts w:hint="eastAsia" w:ascii="宋体" w:hAnsi="宋体"/>
          <w:b/>
          <w:bCs/>
          <w:sz w:val="24"/>
          <w:highlight w:val="none"/>
        </w:rPr>
        <w:t xml:space="preserve">□ </w:t>
      </w:r>
      <w:r>
        <w:rPr>
          <w:rFonts w:hint="eastAsia" w:ascii="宋体" w:hAnsi="宋体"/>
          <w:sz w:val="24"/>
          <w:highlight w:val="none"/>
        </w:rPr>
        <w:t>经评审的最低投标价法。</w:t>
      </w:r>
    </w:p>
    <w:p w14:paraId="7BB9CB77">
      <w:pPr>
        <w:pStyle w:val="2"/>
        <w:spacing w:before="240" w:after="240" w:line="240" w:lineRule="atLeast"/>
        <w:rPr>
          <w:rFonts w:ascii="黑体"/>
          <w:sz w:val="28"/>
          <w:szCs w:val="28"/>
        </w:rPr>
      </w:pPr>
      <w:bookmarkStart w:id="52" w:name="_Toc27060644"/>
      <w:bookmarkStart w:id="53" w:name="_Toc27059476"/>
      <w:bookmarkStart w:id="54" w:name="_Toc27059849"/>
      <w:bookmarkStart w:id="55" w:name="_Toc27059747"/>
      <w:bookmarkStart w:id="56" w:name="_Toc27059657"/>
      <w:bookmarkStart w:id="57" w:name="_Toc53685577"/>
      <w:r>
        <w:rPr>
          <w:rFonts w:hint="eastAsia" w:ascii="黑体"/>
          <w:sz w:val="28"/>
          <w:szCs w:val="28"/>
        </w:rPr>
        <w:t>7．发布公告的媒介</w:t>
      </w:r>
      <w:bookmarkEnd w:id="51"/>
      <w:bookmarkEnd w:id="52"/>
      <w:bookmarkEnd w:id="53"/>
      <w:bookmarkEnd w:id="54"/>
      <w:bookmarkEnd w:id="55"/>
      <w:bookmarkEnd w:id="56"/>
      <w:bookmarkEnd w:id="57"/>
    </w:p>
    <w:p w14:paraId="5F46AB1A">
      <w:pPr>
        <w:tabs>
          <w:tab w:val="left" w:pos="5542"/>
        </w:tabs>
        <w:spacing w:line="360" w:lineRule="auto"/>
        <w:ind w:firstLine="480" w:firstLineChars="200"/>
        <w:rPr>
          <w:rFonts w:ascii="宋体" w:hAnsi="宋体"/>
          <w:sz w:val="24"/>
        </w:rPr>
      </w:pPr>
      <w:r>
        <w:rPr>
          <w:rFonts w:hint="eastAsia" w:ascii="宋体" w:hAnsi="宋体"/>
          <w:sz w:val="24"/>
        </w:rPr>
        <w:t>本次招标公告同时全国公共资源交易平台（四川省·</w:t>
      </w:r>
      <w:r>
        <w:rPr>
          <w:rFonts w:hint="eastAsia" w:ascii="宋体" w:hAnsi="宋体"/>
          <w:sz w:val="24"/>
          <w:lang w:val="en-US" w:eastAsia="zh-CN"/>
        </w:rPr>
        <w:t>乐山</w:t>
      </w:r>
      <w:r>
        <w:rPr>
          <w:rFonts w:hint="eastAsia" w:ascii="宋体" w:hAnsi="宋体"/>
          <w:sz w:val="24"/>
        </w:rPr>
        <w:t>市）（http://www.lsggzy.com.cn/）以及</w:t>
      </w:r>
      <w:r>
        <w:rPr>
          <w:rFonts w:ascii="宋体" w:hAnsi="宋体"/>
          <w:sz w:val="24"/>
          <w:u w:val="single"/>
        </w:rPr>
        <w:t xml:space="preserve"> </w:t>
      </w:r>
      <w:r>
        <w:rPr>
          <w:rFonts w:hint="eastAsia" w:ascii="宋体" w:hAnsi="宋体"/>
          <w:sz w:val="24"/>
          <w:u w:val="single"/>
        </w:rPr>
        <w:t>交通运输行政主管部门门户网站</w:t>
      </w:r>
      <w:r>
        <w:rPr>
          <w:rFonts w:ascii="宋体" w:hAnsi="宋体"/>
          <w:sz w:val="24"/>
          <w:u w:val="single"/>
        </w:rPr>
        <w:t xml:space="preserve"> </w:t>
      </w:r>
      <w:r>
        <w:rPr>
          <w:rFonts w:hint="eastAsia" w:ascii="宋体" w:hAnsi="宋体"/>
          <w:sz w:val="24"/>
        </w:rPr>
        <w:t>（发布公告的媒介名称）上发布。</w:t>
      </w:r>
    </w:p>
    <w:p w14:paraId="32F8E571">
      <w:pPr>
        <w:pStyle w:val="2"/>
        <w:spacing w:before="240" w:after="240" w:line="240" w:lineRule="atLeast"/>
        <w:rPr>
          <w:rFonts w:ascii="黑体"/>
          <w:sz w:val="28"/>
          <w:szCs w:val="28"/>
        </w:rPr>
      </w:pPr>
      <w:bookmarkStart w:id="58" w:name="_Toc27060645"/>
      <w:bookmarkStart w:id="59" w:name="_Toc27059748"/>
      <w:bookmarkStart w:id="60" w:name="_Toc27059477"/>
      <w:bookmarkStart w:id="61" w:name="_Toc519844455"/>
      <w:bookmarkStart w:id="62" w:name="_Toc27059850"/>
      <w:bookmarkStart w:id="63" w:name="_Toc53685578"/>
      <w:bookmarkStart w:id="64" w:name="_Toc27059658"/>
      <w:r>
        <w:rPr>
          <w:rFonts w:hint="eastAsia" w:ascii="黑体"/>
          <w:sz w:val="28"/>
          <w:szCs w:val="28"/>
        </w:rPr>
        <w:t>8．招标工作公开接受社会监督</w:t>
      </w:r>
      <w:bookmarkEnd w:id="58"/>
      <w:bookmarkEnd w:id="59"/>
      <w:bookmarkEnd w:id="60"/>
      <w:bookmarkEnd w:id="61"/>
      <w:bookmarkEnd w:id="62"/>
      <w:bookmarkEnd w:id="63"/>
      <w:bookmarkEnd w:id="64"/>
    </w:p>
    <w:p w14:paraId="425A55E7">
      <w:pPr>
        <w:tabs>
          <w:tab w:val="left" w:pos="5542"/>
        </w:tabs>
        <w:spacing w:line="360" w:lineRule="auto"/>
        <w:ind w:firstLine="480" w:firstLineChars="200"/>
        <w:rPr>
          <w:rFonts w:ascii="宋体" w:hAnsi="宋体"/>
          <w:b/>
          <w:sz w:val="24"/>
        </w:rPr>
      </w:pPr>
      <w:r>
        <w:rPr>
          <w:rFonts w:ascii="宋体" w:hAnsi="宋体"/>
          <w:sz w:val="24"/>
        </w:rPr>
        <w:t xml:space="preserve">8.1 </w:t>
      </w:r>
      <w:r>
        <w:rPr>
          <w:rFonts w:ascii="宋体" w:hAnsi="宋体"/>
          <w:b/>
          <w:sz w:val="24"/>
        </w:rPr>
        <w:t xml:space="preserve"> </w:t>
      </w:r>
      <w:r>
        <w:rPr>
          <w:rFonts w:hint="eastAsia" w:ascii="宋体" w:hAnsi="宋体"/>
          <w:bCs/>
          <w:sz w:val="24"/>
        </w:rPr>
        <w:t>公示制度</w:t>
      </w:r>
    </w:p>
    <w:p w14:paraId="426A39C6">
      <w:pPr>
        <w:tabs>
          <w:tab w:val="left" w:pos="5542"/>
        </w:tabs>
        <w:spacing w:line="360" w:lineRule="auto"/>
        <w:ind w:firstLine="480" w:firstLineChars="200"/>
        <w:rPr>
          <w:rFonts w:ascii="宋体" w:hAnsi="宋体"/>
          <w:sz w:val="24"/>
        </w:rPr>
      </w:pPr>
      <w:r>
        <w:rPr>
          <w:rFonts w:ascii="宋体" w:hAnsi="宋体"/>
          <w:sz w:val="24"/>
        </w:rPr>
        <w:t>评标结果公示：招标人在收到评标报告之日起3日内，将评标结果在</w:t>
      </w:r>
      <w:r>
        <w:rPr>
          <w:rFonts w:hint="eastAsia" w:ascii="宋体" w:hAnsi="宋体"/>
          <w:sz w:val="24"/>
        </w:rPr>
        <w:t>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hint="eastAsia" w:ascii="宋体" w:hAnsi="宋体"/>
          <w:sz w:val="24"/>
        </w:rPr>
        <w:t>（发布公告的媒介名称）</w:t>
      </w:r>
      <w:r>
        <w:rPr>
          <w:rFonts w:ascii="宋体" w:hAnsi="宋体"/>
          <w:sz w:val="24"/>
        </w:rPr>
        <w:t>上公示3个工作日以接受社会公开监督。投标人或者其他利害关系人对评标结果有异议的，应当在</w:t>
      </w:r>
      <w:r>
        <w:rPr>
          <w:rFonts w:hint="eastAsia" w:ascii="宋体" w:hAnsi="宋体"/>
          <w:sz w:val="24"/>
        </w:rPr>
        <w:t>评标结果</w:t>
      </w:r>
      <w:r>
        <w:rPr>
          <w:rFonts w:ascii="宋体" w:hAnsi="宋体"/>
          <w:sz w:val="24"/>
        </w:rPr>
        <w:t>公示期间提出。</w:t>
      </w:r>
    </w:p>
    <w:p w14:paraId="64A8E53F">
      <w:pPr>
        <w:tabs>
          <w:tab w:val="left" w:pos="5542"/>
        </w:tabs>
        <w:spacing w:line="360" w:lineRule="auto"/>
        <w:ind w:firstLine="480" w:firstLineChars="200"/>
        <w:rPr>
          <w:rFonts w:ascii="宋体" w:hAnsi="宋体"/>
          <w:sz w:val="24"/>
        </w:rPr>
      </w:pPr>
      <w:r>
        <w:rPr>
          <w:rFonts w:hint="eastAsia" w:ascii="宋体" w:hAnsi="宋体"/>
          <w:sz w:val="24"/>
        </w:rPr>
        <w:t>同时</w:t>
      </w:r>
      <w:r>
        <w:rPr>
          <w:rFonts w:ascii="宋体" w:hAnsi="宋体"/>
          <w:sz w:val="24"/>
        </w:rPr>
        <w:t>招标人将</w:t>
      </w:r>
      <w:r>
        <w:rPr>
          <w:rFonts w:hint="eastAsia" w:ascii="宋体" w:hAnsi="宋体"/>
          <w:sz w:val="24"/>
        </w:rPr>
        <w:t>把</w:t>
      </w:r>
      <w:r>
        <w:rPr>
          <w:rFonts w:ascii="宋体" w:hAnsi="宋体"/>
          <w:b/>
          <w:bCs/>
          <w:sz w:val="24"/>
          <w:u w:val="none"/>
        </w:rPr>
        <w:t>□</w:t>
      </w:r>
      <w:r>
        <w:rPr>
          <w:rFonts w:ascii="宋体" w:hAnsi="宋体"/>
          <w:sz w:val="24"/>
          <w:u w:val="single"/>
        </w:rPr>
        <w:t>中标候选人</w:t>
      </w:r>
      <w:r>
        <w:rPr>
          <w:rFonts w:hint="eastAsia" w:ascii="宋体" w:hAnsi="宋体"/>
          <w:sz w:val="24"/>
        </w:rPr>
        <w:t>、</w:t>
      </w:r>
      <w:r>
        <w:rPr>
          <w:rFonts w:hint="eastAsia" w:ascii="宋体" w:hAnsi="宋体"/>
          <w:b/>
          <w:bCs/>
          <w:sz w:val="24"/>
          <w:u w:val="none"/>
        </w:rPr>
        <w:t>□</w:t>
      </w:r>
      <w:r>
        <w:rPr>
          <w:rFonts w:hint="eastAsia" w:ascii="宋体" w:hAnsi="宋体"/>
          <w:sz w:val="24"/>
          <w:u w:val="single"/>
        </w:rPr>
        <w:t>所有投标人</w:t>
      </w:r>
      <w:r>
        <w:rPr>
          <w:rFonts w:ascii="宋体" w:hAnsi="宋体"/>
          <w:sz w:val="24"/>
        </w:rPr>
        <w:t>投标文件</w:t>
      </w:r>
      <w:r>
        <w:rPr>
          <w:rFonts w:hint="eastAsia" w:ascii="宋体" w:hAnsi="宋体"/>
          <w:sz w:val="24"/>
        </w:rPr>
        <w:t>中所提供的</w:t>
      </w:r>
      <w:r>
        <w:rPr>
          <w:rFonts w:hint="eastAsia" w:ascii="宋体" w:hAnsi="宋体"/>
          <w:b/>
          <w:bCs/>
          <w:sz w:val="24"/>
          <w:u w:val="none"/>
        </w:rPr>
        <w:t>□</w:t>
      </w:r>
      <w:r>
        <w:rPr>
          <w:rFonts w:hint="eastAsia" w:ascii="宋体" w:hAnsi="宋体"/>
          <w:sz w:val="24"/>
          <w:u w:val="single"/>
        </w:rPr>
        <w:t>近年完成</w:t>
      </w:r>
      <w:r>
        <w:rPr>
          <w:rFonts w:hint="eastAsia" w:ascii="宋体" w:hAnsi="宋体"/>
          <w:sz w:val="24"/>
          <w:u w:val="single"/>
          <w:lang w:val="en-US" w:eastAsia="zh-CN"/>
        </w:rPr>
        <w:t>的</w:t>
      </w:r>
      <w:r>
        <w:rPr>
          <w:rFonts w:hint="eastAsia" w:ascii="宋体" w:hAnsi="宋体"/>
          <w:sz w:val="24"/>
          <w:u w:val="single"/>
        </w:rPr>
        <w:t>类似项目情况</w:t>
      </w:r>
      <w:r>
        <w:rPr>
          <w:rFonts w:hint="eastAsia" w:ascii="宋体" w:hAnsi="宋体"/>
          <w:sz w:val="24"/>
        </w:rPr>
        <w:t>、</w:t>
      </w:r>
      <w:r>
        <w:rPr>
          <w:rFonts w:hint="eastAsia" w:ascii="宋体" w:hAnsi="宋体"/>
          <w:b/>
          <w:bCs/>
          <w:sz w:val="24"/>
          <w:u w:val="none"/>
        </w:rPr>
        <w:t>□</w:t>
      </w:r>
      <w:r>
        <w:rPr>
          <w:rFonts w:hint="eastAsia" w:ascii="宋体" w:hAnsi="宋体"/>
          <w:sz w:val="24"/>
          <w:u w:val="single"/>
        </w:rPr>
        <w:t>拟委任</w:t>
      </w:r>
      <w:r>
        <w:rPr>
          <w:rFonts w:hint="eastAsia" w:ascii="宋体" w:hAnsi="宋体"/>
          <w:sz w:val="24"/>
          <w:u w:val="single"/>
          <w:lang w:val="en-US" w:eastAsia="zh-CN"/>
        </w:rPr>
        <w:t>的</w:t>
      </w:r>
      <w:r>
        <w:rPr>
          <w:rFonts w:hint="eastAsia" w:ascii="宋体" w:hAnsi="宋体"/>
          <w:sz w:val="24"/>
          <w:u w:val="single"/>
        </w:rPr>
        <w:t>主要人员情况</w:t>
      </w:r>
      <w:r>
        <w:rPr>
          <w:rFonts w:hint="eastAsia" w:ascii="宋体" w:hAnsi="宋体"/>
          <w:sz w:val="24"/>
        </w:rPr>
        <w:t>等</w:t>
      </w:r>
      <w:r>
        <w:rPr>
          <w:rFonts w:ascii="宋体" w:hAnsi="宋体"/>
          <w:sz w:val="24"/>
        </w:rPr>
        <w:t>内容作为公示资料</w:t>
      </w:r>
      <w:r>
        <w:rPr>
          <w:rFonts w:hint="eastAsia" w:ascii="宋体" w:hAnsi="宋体"/>
          <w:sz w:val="24"/>
        </w:rPr>
        <w:t>在全国公共资源交易平台（四川省·</w:t>
      </w:r>
      <w:r>
        <w:rPr>
          <w:rFonts w:hint="eastAsia" w:ascii="宋体" w:hAnsi="宋体"/>
          <w:sz w:val="24"/>
          <w:lang w:val="en-US" w:eastAsia="zh-CN"/>
        </w:rPr>
        <w:t>乐山</w:t>
      </w:r>
      <w:r>
        <w:rPr>
          <w:rFonts w:hint="eastAsia" w:ascii="宋体" w:hAnsi="宋体"/>
          <w:sz w:val="24"/>
        </w:rPr>
        <w:t>市）</w:t>
      </w:r>
      <w:r>
        <w:rPr>
          <w:rFonts w:hint="eastAsia" w:asciiTheme="minorEastAsia" w:hAnsiTheme="minorEastAsia" w:eastAsiaTheme="minorEastAsia"/>
          <w:sz w:val="24"/>
        </w:rPr>
        <w:t>（http://www.lsggzy.com.cn/）</w:t>
      </w:r>
      <w:r>
        <w:rPr>
          <w:rFonts w:hint="eastAsia" w:ascii="宋体" w:hAnsi="宋体" w:cs="宋体"/>
          <w:kern w:val="0"/>
          <w:sz w:val="24"/>
        </w:rPr>
        <w:t>以及</w:t>
      </w:r>
      <w:r>
        <w:rPr>
          <w:rFonts w:ascii="宋体" w:hAnsi="宋体" w:cs="宋体"/>
          <w:sz w:val="24"/>
          <w:u w:val="single"/>
        </w:rPr>
        <w:t xml:space="preserve"> </w:t>
      </w:r>
      <w:r>
        <w:rPr>
          <w:rFonts w:hint="eastAsia" w:ascii="宋体" w:hAnsi="宋体" w:cs="宋体"/>
          <w:sz w:val="24"/>
          <w:u w:val="single"/>
        </w:rPr>
        <w:t>交通运输行政主管部门门户网站</w:t>
      </w:r>
      <w:r>
        <w:rPr>
          <w:rFonts w:ascii="宋体" w:hAnsi="宋体" w:cs="宋体"/>
          <w:sz w:val="24"/>
          <w:u w:val="single"/>
        </w:rPr>
        <w:t xml:space="preserve"> </w:t>
      </w:r>
      <w:r>
        <w:rPr>
          <w:rFonts w:hint="eastAsia" w:ascii="宋体" w:hAnsi="宋体"/>
          <w:sz w:val="24"/>
        </w:rPr>
        <w:t>（发布公告的媒介名称）</w:t>
      </w:r>
      <w:r>
        <w:rPr>
          <w:rFonts w:ascii="宋体" w:hAnsi="宋体"/>
          <w:sz w:val="24"/>
        </w:rPr>
        <w:t>进行公示</w:t>
      </w:r>
      <w:r>
        <w:rPr>
          <w:rFonts w:hint="eastAsia" w:ascii="宋体" w:hAnsi="宋体"/>
          <w:sz w:val="24"/>
        </w:rPr>
        <w:t>。</w:t>
      </w:r>
      <w:r>
        <w:rPr>
          <w:rFonts w:ascii="宋体" w:hAnsi="宋体"/>
          <w:sz w:val="24"/>
        </w:rPr>
        <w:t>公示截止日同评标结果公示截止日，公示期间接受社会公开监督。</w:t>
      </w:r>
    </w:p>
    <w:p w14:paraId="418A2A65">
      <w:pPr>
        <w:tabs>
          <w:tab w:val="left" w:pos="5542"/>
        </w:tabs>
        <w:wordWrap w:val="0"/>
        <w:spacing w:line="360" w:lineRule="auto"/>
        <w:ind w:firstLine="420" w:firstLineChars="200"/>
        <w:rPr>
          <w:rFonts w:ascii="宋体" w:hAnsi="宋体"/>
          <w:sz w:val="21"/>
          <w:szCs w:val="21"/>
        </w:rPr>
      </w:pPr>
      <w:r>
        <w:rPr>
          <w:rFonts w:hint="eastAsia" w:ascii="宋体" w:hAnsi="宋体"/>
          <w:sz w:val="21"/>
          <w:szCs w:val="21"/>
        </w:rPr>
        <w:t>注：招标人将近年完成的类似项目情况、拟委任的主要人员资历列入资格审查条件的，须在法定的平台进行公示。</w:t>
      </w:r>
    </w:p>
    <w:p w14:paraId="6D908C7F">
      <w:pPr>
        <w:widowControl/>
        <w:spacing w:line="360" w:lineRule="auto"/>
        <w:ind w:firstLine="480" w:firstLineChars="200"/>
        <w:rPr>
          <w:rFonts w:ascii="宋体" w:hAnsi="宋体"/>
          <w:sz w:val="24"/>
        </w:rPr>
      </w:pPr>
      <w:r>
        <w:rPr>
          <w:rFonts w:ascii="宋体" w:hAnsi="宋体"/>
          <w:sz w:val="24"/>
        </w:rPr>
        <w:t xml:space="preserve">8.2  </w:t>
      </w:r>
      <w:r>
        <w:rPr>
          <w:rFonts w:hint="eastAsia" w:ascii="宋体" w:hAnsi="宋体"/>
          <w:sz w:val="24"/>
        </w:rPr>
        <w:t>异议、</w:t>
      </w:r>
      <w:r>
        <w:rPr>
          <w:rFonts w:ascii="宋体" w:hAnsi="宋体"/>
          <w:bCs/>
          <w:sz w:val="24"/>
        </w:rPr>
        <w:t>投诉处理</w:t>
      </w:r>
    </w:p>
    <w:p w14:paraId="39C2CB48">
      <w:pPr>
        <w:widowControl/>
        <w:spacing w:line="360" w:lineRule="auto"/>
        <w:ind w:firstLine="480" w:firstLineChars="200"/>
        <w:rPr>
          <w:rFonts w:ascii="宋体" w:hAnsi="宋体"/>
          <w:sz w:val="24"/>
        </w:rPr>
      </w:pPr>
      <w:bookmarkStart w:id="65" w:name="_Hlk94086947"/>
      <w:r>
        <w:rPr>
          <w:rFonts w:hint="eastAsia" w:ascii="宋体" w:hAnsi="宋体"/>
          <w:sz w:val="24"/>
        </w:rPr>
        <w:t>8</w:t>
      </w:r>
      <w:r>
        <w:rPr>
          <w:rFonts w:ascii="宋体" w:hAnsi="宋体"/>
          <w:sz w:val="24"/>
        </w:rPr>
        <w:t>.2.1</w:t>
      </w:r>
      <w:r>
        <w:rPr>
          <w:rFonts w:hint="eastAsia" w:ascii="宋体" w:hAnsi="宋体"/>
          <w:sz w:val="24"/>
        </w:rPr>
        <w:t>异议处理</w:t>
      </w:r>
    </w:p>
    <w:p w14:paraId="72503F9F">
      <w:pPr>
        <w:widowControl/>
        <w:spacing w:line="360" w:lineRule="auto"/>
        <w:ind w:firstLine="480" w:firstLineChars="200"/>
        <w:rPr>
          <w:rFonts w:ascii="宋体" w:hAnsi="宋体"/>
          <w:sz w:val="24"/>
        </w:rPr>
      </w:pPr>
      <w:r>
        <w:rPr>
          <w:rFonts w:hint="eastAsia" w:ascii="宋体" w:hAnsi="宋体"/>
          <w:sz w:val="24"/>
        </w:rPr>
        <w:t>（1）投标人对招标文件的异议</w:t>
      </w:r>
      <w:r>
        <w:rPr>
          <w:rFonts w:hint="eastAsia" w:ascii="宋体" w:hAnsi="宋体"/>
          <w:sz w:val="24"/>
          <w:lang w:val="en-US" w:eastAsia="zh-CN"/>
        </w:rPr>
        <w:t>可</w:t>
      </w:r>
      <w:r>
        <w:rPr>
          <w:rFonts w:hint="eastAsia" w:ascii="宋体" w:hAnsi="宋体"/>
          <w:sz w:val="24"/>
        </w:rPr>
        <w:t>通过</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sz w:val="24"/>
        </w:rPr>
        <w:t>在“异议”菜单中进行</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也可采用符合</w:t>
      </w:r>
      <w:r>
        <w:rPr>
          <w:rFonts w:hint="eastAsia" w:ascii="宋体" w:hAnsi="宋体" w:cs="宋体"/>
          <w:snapToGrid w:val="0"/>
          <w:color w:val="auto"/>
          <w:kern w:val="0"/>
          <w:sz w:val="24"/>
          <w:highlight w:val="none"/>
          <w:lang w:val="en-US" w:eastAsia="zh-CN"/>
        </w:rPr>
        <w:t>第二章“投标人须知”</w:t>
      </w:r>
      <w:r>
        <w:rPr>
          <w:rFonts w:hint="eastAsia" w:ascii="宋体" w:hAnsi="宋体" w:eastAsia="宋体" w:cs="宋体"/>
          <w:snapToGrid w:val="0"/>
          <w:color w:val="auto"/>
          <w:kern w:val="0"/>
          <w:sz w:val="24"/>
          <w:highlight w:val="none"/>
          <w:lang w:val="en-US" w:eastAsia="zh-CN"/>
        </w:rPr>
        <w:t>前附表第8.5.2项</w:t>
      </w:r>
      <w:r>
        <w:rPr>
          <w:rFonts w:hint="eastAsia" w:ascii="宋体" w:hAnsi="宋体" w:cs="宋体"/>
          <w:snapToGrid w:val="0"/>
          <w:color w:val="auto"/>
          <w:kern w:val="0"/>
          <w:sz w:val="24"/>
          <w:highlight w:val="none"/>
          <w:lang w:val="en-US" w:eastAsia="zh-CN"/>
        </w:rPr>
        <w:t>要求</w:t>
      </w:r>
      <w:r>
        <w:rPr>
          <w:rFonts w:hint="eastAsia" w:ascii="宋体" w:hAnsi="宋体" w:eastAsia="宋体" w:cs="宋体"/>
          <w:snapToGrid w:val="0"/>
          <w:color w:val="auto"/>
          <w:kern w:val="0"/>
          <w:sz w:val="24"/>
          <w:highlight w:val="none"/>
          <w:lang w:val="en-US" w:eastAsia="zh-CN"/>
        </w:rPr>
        <w:t>的书面方式进行</w:t>
      </w:r>
      <w:r>
        <w:rPr>
          <w:rFonts w:hint="eastAsia" w:ascii="宋体" w:hAnsi="宋体"/>
          <w:sz w:val="24"/>
        </w:rPr>
        <w:t>。</w:t>
      </w:r>
    </w:p>
    <w:p w14:paraId="1A1C6F3F">
      <w:pPr>
        <w:widowControl/>
        <w:spacing w:line="360" w:lineRule="auto"/>
        <w:ind w:firstLine="480" w:firstLineChars="200"/>
        <w:rPr>
          <w:rFonts w:ascii="宋体" w:hAnsi="宋体"/>
          <w:sz w:val="24"/>
        </w:rPr>
      </w:pPr>
      <w:r>
        <w:rPr>
          <w:rFonts w:hint="eastAsia" w:ascii="宋体" w:hAnsi="宋体"/>
          <w:sz w:val="24"/>
        </w:rPr>
        <w:t>（</w:t>
      </w:r>
      <w:r>
        <w:rPr>
          <w:rFonts w:ascii="宋体" w:hAnsi="宋体"/>
          <w:sz w:val="24"/>
        </w:rPr>
        <w:t>2）投标人对开标如有异议，应在</w:t>
      </w:r>
      <w:r>
        <w:rPr>
          <w:rFonts w:hint="eastAsia" w:ascii="宋体" w:hAnsi="宋体"/>
          <w:sz w:val="24"/>
        </w:rPr>
        <w:t>系统进入异议倒计时时间内，点击“开标异议提问”提出。</w:t>
      </w:r>
      <w:r>
        <w:rPr>
          <w:rFonts w:hint="eastAsia" w:ascii="宋体" w:hAnsi="宋体" w:cs="宋体"/>
          <w:sz w:val="24"/>
        </w:rPr>
        <w:t>招标人应在“异议回复”栏当场作出答复。</w:t>
      </w:r>
    </w:p>
    <w:p w14:paraId="12436EFD">
      <w:pPr>
        <w:widowControl/>
        <w:spacing w:line="360" w:lineRule="auto"/>
        <w:ind w:firstLine="480" w:firstLineChars="200"/>
        <w:rPr>
          <w:rFonts w:ascii="宋体" w:hAnsi="宋体" w:cs="宋体"/>
          <w:sz w:val="24"/>
        </w:rPr>
      </w:pPr>
      <w:r>
        <w:rPr>
          <w:rFonts w:hint="eastAsia" w:ascii="宋体" w:hAnsi="宋体" w:cs="宋体"/>
          <w:sz w:val="24"/>
        </w:rPr>
        <w:t>（3）投标人对评标结果如有异议，应在中标候选人公示期间提出，投标人提出异议可通过</w:t>
      </w:r>
      <w:r>
        <w:rPr>
          <w:rFonts w:hint="eastAsia" w:ascii="宋体" w:hAnsi="宋体"/>
          <w:sz w:val="24"/>
          <w:lang w:eastAsia="zh-CN"/>
        </w:rPr>
        <w:t>“</w:t>
      </w:r>
      <w:r>
        <w:rPr>
          <w:rFonts w:hint="eastAsia" w:asciiTheme="minorEastAsia" w:hAnsiTheme="minorEastAsia" w:eastAsiaTheme="minorEastAsia"/>
          <w:sz w:val="24"/>
        </w:rPr>
        <w:t>乐山市公共资源交易服务平台</w:t>
      </w:r>
      <w:r>
        <w:rPr>
          <w:rFonts w:hint="eastAsia" w:asciiTheme="minorEastAsia" w:hAnsiTheme="minorEastAsia" w:eastAsiaTheme="minorEastAsia"/>
          <w:sz w:val="24"/>
          <w:lang w:val="en-US" w:eastAsia="zh-CN"/>
        </w:rPr>
        <w:t>电子招投标系统</w:t>
      </w:r>
      <w:r>
        <w:rPr>
          <w:rFonts w:hint="eastAsia" w:ascii="宋体" w:hAnsi="宋体"/>
          <w:sz w:val="24"/>
          <w:lang w:eastAsia="zh-CN"/>
        </w:rPr>
        <w:t>”</w:t>
      </w:r>
      <w:r>
        <w:rPr>
          <w:rFonts w:hint="eastAsia" w:ascii="宋体" w:hAnsi="宋体" w:cs="宋体"/>
          <w:sz w:val="24"/>
        </w:rPr>
        <w:t>在“异议”菜单中进行</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也可采用符合</w:t>
      </w:r>
      <w:r>
        <w:rPr>
          <w:rFonts w:hint="eastAsia" w:ascii="宋体" w:hAnsi="宋体" w:cs="宋体"/>
          <w:snapToGrid w:val="0"/>
          <w:color w:val="auto"/>
          <w:kern w:val="0"/>
          <w:sz w:val="24"/>
          <w:highlight w:val="none"/>
          <w:lang w:val="en-US" w:eastAsia="zh-CN"/>
        </w:rPr>
        <w:t>第二章“投标人须知”</w:t>
      </w:r>
      <w:r>
        <w:rPr>
          <w:rFonts w:hint="eastAsia" w:ascii="宋体" w:hAnsi="宋体" w:eastAsia="宋体" w:cs="宋体"/>
          <w:snapToGrid w:val="0"/>
          <w:color w:val="auto"/>
          <w:kern w:val="0"/>
          <w:sz w:val="24"/>
          <w:highlight w:val="none"/>
          <w:lang w:val="en-US" w:eastAsia="zh-CN"/>
        </w:rPr>
        <w:t>前附表第8.5.2项</w:t>
      </w:r>
      <w:r>
        <w:rPr>
          <w:rFonts w:hint="eastAsia" w:ascii="宋体" w:hAnsi="宋体" w:cs="宋体"/>
          <w:snapToGrid w:val="0"/>
          <w:color w:val="auto"/>
          <w:kern w:val="0"/>
          <w:sz w:val="24"/>
          <w:highlight w:val="none"/>
          <w:lang w:val="en-US" w:eastAsia="zh-CN"/>
        </w:rPr>
        <w:t>要求</w:t>
      </w:r>
      <w:r>
        <w:rPr>
          <w:rFonts w:hint="eastAsia" w:ascii="宋体" w:hAnsi="宋体" w:eastAsia="宋体" w:cs="宋体"/>
          <w:snapToGrid w:val="0"/>
          <w:color w:val="auto"/>
          <w:kern w:val="0"/>
          <w:sz w:val="24"/>
          <w:highlight w:val="none"/>
          <w:lang w:val="en-US" w:eastAsia="zh-CN"/>
        </w:rPr>
        <w:t>的书面方式进行</w:t>
      </w:r>
      <w:r>
        <w:rPr>
          <w:rFonts w:hint="eastAsia" w:ascii="宋体" w:hAnsi="宋体" w:cs="宋体"/>
          <w:sz w:val="24"/>
        </w:rPr>
        <w:t>。</w:t>
      </w:r>
    </w:p>
    <w:p w14:paraId="6C82C421">
      <w:pPr>
        <w:widowControl/>
        <w:spacing w:line="360" w:lineRule="auto"/>
        <w:ind w:left="181" w:leftChars="86" w:firstLine="480" w:firstLineChars="200"/>
        <w:rPr>
          <w:rFonts w:ascii="宋体" w:hAnsi="宋体" w:cs="宋体"/>
          <w:sz w:val="24"/>
        </w:rPr>
      </w:pPr>
      <w:r>
        <w:rPr>
          <w:rFonts w:hint="eastAsia" w:ascii="宋体" w:hAnsi="宋体" w:cs="宋体"/>
          <w:sz w:val="24"/>
        </w:rPr>
        <w:t>8</w:t>
      </w:r>
      <w:r>
        <w:rPr>
          <w:rFonts w:ascii="宋体" w:hAnsi="宋体" w:cs="宋体"/>
          <w:sz w:val="24"/>
        </w:rPr>
        <w:t>.2.2</w:t>
      </w:r>
      <w:r>
        <w:rPr>
          <w:rFonts w:hint="eastAsia" w:ascii="宋体" w:hAnsi="宋体" w:cs="宋体"/>
          <w:sz w:val="24"/>
        </w:rPr>
        <w:t>投诉处理</w:t>
      </w:r>
      <w:bookmarkEnd w:id="65"/>
    </w:p>
    <w:p w14:paraId="190E68D9">
      <w:pPr>
        <w:widowControl/>
        <w:spacing w:line="360" w:lineRule="auto"/>
        <w:ind w:firstLine="480" w:firstLineChars="200"/>
        <w:rPr>
          <w:rFonts w:ascii="宋体" w:hAnsi="宋体"/>
          <w:sz w:val="24"/>
        </w:rPr>
      </w:pPr>
      <w:r>
        <w:rPr>
          <w:rFonts w:hint="eastAsia" w:ascii="宋体" w:hAnsi="宋体" w:cs="宋体"/>
          <w:sz w:val="24"/>
        </w:rPr>
        <w:t>行政监督部门按照</w:t>
      </w:r>
      <w:r>
        <w:rPr>
          <w:rFonts w:hint="eastAsia" w:ascii="宋体" w:hAnsi="宋体" w:cs="宋体"/>
          <w:sz w:val="24"/>
          <w:u w:val="single"/>
        </w:rPr>
        <w:t>《工程建设项目招标投标活动投诉处理办法》（</w:t>
      </w:r>
      <w:r>
        <w:rPr>
          <w:rFonts w:ascii="宋体" w:hAnsi="宋体" w:cs="宋体"/>
          <w:sz w:val="24"/>
          <w:u w:val="single"/>
        </w:rPr>
        <w:t>2013年3月11日国家发展改革委等九部委令第23号修改）、</w:t>
      </w:r>
      <w:r>
        <w:rPr>
          <w:rFonts w:hint="eastAsia" w:ascii="宋体" w:hAnsi="宋体" w:cs="宋体"/>
          <w:sz w:val="24"/>
          <w:u w:val="single"/>
        </w:rPr>
        <w:t>《四川省公路工程建设项目招标投标管理实施细则》（</w:t>
      </w:r>
      <w:r>
        <w:rPr>
          <w:rFonts w:hint="eastAsia" w:ascii="宋体" w:hAnsi="宋体" w:cs="宋体"/>
          <w:sz w:val="24"/>
          <w:u w:val="single"/>
          <w:lang w:eastAsia="zh-CN"/>
        </w:rPr>
        <w:t>川交规〔2024〕7号</w:t>
      </w:r>
      <w:r>
        <w:rPr>
          <w:rFonts w:hint="eastAsia" w:ascii="宋体" w:hAnsi="宋体" w:cs="宋体"/>
          <w:sz w:val="24"/>
          <w:u w:val="single"/>
        </w:rPr>
        <w:t>）</w:t>
      </w:r>
      <w:r>
        <w:rPr>
          <w:rFonts w:ascii="宋体" w:hAnsi="宋体" w:cs="宋体"/>
          <w:sz w:val="24"/>
          <w:u w:val="none"/>
        </w:rPr>
        <w:t>的规定接受投诉。投诉材料要求、投诉受理条件及查处</w:t>
      </w:r>
      <w:r>
        <w:rPr>
          <w:rFonts w:hint="eastAsia" w:ascii="宋体" w:hAnsi="宋体" w:cs="宋体"/>
          <w:sz w:val="24"/>
          <w:u w:val="none"/>
        </w:rPr>
        <w:t>按照上述</w:t>
      </w:r>
      <w:r>
        <w:rPr>
          <w:rFonts w:hint="eastAsia" w:ascii="宋体" w:hAnsi="宋体" w:cs="宋体"/>
          <w:sz w:val="24"/>
        </w:rPr>
        <w:t>规定执行。超出投诉时效的，则不予受理。</w:t>
      </w:r>
    </w:p>
    <w:p w14:paraId="759AD09A">
      <w:pPr>
        <w:widowControl/>
        <w:spacing w:line="360" w:lineRule="auto"/>
        <w:ind w:firstLine="480" w:firstLineChars="200"/>
        <w:rPr>
          <w:rFonts w:ascii="宋体" w:hAnsi="宋体"/>
          <w:b/>
          <w:sz w:val="24"/>
        </w:rPr>
      </w:pPr>
      <w:r>
        <w:rPr>
          <w:rFonts w:ascii="宋体" w:hAnsi="宋体"/>
          <w:sz w:val="24"/>
        </w:rPr>
        <w:t>8.3</w:t>
      </w:r>
      <w:r>
        <w:rPr>
          <w:rFonts w:ascii="宋体" w:hAnsi="宋体"/>
          <w:b/>
          <w:sz w:val="24"/>
        </w:rPr>
        <w:t xml:space="preserve">  </w:t>
      </w:r>
      <w:r>
        <w:rPr>
          <w:rFonts w:hint="eastAsia" w:ascii="宋体" w:hAnsi="宋体"/>
          <w:bCs/>
          <w:sz w:val="24"/>
        </w:rPr>
        <w:t>行政监督部门</w:t>
      </w:r>
    </w:p>
    <w:p w14:paraId="7C78A4A8">
      <w:pPr>
        <w:pStyle w:val="299"/>
        <w:spacing w:line="360" w:lineRule="auto"/>
        <w:ind w:firstLine="600" w:firstLineChars="250"/>
        <w:rPr>
          <w:rFonts w:ascii="宋体" w:hAnsi="宋体" w:cs="宋体"/>
          <w:sz w:val="24"/>
        </w:rPr>
      </w:pPr>
      <w:r>
        <w:rPr>
          <w:rFonts w:hint="eastAsia" w:ascii="宋体" w:hAnsi="宋体" w:cs="宋体"/>
          <w:sz w:val="24"/>
        </w:rPr>
        <w:t>行政监督部门：</w:t>
      </w:r>
      <w:r>
        <w:rPr>
          <w:rFonts w:ascii="宋体" w:hAnsi="宋体" w:cs="宋体"/>
          <w:sz w:val="24"/>
          <w:u w:val="single"/>
        </w:rPr>
        <w:t xml:space="preserve">         </w:t>
      </w:r>
      <w:r>
        <w:rPr>
          <w:rFonts w:ascii="宋体" w:hAnsi="宋体" w:cs="宋体"/>
          <w:sz w:val="24"/>
        </w:rPr>
        <w:t xml:space="preserve"> </w:t>
      </w:r>
    </w:p>
    <w:p w14:paraId="4A882B6D">
      <w:pPr>
        <w:pStyle w:val="299"/>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p>
    <w:p w14:paraId="03DFCA36">
      <w:pPr>
        <w:pStyle w:val="299"/>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r>
        <w:rPr>
          <w:rFonts w:ascii="宋体" w:hAnsi="宋体" w:cs="宋体"/>
          <w:sz w:val="24"/>
        </w:rPr>
        <w:t xml:space="preserve"> </w:t>
      </w:r>
    </w:p>
    <w:p w14:paraId="1754CB63">
      <w:pPr>
        <w:pStyle w:val="299"/>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3FB1CDFA">
      <w:pPr>
        <w:spacing w:line="360" w:lineRule="auto"/>
        <w:ind w:firstLine="600" w:firstLineChars="250"/>
        <w:rPr>
          <w:rFonts w:ascii="宋体" w:hAnsi="宋体" w:cs="宋体"/>
          <w:sz w:val="24"/>
          <w:u w:val="single"/>
        </w:rPr>
      </w:pP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383AE876">
      <w:pPr>
        <w:pStyle w:val="299"/>
        <w:spacing w:line="360" w:lineRule="auto"/>
        <w:ind w:firstLine="600" w:firstLineChars="250"/>
        <w:rPr>
          <w:rFonts w:ascii="宋体" w:hAnsi="宋体" w:cs="宋体"/>
          <w:sz w:val="24"/>
        </w:rPr>
      </w:pPr>
      <w:r>
        <w:rPr>
          <w:rFonts w:hint="eastAsia" w:ascii="宋体" w:hAnsi="宋体" w:cs="宋体"/>
          <w:sz w:val="24"/>
        </w:rPr>
        <w:t>行政监督部门：</w:t>
      </w:r>
      <w:r>
        <w:rPr>
          <w:rFonts w:ascii="宋体" w:hAnsi="宋体" w:cs="宋体"/>
          <w:sz w:val="24"/>
          <w:u w:val="single"/>
        </w:rPr>
        <w:t xml:space="preserve">         </w:t>
      </w:r>
    </w:p>
    <w:p w14:paraId="265A50EC">
      <w:pPr>
        <w:pStyle w:val="299"/>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ascii="宋体" w:hAnsi="宋体" w:cs="宋体"/>
          <w:sz w:val="24"/>
        </w:rPr>
        <w:t xml:space="preserve"> </w:t>
      </w:r>
    </w:p>
    <w:p w14:paraId="05A6801B">
      <w:pPr>
        <w:pStyle w:val="299"/>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p>
    <w:p w14:paraId="7FEA57CD">
      <w:pPr>
        <w:pStyle w:val="299"/>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31C0E041">
      <w:pPr>
        <w:spacing w:line="360" w:lineRule="auto"/>
        <w:ind w:firstLine="600" w:firstLineChars="250"/>
        <w:rPr>
          <w:rFonts w:ascii="宋体" w:hAnsi="宋体" w:cs="宋体"/>
          <w:sz w:val="24"/>
          <w:u w:val="single"/>
        </w:rPr>
      </w:pP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414948C5">
      <w:pPr>
        <w:spacing w:line="360" w:lineRule="auto"/>
        <w:ind w:firstLine="720" w:firstLineChars="300"/>
        <w:rPr>
          <w:rFonts w:ascii="宋体" w:hAnsi="宋体" w:cs="宋体"/>
          <w:sz w:val="24"/>
        </w:rPr>
      </w:pPr>
      <w:r>
        <w:rPr>
          <w:rFonts w:hint="eastAsia" w:ascii="宋体" w:hAnsi="宋体" w:cs="宋体"/>
          <w:sz w:val="24"/>
        </w:rPr>
        <w:t>……</w:t>
      </w:r>
    </w:p>
    <w:p w14:paraId="30CABB22">
      <w:pPr>
        <w:pStyle w:val="2"/>
        <w:spacing w:before="240" w:after="240" w:line="240" w:lineRule="atLeast"/>
        <w:rPr>
          <w:rFonts w:ascii="黑体"/>
          <w:sz w:val="28"/>
          <w:szCs w:val="28"/>
        </w:rPr>
      </w:pPr>
      <w:bookmarkStart w:id="66" w:name="_Toc27059659"/>
      <w:bookmarkStart w:id="67" w:name="_Toc519844456"/>
      <w:bookmarkStart w:id="68" w:name="_Toc27059478"/>
      <w:bookmarkStart w:id="69" w:name="_Toc27059851"/>
      <w:bookmarkStart w:id="70" w:name="_Toc27059749"/>
      <w:bookmarkStart w:id="71" w:name="_Toc27060646"/>
      <w:bookmarkStart w:id="72" w:name="_Toc53685579"/>
      <w:r>
        <w:rPr>
          <w:rFonts w:hint="eastAsia" w:ascii="黑体"/>
          <w:sz w:val="28"/>
          <w:szCs w:val="28"/>
        </w:rPr>
        <w:t>9．联系方式</w:t>
      </w:r>
      <w:bookmarkEnd w:id="66"/>
      <w:bookmarkEnd w:id="67"/>
      <w:bookmarkEnd w:id="68"/>
      <w:bookmarkEnd w:id="69"/>
      <w:bookmarkEnd w:id="70"/>
      <w:bookmarkEnd w:id="71"/>
      <w:bookmarkEnd w:id="72"/>
    </w:p>
    <w:p w14:paraId="756668E5">
      <w:pPr>
        <w:spacing w:line="360" w:lineRule="auto"/>
        <w:ind w:firstLine="600" w:firstLineChars="250"/>
        <w:rPr>
          <w:rFonts w:ascii="宋体" w:hAnsi="宋体" w:cs="宋体"/>
          <w:sz w:val="24"/>
        </w:rPr>
      </w:pPr>
      <w:r>
        <w:rPr>
          <w:rFonts w:hint="eastAsia" w:ascii="宋体" w:hAnsi="宋体" w:cs="宋体"/>
          <w:sz w:val="24"/>
        </w:rPr>
        <w:t>招</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ascii="宋体" w:hAnsi="宋体" w:cs="宋体"/>
          <w:sz w:val="24"/>
        </w:rPr>
        <w:t xml:space="preserve"> </w:t>
      </w:r>
    </w:p>
    <w:p w14:paraId="6D84C65B">
      <w:pPr>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ascii="宋体" w:hAnsi="宋体" w:cs="宋体"/>
          <w:sz w:val="24"/>
        </w:rPr>
        <w:t xml:space="preserve"> </w:t>
      </w:r>
    </w:p>
    <w:p w14:paraId="2E8EEA12">
      <w:pPr>
        <w:spacing w:line="360" w:lineRule="auto"/>
        <w:ind w:firstLine="600" w:firstLineChars="250"/>
        <w:rPr>
          <w:rFonts w:ascii="宋体" w:hAnsi="宋体" w:cs="宋体"/>
          <w:sz w:val="24"/>
        </w:rPr>
      </w:pPr>
      <w:r>
        <w:rPr>
          <w:rFonts w:hint="eastAsia" w:ascii="宋体" w:hAnsi="宋体" w:cs="宋体"/>
          <w:sz w:val="24"/>
        </w:rPr>
        <w:t>邮政编码：</w:t>
      </w:r>
      <w:r>
        <w:rPr>
          <w:rFonts w:ascii="宋体" w:hAnsi="宋体" w:cs="宋体"/>
          <w:sz w:val="24"/>
          <w:u w:val="single"/>
        </w:rPr>
        <w:t xml:space="preserve">             </w:t>
      </w:r>
      <w:r>
        <w:rPr>
          <w:rFonts w:ascii="宋体" w:hAnsi="宋体" w:cs="宋体"/>
          <w:sz w:val="24"/>
        </w:rPr>
        <w:t xml:space="preserve"> </w:t>
      </w:r>
    </w:p>
    <w:p w14:paraId="18806518">
      <w:pPr>
        <w:spacing w:line="360" w:lineRule="auto"/>
        <w:ind w:firstLine="600" w:firstLineChars="250"/>
        <w:rPr>
          <w:rFonts w:ascii="宋体" w:hAns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ascii="宋体" w:hAnsi="宋体" w:cs="宋体"/>
          <w:sz w:val="24"/>
        </w:rPr>
        <w:t xml:space="preserve"> </w:t>
      </w:r>
    </w:p>
    <w:p w14:paraId="4FC4E5A7">
      <w:pPr>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r>
        <w:rPr>
          <w:rFonts w:ascii="宋体" w:hAnsi="宋体" w:cs="宋体"/>
          <w:sz w:val="24"/>
        </w:rPr>
        <w:t xml:space="preserve"> </w:t>
      </w:r>
    </w:p>
    <w:p w14:paraId="764C2EC0">
      <w:pPr>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ascii="宋体" w:hAnsi="宋体" w:cs="宋体"/>
          <w:sz w:val="24"/>
        </w:rPr>
        <w:t xml:space="preserve"> </w:t>
      </w:r>
    </w:p>
    <w:p w14:paraId="71BAB40F">
      <w:pPr>
        <w:spacing w:line="360" w:lineRule="auto"/>
        <w:ind w:firstLine="600" w:firstLineChars="250"/>
        <w:rPr>
          <w:rFonts w:ascii="宋体" w:hAnsi="宋体" w:cs="宋体"/>
          <w:sz w:val="24"/>
        </w:rPr>
      </w:pPr>
    </w:p>
    <w:p w14:paraId="18063480">
      <w:pPr>
        <w:spacing w:line="360" w:lineRule="auto"/>
        <w:ind w:firstLine="600" w:firstLineChars="250"/>
        <w:rPr>
          <w:rFonts w:ascii="宋体" w:hAnsi="宋体" w:cs="宋体"/>
          <w:sz w:val="24"/>
        </w:rPr>
      </w:pPr>
      <w:r>
        <w:rPr>
          <w:rFonts w:hint="eastAsia" w:ascii="宋体" w:hAnsi="宋体" w:cs="宋体"/>
          <w:sz w:val="24"/>
        </w:rPr>
        <w:t>□招标代理机构：</w:t>
      </w:r>
      <w:r>
        <w:rPr>
          <w:rFonts w:ascii="宋体" w:hAnsi="宋体" w:cs="宋体"/>
          <w:sz w:val="24"/>
          <w:u w:val="single"/>
        </w:rPr>
        <w:t xml:space="preserve">        </w:t>
      </w:r>
      <w:r>
        <w:rPr>
          <w:rFonts w:ascii="宋体" w:hAnsi="宋体" w:cs="宋体"/>
          <w:sz w:val="24"/>
        </w:rPr>
        <w:t xml:space="preserve"> </w:t>
      </w:r>
    </w:p>
    <w:p w14:paraId="257AD179">
      <w:pPr>
        <w:spacing w:line="360" w:lineRule="auto"/>
        <w:ind w:firstLine="600" w:firstLineChars="250"/>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r>
        <w:rPr>
          <w:rFonts w:ascii="宋体" w:hAnsi="宋体" w:cs="宋体"/>
          <w:sz w:val="24"/>
        </w:rPr>
        <w:t xml:space="preserve"> </w:t>
      </w:r>
    </w:p>
    <w:p w14:paraId="24DAE2F1">
      <w:pPr>
        <w:spacing w:line="360" w:lineRule="auto"/>
        <w:ind w:firstLine="600" w:firstLineChars="250"/>
        <w:rPr>
          <w:rFonts w:ascii="宋体" w:hAnsi="宋体" w:cs="宋体"/>
          <w:sz w:val="24"/>
        </w:rPr>
      </w:pPr>
      <w:r>
        <w:rPr>
          <w:rFonts w:hint="eastAsia" w:ascii="宋体" w:hAnsi="宋体" w:cs="宋体"/>
          <w:sz w:val="24"/>
        </w:rPr>
        <w:t>□邮政编码：</w:t>
      </w:r>
      <w:r>
        <w:rPr>
          <w:rFonts w:ascii="宋体" w:hAnsi="宋体" w:cs="宋体"/>
          <w:sz w:val="24"/>
          <w:u w:val="single"/>
        </w:rPr>
        <w:t xml:space="preserve">        </w:t>
      </w:r>
    </w:p>
    <w:p w14:paraId="3244B14A">
      <w:pPr>
        <w:spacing w:line="360" w:lineRule="auto"/>
        <w:ind w:firstLine="600" w:firstLineChars="250"/>
        <w:rPr>
          <w:rFonts w:ascii="宋体" w:hAns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p>
    <w:p w14:paraId="11B4DA35">
      <w:pPr>
        <w:spacing w:line="360" w:lineRule="auto"/>
        <w:ind w:firstLine="600" w:firstLineChars="250"/>
        <w:rPr>
          <w:rFonts w:ascii="宋体" w:hAnsi="宋体" w:cs="宋体"/>
          <w:sz w:val="24"/>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p>
    <w:p w14:paraId="7A87F55F">
      <w:pPr>
        <w:spacing w:line="360" w:lineRule="auto"/>
        <w:ind w:firstLine="600" w:firstLineChars="25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p>
    <w:p w14:paraId="6F6EDC5A">
      <w:pPr>
        <w:spacing w:line="360" w:lineRule="auto"/>
        <w:ind w:firstLine="5400" w:firstLineChars="2250"/>
        <w:rPr>
          <w:rFonts w:ascii="宋体" w:hAnsi="宋体"/>
          <w:sz w:val="24"/>
          <w:u w:val="single"/>
        </w:rPr>
      </w:pPr>
    </w:p>
    <w:p w14:paraId="0DF5998C">
      <w:pPr>
        <w:spacing w:line="360" w:lineRule="auto"/>
        <w:ind w:left="181" w:leftChars="86" w:firstLine="5400" w:firstLineChars="2250"/>
        <w:rPr>
          <w:rFonts w:ascii="宋体" w:hAnsi="宋体"/>
          <w:sz w:val="24"/>
          <w:u w:val="single"/>
        </w:rPr>
      </w:pPr>
    </w:p>
    <w:p w14:paraId="7CB442E3">
      <w:pPr>
        <w:spacing w:line="360" w:lineRule="auto"/>
        <w:ind w:firstLine="5400" w:firstLineChars="2250"/>
        <w:rPr>
          <w:rFonts w:ascii="宋体" w:hAns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30E0DB31">
      <w:pPr>
        <w:tabs>
          <w:tab w:val="left" w:pos="5542"/>
        </w:tabs>
        <w:spacing w:line="360" w:lineRule="auto"/>
        <w:ind w:firstLine="120" w:firstLineChars="50"/>
        <w:jc w:val="left"/>
        <w:rPr>
          <w:rFonts w:ascii="黑体" w:hAnsi="黑体" w:eastAsia="黑体"/>
          <w:sz w:val="24"/>
        </w:rPr>
      </w:pPr>
      <w:r>
        <w:rPr>
          <w:rFonts w:ascii="宋体" w:hAnsi="宋体"/>
          <w:sz w:val="24"/>
        </w:rPr>
        <w:br w:type="page"/>
      </w:r>
      <w:r>
        <w:rPr>
          <w:rFonts w:hint="eastAsia" w:ascii="黑体" w:hAnsi="黑体" w:eastAsia="黑体"/>
          <w:sz w:val="24"/>
        </w:rPr>
        <w:t>附表一</w:t>
      </w:r>
    </w:p>
    <w:p w14:paraId="7B5CC606">
      <w:pPr>
        <w:tabs>
          <w:tab w:val="left" w:pos="5542"/>
        </w:tabs>
        <w:wordWrap w:val="0"/>
        <w:spacing w:line="360" w:lineRule="auto"/>
        <w:ind w:firstLine="140" w:firstLineChars="50"/>
        <w:jc w:val="center"/>
        <w:rPr>
          <w:rFonts w:ascii="黑体" w:hAnsi="黑体" w:eastAsia="黑体"/>
          <w:sz w:val="28"/>
          <w:szCs w:val="28"/>
          <w:u w:val="single"/>
        </w:rPr>
      </w:pPr>
      <w:r>
        <w:rPr>
          <w:rFonts w:ascii="黑体" w:hAnsi="黑体" w:eastAsia="黑体"/>
          <w:sz w:val="28"/>
          <w:szCs w:val="28"/>
          <w:u w:val="single"/>
        </w:rPr>
        <w:t xml:space="preserve">              </w:t>
      </w:r>
      <w:r>
        <w:rPr>
          <w:rFonts w:hint="eastAsia" w:ascii="黑体" w:hAnsi="黑体" w:eastAsia="黑体"/>
          <w:sz w:val="28"/>
          <w:szCs w:val="28"/>
        </w:rPr>
        <w:t>（招标项目名称）招标</w:t>
      </w:r>
    </w:p>
    <w:p w14:paraId="089F99E4">
      <w:pPr>
        <w:spacing w:line="360" w:lineRule="auto"/>
        <w:jc w:val="center"/>
        <w:rPr>
          <w:rFonts w:ascii="黑体" w:hAnsi="黑体" w:eastAsia="黑体"/>
          <w:sz w:val="28"/>
          <w:szCs w:val="28"/>
        </w:rPr>
      </w:pPr>
      <w:r>
        <w:rPr>
          <w:rFonts w:hint="eastAsia" w:ascii="黑体" w:hAnsi="黑体" w:eastAsia="黑体"/>
          <w:sz w:val="28"/>
          <w:szCs w:val="28"/>
        </w:rPr>
        <w:t>标段划分、主要工作内容及规模表</w:t>
      </w:r>
    </w:p>
    <w:p w14:paraId="013D7B4B">
      <w:pPr>
        <w:spacing w:line="360" w:lineRule="auto"/>
        <w:jc w:val="center"/>
        <w:rPr>
          <w:rFonts w:ascii="黑体" w:hAnsi="黑体" w:eastAsia="黑体"/>
          <w:sz w:val="28"/>
          <w:szCs w:val="28"/>
        </w:rPr>
      </w:pPr>
    </w:p>
    <w:tbl>
      <w:tblPr>
        <w:tblStyle w:val="49"/>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53"/>
        <w:gridCol w:w="2437"/>
        <w:gridCol w:w="1780"/>
        <w:gridCol w:w="1540"/>
        <w:gridCol w:w="883"/>
      </w:tblGrid>
      <w:tr w14:paraId="2D1B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46" w:type="dxa"/>
            <w:vAlign w:val="center"/>
          </w:tcPr>
          <w:p w14:paraId="772BD846">
            <w:pPr>
              <w:adjustRightInd w:val="0"/>
              <w:snapToGrid w:val="0"/>
              <w:spacing w:line="400" w:lineRule="exact"/>
              <w:jc w:val="center"/>
              <w:rPr>
                <w:rFonts w:ascii="宋体" w:hAnsi="宋体"/>
                <w:szCs w:val="21"/>
              </w:rPr>
            </w:pPr>
            <w:r>
              <w:rPr>
                <w:rFonts w:hint="eastAsia" w:ascii="宋体" w:hAnsi="宋体"/>
                <w:szCs w:val="21"/>
              </w:rPr>
              <w:t>标段号</w:t>
            </w:r>
          </w:p>
        </w:tc>
        <w:tc>
          <w:tcPr>
            <w:tcW w:w="1453" w:type="dxa"/>
            <w:vAlign w:val="center"/>
          </w:tcPr>
          <w:p w14:paraId="77CFAB77">
            <w:pPr>
              <w:adjustRightInd w:val="0"/>
              <w:snapToGrid w:val="0"/>
              <w:spacing w:line="400" w:lineRule="exact"/>
              <w:jc w:val="center"/>
              <w:rPr>
                <w:rFonts w:ascii="宋体" w:hAnsi="宋体"/>
                <w:szCs w:val="21"/>
              </w:rPr>
            </w:pPr>
            <w:r>
              <w:rPr>
                <w:rFonts w:hint="eastAsia" w:ascii="宋体" w:hAnsi="宋体"/>
                <w:szCs w:val="21"/>
              </w:rPr>
              <w:t>起讫桩号</w:t>
            </w:r>
          </w:p>
        </w:tc>
        <w:tc>
          <w:tcPr>
            <w:tcW w:w="2437" w:type="dxa"/>
            <w:vAlign w:val="center"/>
          </w:tcPr>
          <w:p w14:paraId="59CD849D">
            <w:pPr>
              <w:adjustRightInd w:val="0"/>
              <w:snapToGrid w:val="0"/>
              <w:spacing w:line="400" w:lineRule="exact"/>
              <w:jc w:val="center"/>
              <w:rPr>
                <w:rFonts w:ascii="宋体" w:hAnsi="宋体"/>
                <w:szCs w:val="21"/>
              </w:rPr>
            </w:pPr>
            <w:r>
              <w:rPr>
                <w:rFonts w:hint="eastAsia" w:ascii="宋体" w:hAnsi="宋体"/>
                <w:szCs w:val="21"/>
              </w:rPr>
              <w:t>施工图勘察设计</w:t>
            </w:r>
          </w:p>
          <w:p w14:paraId="6E338FBC">
            <w:pPr>
              <w:adjustRightInd w:val="0"/>
              <w:snapToGrid w:val="0"/>
              <w:spacing w:line="400" w:lineRule="exact"/>
              <w:jc w:val="center"/>
              <w:rPr>
                <w:rFonts w:ascii="宋体" w:hAnsi="宋体"/>
                <w:szCs w:val="21"/>
              </w:rPr>
            </w:pPr>
            <w:r>
              <w:rPr>
                <w:rFonts w:hint="eastAsia" w:ascii="宋体" w:hAnsi="宋体"/>
                <w:szCs w:val="21"/>
              </w:rPr>
              <w:t>主要工作内容</w:t>
            </w:r>
          </w:p>
        </w:tc>
        <w:tc>
          <w:tcPr>
            <w:tcW w:w="1780" w:type="dxa"/>
            <w:vAlign w:val="center"/>
          </w:tcPr>
          <w:p w14:paraId="3859411E">
            <w:pPr>
              <w:adjustRightInd w:val="0"/>
              <w:snapToGrid w:val="0"/>
              <w:spacing w:line="400" w:lineRule="exact"/>
              <w:jc w:val="center"/>
              <w:rPr>
                <w:rFonts w:ascii="宋体" w:hAnsi="宋体"/>
                <w:szCs w:val="21"/>
              </w:rPr>
            </w:pPr>
            <w:r>
              <w:rPr>
                <w:rFonts w:hint="eastAsia" w:ascii="宋体" w:hAnsi="宋体"/>
                <w:szCs w:val="21"/>
              </w:rPr>
              <w:t>施工</w:t>
            </w:r>
          </w:p>
          <w:p w14:paraId="2C13546F">
            <w:pPr>
              <w:adjustRightInd w:val="0"/>
              <w:snapToGrid w:val="0"/>
              <w:spacing w:line="400" w:lineRule="exact"/>
              <w:jc w:val="center"/>
              <w:rPr>
                <w:rFonts w:ascii="宋体" w:hAnsi="宋体"/>
                <w:szCs w:val="21"/>
              </w:rPr>
            </w:pPr>
            <w:r>
              <w:rPr>
                <w:rFonts w:hint="eastAsia" w:ascii="宋体" w:hAnsi="宋体"/>
                <w:szCs w:val="21"/>
              </w:rPr>
              <w:t>主要工作内容</w:t>
            </w:r>
          </w:p>
        </w:tc>
        <w:tc>
          <w:tcPr>
            <w:tcW w:w="1540" w:type="dxa"/>
            <w:vAlign w:val="center"/>
          </w:tcPr>
          <w:p w14:paraId="325DE2D4">
            <w:pPr>
              <w:adjustRightInd w:val="0"/>
              <w:snapToGrid w:val="0"/>
              <w:spacing w:line="400" w:lineRule="exact"/>
              <w:jc w:val="center"/>
              <w:rPr>
                <w:rFonts w:ascii="宋体" w:hAnsi="宋体"/>
                <w:szCs w:val="21"/>
              </w:rPr>
            </w:pPr>
            <w:r>
              <w:rPr>
                <w:rFonts w:hint="eastAsia" w:ascii="宋体" w:hAnsi="宋体"/>
                <w:szCs w:val="21"/>
              </w:rPr>
              <w:t>主要工程规模</w:t>
            </w:r>
          </w:p>
        </w:tc>
        <w:tc>
          <w:tcPr>
            <w:tcW w:w="883" w:type="dxa"/>
            <w:vAlign w:val="center"/>
          </w:tcPr>
          <w:p w14:paraId="366BB7AA">
            <w:pPr>
              <w:adjustRightInd w:val="0"/>
              <w:snapToGrid w:val="0"/>
              <w:spacing w:line="400" w:lineRule="exact"/>
              <w:jc w:val="center"/>
              <w:rPr>
                <w:rFonts w:ascii="宋体" w:hAnsi="宋体"/>
                <w:szCs w:val="21"/>
              </w:rPr>
            </w:pPr>
            <w:r>
              <w:rPr>
                <w:rFonts w:hint="eastAsia" w:ascii="宋体" w:hAnsi="宋体"/>
                <w:szCs w:val="21"/>
              </w:rPr>
              <w:t>备注</w:t>
            </w:r>
          </w:p>
        </w:tc>
      </w:tr>
      <w:tr w14:paraId="3CFE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6" w:type="dxa"/>
            <w:vMerge w:val="restart"/>
            <w:vAlign w:val="center"/>
          </w:tcPr>
          <w:p w14:paraId="1B82F9C7">
            <w:pPr>
              <w:adjustRightInd w:val="0"/>
              <w:snapToGrid w:val="0"/>
              <w:spacing w:line="400" w:lineRule="exact"/>
              <w:jc w:val="center"/>
              <w:rPr>
                <w:rFonts w:ascii="宋体" w:hAnsi="宋体"/>
                <w:szCs w:val="21"/>
              </w:rPr>
            </w:pPr>
          </w:p>
        </w:tc>
        <w:tc>
          <w:tcPr>
            <w:tcW w:w="1453" w:type="dxa"/>
            <w:vAlign w:val="center"/>
          </w:tcPr>
          <w:p w14:paraId="718EF919">
            <w:pPr>
              <w:adjustRightInd w:val="0"/>
              <w:snapToGrid w:val="0"/>
              <w:spacing w:line="400" w:lineRule="exact"/>
              <w:jc w:val="center"/>
              <w:rPr>
                <w:rFonts w:ascii="宋体" w:hAnsi="宋体"/>
                <w:szCs w:val="21"/>
              </w:rPr>
            </w:pPr>
          </w:p>
        </w:tc>
        <w:tc>
          <w:tcPr>
            <w:tcW w:w="2437" w:type="dxa"/>
            <w:vAlign w:val="center"/>
          </w:tcPr>
          <w:p w14:paraId="2F3E2613">
            <w:pPr>
              <w:adjustRightInd w:val="0"/>
              <w:snapToGrid w:val="0"/>
              <w:spacing w:line="400" w:lineRule="exact"/>
              <w:jc w:val="center"/>
              <w:rPr>
                <w:rFonts w:ascii="宋体" w:hAnsi="宋体"/>
                <w:szCs w:val="21"/>
              </w:rPr>
            </w:pPr>
          </w:p>
        </w:tc>
        <w:tc>
          <w:tcPr>
            <w:tcW w:w="1780" w:type="dxa"/>
            <w:vAlign w:val="center"/>
          </w:tcPr>
          <w:p w14:paraId="5DE3E1CD">
            <w:pPr>
              <w:adjustRightInd w:val="0"/>
              <w:snapToGrid w:val="0"/>
              <w:spacing w:line="400" w:lineRule="exact"/>
              <w:jc w:val="center"/>
              <w:rPr>
                <w:rFonts w:ascii="宋体" w:hAnsi="宋体"/>
                <w:szCs w:val="21"/>
              </w:rPr>
            </w:pPr>
          </w:p>
        </w:tc>
        <w:tc>
          <w:tcPr>
            <w:tcW w:w="1540" w:type="dxa"/>
            <w:vAlign w:val="center"/>
          </w:tcPr>
          <w:p w14:paraId="6FCC33A8">
            <w:pPr>
              <w:adjustRightInd w:val="0"/>
              <w:snapToGrid w:val="0"/>
              <w:spacing w:line="400" w:lineRule="exact"/>
              <w:jc w:val="center"/>
              <w:rPr>
                <w:rFonts w:ascii="宋体" w:hAnsi="宋体"/>
                <w:szCs w:val="21"/>
              </w:rPr>
            </w:pPr>
          </w:p>
        </w:tc>
        <w:tc>
          <w:tcPr>
            <w:tcW w:w="883" w:type="dxa"/>
            <w:vAlign w:val="center"/>
          </w:tcPr>
          <w:p w14:paraId="129991D0">
            <w:pPr>
              <w:adjustRightInd w:val="0"/>
              <w:snapToGrid w:val="0"/>
              <w:spacing w:line="400" w:lineRule="exact"/>
              <w:jc w:val="center"/>
              <w:rPr>
                <w:rFonts w:ascii="宋体" w:hAnsi="宋体"/>
                <w:szCs w:val="21"/>
              </w:rPr>
            </w:pPr>
          </w:p>
        </w:tc>
      </w:tr>
      <w:tr w14:paraId="3831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6" w:type="dxa"/>
            <w:vMerge w:val="continue"/>
            <w:vAlign w:val="center"/>
          </w:tcPr>
          <w:p w14:paraId="6D2854FA">
            <w:pPr>
              <w:adjustRightInd w:val="0"/>
              <w:snapToGrid w:val="0"/>
              <w:spacing w:line="400" w:lineRule="exact"/>
              <w:jc w:val="center"/>
              <w:rPr>
                <w:rFonts w:ascii="宋体" w:hAnsi="宋体"/>
                <w:szCs w:val="21"/>
              </w:rPr>
            </w:pPr>
          </w:p>
        </w:tc>
        <w:tc>
          <w:tcPr>
            <w:tcW w:w="1453" w:type="dxa"/>
            <w:vAlign w:val="center"/>
          </w:tcPr>
          <w:p w14:paraId="310FA9FF">
            <w:pPr>
              <w:adjustRightInd w:val="0"/>
              <w:snapToGrid w:val="0"/>
              <w:spacing w:line="400" w:lineRule="exact"/>
              <w:jc w:val="center"/>
              <w:rPr>
                <w:rFonts w:ascii="宋体" w:hAnsi="宋体"/>
                <w:szCs w:val="21"/>
              </w:rPr>
            </w:pPr>
          </w:p>
        </w:tc>
        <w:tc>
          <w:tcPr>
            <w:tcW w:w="2437" w:type="dxa"/>
            <w:vAlign w:val="center"/>
          </w:tcPr>
          <w:p w14:paraId="62D1FC10">
            <w:pPr>
              <w:adjustRightInd w:val="0"/>
              <w:snapToGrid w:val="0"/>
              <w:spacing w:line="400" w:lineRule="exact"/>
              <w:jc w:val="center"/>
              <w:rPr>
                <w:rFonts w:ascii="宋体" w:hAnsi="宋体"/>
                <w:szCs w:val="21"/>
              </w:rPr>
            </w:pPr>
          </w:p>
        </w:tc>
        <w:tc>
          <w:tcPr>
            <w:tcW w:w="1780" w:type="dxa"/>
            <w:vAlign w:val="center"/>
          </w:tcPr>
          <w:p w14:paraId="03FC29BB">
            <w:pPr>
              <w:adjustRightInd w:val="0"/>
              <w:snapToGrid w:val="0"/>
              <w:spacing w:line="400" w:lineRule="exact"/>
              <w:jc w:val="center"/>
              <w:rPr>
                <w:rFonts w:ascii="宋体" w:hAnsi="宋体"/>
                <w:szCs w:val="21"/>
              </w:rPr>
            </w:pPr>
          </w:p>
        </w:tc>
        <w:tc>
          <w:tcPr>
            <w:tcW w:w="1540" w:type="dxa"/>
            <w:vAlign w:val="center"/>
          </w:tcPr>
          <w:p w14:paraId="1B166E26">
            <w:pPr>
              <w:adjustRightInd w:val="0"/>
              <w:snapToGrid w:val="0"/>
              <w:spacing w:line="400" w:lineRule="exact"/>
              <w:jc w:val="center"/>
              <w:rPr>
                <w:rFonts w:ascii="宋体" w:hAnsi="宋体"/>
                <w:szCs w:val="21"/>
              </w:rPr>
            </w:pPr>
          </w:p>
        </w:tc>
        <w:tc>
          <w:tcPr>
            <w:tcW w:w="883" w:type="dxa"/>
            <w:vAlign w:val="center"/>
          </w:tcPr>
          <w:p w14:paraId="6322C17D">
            <w:pPr>
              <w:adjustRightInd w:val="0"/>
              <w:snapToGrid w:val="0"/>
              <w:spacing w:line="400" w:lineRule="exact"/>
              <w:jc w:val="center"/>
              <w:rPr>
                <w:rFonts w:ascii="宋体" w:hAnsi="宋体"/>
                <w:szCs w:val="21"/>
              </w:rPr>
            </w:pPr>
          </w:p>
        </w:tc>
      </w:tr>
      <w:tr w14:paraId="20C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6" w:type="dxa"/>
            <w:vMerge w:val="continue"/>
            <w:vAlign w:val="center"/>
          </w:tcPr>
          <w:p w14:paraId="6615CF32">
            <w:pPr>
              <w:adjustRightInd w:val="0"/>
              <w:snapToGrid w:val="0"/>
              <w:spacing w:line="400" w:lineRule="exact"/>
              <w:jc w:val="center"/>
              <w:rPr>
                <w:rFonts w:ascii="宋体" w:hAnsi="宋体"/>
                <w:szCs w:val="21"/>
              </w:rPr>
            </w:pPr>
          </w:p>
        </w:tc>
        <w:tc>
          <w:tcPr>
            <w:tcW w:w="1453" w:type="dxa"/>
            <w:vAlign w:val="center"/>
          </w:tcPr>
          <w:p w14:paraId="45282E1A">
            <w:pPr>
              <w:adjustRightInd w:val="0"/>
              <w:snapToGrid w:val="0"/>
              <w:spacing w:line="400" w:lineRule="exact"/>
              <w:jc w:val="center"/>
              <w:rPr>
                <w:rFonts w:ascii="宋体" w:hAnsi="宋体"/>
                <w:szCs w:val="21"/>
              </w:rPr>
            </w:pPr>
          </w:p>
        </w:tc>
        <w:tc>
          <w:tcPr>
            <w:tcW w:w="2437" w:type="dxa"/>
            <w:vAlign w:val="center"/>
          </w:tcPr>
          <w:p w14:paraId="21289322">
            <w:pPr>
              <w:adjustRightInd w:val="0"/>
              <w:snapToGrid w:val="0"/>
              <w:spacing w:line="400" w:lineRule="exact"/>
              <w:jc w:val="center"/>
              <w:rPr>
                <w:rFonts w:ascii="宋体" w:hAnsi="宋体"/>
                <w:szCs w:val="21"/>
              </w:rPr>
            </w:pPr>
          </w:p>
        </w:tc>
        <w:tc>
          <w:tcPr>
            <w:tcW w:w="1780" w:type="dxa"/>
            <w:vAlign w:val="center"/>
          </w:tcPr>
          <w:p w14:paraId="0BE930A4">
            <w:pPr>
              <w:adjustRightInd w:val="0"/>
              <w:snapToGrid w:val="0"/>
              <w:spacing w:line="400" w:lineRule="exact"/>
              <w:jc w:val="center"/>
              <w:rPr>
                <w:rFonts w:ascii="宋体" w:hAnsi="宋体"/>
                <w:szCs w:val="21"/>
              </w:rPr>
            </w:pPr>
          </w:p>
        </w:tc>
        <w:tc>
          <w:tcPr>
            <w:tcW w:w="1540" w:type="dxa"/>
            <w:vAlign w:val="center"/>
          </w:tcPr>
          <w:p w14:paraId="103F13E9">
            <w:pPr>
              <w:adjustRightInd w:val="0"/>
              <w:snapToGrid w:val="0"/>
              <w:spacing w:line="400" w:lineRule="exact"/>
              <w:jc w:val="center"/>
              <w:rPr>
                <w:rFonts w:ascii="宋体" w:hAnsi="宋体"/>
                <w:szCs w:val="21"/>
              </w:rPr>
            </w:pPr>
          </w:p>
        </w:tc>
        <w:tc>
          <w:tcPr>
            <w:tcW w:w="883" w:type="dxa"/>
            <w:vAlign w:val="center"/>
          </w:tcPr>
          <w:p w14:paraId="27565117">
            <w:pPr>
              <w:adjustRightInd w:val="0"/>
              <w:snapToGrid w:val="0"/>
              <w:spacing w:line="400" w:lineRule="exact"/>
              <w:jc w:val="center"/>
              <w:rPr>
                <w:rFonts w:ascii="宋体" w:hAnsi="宋体"/>
                <w:szCs w:val="21"/>
              </w:rPr>
            </w:pPr>
          </w:p>
        </w:tc>
      </w:tr>
      <w:tr w14:paraId="71D9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6" w:type="dxa"/>
            <w:vMerge w:val="restart"/>
            <w:vAlign w:val="center"/>
          </w:tcPr>
          <w:p w14:paraId="5E24E727">
            <w:pPr>
              <w:adjustRightInd w:val="0"/>
              <w:snapToGrid w:val="0"/>
              <w:spacing w:line="400" w:lineRule="exact"/>
              <w:jc w:val="center"/>
              <w:rPr>
                <w:rFonts w:ascii="宋体" w:hAnsi="宋体"/>
                <w:szCs w:val="21"/>
              </w:rPr>
            </w:pPr>
          </w:p>
        </w:tc>
        <w:tc>
          <w:tcPr>
            <w:tcW w:w="1453" w:type="dxa"/>
            <w:vAlign w:val="center"/>
          </w:tcPr>
          <w:p w14:paraId="78275436">
            <w:pPr>
              <w:adjustRightInd w:val="0"/>
              <w:snapToGrid w:val="0"/>
              <w:spacing w:line="400" w:lineRule="exact"/>
              <w:jc w:val="center"/>
              <w:rPr>
                <w:rFonts w:ascii="宋体" w:hAnsi="宋体"/>
                <w:szCs w:val="21"/>
              </w:rPr>
            </w:pPr>
          </w:p>
        </w:tc>
        <w:tc>
          <w:tcPr>
            <w:tcW w:w="2437" w:type="dxa"/>
            <w:vAlign w:val="center"/>
          </w:tcPr>
          <w:p w14:paraId="23E7D37D">
            <w:pPr>
              <w:adjustRightInd w:val="0"/>
              <w:snapToGrid w:val="0"/>
              <w:spacing w:line="400" w:lineRule="exact"/>
              <w:jc w:val="center"/>
              <w:rPr>
                <w:rFonts w:ascii="宋体" w:hAnsi="宋体"/>
                <w:szCs w:val="21"/>
              </w:rPr>
            </w:pPr>
          </w:p>
        </w:tc>
        <w:tc>
          <w:tcPr>
            <w:tcW w:w="1780" w:type="dxa"/>
            <w:vAlign w:val="center"/>
          </w:tcPr>
          <w:p w14:paraId="2FE332A1">
            <w:pPr>
              <w:adjustRightInd w:val="0"/>
              <w:snapToGrid w:val="0"/>
              <w:spacing w:line="400" w:lineRule="exact"/>
              <w:jc w:val="center"/>
              <w:rPr>
                <w:rFonts w:ascii="宋体" w:hAnsi="宋体"/>
                <w:szCs w:val="21"/>
              </w:rPr>
            </w:pPr>
          </w:p>
        </w:tc>
        <w:tc>
          <w:tcPr>
            <w:tcW w:w="1540" w:type="dxa"/>
            <w:vAlign w:val="center"/>
          </w:tcPr>
          <w:p w14:paraId="38947562">
            <w:pPr>
              <w:adjustRightInd w:val="0"/>
              <w:snapToGrid w:val="0"/>
              <w:spacing w:line="400" w:lineRule="exact"/>
              <w:jc w:val="center"/>
              <w:rPr>
                <w:rFonts w:ascii="宋体" w:hAnsi="宋体"/>
                <w:szCs w:val="21"/>
              </w:rPr>
            </w:pPr>
          </w:p>
        </w:tc>
        <w:tc>
          <w:tcPr>
            <w:tcW w:w="883" w:type="dxa"/>
            <w:vAlign w:val="center"/>
          </w:tcPr>
          <w:p w14:paraId="556F9EB0">
            <w:pPr>
              <w:adjustRightInd w:val="0"/>
              <w:snapToGrid w:val="0"/>
              <w:spacing w:line="400" w:lineRule="exact"/>
              <w:jc w:val="center"/>
              <w:rPr>
                <w:rFonts w:ascii="宋体" w:hAnsi="宋体"/>
                <w:szCs w:val="21"/>
              </w:rPr>
            </w:pPr>
          </w:p>
        </w:tc>
      </w:tr>
      <w:tr w14:paraId="0965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6" w:type="dxa"/>
            <w:vMerge w:val="continue"/>
            <w:vAlign w:val="center"/>
          </w:tcPr>
          <w:p w14:paraId="561621B7">
            <w:pPr>
              <w:adjustRightInd w:val="0"/>
              <w:snapToGrid w:val="0"/>
              <w:spacing w:line="400" w:lineRule="exact"/>
              <w:jc w:val="center"/>
              <w:rPr>
                <w:rFonts w:ascii="宋体" w:hAnsi="宋体"/>
                <w:szCs w:val="21"/>
              </w:rPr>
            </w:pPr>
          </w:p>
        </w:tc>
        <w:tc>
          <w:tcPr>
            <w:tcW w:w="1453" w:type="dxa"/>
            <w:vAlign w:val="center"/>
          </w:tcPr>
          <w:p w14:paraId="621B59CF">
            <w:pPr>
              <w:adjustRightInd w:val="0"/>
              <w:snapToGrid w:val="0"/>
              <w:spacing w:line="400" w:lineRule="exact"/>
              <w:jc w:val="center"/>
              <w:rPr>
                <w:rFonts w:ascii="宋体" w:hAnsi="宋体"/>
                <w:szCs w:val="21"/>
              </w:rPr>
            </w:pPr>
          </w:p>
        </w:tc>
        <w:tc>
          <w:tcPr>
            <w:tcW w:w="2437" w:type="dxa"/>
            <w:vAlign w:val="center"/>
          </w:tcPr>
          <w:p w14:paraId="4B08AA7F">
            <w:pPr>
              <w:adjustRightInd w:val="0"/>
              <w:snapToGrid w:val="0"/>
              <w:spacing w:line="400" w:lineRule="exact"/>
              <w:jc w:val="center"/>
              <w:rPr>
                <w:rFonts w:ascii="宋体" w:hAnsi="宋体"/>
                <w:szCs w:val="21"/>
              </w:rPr>
            </w:pPr>
          </w:p>
        </w:tc>
        <w:tc>
          <w:tcPr>
            <w:tcW w:w="1780" w:type="dxa"/>
            <w:vAlign w:val="center"/>
          </w:tcPr>
          <w:p w14:paraId="25C21CA7">
            <w:pPr>
              <w:adjustRightInd w:val="0"/>
              <w:snapToGrid w:val="0"/>
              <w:spacing w:line="400" w:lineRule="exact"/>
              <w:jc w:val="center"/>
              <w:rPr>
                <w:rFonts w:ascii="宋体" w:hAnsi="宋体"/>
                <w:szCs w:val="21"/>
              </w:rPr>
            </w:pPr>
          </w:p>
        </w:tc>
        <w:tc>
          <w:tcPr>
            <w:tcW w:w="1540" w:type="dxa"/>
            <w:vAlign w:val="center"/>
          </w:tcPr>
          <w:p w14:paraId="5E882685">
            <w:pPr>
              <w:adjustRightInd w:val="0"/>
              <w:snapToGrid w:val="0"/>
              <w:spacing w:line="400" w:lineRule="exact"/>
              <w:jc w:val="center"/>
              <w:rPr>
                <w:rFonts w:ascii="宋体" w:hAnsi="宋体"/>
                <w:szCs w:val="21"/>
              </w:rPr>
            </w:pPr>
          </w:p>
        </w:tc>
        <w:tc>
          <w:tcPr>
            <w:tcW w:w="883" w:type="dxa"/>
            <w:vAlign w:val="center"/>
          </w:tcPr>
          <w:p w14:paraId="211DD23E">
            <w:pPr>
              <w:adjustRightInd w:val="0"/>
              <w:snapToGrid w:val="0"/>
              <w:spacing w:line="400" w:lineRule="exact"/>
              <w:jc w:val="center"/>
              <w:rPr>
                <w:rFonts w:ascii="宋体" w:hAnsi="宋体"/>
                <w:szCs w:val="21"/>
              </w:rPr>
            </w:pPr>
          </w:p>
        </w:tc>
      </w:tr>
      <w:tr w14:paraId="700C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6" w:type="dxa"/>
            <w:vMerge w:val="continue"/>
            <w:vAlign w:val="center"/>
          </w:tcPr>
          <w:p w14:paraId="34C47FD2">
            <w:pPr>
              <w:adjustRightInd w:val="0"/>
              <w:snapToGrid w:val="0"/>
              <w:spacing w:line="400" w:lineRule="exact"/>
              <w:jc w:val="center"/>
              <w:rPr>
                <w:rFonts w:ascii="宋体" w:hAnsi="宋体"/>
                <w:szCs w:val="21"/>
              </w:rPr>
            </w:pPr>
          </w:p>
        </w:tc>
        <w:tc>
          <w:tcPr>
            <w:tcW w:w="1453" w:type="dxa"/>
            <w:vAlign w:val="center"/>
          </w:tcPr>
          <w:p w14:paraId="3A2B9264">
            <w:pPr>
              <w:adjustRightInd w:val="0"/>
              <w:snapToGrid w:val="0"/>
              <w:spacing w:line="400" w:lineRule="exact"/>
              <w:jc w:val="center"/>
              <w:rPr>
                <w:rFonts w:ascii="宋体" w:hAnsi="宋体"/>
                <w:szCs w:val="21"/>
              </w:rPr>
            </w:pPr>
          </w:p>
        </w:tc>
        <w:tc>
          <w:tcPr>
            <w:tcW w:w="2437" w:type="dxa"/>
            <w:vAlign w:val="center"/>
          </w:tcPr>
          <w:p w14:paraId="5F980BFE">
            <w:pPr>
              <w:adjustRightInd w:val="0"/>
              <w:snapToGrid w:val="0"/>
              <w:spacing w:line="400" w:lineRule="exact"/>
              <w:jc w:val="center"/>
              <w:rPr>
                <w:rFonts w:ascii="宋体" w:hAnsi="宋体"/>
                <w:szCs w:val="21"/>
              </w:rPr>
            </w:pPr>
          </w:p>
        </w:tc>
        <w:tc>
          <w:tcPr>
            <w:tcW w:w="1780" w:type="dxa"/>
            <w:vAlign w:val="center"/>
          </w:tcPr>
          <w:p w14:paraId="5F6144C6">
            <w:pPr>
              <w:adjustRightInd w:val="0"/>
              <w:snapToGrid w:val="0"/>
              <w:spacing w:line="400" w:lineRule="exact"/>
              <w:jc w:val="center"/>
              <w:rPr>
                <w:rFonts w:ascii="宋体" w:hAnsi="宋体"/>
                <w:szCs w:val="21"/>
              </w:rPr>
            </w:pPr>
          </w:p>
        </w:tc>
        <w:tc>
          <w:tcPr>
            <w:tcW w:w="1540" w:type="dxa"/>
            <w:vAlign w:val="center"/>
          </w:tcPr>
          <w:p w14:paraId="102DD7C3">
            <w:pPr>
              <w:adjustRightInd w:val="0"/>
              <w:snapToGrid w:val="0"/>
              <w:spacing w:line="400" w:lineRule="exact"/>
              <w:jc w:val="center"/>
              <w:rPr>
                <w:rFonts w:ascii="宋体" w:hAnsi="宋体"/>
                <w:szCs w:val="21"/>
              </w:rPr>
            </w:pPr>
          </w:p>
        </w:tc>
        <w:tc>
          <w:tcPr>
            <w:tcW w:w="883" w:type="dxa"/>
            <w:vAlign w:val="center"/>
          </w:tcPr>
          <w:p w14:paraId="5D336A96">
            <w:pPr>
              <w:adjustRightInd w:val="0"/>
              <w:snapToGrid w:val="0"/>
              <w:spacing w:line="400" w:lineRule="exact"/>
              <w:jc w:val="center"/>
              <w:rPr>
                <w:rFonts w:ascii="宋体" w:hAnsi="宋体"/>
                <w:szCs w:val="21"/>
              </w:rPr>
            </w:pPr>
          </w:p>
        </w:tc>
      </w:tr>
      <w:tr w14:paraId="7456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6" w:type="dxa"/>
            <w:vAlign w:val="center"/>
          </w:tcPr>
          <w:p w14:paraId="3279093D">
            <w:pPr>
              <w:widowControl/>
              <w:spacing w:line="200" w:lineRule="exact"/>
              <w:jc w:val="center"/>
              <w:rPr>
                <w:rFonts w:ascii="宋体" w:hAnsi="宋体" w:cs="宋体"/>
                <w:b w:val="0"/>
                <w:bCs/>
                <w:szCs w:val="21"/>
              </w:rPr>
            </w:pPr>
            <w:r>
              <w:rPr>
                <w:rFonts w:hint="eastAsia" w:ascii="宋体" w:hAnsi="宋体" w:cs="宋体"/>
                <w:b w:val="0"/>
                <w:bCs/>
                <w:szCs w:val="21"/>
              </w:rPr>
              <w:t>……</w:t>
            </w:r>
          </w:p>
        </w:tc>
        <w:tc>
          <w:tcPr>
            <w:tcW w:w="1453" w:type="dxa"/>
            <w:vAlign w:val="center"/>
          </w:tcPr>
          <w:p w14:paraId="0850C803">
            <w:pPr>
              <w:widowControl/>
              <w:spacing w:line="200" w:lineRule="exact"/>
              <w:jc w:val="center"/>
              <w:rPr>
                <w:rFonts w:ascii="宋体" w:hAnsi="宋体" w:cs="宋体"/>
                <w:bCs/>
                <w:szCs w:val="21"/>
              </w:rPr>
            </w:pPr>
            <w:r>
              <w:rPr>
                <w:rFonts w:hint="eastAsia" w:ascii="宋体" w:hAnsi="宋体" w:cs="宋体"/>
                <w:b w:val="0"/>
                <w:bCs/>
                <w:szCs w:val="21"/>
              </w:rPr>
              <w:t>……</w:t>
            </w:r>
          </w:p>
        </w:tc>
        <w:tc>
          <w:tcPr>
            <w:tcW w:w="2437" w:type="dxa"/>
            <w:vAlign w:val="center"/>
          </w:tcPr>
          <w:p w14:paraId="2AFD01FB">
            <w:pPr>
              <w:widowControl/>
              <w:spacing w:line="200" w:lineRule="exact"/>
              <w:jc w:val="center"/>
              <w:rPr>
                <w:rFonts w:ascii="宋体" w:hAnsi="宋体" w:cs="宋体"/>
                <w:bCs/>
                <w:szCs w:val="21"/>
              </w:rPr>
            </w:pPr>
            <w:r>
              <w:rPr>
                <w:rFonts w:hint="eastAsia" w:ascii="宋体" w:hAnsi="宋体" w:cs="宋体"/>
                <w:b w:val="0"/>
                <w:bCs/>
                <w:szCs w:val="21"/>
              </w:rPr>
              <w:t>……</w:t>
            </w:r>
          </w:p>
        </w:tc>
        <w:tc>
          <w:tcPr>
            <w:tcW w:w="1780" w:type="dxa"/>
            <w:vAlign w:val="center"/>
          </w:tcPr>
          <w:p w14:paraId="3BDA09E5">
            <w:pPr>
              <w:adjustRightInd w:val="0"/>
              <w:snapToGrid w:val="0"/>
              <w:spacing w:line="400" w:lineRule="exact"/>
              <w:jc w:val="center"/>
              <w:rPr>
                <w:rFonts w:ascii="宋体" w:hAnsi="宋体"/>
                <w:bCs/>
                <w:szCs w:val="21"/>
              </w:rPr>
            </w:pPr>
            <w:r>
              <w:rPr>
                <w:rFonts w:hint="eastAsia" w:ascii="宋体" w:hAnsi="宋体" w:cs="宋体"/>
                <w:b w:val="0"/>
                <w:bCs/>
                <w:szCs w:val="21"/>
              </w:rPr>
              <w:t>……</w:t>
            </w:r>
          </w:p>
        </w:tc>
        <w:tc>
          <w:tcPr>
            <w:tcW w:w="1540" w:type="dxa"/>
            <w:vAlign w:val="center"/>
          </w:tcPr>
          <w:p w14:paraId="707545C0">
            <w:pPr>
              <w:adjustRightInd w:val="0"/>
              <w:snapToGrid w:val="0"/>
              <w:spacing w:line="400" w:lineRule="exact"/>
              <w:jc w:val="center"/>
              <w:rPr>
                <w:rFonts w:ascii="宋体" w:hAnsi="宋体"/>
                <w:bCs/>
                <w:szCs w:val="21"/>
              </w:rPr>
            </w:pPr>
            <w:r>
              <w:rPr>
                <w:rFonts w:hint="eastAsia" w:ascii="宋体" w:hAnsi="宋体" w:cs="宋体"/>
                <w:b w:val="0"/>
                <w:bCs/>
                <w:szCs w:val="21"/>
              </w:rPr>
              <w:t>……</w:t>
            </w:r>
          </w:p>
        </w:tc>
        <w:tc>
          <w:tcPr>
            <w:tcW w:w="883" w:type="dxa"/>
            <w:vAlign w:val="center"/>
          </w:tcPr>
          <w:p w14:paraId="4DA06AD4">
            <w:pPr>
              <w:adjustRightInd w:val="0"/>
              <w:snapToGrid w:val="0"/>
              <w:spacing w:line="400" w:lineRule="exact"/>
              <w:jc w:val="center"/>
              <w:rPr>
                <w:rFonts w:ascii="宋体" w:hAnsi="宋体"/>
                <w:bCs/>
                <w:szCs w:val="21"/>
              </w:rPr>
            </w:pPr>
            <w:r>
              <w:rPr>
                <w:rFonts w:hint="eastAsia" w:ascii="宋体" w:hAnsi="宋体" w:cs="宋体"/>
                <w:b w:val="0"/>
                <w:bCs/>
                <w:szCs w:val="21"/>
              </w:rPr>
              <w:t>……</w:t>
            </w:r>
          </w:p>
        </w:tc>
      </w:tr>
    </w:tbl>
    <w:p w14:paraId="2C71BA0B">
      <w:pPr>
        <w:spacing w:line="500" w:lineRule="exact"/>
        <w:jc w:val="center"/>
        <w:rPr>
          <w:rFonts w:ascii="宋体" w:hAnsi="宋体"/>
          <w:sz w:val="24"/>
        </w:rPr>
      </w:pPr>
    </w:p>
    <w:p w14:paraId="195854B9">
      <w:pPr>
        <w:spacing w:line="500" w:lineRule="exact"/>
        <w:rPr>
          <w:rFonts w:ascii="宋体" w:hAnsi="宋体"/>
          <w:sz w:val="24"/>
        </w:rPr>
      </w:pPr>
    </w:p>
    <w:p w14:paraId="09091AA5">
      <w:pPr>
        <w:spacing w:line="500" w:lineRule="exact"/>
        <w:rPr>
          <w:rFonts w:ascii="宋体" w:hAnsi="宋体"/>
          <w:sz w:val="24"/>
        </w:rPr>
      </w:pPr>
    </w:p>
    <w:p w14:paraId="0ECC0C07">
      <w:pPr>
        <w:spacing w:line="500" w:lineRule="exact"/>
        <w:rPr>
          <w:rFonts w:ascii="宋体" w:hAnsi="宋体"/>
          <w:sz w:val="24"/>
        </w:rPr>
      </w:pPr>
    </w:p>
    <w:p w14:paraId="66B16B19">
      <w:pPr>
        <w:spacing w:line="500" w:lineRule="exact"/>
        <w:rPr>
          <w:rFonts w:ascii="宋体" w:hAnsi="宋体"/>
          <w:sz w:val="24"/>
        </w:rPr>
      </w:pPr>
    </w:p>
    <w:p w14:paraId="0C051C3B">
      <w:pPr>
        <w:spacing w:line="500" w:lineRule="exact"/>
        <w:rPr>
          <w:rFonts w:ascii="宋体" w:hAnsi="宋体"/>
          <w:sz w:val="24"/>
        </w:rPr>
      </w:pPr>
    </w:p>
    <w:p w14:paraId="543E0DF1">
      <w:pPr>
        <w:spacing w:line="500" w:lineRule="exact"/>
        <w:rPr>
          <w:rFonts w:ascii="宋体" w:hAnsi="宋体"/>
          <w:sz w:val="24"/>
        </w:rPr>
      </w:pPr>
    </w:p>
    <w:p w14:paraId="431997AA">
      <w:pPr>
        <w:spacing w:line="500" w:lineRule="exact"/>
        <w:rPr>
          <w:rFonts w:ascii="宋体" w:hAnsi="宋体"/>
          <w:sz w:val="24"/>
        </w:rPr>
      </w:pPr>
    </w:p>
    <w:p w14:paraId="0E5AF55A">
      <w:pPr>
        <w:spacing w:line="500" w:lineRule="exact"/>
        <w:rPr>
          <w:rFonts w:ascii="宋体" w:hAnsi="宋体"/>
          <w:sz w:val="24"/>
        </w:rPr>
      </w:pPr>
    </w:p>
    <w:p w14:paraId="53C49EE1">
      <w:pPr>
        <w:spacing w:line="500" w:lineRule="exact"/>
        <w:rPr>
          <w:rFonts w:ascii="宋体" w:hAnsi="宋体"/>
          <w:sz w:val="24"/>
        </w:rPr>
      </w:pPr>
    </w:p>
    <w:p w14:paraId="4D0B6741">
      <w:pPr>
        <w:spacing w:line="500" w:lineRule="exact"/>
        <w:rPr>
          <w:rFonts w:ascii="宋体" w:hAnsi="宋体"/>
          <w:sz w:val="24"/>
        </w:rPr>
      </w:pPr>
    </w:p>
    <w:p w14:paraId="1EE79242">
      <w:pPr>
        <w:spacing w:line="500" w:lineRule="exact"/>
        <w:rPr>
          <w:rFonts w:ascii="宋体" w:hAnsi="宋体"/>
          <w:sz w:val="24"/>
        </w:rPr>
      </w:pPr>
    </w:p>
    <w:p w14:paraId="5ABEB423">
      <w:pPr>
        <w:spacing w:line="500" w:lineRule="exact"/>
        <w:rPr>
          <w:rFonts w:ascii="宋体" w:hAnsi="宋体"/>
          <w:sz w:val="24"/>
        </w:rPr>
      </w:pPr>
    </w:p>
    <w:p w14:paraId="4451F60E">
      <w:pPr>
        <w:spacing w:line="500" w:lineRule="exact"/>
        <w:rPr>
          <w:rFonts w:ascii="宋体" w:hAnsi="宋体"/>
          <w:sz w:val="24"/>
        </w:rPr>
      </w:pPr>
    </w:p>
    <w:p w14:paraId="051FE911">
      <w:pPr>
        <w:spacing w:line="500" w:lineRule="exact"/>
        <w:rPr>
          <w:rFonts w:ascii="宋体" w:hAnsi="宋体"/>
          <w:sz w:val="24"/>
        </w:rPr>
      </w:pPr>
    </w:p>
    <w:p w14:paraId="443DEFFA">
      <w:pPr>
        <w:spacing w:line="500" w:lineRule="exact"/>
        <w:rPr>
          <w:rFonts w:ascii="宋体" w:hAnsi="宋体"/>
          <w:sz w:val="24"/>
        </w:rPr>
      </w:pPr>
    </w:p>
    <w:p w14:paraId="51433F75">
      <w:pPr>
        <w:spacing w:line="500" w:lineRule="exact"/>
        <w:rPr>
          <w:rFonts w:ascii="宋体" w:hAnsi="宋体"/>
          <w:sz w:val="24"/>
        </w:rPr>
      </w:pPr>
    </w:p>
    <w:p w14:paraId="5137E44F">
      <w:pPr>
        <w:spacing w:line="500" w:lineRule="exact"/>
        <w:rPr>
          <w:rFonts w:ascii="宋体" w:hAnsi="宋体"/>
          <w:sz w:val="24"/>
        </w:rPr>
      </w:pPr>
    </w:p>
    <w:p w14:paraId="3D81D8C6">
      <w:pPr>
        <w:spacing w:line="500" w:lineRule="exact"/>
        <w:rPr>
          <w:rFonts w:ascii="宋体" w:hAnsi="宋体"/>
          <w:sz w:val="24"/>
        </w:rPr>
        <w:sectPr>
          <w:headerReference r:id="rId6" w:type="default"/>
          <w:footnotePr>
            <w:numFmt w:val="decimalEnclosedCircleChinese"/>
            <w:numRestart w:val="eachPage"/>
          </w:footnotePr>
          <w:pgSz w:w="11900" w:h="16840"/>
          <w:pgMar w:top="1418" w:right="1418" w:bottom="1418" w:left="1701" w:header="885" w:footer="624" w:gutter="0"/>
          <w:cols w:space="720" w:num="1"/>
          <w:docGrid w:linePitch="312" w:charSpace="0"/>
        </w:sectPr>
      </w:pPr>
    </w:p>
    <w:p w14:paraId="677459DF">
      <w:pPr>
        <w:pStyle w:val="2"/>
        <w:numPr>
          <w:ilvl w:val="0"/>
          <w:numId w:val="2"/>
        </w:numPr>
        <w:spacing w:before="120" w:after="120" w:line="480" w:lineRule="auto"/>
        <w:jc w:val="center"/>
      </w:pPr>
      <w:bookmarkStart w:id="73" w:name="_Toc53685580"/>
      <w:bookmarkStart w:id="74" w:name="_Toc27059479"/>
      <w:bookmarkStart w:id="75" w:name="_Toc27059750"/>
      <w:bookmarkStart w:id="76" w:name="_Toc519844458"/>
      <w:bookmarkStart w:id="77" w:name="_Toc53685581"/>
      <w:bookmarkStart w:id="78" w:name="_Toc27059660"/>
      <w:bookmarkStart w:id="79" w:name="_Toc27060648"/>
      <w:bookmarkStart w:id="80" w:name="_Toc27059852"/>
      <w:r>
        <w:rPr>
          <w:rStyle w:val="175"/>
          <w:b/>
          <w:bCs w:val="0"/>
          <w:szCs w:val="52"/>
        </w:rPr>
        <w:t xml:space="preserve"> </w:t>
      </w:r>
      <w:r>
        <w:rPr>
          <w:rStyle w:val="175"/>
          <w:rFonts w:hint="eastAsia"/>
          <w:b/>
          <w:bCs w:val="0"/>
          <w:szCs w:val="52"/>
        </w:rPr>
        <w:t>投标人须知</w:t>
      </w:r>
      <w:bookmarkEnd w:id="73"/>
    </w:p>
    <w:p w14:paraId="0F0BFEAC">
      <w:pPr>
        <w:rPr>
          <w:rStyle w:val="175"/>
          <w:bCs w:val="0"/>
          <w:szCs w:val="52"/>
        </w:rPr>
      </w:pPr>
    </w:p>
    <w:p w14:paraId="147A90E5">
      <w:pPr>
        <w:rPr>
          <w:rStyle w:val="175"/>
          <w:bCs w:val="0"/>
          <w:szCs w:val="52"/>
        </w:rPr>
      </w:pPr>
    </w:p>
    <w:p w14:paraId="49E54B38">
      <w:pPr>
        <w:rPr>
          <w:rStyle w:val="175"/>
          <w:bCs w:val="0"/>
          <w:szCs w:val="52"/>
        </w:rPr>
      </w:pPr>
    </w:p>
    <w:p w14:paraId="66002729">
      <w:pPr>
        <w:rPr>
          <w:rStyle w:val="175"/>
          <w:bCs w:val="0"/>
          <w:szCs w:val="52"/>
        </w:rPr>
      </w:pPr>
    </w:p>
    <w:p w14:paraId="40B166EC">
      <w:pPr>
        <w:rPr>
          <w:rStyle w:val="175"/>
          <w:bCs w:val="0"/>
          <w:szCs w:val="52"/>
        </w:rPr>
      </w:pPr>
    </w:p>
    <w:p w14:paraId="4A9CA391"/>
    <w:p w14:paraId="43681BBF"/>
    <w:p w14:paraId="7B760963"/>
    <w:p w14:paraId="18B392FA"/>
    <w:p w14:paraId="28D7A1FB"/>
    <w:p w14:paraId="42144338"/>
    <w:p w14:paraId="2566C3AA"/>
    <w:p w14:paraId="3986653A"/>
    <w:p w14:paraId="751ECBC3">
      <w:pPr>
        <w:spacing w:before="0" w:beforeLines="0" w:after="0" w:afterLines="0"/>
      </w:pPr>
      <w:r>
        <w:rPr>
          <w:rFonts w:ascii="黑体" w:hAnsi="黑体"/>
          <w:szCs w:val="30"/>
        </w:rPr>
        <w:br w:type="page"/>
      </w:r>
    </w:p>
    <w:p w14:paraId="3087229B">
      <w:pPr>
        <w:pStyle w:val="3"/>
        <w:spacing w:before="0" w:beforeLines="0" w:after="0" w:afterLines="0" w:line="360" w:lineRule="auto"/>
        <w:jc w:val="center"/>
        <w:rPr>
          <w:rFonts w:ascii="黑体" w:hAnsi="黑体"/>
          <w:b w:val="0"/>
          <w:sz w:val="30"/>
          <w:szCs w:val="30"/>
        </w:rPr>
      </w:pPr>
      <w:r>
        <w:rPr>
          <w:rFonts w:hint="eastAsia" w:ascii="黑体" w:hAnsi="黑体" w:cs="宋体"/>
          <w:b w:val="0"/>
          <w:sz w:val="36"/>
          <w:szCs w:val="36"/>
        </w:rPr>
        <w:t>第二章</w:t>
      </w:r>
      <w:r>
        <w:rPr>
          <w:rFonts w:ascii="黑体" w:hAnsi="黑体" w:cs="宋体"/>
          <w:b w:val="0"/>
          <w:sz w:val="36"/>
          <w:szCs w:val="36"/>
        </w:rPr>
        <w:t xml:space="preserve">  </w:t>
      </w:r>
      <w:r>
        <w:rPr>
          <w:rFonts w:hint="eastAsia" w:ascii="黑体" w:hAnsi="黑体" w:cs="宋体"/>
          <w:b w:val="0"/>
          <w:sz w:val="36"/>
          <w:szCs w:val="36"/>
        </w:rPr>
        <w:t>投标人须知</w:t>
      </w:r>
    </w:p>
    <w:p w14:paraId="157A5FBA">
      <w:pPr>
        <w:pStyle w:val="3"/>
        <w:spacing w:before="0" w:beforeLines="0" w:after="0" w:afterLines="0" w:line="360" w:lineRule="auto"/>
        <w:rPr>
          <w:rFonts w:ascii="黑体" w:hAnsi="黑体"/>
          <w:sz w:val="30"/>
          <w:szCs w:val="30"/>
        </w:rPr>
      </w:pPr>
      <w:r>
        <w:rPr>
          <w:rFonts w:hint="eastAsia" w:ascii="黑体" w:hAnsi="黑体"/>
          <w:sz w:val="30"/>
          <w:szCs w:val="30"/>
        </w:rPr>
        <w:t>投标人须知前附表</w:t>
      </w:r>
      <w:bookmarkEnd w:id="74"/>
      <w:bookmarkEnd w:id="75"/>
      <w:bookmarkEnd w:id="76"/>
      <w:bookmarkEnd w:id="77"/>
      <w:bookmarkEnd w:id="78"/>
      <w:bookmarkEnd w:id="79"/>
      <w:bookmarkEnd w:id="80"/>
    </w:p>
    <w:p w14:paraId="3392205C">
      <w:pPr>
        <w:spacing w:line="360" w:lineRule="auto"/>
        <w:ind w:firstLine="480" w:firstLineChars="200"/>
        <w:rPr>
          <w:rFonts w:ascii="宋体" w:hAnsi="宋体"/>
          <w:sz w:val="24"/>
        </w:rPr>
      </w:pPr>
      <w:r>
        <w:rPr>
          <w:rFonts w:hint="eastAsia" w:ascii="宋体" w:hAnsi="宋体"/>
          <w:sz w:val="24"/>
        </w:rPr>
        <w:t>“投标人须知前附表”是用于进一步明确正文中的未尽事宜，由招标人根据本项目具体特点和实际需要编写和填写，与正文无抵触且与招标文件其他章节相衔接。“投标人须知前附表”内容与本须知正文不一致的，以“投标人须知前附表”内容为准。“投标人须知前附表”中的附录表格同属“投标人须知前附表”内容，具有同等效力。</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104"/>
        <w:gridCol w:w="5866"/>
      </w:tblGrid>
      <w:tr w14:paraId="2334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3" w:type="dxa"/>
            <w:vAlign w:val="center"/>
          </w:tcPr>
          <w:p w14:paraId="3A0E3727">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2104" w:type="dxa"/>
            <w:vAlign w:val="center"/>
          </w:tcPr>
          <w:p w14:paraId="237805E2">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5866" w:type="dxa"/>
            <w:vAlign w:val="center"/>
          </w:tcPr>
          <w:p w14:paraId="002D5439">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编列内容</w:t>
            </w:r>
          </w:p>
        </w:tc>
      </w:tr>
      <w:tr w14:paraId="4A87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C9BA697">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w:t>
            </w:r>
          </w:p>
        </w:tc>
        <w:tc>
          <w:tcPr>
            <w:tcW w:w="2104" w:type="dxa"/>
            <w:vAlign w:val="center"/>
          </w:tcPr>
          <w:p w14:paraId="14D601D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招标人</w:t>
            </w:r>
          </w:p>
        </w:tc>
        <w:tc>
          <w:tcPr>
            <w:tcW w:w="5866" w:type="dxa"/>
            <w:vAlign w:val="center"/>
          </w:tcPr>
          <w:p w14:paraId="14CBA004">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名称、地址、联系人、电话：见招标公告</w:t>
            </w:r>
          </w:p>
        </w:tc>
      </w:tr>
      <w:tr w14:paraId="41FC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BB81D41">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1.1.3</w:t>
            </w:r>
          </w:p>
        </w:tc>
        <w:tc>
          <w:tcPr>
            <w:tcW w:w="2104" w:type="dxa"/>
            <w:vAlign w:val="center"/>
          </w:tcPr>
          <w:p w14:paraId="1548150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招标代理机构</w:t>
            </w:r>
          </w:p>
        </w:tc>
        <w:tc>
          <w:tcPr>
            <w:tcW w:w="5866" w:type="dxa"/>
            <w:vAlign w:val="center"/>
          </w:tcPr>
          <w:p w14:paraId="2946D348">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名称、地址、联系人、电话：见招标公告</w:t>
            </w:r>
          </w:p>
        </w:tc>
      </w:tr>
      <w:tr w14:paraId="1906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A090732">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1.1.4</w:t>
            </w:r>
          </w:p>
        </w:tc>
        <w:tc>
          <w:tcPr>
            <w:tcW w:w="2104" w:type="dxa"/>
            <w:vAlign w:val="center"/>
          </w:tcPr>
          <w:p w14:paraId="5F31EEE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招标项目名称</w:t>
            </w:r>
          </w:p>
        </w:tc>
        <w:tc>
          <w:tcPr>
            <w:tcW w:w="5866" w:type="dxa"/>
            <w:vAlign w:val="center"/>
          </w:tcPr>
          <w:p w14:paraId="29FCE86D">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（项目名称）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（招标类别）</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标段</w:t>
            </w:r>
          </w:p>
        </w:tc>
      </w:tr>
      <w:tr w14:paraId="07D9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E5BCAA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1.1.5</w:t>
            </w:r>
          </w:p>
        </w:tc>
        <w:tc>
          <w:tcPr>
            <w:tcW w:w="2104" w:type="dxa"/>
            <w:vAlign w:val="center"/>
          </w:tcPr>
          <w:p w14:paraId="7B350B6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建设地点</w:t>
            </w:r>
          </w:p>
        </w:tc>
        <w:tc>
          <w:tcPr>
            <w:tcW w:w="5866" w:type="dxa"/>
            <w:vAlign w:val="bottom"/>
          </w:tcPr>
          <w:p w14:paraId="29CE1592">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14:paraId="2D24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F9ADEF4">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1.2.1</w:t>
            </w:r>
          </w:p>
        </w:tc>
        <w:tc>
          <w:tcPr>
            <w:tcW w:w="2104" w:type="dxa"/>
            <w:vAlign w:val="center"/>
          </w:tcPr>
          <w:p w14:paraId="5035F86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资金来源及比例</w:t>
            </w:r>
          </w:p>
        </w:tc>
        <w:tc>
          <w:tcPr>
            <w:tcW w:w="5866" w:type="dxa"/>
            <w:vAlign w:val="center"/>
          </w:tcPr>
          <w:p w14:paraId="790EA4E5">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14:paraId="6A3A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2436A5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1.2.2</w:t>
            </w:r>
          </w:p>
        </w:tc>
        <w:tc>
          <w:tcPr>
            <w:tcW w:w="2104" w:type="dxa"/>
            <w:vAlign w:val="center"/>
          </w:tcPr>
          <w:p w14:paraId="0DA9889D">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资金落实情况</w:t>
            </w:r>
          </w:p>
        </w:tc>
        <w:tc>
          <w:tcPr>
            <w:tcW w:w="5866" w:type="dxa"/>
            <w:vAlign w:val="center"/>
          </w:tcPr>
          <w:p w14:paraId="4965CB98">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14:paraId="21D3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6F29A3C">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1.3.1</w:t>
            </w:r>
          </w:p>
        </w:tc>
        <w:tc>
          <w:tcPr>
            <w:tcW w:w="2104" w:type="dxa"/>
            <w:vAlign w:val="center"/>
          </w:tcPr>
          <w:p w14:paraId="6CF41DB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招标范围</w:t>
            </w:r>
          </w:p>
        </w:tc>
        <w:tc>
          <w:tcPr>
            <w:tcW w:w="5866" w:type="dxa"/>
            <w:vAlign w:val="center"/>
          </w:tcPr>
          <w:p w14:paraId="089E9435">
            <w:pPr>
              <w:adjustRightInd w:val="0"/>
              <w:snapToGrid w:val="0"/>
              <w:spacing w:line="400" w:lineRule="exact"/>
              <w:rPr>
                <w:rFonts w:asciiTheme="minorEastAsia" w:hAnsiTheme="minorEastAsia" w:eastAsiaTheme="minorEastAsia"/>
                <w:szCs w:val="21"/>
                <w:u w:val="single"/>
              </w:rPr>
            </w:pPr>
            <w:r>
              <w:rPr>
                <w:rFonts w:hint="eastAsia" w:asciiTheme="minorEastAsia" w:hAnsiTheme="minorEastAsia" w:eastAsiaTheme="minorEastAsia"/>
                <w:szCs w:val="21"/>
              </w:rPr>
              <w:t>见招标公告</w:t>
            </w:r>
          </w:p>
        </w:tc>
      </w:tr>
      <w:tr w14:paraId="512D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2C43BB18">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1.3.2</w:t>
            </w:r>
          </w:p>
        </w:tc>
        <w:tc>
          <w:tcPr>
            <w:tcW w:w="2104" w:type="dxa"/>
            <w:vAlign w:val="center"/>
          </w:tcPr>
          <w:p w14:paraId="282E798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计划工期</w:t>
            </w:r>
          </w:p>
        </w:tc>
        <w:tc>
          <w:tcPr>
            <w:tcW w:w="5866" w:type="dxa"/>
            <w:vAlign w:val="bottom"/>
          </w:tcPr>
          <w:p w14:paraId="4AEEFC0E">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见招标公告</w:t>
            </w:r>
          </w:p>
        </w:tc>
      </w:tr>
      <w:tr w14:paraId="03FB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CF6152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1.3.3</w:t>
            </w:r>
          </w:p>
        </w:tc>
        <w:tc>
          <w:tcPr>
            <w:tcW w:w="2104" w:type="dxa"/>
            <w:vAlign w:val="center"/>
          </w:tcPr>
          <w:p w14:paraId="64AFD88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质量标准</w:t>
            </w:r>
          </w:p>
        </w:tc>
        <w:tc>
          <w:tcPr>
            <w:tcW w:w="5866" w:type="dxa"/>
            <w:vAlign w:val="center"/>
          </w:tcPr>
          <w:p w14:paraId="68B8A2FD">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设计要求的质量标准</w:t>
            </w:r>
            <w:r>
              <w:rPr>
                <w:rFonts w:hint="eastAsia" w:asciiTheme="minorEastAsia" w:hAnsiTheme="minorEastAsia" w:eastAsiaTheme="minorEastAsia"/>
                <w:szCs w:val="21"/>
              </w:rPr>
              <w:t>：</w:t>
            </w:r>
            <w:r>
              <w:rPr>
                <w:rFonts w:hint="eastAsia" w:ascii="宋体" w:hAnsi="宋体"/>
                <w:szCs w:val="21"/>
              </w:rPr>
              <w:t>符合国家工程勘察设计质量的相关要求</w:t>
            </w:r>
          </w:p>
          <w:p w14:paraId="6B5FF1B9">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施工要求的质量标准：</w:t>
            </w:r>
          </w:p>
          <w:p w14:paraId="0EF6E773">
            <w:pPr>
              <w:adjustRightInd w:val="0"/>
              <w:snapToGrid w:val="0"/>
              <w:spacing w:line="40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标段工程交工验收的质量评定：合格</w:t>
            </w:r>
          </w:p>
          <w:p w14:paraId="6BFB06A8">
            <w:pPr>
              <w:adjustRightInd w:val="0"/>
              <w:snapToGrid w:val="0"/>
              <w:spacing w:line="40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标段工程竣工验收的质量评定：□优良</w:t>
            </w:r>
            <w:r>
              <w:rPr>
                <w:rFonts w:asciiTheme="minorEastAsia" w:hAnsiTheme="minorEastAsia" w:eastAsiaTheme="minorEastAsia"/>
                <w:szCs w:val="21"/>
              </w:rPr>
              <w:t xml:space="preserve">  </w:t>
            </w:r>
            <w:r>
              <w:rPr>
                <w:rFonts w:hint="eastAsia" w:asciiTheme="minorEastAsia" w:hAnsiTheme="minorEastAsia" w:eastAsiaTheme="minorEastAsia"/>
                <w:szCs w:val="21"/>
              </w:rPr>
              <w:t>□合格</w:t>
            </w:r>
          </w:p>
          <w:p w14:paraId="7547C843">
            <w:pPr>
              <w:adjustRightInd w:val="0"/>
              <w:snapToGrid w:val="0"/>
              <w:spacing w:line="400" w:lineRule="exact"/>
              <w:ind w:firstLine="422" w:firstLineChars="200"/>
              <w:rPr>
                <w:rFonts w:ascii="宋体" w:hAnsi="宋体"/>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房建工程</w:t>
            </w:r>
            <w:r>
              <w:rPr>
                <w:rFonts w:hint="eastAsia" w:ascii="宋体" w:hAnsi="宋体"/>
                <w:szCs w:val="21"/>
              </w:rPr>
              <w:t>标段工程</w:t>
            </w:r>
            <w:r>
              <w:rPr>
                <w:rFonts w:ascii="宋体" w:hAnsi="宋体"/>
                <w:szCs w:val="21"/>
              </w:rPr>
              <w:t>交</w:t>
            </w:r>
            <w:r>
              <w:rPr>
                <w:rFonts w:hint="eastAsia" w:ascii="宋体" w:hAnsi="宋体"/>
                <w:szCs w:val="21"/>
              </w:rPr>
              <w:t>（</w:t>
            </w:r>
            <w:r>
              <w:rPr>
                <w:rFonts w:ascii="宋体" w:hAnsi="宋体"/>
                <w:szCs w:val="21"/>
              </w:rPr>
              <w:t>竣</w:t>
            </w:r>
            <w:r>
              <w:rPr>
                <w:rFonts w:hint="eastAsia" w:ascii="宋体" w:hAnsi="宋体"/>
                <w:szCs w:val="21"/>
              </w:rPr>
              <w:t>）</w:t>
            </w:r>
            <w:r>
              <w:rPr>
                <w:rFonts w:ascii="宋体" w:hAnsi="宋体"/>
                <w:szCs w:val="21"/>
              </w:rPr>
              <w:t>工验收</w:t>
            </w:r>
            <w:r>
              <w:rPr>
                <w:rFonts w:hint="eastAsia" w:ascii="宋体" w:hAnsi="宋体"/>
                <w:szCs w:val="21"/>
              </w:rPr>
              <w:t>的</w:t>
            </w:r>
            <w:r>
              <w:rPr>
                <w:rFonts w:ascii="宋体" w:hAnsi="宋体"/>
                <w:szCs w:val="21"/>
              </w:rPr>
              <w:t>质量</w:t>
            </w:r>
            <w:r>
              <w:rPr>
                <w:rFonts w:hint="eastAsia" w:ascii="宋体" w:hAnsi="宋体"/>
                <w:szCs w:val="21"/>
              </w:rPr>
              <w:t>评定：</w:t>
            </w:r>
            <w:r>
              <w:rPr>
                <w:rFonts w:ascii="宋体" w:hAnsi="宋体"/>
                <w:szCs w:val="21"/>
              </w:rPr>
              <w:t>合格</w:t>
            </w:r>
          </w:p>
          <w:p w14:paraId="3F77B7B6">
            <w:pPr>
              <w:pStyle w:val="299"/>
              <w:adjustRightInd w:val="0"/>
              <w:snapToGrid w:val="0"/>
              <w:spacing w:line="400" w:lineRule="exact"/>
              <w:ind w:firstLine="210" w:firstLineChars="100"/>
              <w:rPr>
                <w:rFonts w:ascii="宋体" w:hAnsi="宋体" w:cs="宋体"/>
                <w:szCs w:val="21"/>
              </w:rPr>
            </w:pPr>
            <w:r>
              <w:rPr>
                <w:rFonts w:hint="eastAsia" w:ascii="宋体" w:hAnsi="宋体" w:cs="宋体"/>
                <w:szCs w:val="21"/>
              </w:rPr>
              <w:t>注：</w:t>
            </w:r>
            <w:r>
              <w:rPr>
                <w:rFonts w:hint="eastAsia"/>
              </w:rPr>
              <w:t>该选项仅适用于招标工程范围包括房建工程的情形。</w:t>
            </w:r>
          </w:p>
          <w:p w14:paraId="7B3E19AC">
            <w:pPr>
              <w:adjustRightInd w:val="0"/>
              <w:snapToGrid w:val="0"/>
              <w:spacing w:line="400" w:lineRule="exact"/>
              <w:ind w:firstLine="422" w:firstLineChars="200"/>
              <w:rPr>
                <w:rFonts w:ascii="宋体" w:hAnsi="宋体" w:cs="宋体"/>
                <w:szCs w:val="21"/>
                <w:u w:val="single"/>
              </w:rPr>
            </w:pPr>
            <w:r>
              <w:rPr>
                <w:rFonts w:hint="eastAsia" w:ascii="宋体" w:hAnsi="宋体" w:cs="宋体"/>
                <w:b/>
                <w:szCs w:val="21"/>
              </w:rPr>
              <w:t>□</w:t>
            </w:r>
            <w:r>
              <w:rPr>
                <w:rFonts w:ascii="宋体" w:hAnsi="宋体" w:cs="宋体"/>
                <w:szCs w:val="21"/>
              </w:rPr>
              <w:t xml:space="preserve"> 其他</w:t>
            </w:r>
            <w:r>
              <w:rPr>
                <w:rFonts w:hint="eastAsia" w:ascii="宋体" w:hAnsi="宋体" w:cs="宋体"/>
                <w:szCs w:val="21"/>
              </w:rPr>
              <w:t>：</w:t>
            </w:r>
            <w:r>
              <w:rPr>
                <w:rFonts w:ascii="宋体" w:hAnsi="宋体" w:cs="宋体"/>
                <w:szCs w:val="21"/>
                <w:u w:val="single"/>
              </w:rPr>
              <w:t xml:space="preserve">            </w:t>
            </w:r>
          </w:p>
          <w:p w14:paraId="71C0C893">
            <w:pPr>
              <w:adjustRightInd w:val="0"/>
              <w:snapToGrid w:val="0"/>
              <w:spacing w:line="400" w:lineRule="exact"/>
              <w:ind w:firstLine="210" w:firstLineChars="100"/>
              <w:rPr>
                <w:rFonts w:ascii="宋体" w:hAnsi="宋体" w:cs="宋体"/>
                <w:szCs w:val="21"/>
                <w:u w:val="single"/>
              </w:rPr>
            </w:pPr>
            <w:r>
              <w:rPr>
                <w:rFonts w:hint="eastAsia" w:ascii="宋体" w:hAnsi="宋体" w:cs="宋体"/>
                <w:szCs w:val="21"/>
              </w:rPr>
              <w:t>注：该选项针对招标人有其他特殊招标范围的情形时对质量提出的要求，但招标人应依法依规设置，不得提过高的要求。</w:t>
            </w:r>
          </w:p>
        </w:tc>
      </w:tr>
      <w:tr w14:paraId="1963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F596F41">
            <w:pPr>
              <w:pStyle w:val="32"/>
              <w:adjustRightInd w:val="0"/>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1.3.4</w:t>
            </w:r>
          </w:p>
        </w:tc>
        <w:tc>
          <w:tcPr>
            <w:tcW w:w="2104" w:type="dxa"/>
            <w:vAlign w:val="center"/>
          </w:tcPr>
          <w:p w14:paraId="79FF1EA6">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安全目标</w:t>
            </w:r>
          </w:p>
        </w:tc>
        <w:tc>
          <w:tcPr>
            <w:tcW w:w="5866" w:type="dxa"/>
            <w:vAlign w:val="center"/>
          </w:tcPr>
          <w:p w14:paraId="2DB9D996">
            <w:pPr>
              <w:adjustRightInd w:val="0"/>
              <w:snapToGrid w:val="0"/>
              <w:spacing w:line="400" w:lineRule="exact"/>
              <w:rPr>
                <w:rFonts w:asciiTheme="minorEastAsia" w:hAnsiTheme="minorEastAsia" w:eastAsiaTheme="minorEastAsia"/>
                <w:szCs w:val="21"/>
                <w:u w:val="single"/>
              </w:rPr>
            </w:pP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p>
          <w:p w14:paraId="4D3463CB">
            <w:pPr>
              <w:adjustRightInd w:val="0"/>
              <w:snapToGrid w:val="0"/>
              <w:spacing w:line="400" w:lineRule="exact"/>
              <w:ind w:firstLine="210" w:firstLineChars="100"/>
              <w:rPr>
                <w:rFonts w:asciiTheme="minorEastAsia" w:hAnsiTheme="minorEastAsia" w:eastAsiaTheme="minorEastAsia"/>
                <w:szCs w:val="21"/>
                <w:u w:val="single"/>
              </w:rPr>
            </w:pPr>
            <w:r>
              <w:rPr>
                <w:rFonts w:hint="eastAsia" w:ascii="宋体" w:hAnsi="宋体" w:cs="宋体"/>
                <w:szCs w:val="21"/>
              </w:rPr>
              <w:t>注：招标人应根据招标项目具体特点和实际需要，对工程施工中的人员安全提出目标要求。</w:t>
            </w:r>
          </w:p>
        </w:tc>
      </w:tr>
      <w:tr w14:paraId="7D9B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3CB548F">
            <w:pPr>
              <w:pStyle w:val="32"/>
              <w:adjustRightInd w:val="0"/>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1.4.1</w:t>
            </w:r>
          </w:p>
        </w:tc>
        <w:tc>
          <w:tcPr>
            <w:tcW w:w="2104" w:type="dxa"/>
            <w:vAlign w:val="center"/>
          </w:tcPr>
          <w:p w14:paraId="3E32C8D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投标人资质条件、能力和信誉</w:t>
            </w:r>
          </w:p>
        </w:tc>
        <w:tc>
          <w:tcPr>
            <w:tcW w:w="5866" w:type="dxa"/>
            <w:vAlign w:val="center"/>
          </w:tcPr>
          <w:p w14:paraId="662834FE">
            <w:pPr>
              <w:adjustRightInd w:val="0"/>
              <w:snapToGrid w:val="0"/>
              <w:spacing w:line="400" w:lineRule="exact"/>
              <w:rPr>
                <w:rFonts w:hint="eastAsia" w:ascii="宋体" w:hAnsi="宋体" w:eastAsia="宋体" w:cs="宋体"/>
                <w:szCs w:val="21"/>
              </w:rPr>
            </w:pPr>
            <w:r>
              <w:rPr>
                <w:rFonts w:hint="eastAsia" w:asciiTheme="minorEastAsia" w:hAnsiTheme="minorEastAsia" w:eastAsiaTheme="minorEastAsia"/>
                <w:szCs w:val="21"/>
              </w:rPr>
              <w:t>资质最低</w:t>
            </w:r>
            <w:r>
              <w:rPr>
                <w:rFonts w:hint="eastAsia" w:ascii="宋体" w:hAnsi="宋体" w:eastAsia="宋体" w:cs="宋体"/>
                <w:szCs w:val="21"/>
              </w:rPr>
              <w:t>要求：见附录1</w:t>
            </w:r>
          </w:p>
          <w:p w14:paraId="03BBC3E8">
            <w:pPr>
              <w:adjustRightInd w:val="0"/>
              <w:snapToGrid w:val="0"/>
              <w:spacing w:line="400" w:lineRule="exact"/>
              <w:rPr>
                <w:rFonts w:hint="eastAsia" w:ascii="宋体" w:hAnsi="宋体" w:eastAsia="宋体" w:cs="宋体"/>
                <w:szCs w:val="21"/>
              </w:rPr>
            </w:pPr>
            <w:r>
              <w:rPr>
                <w:rFonts w:hint="eastAsia" w:ascii="宋体" w:hAnsi="宋体" w:eastAsia="宋体" w:cs="宋体"/>
                <w:szCs w:val="21"/>
              </w:rPr>
              <w:t>财务最低要求：见附录2</w:t>
            </w:r>
          </w:p>
          <w:p w14:paraId="63B150D9">
            <w:pPr>
              <w:adjustRightInd w:val="0"/>
              <w:snapToGrid w:val="0"/>
              <w:spacing w:line="400" w:lineRule="exact"/>
              <w:rPr>
                <w:rFonts w:hint="eastAsia" w:ascii="宋体" w:hAnsi="宋体" w:eastAsia="宋体" w:cs="宋体"/>
                <w:szCs w:val="21"/>
              </w:rPr>
            </w:pPr>
            <w:r>
              <w:rPr>
                <w:rFonts w:hint="eastAsia" w:ascii="宋体" w:hAnsi="宋体" w:eastAsia="宋体" w:cs="宋体"/>
                <w:szCs w:val="21"/>
              </w:rPr>
              <w:t>业绩最低要求：见附录3</w:t>
            </w:r>
          </w:p>
          <w:p w14:paraId="5C02DFAE">
            <w:pPr>
              <w:adjustRightInd w:val="0"/>
              <w:snapToGrid w:val="0"/>
              <w:spacing w:line="400" w:lineRule="exact"/>
              <w:rPr>
                <w:rFonts w:hint="eastAsia" w:ascii="宋体" w:hAnsi="宋体" w:eastAsia="宋体" w:cs="宋体"/>
                <w:szCs w:val="21"/>
              </w:rPr>
            </w:pPr>
            <w:r>
              <w:rPr>
                <w:rFonts w:hint="eastAsia" w:ascii="宋体" w:hAnsi="宋体" w:eastAsia="宋体" w:cs="宋体"/>
                <w:szCs w:val="21"/>
              </w:rPr>
              <w:t>信誉最低要求：见附录4</w:t>
            </w:r>
          </w:p>
          <w:p w14:paraId="1194A0E7">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主要人员最低要求：</w:t>
            </w:r>
            <w:r>
              <w:rPr>
                <w:rFonts w:hint="eastAsia" w:ascii="宋体" w:hAnsi="宋体" w:eastAsia="宋体" w:cs="宋体"/>
                <w:b/>
                <w:szCs w:val="21"/>
              </w:rPr>
              <w:t xml:space="preserve">□ </w:t>
            </w:r>
            <w:r>
              <w:rPr>
                <w:rFonts w:hint="eastAsia" w:ascii="宋体" w:hAnsi="宋体" w:eastAsia="宋体" w:cs="宋体"/>
                <w:szCs w:val="21"/>
              </w:rPr>
              <w:t>见附录5</w:t>
            </w:r>
          </w:p>
          <w:p w14:paraId="498CB13D">
            <w:pPr>
              <w:adjustRightInd w:val="0"/>
              <w:snapToGrid w:val="0"/>
              <w:spacing w:line="400" w:lineRule="exact"/>
              <w:ind w:firstLine="1897" w:firstLineChars="900"/>
              <w:rPr>
                <w:rFonts w:hint="eastAsia" w:ascii="宋体" w:hAnsi="宋体" w:eastAsia="宋体" w:cs="宋体"/>
                <w:b/>
                <w:szCs w:val="21"/>
              </w:rPr>
            </w:pPr>
            <w:r>
              <w:rPr>
                <w:rFonts w:hint="eastAsia" w:ascii="宋体" w:hAnsi="宋体" w:eastAsia="宋体" w:cs="宋体"/>
                <w:b/>
                <w:szCs w:val="21"/>
              </w:rPr>
              <w:t xml:space="preserve">□ </w:t>
            </w:r>
            <w:r>
              <w:rPr>
                <w:rFonts w:hint="eastAsia" w:ascii="宋体" w:hAnsi="宋体" w:eastAsia="宋体" w:cs="宋体"/>
                <w:szCs w:val="21"/>
              </w:rPr>
              <w:t>无</w:t>
            </w:r>
          </w:p>
          <w:p w14:paraId="401597CC">
            <w:pPr>
              <w:adjustRightInd w:val="0"/>
              <w:snapToGrid w:val="0"/>
              <w:spacing w:line="400" w:lineRule="exact"/>
              <w:rPr>
                <w:rFonts w:hint="eastAsia" w:ascii="宋体" w:hAnsi="宋体" w:eastAsia="宋体" w:cs="宋体"/>
                <w:szCs w:val="21"/>
              </w:rPr>
            </w:pPr>
            <w:r>
              <w:rPr>
                <w:rFonts w:hint="eastAsia" w:ascii="宋体" w:hAnsi="宋体" w:eastAsia="宋体" w:cs="宋体"/>
                <w:szCs w:val="21"/>
              </w:rPr>
              <w:t>其他要求</w:t>
            </w:r>
            <w:r>
              <w:rPr>
                <w:rFonts w:hint="eastAsia" w:ascii="宋体" w:hAnsi="宋体" w:eastAsia="宋体" w:cs="宋体"/>
                <w:szCs w:val="21"/>
                <w:vertAlign w:val="superscript"/>
              </w:rPr>
              <w:footnoteReference w:id="0"/>
            </w:r>
            <w:r>
              <w:rPr>
                <w:rFonts w:hint="eastAsia" w:ascii="宋体" w:hAnsi="宋体" w:eastAsia="宋体" w:cs="宋体"/>
                <w:szCs w:val="21"/>
              </w:rPr>
              <w:t xml:space="preserve">： </w:t>
            </w:r>
            <w:r>
              <w:rPr>
                <w:rFonts w:hint="eastAsia" w:ascii="宋体" w:hAnsi="宋体" w:eastAsia="宋体" w:cs="宋体"/>
                <w:b/>
                <w:szCs w:val="21"/>
              </w:rPr>
              <w:t xml:space="preserve">□ </w:t>
            </w:r>
            <w:r>
              <w:rPr>
                <w:rFonts w:hint="eastAsia" w:ascii="宋体" w:hAnsi="宋体" w:eastAsia="宋体" w:cs="宋体"/>
                <w:szCs w:val="21"/>
              </w:rPr>
              <w:t>见附录6</w:t>
            </w:r>
          </w:p>
          <w:p w14:paraId="3AAA44EB">
            <w:pPr>
              <w:adjustRightInd w:val="0"/>
              <w:snapToGrid w:val="0"/>
              <w:spacing w:line="400" w:lineRule="exact"/>
              <w:ind w:firstLine="1265" w:firstLineChars="600"/>
              <w:rPr>
                <w:rFonts w:hint="eastAsia" w:ascii="宋体" w:hAnsi="宋体" w:eastAsia="宋体" w:cs="宋体"/>
                <w:szCs w:val="21"/>
              </w:rPr>
            </w:pPr>
            <w:r>
              <w:rPr>
                <w:rFonts w:hint="eastAsia" w:ascii="宋体" w:hAnsi="宋体" w:eastAsia="宋体" w:cs="宋体"/>
                <w:b/>
                <w:szCs w:val="21"/>
              </w:rPr>
              <w:t xml:space="preserve">□ </w:t>
            </w:r>
            <w:r>
              <w:rPr>
                <w:rFonts w:hint="eastAsia" w:ascii="宋体" w:hAnsi="宋体" w:eastAsia="宋体" w:cs="宋体"/>
                <w:szCs w:val="21"/>
              </w:rPr>
              <w:t>见附录7</w:t>
            </w:r>
          </w:p>
          <w:p w14:paraId="6C4A7677">
            <w:pPr>
              <w:adjustRightInd w:val="0"/>
              <w:snapToGrid w:val="0"/>
              <w:spacing w:line="400" w:lineRule="exact"/>
              <w:ind w:firstLine="1265" w:firstLineChars="600"/>
              <w:rPr>
                <w:rFonts w:ascii="宋体" w:hAnsi="宋体" w:cs="宋体"/>
                <w:szCs w:val="21"/>
              </w:rPr>
            </w:pPr>
            <w:r>
              <w:rPr>
                <w:rFonts w:hint="eastAsia" w:ascii="宋体" w:hAnsi="宋体" w:cs="宋体"/>
                <w:b/>
                <w:szCs w:val="21"/>
              </w:rPr>
              <w:t xml:space="preserve">□ </w:t>
            </w:r>
            <w:r>
              <w:rPr>
                <w:rFonts w:hint="eastAsia" w:ascii="宋体" w:hAnsi="宋体" w:cs="宋体"/>
                <w:szCs w:val="21"/>
              </w:rPr>
              <w:t>见附录8</w:t>
            </w:r>
          </w:p>
          <w:p w14:paraId="4DF69806">
            <w:pPr>
              <w:adjustRightInd w:val="0"/>
              <w:snapToGrid w:val="0"/>
              <w:spacing w:line="400" w:lineRule="exact"/>
              <w:ind w:firstLine="1265" w:firstLineChars="600"/>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b/>
                <w:szCs w:val="21"/>
              </w:rPr>
              <w:t xml:space="preserve"> </w:t>
            </w:r>
            <w:r>
              <w:rPr>
                <w:rFonts w:hint="eastAsia" w:asciiTheme="minorEastAsia" w:hAnsiTheme="minorEastAsia" w:eastAsiaTheme="minorEastAsia"/>
                <w:szCs w:val="21"/>
              </w:rPr>
              <w:t>无</w:t>
            </w:r>
          </w:p>
          <w:p w14:paraId="0F7C2EFC">
            <w:pPr>
              <w:adjustRightInd w:val="0"/>
              <w:snapToGrid w:val="0"/>
              <w:spacing w:line="400" w:lineRule="exact"/>
              <w:ind w:firstLine="0" w:firstLineChars="0"/>
              <w:rPr>
                <w:rFonts w:hint="eastAsia" w:ascii="宋体" w:hAnsi="宋体" w:cs="宋体"/>
              </w:rPr>
            </w:pPr>
            <w:r>
              <w:rPr>
                <w:rFonts w:hint="eastAsia" w:ascii="宋体" w:hAnsi="宋体" w:cs="宋体"/>
              </w:rPr>
              <w:t>1</w:t>
            </w:r>
            <w:r>
              <w:rPr>
                <w:rFonts w:hint="eastAsia" w:ascii="宋体" w:hAnsi="宋体" w:cs="宋体"/>
                <w:szCs w:val="21"/>
              </w:rPr>
              <w:t>.</w:t>
            </w:r>
            <w:r>
              <w:rPr>
                <w:rFonts w:hint="eastAsia"/>
                <w:szCs w:val="21"/>
              </w:rPr>
              <w:t>其他要求中，</w:t>
            </w:r>
            <w:r>
              <w:rPr>
                <w:rFonts w:hint="eastAsia"/>
              </w:rPr>
              <w:t>对于特别复杂的特大桥梁和特长隧道项目主体工程以及其他有特殊要求的工程，招标人还可增加附录</w:t>
            </w:r>
            <w:r>
              <w:t>6</w:t>
            </w:r>
            <w:r>
              <w:rPr>
                <w:rFonts w:hint="eastAsia"/>
              </w:rPr>
              <w:t>对投标人的其他管理和</w:t>
            </w:r>
            <w:r>
              <w:t>技术</w:t>
            </w:r>
            <w:r>
              <w:rPr>
                <w:rFonts w:hint="eastAsia"/>
              </w:rPr>
              <w:t>人员（例如</w:t>
            </w:r>
            <w:r>
              <w:t>项目副经理、专业工程师等</w:t>
            </w:r>
            <w:r>
              <w:rPr>
                <w:rFonts w:hint="eastAsia"/>
              </w:rPr>
              <w:t>）、增加</w:t>
            </w:r>
            <w:r>
              <w:t>附录</w:t>
            </w:r>
            <w:r>
              <w:rPr>
                <w:rFonts w:hint="eastAsia"/>
              </w:rPr>
              <w:t>7对主要机械设备</w:t>
            </w:r>
            <w:r>
              <w:t>和试验检测设备</w:t>
            </w:r>
            <w:r>
              <w:rPr>
                <w:rFonts w:hint="eastAsia"/>
              </w:rPr>
              <w:t>提出要求，对于</w:t>
            </w:r>
            <w:r>
              <w:rPr>
                <w:rFonts w:hint="eastAsia" w:ascii="宋体" w:hAnsi="宋体"/>
              </w:rPr>
              <w:t>公路机电工程（含隧道机电）可增加附录</w:t>
            </w:r>
            <w:r>
              <w:rPr>
                <w:rFonts w:ascii="宋体" w:hAnsi="宋体"/>
              </w:rPr>
              <w:t>8</w:t>
            </w:r>
            <w:r>
              <w:rPr>
                <w:rFonts w:hint="eastAsia" w:ascii="宋体" w:hAnsi="宋体"/>
              </w:rPr>
              <w:t>对关键机电设备主</w:t>
            </w:r>
            <w:r>
              <w:rPr>
                <w:rFonts w:hint="eastAsia" w:ascii="宋体" w:hAnsi="宋体" w:cs="宋体"/>
              </w:rPr>
              <w:t>要技术性能指标提出要求。</w:t>
            </w:r>
          </w:p>
          <w:p w14:paraId="258341A2">
            <w:pPr>
              <w:adjustRightInd w:val="0"/>
              <w:snapToGrid w:val="0"/>
              <w:spacing w:line="400" w:lineRule="exact"/>
              <w:rPr>
                <w:rFonts w:asciiTheme="minorEastAsia" w:hAnsiTheme="minorEastAsia" w:eastAsiaTheme="minorEastAsia"/>
                <w:szCs w:val="21"/>
              </w:rPr>
            </w:pPr>
            <w:r>
              <w:rPr>
                <w:rFonts w:hint="eastAsia" w:ascii="宋体" w:hAnsi="宋体" w:cs="宋体"/>
              </w:rPr>
              <w:t>2.</w:t>
            </w:r>
            <w:r>
              <w:rPr>
                <w:rFonts w:hint="eastAsia"/>
              </w:rPr>
              <w:t>上述要求应附相关证明材料，证明材料以第九章“投标文件格式”中要求为准。</w:t>
            </w:r>
          </w:p>
        </w:tc>
      </w:tr>
      <w:tr w14:paraId="0C1F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8AC4BBA">
            <w:pPr>
              <w:pStyle w:val="32"/>
              <w:adjustRightInd w:val="0"/>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1.4.2</w:t>
            </w:r>
          </w:p>
        </w:tc>
        <w:tc>
          <w:tcPr>
            <w:tcW w:w="2104" w:type="dxa"/>
            <w:vAlign w:val="center"/>
          </w:tcPr>
          <w:p w14:paraId="0FDEB3A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是否接受</w:t>
            </w:r>
          </w:p>
          <w:p w14:paraId="2CC36FE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联合体投标</w:t>
            </w:r>
          </w:p>
        </w:tc>
        <w:tc>
          <w:tcPr>
            <w:tcW w:w="5866" w:type="dxa"/>
            <w:vAlign w:val="center"/>
          </w:tcPr>
          <w:p w14:paraId="22F49720">
            <w:pPr>
              <w:pStyle w:val="256"/>
              <w:tabs>
                <w:tab w:val="left" w:pos="477"/>
              </w:tabs>
              <w:adjustRightInd w:val="0"/>
              <w:snapToGrid w:val="0"/>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标段，不接受</w:t>
            </w:r>
          </w:p>
          <w:p w14:paraId="40D34DD8">
            <w:pPr>
              <w:pStyle w:val="256"/>
              <w:tabs>
                <w:tab w:val="left" w:pos="477"/>
              </w:tabs>
              <w:adjustRightInd w:val="0"/>
              <w:snapToGrid w:val="0"/>
              <w:jc w:val="lef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标段，接受，应满足下列要求：</w:t>
            </w:r>
          </w:p>
          <w:p w14:paraId="2E8AC126">
            <w:pPr>
              <w:pStyle w:val="256"/>
              <w:tabs>
                <w:tab w:val="left" w:pos="477"/>
              </w:tabs>
              <w:adjustRightInd w:val="0"/>
              <w:snapToGrid w:val="0"/>
              <w:jc w:val="left"/>
              <w:rPr>
                <w:rFonts w:asciiTheme="minorEastAsia" w:hAnsiTheme="minorEastAsia" w:eastAsiaTheme="minorEastAsia"/>
                <w:szCs w:val="21"/>
                <w:u w:val="single"/>
              </w:rPr>
            </w:pPr>
            <w:r>
              <w:rPr>
                <w:rFonts w:hint="eastAsia" w:asciiTheme="minorEastAsia" w:hAnsiTheme="minorEastAsia" w:eastAsiaTheme="minorEastAsia"/>
                <w:szCs w:val="21"/>
              </w:rPr>
              <w:t>（</w:t>
            </w:r>
            <w:r>
              <w:rPr>
                <w:rFonts w:asciiTheme="minorEastAsia" w:hAnsiTheme="minorEastAsia" w:eastAsiaTheme="minorEastAsia"/>
                <w:szCs w:val="21"/>
              </w:rPr>
              <w:t>1）联合体所有成员数量不得超过</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家；</w:t>
            </w:r>
          </w:p>
          <w:p w14:paraId="683F2417">
            <w:pPr>
              <w:pStyle w:val="256"/>
              <w:tabs>
                <w:tab w:val="left" w:pos="477"/>
              </w:tabs>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2）联合体应具有的资格条件要求：</w:t>
            </w:r>
            <w:r>
              <w:rPr>
                <w:rFonts w:hint="eastAsia" w:asciiTheme="minorEastAsia" w:hAnsiTheme="minorEastAsia" w:eastAsiaTheme="minorEastAsia"/>
                <w:szCs w:val="21"/>
                <w:u w:val="single"/>
              </w:rPr>
              <w:t>见本须知前附表附录资格审查条件</w:t>
            </w:r>
            <w:r>
              <w:rPr>
                <w:rFonts w:hint="eastAsia" w:asciiTheme="minorEastAsia" w:hAnsiTheme="minorEastAsia" w:eastAsiaTheme="minorEastAsia"/>
                <w:szCs w:val="21"/>
              </w:rPr>
              <w:t>；</w:t>
            </w:r>
          </w:p>
          <w:p w14:paraId="1D084FFE">
            <w:pPr>
              <w:pStyle w:val="256"/>
              <w:tabs>
                <w:tab w:val="left" w:pos="477"/>
              </w:tabs>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szCs w:val="21"/>
                <w:u w:val="single"/>
              </w:rPr>
              <w:t>………</w:t>
            </w:r>
            <w:r>
              <w:rPr>
                <w:rFonts w:hint="eastAsia" w:asciiTheme="minorEastAsia" w:hAnsiTheme="minorEastAsia" w:eastAsiaTheme="minorEastAsia"/>
                <w:szCs w:val="21"/>
              </w:rPr>
              <w:t xml:space="preserve">       </w:t>
            </w:r>
          </w:p>
          <w:p w14:paraId="380B5762">
            <w:pPr>
              <w:pStyle w:val="256"/>
              <w:tabs>
                <w:tab w:val="left" w:pos="477"/>
              </w:tabs>
              <w:adjustRightInd w:val="0"/>
              <w:snapToGrid w:val="0"/>
              <w:spacing w:line="400" w:lineRule="exact"/>
              <w:ind w:firstLine="210" w:firstLineChars="100"/>
              <w:rPr>
                <w:rFonts w:hint="eastAsia" w:asciiTheme="minorEastAsia" w:hAnsiTheme="minorEastAsia" w:eastAsiaTheme="minorEastAsia"/>
                <w:szCs w:val="21"/>
                <w:lang w:eastAsia="zh-CN"/>
              </w:rPr>
            </w:pPr>
            <w:r>
              <w:rPr>
                <w:rFonts w:hint="eastAsia" w:asciiTheme="minorEastAsia" w:hAnsiTheme="minorEastAsia" w:eastAsiaTheme="minorEastAsia"/>
                <w:szCs w:val="21"/>
              </w:rPr>
              <w:t>注：对于接受联合体的情况，</w:t>
            </w:r>
            <w:r>
              <w:rPr>
                <w:rFonts w:hint="eastAsia"/>
              </w:rPr>
              <w:t>招标人要明确联合体牵头人、成员方的资格要求，投标人组成联合体的资格根据联合体协议书中约定的内部职责分工以及本须知前附表附录资格审查条件中对应的专业资质、财务、业绩、信誉、人员等要求最终认定。</w:t>
            </w:r>
          </w:p>
        </w:tc>
      </w:tr>
      <w:tr w14:paraId="308D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662C9A0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1.4.3</w:t>
            </w:r>
          </w:p>
        </w:tc>
        <w:tc>
          <w:tcPr>
            <w:tcW w:w="2104" w:type="dxa"/>
            <w:vAlign w:val="center"/>
          </w:tcPr>
          <w:p w14:paraId="2B61C90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投标人不得存在的其他关联情形</w:t>
            </w:r>
          </w:p>
        </w:tc>
        <w:tc>
          <w:tcPr>
            <w:tcW w:w="5866" w:type="dxa"/>
            <w:vAlign w:val="center"/>
          </w:tcPr>
          <w:p w14:paraId="0BB31317">
            <w:pPr>
              <w:pStyle w:val="256"/>
              <w:numPr>
                <w:ilvl w:val="255"/>
                <w:numId w:val="0"/>
              </w:num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1．第（3）目补充：单位负责人，是指单位法定代表人或者法律、行政法规规定代表单位行使职权的主要负责人</w:t>
            </w:r>
            <w:r>
              <w:rPr>
                <w:rFonts w:hint="eastAsia" w:asciiTheme="minorEastAsia" w:hAnsiTheme="minorEastAsia" w:eastAsiaTheme="minorEastAsia"/>
                <w:szCs w:val="21"/>
              </w:rPr>
              <w:t>；</w:t>
            </w:r>
          </w:p>
          <w:p w14:paraId="2E13612E">
            <w:pPr>
              <w:pStyle w:val="256"/>
              <w:numPr>
                <w:ilvl w:val="255"/>
                <w:numId w:val="0"/>
              </w:num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2．第（4）</w:t>
            </w:r>
            <w:r>
              <w:rPr>
                <w:rFonts w:hint="eastAsia" w:asciiTheme="minorEastAsia" w:hAnsiTheme="minorEastAsia" w:eastAsiaTheme="minorEastAsia"/>
                <w:szCs w:val="21"/>
              </w:rPr>
              <w:t>目补充：</w:t>
            </w:r>
          </w:p>
          <w:p w14:paraId="26C5CA03">
            <w:pPr>
              <w:pStyle w:val="256"/>
              <w:numPr>
                <w:ilvl w:val="255"/>
                <w:numId w:val="0"/>
              </w:numPr>
              <w:adjustRightInd w:val="0"/>
              <w:snapToGrid w:val="0"/>
              <w:spacing w:line="400" w:lineRule="exact"/>
              <w:ind w:firstLine="210" w:firstLineChars="100"/>
              <w:rPr>
                <w:rFonts w:asciiTheme="minorEastAsia" w:hAnsiTheme="minorEastAsia" w:eastAsiaTheme="minorEastAsia"/>
                <w:szCs w:val="21"/>
              </w:rPr>
            </w:pPr>
            <w:r>
              <w:rPr>
                <w:rFonts w:asciiTheme="minorEastAsia" w:hAnsiTheme="minorEastAsia" w:eastAsiaTheme="minorEastAsia"/>
                <w:szCs w:val="21"/>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szCs w:val="21"/>
                <w:lang w:val="en-US" w:eastAsia="zh-CN"/>
              </w:rPr>
              <w:t>股东</w:t>
            </w:r>
            <w:r>
              <w:rPr>
                <w:rFonts w:asciiTheme="minorEastAsia" w:hAnsiTheme="minorEastAsia" w:eastAsiaTheme="minorEastAsia"/>
                <w:szCs w:val="21"/>
              </w:rPr>
              <w:t>。</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p>
          <w:p w14:paraId="72DF2562">
            <w:pPr>
              <w:pStyle w:val="256"/>
              <w:numPr>
                <w:ilvl w:val="255"/>
                <w:numId w:val="0"/>
              </w:numPr>
              <w:adjustRightInd w:val="0"/>
              <w:snapToGrid w:val="0"/>
              <w:spacing w:line="400" w:lineRule="exact"/>
              <w:ind w:firstLine="210" w:firstLineChars="100"/>
              <w:rPr>
                <w:rFonts w:hint="eastAsia" w:asciiTheme="minorEastAsia" w:hAnsiTheme="minorEastAsia" w:eastAsiaTheme="minorEastAsia"/>
                <w:szCs w:val="21"/>
                <w:lang w:eastAsia="zh-CN"/>
              </w:rPr>
            </w:pPr>
            <w:r>
              <w:rPr>
                <w:rFonts w:asciiTheme="minorEastAsia" w:hAnsiTheme="minorEastAsia" w:eastAsiaTheme="minorEastAsia"/>
                <w:szCs w:val="21"/>
              </w:rPr>
              <w:t>管理关系，是指不具有出资持股关系的其他单位之间存在的管理与被管理关系</w:t>
            </w:r>
            <w:r>
              <w:rPr>
                <w:rFonts w:hint="eastAsia" w:asciiTheme="minorEastAsia" w:hAnsiTheme="minorEastAsia" w:eastAsiaTheme="minorEastAsia"/>
                <w:szCs w:val="21"/>
                <w:lang w:eastAsia="zh-CN"/>
              </w:rPr>
              <w:t>。</w:t>
            </w:r>
          </w:p>
          <w:p w14:paraId="5F9FE8A9">
            <w:pPr>
              <w:pStyle w:val="256"/>
              <w:numPr>
                <w:ilvl w:val="-1"/>
                <w:numId w:val="0"/>
              </w:numPr>
              <w:adjustRightInd w:val="0"/>
              <w:snapToGrid w:val="0"/>
              <w:spacing w:line="400" w:lineRule="exact"/>
              <w:rPr>
                <w:rFonts w:cs="Times New Roman"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第（1</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）目其他关联</w:t>
            </w:r>
            <w:r>
              <w:rPr>
                <w:rFonts w:hint="eastAsia" w:asciiTheme="minorEastAsia" w:hAnsiTheme="minorEastAsia" w:eastAsiaTheme="minorEastAsia"/>
                <w:szCs w:val="21"/>
              </w:rPr>
              <w:t>情形</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asciiTheme="minorEastAsia" w:hAnsiTheme="minorEastAsia" w:eastAsiaTheme="minorEastAsia"/>
                <w:szCs w:val="21"/>
                <w:u w:val="single"/>
              </w:rPr>
              <w:t xml:space="preserve"> </w:t>
            </w:r>
          </w:p>
        </w:tc>
      </w:tr>
      <w:tr w14:paraId="21C5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7E9995AE">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1.4.4</w:t>
            </w:r>
          </w:p>
        </w:tc>
        <w:tc>
          <w:tcPr>
            <w:tcW w:w="2104" w:type="dxa"/>
            <w:vAlign w:val="center"/>
          </w:tcPr>
          <w:p w14:paraId="44A191F6">
            <w:pPr>
              <w:adjustRightInd w:val="0"/>
              <w:snapToGrid w:val="0"/>
              <w:spacing w:line="4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投标人不得存在的其他不良状况或不良信用记录</w:t>
            </w:r>
          </w:p>
        </w:tc>
        <w:tc>
          <w:tcPr>
            <w:tcW w:w="5866" w:type="dxa"/>
            <w:vAlign w:val="center"/>
          </w:tcPr>
          <w:p w14:paraId="6D2453F7">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1．本项第（4）、（5）、（6）目要求见本</w:t>
            </w:r>
            <w:r>
              <w:rPr>
                <w:rFonts w:hint="eastAsia" w:asciiTheme="minorEastAsia" w:hAnsiTheme="minorEastAsia" w:eastAsiaTheme="minorEastAsia"/>
                <w:szCs w:val="21"/>
              </w:rPr>
              <w:t>须知</w:t>
            </w:r>
            <w:r>
              <w:rPr>
                <w:rFonts w:asciiTheme="minorEastAsia" w:hAnsiTheme="minorEastAsia" w:eastAsiaTheme="minorEastAsia"/>
                <w:szCs w:val="21"/>
              </w:rPr>
              <w:t>前附表第1.4.1项</w:t>
            </w:r>
            <w:r>
              <w:rPr>
                <w:rFonts w:hint="eastAsia" w:asciiTheme="minorEastAsia" w:hAnsiTheme="minorEastAsia" w:eastAsiaTheme="minorEastAsia"/>
                <w:szCs w:val="21"/>
              </w:rPr>
              <w:t>中“</w:t>
            </w:r>
            <w:r>
              <w:rPr>
                <w:rFonts w:asciiTheme="minorEastAsia" w:hAnsiTheme="minorEastAsia" w:eastAsiaTheme="minorEastAsia"/>
                <w:szCs w:val="21"/>
              </w:rPr>
              <w:t>信誉</w:t>
            </w:r>
            <w:r>
              <w:rPr>
                <w:rFonts w:hint="eastAsia" w:asciiTheme="minorEastAsia" w:hAnsiTheme="minorEastAsia" w:eastAsiaTheme="minorEastAsia"/>
                <w:szCs w:val="21"/>
              </w:rPr>
              <w:t>最低</w:t>
            </w:r>
            <w:r>
              <w:rPr>
                <w:rFonts w:asciiTheme="minorEastAsia" w:hAnsiTheme="minorEastAsia" w:eastAsiaTheme="minorEastAsia"/>
                <w:szCs w:val="21"/>
              </w:rPr>
              <w:t>要求</w:t>
            </w:r>
            <w:r>
              <w:rPr>
                <w:rFonts w:hint="eastAsia" w:asciiTheme="minorEastAsia" w:hAnsiTheme="minorEastAsia" w:eastAsiaTheme="minorEastAsia"/>
                <w:szCs w:val="21"/>
              </w:rPr>
              <w:t>”；</w:t>
            </w:r>
          </w:p>
          <w:p w14:paraId="3B8541EA">
            <w:pPr>
              <w:adjustRightInd w:val="0"/>
              <w:snapToGrid w:val="0"/>
              <w:spacing w:line="400" w:lineRule="exact"/>
              <w:rPr>
                <w:rFonts w:asciiTheme="minorEastAsia" w:hAnsiTheme="minorEastAsia" w:eastAsiaTheme="minorEastAsia"/>
                <w:szCs w:val="21"/>
                <w:u w:val="single"/>
              </w:rPr>
            </w:pPr>
            <w:r>
              <w:rPr>
                <w:rFonts w:asciiTheme="minorEastAsia" w:hAnsiTheme="minorEastAsia" w:eastAsiaTheme="minorEastAsia"/>
                <w:szCs w:val="21"/>
              </w:rPr>
              <w:t>2.</w:t>
            </w:r>
            <w:r>
              <w:rPr>
                <w:rFonts w:hint="eastAsia" w:asciiTheme="minorEastAsia" w:hAnsiTheme="minorEastAsia" w:eastAsiaTheme="minorEastAsia"/>
                <w:szCs w:val="21"/>
              </w:rPr>
              <w:t>第（7）目其他不良状况或不良信用记录：</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tc>
      </w:tr>
      <w:tr w14:paraId="75E1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0533E973">
            <w:pPr>
              <w:wordWrap w:val="0"/>
              <w:adjustRightInd w:val="0"/>
              <w:snapToGrid w:val="0"/>
              <w:spacing w:line="34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1.4.5</w:t>
            </w:r>
          </w:p>
        </w:tc>
        <w:tc>
          <w:tcPr>
            <w:tcW w:w="2104" w:type="dxa"/>
            <w:shd w:val="clear" w:color="auto" w:fill="auto"/>
            <w:vAlign w:val="center"/>
          </w:tcPr>
          <w:p w14:paraId="373D15AF">
            <w:pPr>
              <w:wordWrap w:val="0"/>
              <w:adjustRightInd w:val="0"/>
              <w:snapToGrid w:val="0"/>
              <w:spacing w:line="34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投标人应进入交通运输部“</w:t>
            </w:r>
            <w:r>
              <w:rPr>
                <w:rFonts w:hint="eastAsia" w:ascii="宋体" w:hAnsi="宋体" w:cs="宋体"/>
                <w:szCs w:val="21"/>
              </w:rPr>
              <w:t>全国公路建设市场监督管理系统</w:t>
            </w:r>
            <w:r>
              <w:rPr>
                <w:rFonts w:hint="eastAsia" w:asciiTheme="minorEastAsia" w:hAnsiTheme="minorEastAsia" w:eastAsiaTheme="minorEastAsia"/>
                <w:szCs w:val="21"/>
              </w:rPr>
              <w:t>”中的</w:t>
            </w:r>
            <w:r>
              <w:rPr>
                <w:rFonts w:hint="eastAsia" w:asciiTheme="minorEastAsia" w:hAnsiTheme="minorEastAsia" w:eastAsiaTheme="minorEastAsia"/>
                <w:szCs w:val="21"/>
                <w:lang w:val="en-US" w:eastAsia="zh-CN"/>
              </w:rPr>
              <w:t>设计、</w:t>
            </w:r>
            <w:r>
              <w:rPr>
                <w:rFonts w:hint="eastAsia" w:asciiTheme="minorEastAsia" w:hAnsiTheme="minorEastAsia" w:eastAsiaTheme="minorEastAsia"/>
                <w:szCs w:val="21"/>
              </w:rPr>
              <w:t>施工资质企业名录</w:t>
            </w:r>
          </w:p>
        </w:tc>
        <w:tc>
          <w:tcPr>
            <w:tcW w:w="5866" w:type="dxa"/>
            <w:shd w:val="clear" w:color="auto" w:fill="auto"/>
            <w:vAlign w:val="center"/>
          </w:tcPr>
          <w:p w14:paraId="50325B4C">
            <w:pPr>
              <w:adjustRightInd w:val="0"/>
              <w:snapToGrid w:val="0"/>
              <w:spacing w:line="34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采纳</w:t>
            </w:r>
          </w:p>
          <w:p w14:paraId="7E2F852E">
            <w:pPr>
              <w:wordWrap w:val="0"/>
              <w:adjustRightInd w:val="0"/>
              <w:snapToGrid w:val="0"/>
              <w:spacing w:line="340" w:lineRule="exac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不采纳</w:t>
            </w:r>
          </w:p>
        </w:tc>
      </w:tr>
      <w:tr w14:paraId="7AC1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75D02B42">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1.10.2</w:t>
            </w:r>
          </w:p>
        </w:tc>
        <w:tc>
          <w:tcPr>
            <w:tcW w:w="2104" w:type="dxa"/>
            <w:vAlign w:val="center"/>
          </w:tcPr>
          <w:p w14:paraId="55084973">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投标人在投标预备会前提出问题</w:t>
            </w:r>
          </w:p>
        </w:tc>
        <w:tc>
          <w:tcPr>
            <w:tcW w:w="5866" w:type="dxa"/>
            <w:vAlign w:val="center"/>
          </w:tcPr>
          <w:p w14:paraId="456D666C">
            <w:pPr>
              <w:adjustRightInd w:val="0"/>
              <w:snapToGrid w:val="0"/>
              <w:spacing w:line="400" w:lineRule="exact"/>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时间：在召开预备会时间之前（如有）</w:t>
            </w:r>
          </w:p>
          <w:p w14:paraId="632CF36E">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形式：以匿名方式在</w:t>
            </w:r>
            <w:r>
              <w:rPr>
                <w:rFonts w:hint="eastAsia" w:ascii="宋体" w:hAnsi="宋体" w:cs="宋体"/>
                <w:sz w:val="21"/>
                <w:szCs w:val="21"/>
                <w:lang w:eastAsia="zh-CN"/>
              </w:rPr>
              <w:t>“乐山市公共资源交易服务平台电子招投标系统”</w:t>
            </w:r>
            <w:r>
              <w:rPr>
                <w:rFonts w:hint="eastAsia" w:asciiTheme="minorEastAsia" w:hAnsiTheme="minorEastAsia" w:eastAsiaTheme="minorEastAsia"/>
                <w:szCs w:val="21"/>
              </w:rPr>
              <w:t>本项目“澄清”菜单中提出问题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也可采用</w:t>
            </w:r>
            <w:r>
              <w:rPr>
                <w:rFonts w:hint="eastAsia" w:ascii="宋体" w:hAnsi="宋体" w:eastAsia="宋体" w:cs="宋体"/>
                <w:snapToGrid w:val="0"/>
                <w:color w:val="auto"/>
                <w:kern w:val="0"/>
                <w:highlight w:val="none"/>
                <w:lang w:val="en-US" w:eastAsia="zh-CN"/>
              </w:rPr>
              <w:t>匿名书面方式进行</w:t>
            </w:r>
          </w:p>
        </w:tc>
      </w:tr>
      <w:tr w14:paraId="703A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6356724">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1.11.1</w:t>
            </w:r>
          </w:p>
        </w:tc>
        <w:tc>
          <w:tcPr>
            <w:tcW w:w="2104" w:type="dxa"/>
            <w:vAlign w:val="center"/>
          </w:tcPr>
          <w:p w14:paraId="3E02EBED">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分包</w:t>
            </w:r>
          </w:p>
        </w:tc>
        <w:tc>
          <w:tcPr>
            <w:tcW w:w="5866" w:type="dxa"/>
            <w:vAlign w:val="center"/>
          </w:tcPr>
          <w:p w14:paraId="4612F119">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不允许</w:t>
            </w:r>
          </w:p>
          <w:p w14:paraId="7C2CB942">
            <w:pPr>
              <w:adjustRightInd w:val="0"/>
              <w:snapToGrid w:val="0"/>
              <w:spacing w:line="400" w:lineRule="exact"/>
              <w:ind w:left="211" w:hanging="211" w:hangingChars="100"/>
              <w:rPr>
                <w:rFonts w:cs="宋体" w:asciiTheme="minorEastAsia" w:hAnsiTheme="minorEastAsia" w:eastAsiaTheme="minorEastAsia"/>
                <w:szCs w:val="21"/>
                <w:u w:val="single"/>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允许，分包的专项工程要求：</w:t>
            </w:r>
            <w:r>
              <w:rPr>
                <w:rFonts w:cs="宋体" w:asciiTheme="minorEastAsia" w:hAnsiTheme="minorEastAsia" w:eastAsiaTheme="minorEastAsia"/>
                <w:szCs w:val="21"/>
                <w:u w:val="single"/>
              </w:rPr>
              <w:t xml:space="preserve">                </w:t>
            </w:r>
          </w:p>
          <w:p w14:paraId="5092EC76">
            <w:pPr>
              <w:adjustRightInd w:val="0"/>
              <w:snapToGrid w:val="0"/>
              <w:spacing w:line="400" w:lineRule="exact"/>
              <w:ind w:left="210" w:hanging="210" w:hangingChars="100"/>
              <w:rPr>
                <w:rFonts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对分包人的资格要求：</w:t>
            </w:r>
            <w:r>
              <w:rPr>
                <w:rFonts w:cs="宋体" w:asciiTheme="minorEastAsia" w:hAnsiTheme="minorEastAsia" w:eastAsiaTheme="minorEastAsia"/>
                <w:szCs w:val="21"/>
                <w:u w:val="single"/>
              </w:rPr>
              <w:t xml:space="preserve">              </w:t>
            </w:r>
          </w:p>
        </w:tc>
      </w:tr>
      <w:tr w14:paraId="320C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630C264F">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1.12.3</w:t>
            </w:r>
          </w:p>
        </w:tc>
        <w:tc>
          <w:tcPr>
            <w:tcW w:w="2104" w:type="dxa"/>
            <w:vAlign w:val="center"/>
          </w:tcPr>
          <w:p w14:paraId="22C2B2C8">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w:t>
            </w:r>
          </w:p>
        </w:tc>
        <w:tc>
          <w:tcPr>
            <w:tcW w:w="5866" w:type="dxa"/>
            <w:vAlign w:val="center"/>
          </w:tcPr>
          <w:p w14:paraId="09800B62">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本项细化为：</w:t>
            </w:r>
          </w:p>
          <w:p w14:paraId="49C27AFD">
            <w:pPr>
              <w:adjustRightInd w:val="0"/>
              <w:snapToGrid w:val="0"/>
              <w:spacing w:line="400" w:lineRule="exact"/>
              <w:rPr>
                <w:rFonts w:asciiTheme="minorEastAsia" w:hAnsiTheme="minorEastAsia" w:eastAsiaTheme="minorEastAsia"/>
                <w:szCs w:val="21"/>
                <w:u w:val="single"/>
              </w:rPr>
            </w:pPr>
            <w:r>
              <w:rPr>
                <w:rFonts w:hint="eastAsia" w:asciiTheme="minorEastAsia" w:hAnsiTheme="minorEastAsia" w:eastAsiaTheme="minorEastAsia"/>
                <w:szCs w:val="21"/>
              </w:rPr>
              <w:t>投标文件存在第三章“评标办法”中所列任一否决投标情形以外的情况均视为细微偏差</w:t>
            </w:r>
          </w:p>
        </w:tc>
      </w:tr>
      <w:tr w14:paraId="633C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B4AC1EC">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1.12.4</w:t>
            </w:r>
          </w:p>
        </w:tc>
        <w:tc>
          <w:tcPr>
            <w:tcW w:w="2104" w:type="dxa"/>
            <w:vAlign w:val="center"/>
          </w:tcPr>
          <w:p w14:paraId="6F52D68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细微偏差的处理</w:t>
            </w:r>
          </w:p>
        </w:tc>
        <w:tc>
          <w:tcPr>
            <w:tcW w:w="5866" w:type="dxa"/>
            <w:vAlign w:val="center"/>
          </w:tcPr>
          <w:p w14:paraId="5BADC49D">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见第三章“评标办法”</w:t>
            </w:r>
          </w:p>
        </w:tc>
      </w:tr>
      <w:tr w14:paraId="4A02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45DA5B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2.1</w:t>
            </w:r>
          </w:p>
        </w:tc>
        <w:tc>
          <w:tcPr>
            <w:tcW w:w="2104" w:type="dxa"/>
            <w:vAlign w:val="center"/>
          </w:tcPr>
          <w:p w14:paraId="0EED33B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构成招标文件</w:t>
            </w:r>
          </w:p>
          <w:p w14:paraId="13D6B9E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的其他资料</w:t>
            </w:r>
          </w:p>
        </w:tc>
        <w:tc>
          <w:tcPr>
            <w:tcW w:w="5866" w:type="dxa"/>
            <w:vAlign w:val="center"/>
          </w:tcPr>
          <w:p w14:paraId="1083D012">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p>
        </w:tc>
      </w:tr>
      <w:tr w14:paraId="2BDD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71E8AE8">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2.2.1</w:t>
            </w:r>
          </w:p>
        </w:tc>
        <w:tc>
          <w:tcPr>
            <w:tcW w:w="2104" w:type="dxa"/>
            <w:vAlign w:val="center"/>
          </w:tcPr>
          <w:p w14:paraId="5BD37BAF">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投标人要求澄清招标文件</w:t>
            </w:r>
          </w:p>
        </w:tc>
        <w:tc>
          <w:tcPr>
            <w:tcW w:w="5866" w:type="dxa"/>
            <w:vAlign w:val="center"/>
          </w:tcPr>
          <w:p w14:paraId="63F89D0E">
            <w:pPr>
              <w:adjustRightInd w:val="0"/>
              <w:snapToGrid w:val="0"/>
              <w:spacing w:line="400" w:lineRule="exact"/>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时间：递交投标文件截止之日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日前</w:t>
            </w:r>
          </w:p>
          <w:p w14:paraId="7F19CE8B">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形式：以匿名方式在</w:t>
            </w:r>
            <w:r>
              <w:rPr>
                <w:rFonts w:hint="eastAsia" w:ascii="宋体" w:hAnsi="宋体" w:cs="宋体"/>
                <w:sz w:val="21"/>
                <w:szCs w:val="21"/>
                <w:lang w:eastAsia="zh-CN"/>
              </w:rPr>
              <w:t>“乐山市公共资源交易服务平台电子招投标系统”</w:t>
            </w:r>
            <w:r>
              <w:rPr>
                <w:rFonts w:hint="eastAsia" w:asciiTheme="minorEastAsia" w:hAnsiTheme="minorEastAsia" w:eastAsiaTheme="minorEastAsia"/>
                <w:szCs w:val="21"/>
              </w:rPr>
              <w:t>本项目“澄清”菜单中</w:t>
            </w:r>
            <w:r>
              <w:rPr>
                <w:rFonts w:asciiTheme="minorEastAsia" w:hAnsiTheme="minorEastAsia" w:eastAsiaTheme="minorEastAsia"/>
                <w:szCs w:val="21"/>
              </w:rPr>
              <w:t>提出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也可采用</w:t>
            </w:r>
            <w:r>
              <w:rPr>
                <w:rFonts w:hint="eastAsia" w:ascii="宋体" w:hAnsi="宋体" w:eastAsia="宋体" w:cs="宋体"/>
                <w:snapToGrid w:val="0"/>
                <w:color w:val="auto"/>
                <w:kern w:val="0"/>
                <w:highlight w:val="none"/>
                <w:lang w:val="en-US" w:eastAsia="zh-CN"/>
              </w:rPr>
              <w:t>匿名书面方式进行</w:t>
            </w:r>
          </w:p>
        </w:tc>
      </w:tr>
      <w:tr w14:paraId="0FE3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AE94870">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2.2.2</w:t>
            </w:r>
          </w:p>
        </w:tc>
        <w:tc>
          <w:tcPr>
            <w:tcW w:w="2104" w:type="dxa"/>
            <w:vAlign w:val="center"/>
          </w:tcPr>
          <w:p w14:paraId="432F239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招标文件澄清</w:t>
            </w:r>
          </w:p>
          <w:p w14:paraId="3784E52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发出的形式</w:t>
            </w:r>
          </w:p>
        </w:tc>
        <w:tc>
          <w:tcPr>
            <w:tcW w:w="5866" w:type="dxa"/>
            <w:vAlign w:val="center"/>
          </w:tcPr>
          <w:p w14:paraId="6546E1AB">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招标人将以补遗书形式在全国公共资源交易平台（四川省·乐山市）（http://www.lsggzy.com.cn/）以及</w:t>
            </w:r>
            <w:r>
              <w:rPr>
                <w:rFonts w:ascii="宋体" w:hAnsi="宋体" w:cs="宋体"/>
                <w:szCs w:val="21"/>
                <w:u w:val="single"/>
              </w:rPr>
              <w:t xml:space="preserve"> </w:t>
            </w:r>
            <w:r>
              <w:rPr>
                <w:rFonts w:hint="eastAsia" w:ascii="宋体" w:hAnsi="宋体" w:cs="宋体"/>
                <w:szCs w:val="21"/>
                <w:u w:val="single"/>
              </w:rPr>
              <w:t>交通运输行政主管部门门户网站</w:t>
            </w:r>
            <w:r>
              <w:rPr>
                <w:rFonts w:ascii="宋体" w:hAnsi="宋体" w:cs="宋体"/>
                <w:szCs w:val="21"/>
                <w:u w:val="single"/>
              </w:rPr>
              <w:t xml:space="preserve"> </w:t>
            </w:r>
            <w:r>
              <w:rPr>
                <w:rFonts w:hint="eastAsia" w:ascii="宋体" w:hAnsi="宋体"/>
                <w:szCs w:val="21"/>
              </w:rPr>
              <w:t>（发布公告的媒介名称）</w:t>
            </w:r>
            <w:r>
              <w:rPr>
                <w:rFonts w:hint="eastAsia" w:asciiTheme="minorEastAsia" w:hAnsiTheme="minorEastAsia" w:eastAsiaTheme="minorEastAsia"/>
                <w:szCs w:val="21"/>
              </w:rPr>
              <w:t>发出招标文件澄清</w:t>
            </w:r>
          </w:p>
        </w:tc>
      </w:tr>
      <w:tr w14:paraId="4590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48706BB">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2.2.3</w:t>
            </w:r>
          </w:p>
        </w:tc>
        <w:tc>
          <w:tcPr>
            <w:tcW w:w="2104" w:type="dxa"/>
            <w:vAlign w:val="center"/>
          </w:tcPr>
          <w:p w14:paraId="38FA006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投标人确认收到</w:t>
            </w:r>
          </w:p>
          <w:p w14:paraId="398862C8">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招标文件澄清时间</w:t>
            </w:r>
          </w:p>
        </w:tc>
        <w:tc>
          <w:tcPr>
            <w:tcW w:w="5866" w:type="dxa"/>
            <w:vAlign w:val="center"/>
          </w:tcPr>
          <w:p w14:paraId="6DA31A55">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无须确认。投标人应实时关注补遗书发布媒介，并及时下载澄清内容。因投标人自身原因未及时获知澄清内容而导致的任何后果将由投标人自行承担</w:t>
            </w:r>
          </w:p>
        </w:tc>
      </w:tr>
      <w:tr w14:paraId="1BB4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6B64D4A">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2.3.1</w:t>
            </w:r>
          </w:p>
        </w:tc>
        <w:tc>
          <w:tcPr>
            <w:tcW w:w="2104" w:type="dxa"/>
            <w:vAlign w:val="center"/>
          </w:tcPr>
          <w:p w14:paraId="44D7EE8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招标文件修改</w:t>
            </w:r>
          </w:p>
          <w:p w14:paraId="007C789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发出的形式</w:t>
            </w:r>
          </w:p>
        </w:tc>
        <w:tc>
          <w:tcPr>
            <w:tcW w:w="5866" w:type="dxa"/>
            <w:vAlign w:val="center"/>
          </w:tcPr>
          <w:p w14:paraId="790FAC9F">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招标人将以补遗书形式发出招标文件的修改，发出媒介见本须知前附表第</w:t>
            </w:r>
            <w:r>
              <w:rPr>
                <w:rFonts w:asciiTheme="minorEastAsia" w:hAnsiTheme="minorEastAsia" w:eastAsiaTheme="minorEastAsia"/>
                <w:szCs w:val="21"/>
              </w:rPr>
              <w:t>2.2.2项</w:t>
            </w:r>
          </w:p>
        </w:tc>
      </w:tr>
      <w:tr w14:paraId="3B8A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45679D3">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2.3.2</w:t>
            </w:r>
          </w:p>
        </w:tc>
        <w:tc>
          <w:tcPr>
            <w:tcW w:w="2104" w:type="dxa"/>
            <w:vAlign w:val="center"/>
          </w:tcPr>
          <w:p w14:paraId="7EBDDF0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投标人确认收到</w:t>
            </w:r>
          </w:p>
          <w:p w14:paraId="238CBC8F">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招标文件修改</w:t>
            </w:r>
          </w:p>
        </w:tc>
        <w:tc>
          <w:tcPr>
            <w:tcW w:w="5866" w:type="dxa"/>
            <w:vAlign w:val="center"/>
          </w:tcPr>
          <w:p w14:paraId="1886D8C1">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无须确认。投标人应实时关注补遗书发布媒介，并及时下载修改内容。因投标人自身原因未及时获知招标文件修改内容而导致的任何后果将由投标人自行承担</w:t>
            </w:r>
          </w:p>
        </w:tc>
      </w:tr>
      <w:tr w14:paraId="4DD9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vAlign w:val="center"/>
          </w:tcPr>
          <w:p w14:paraId="1BC1040D">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2104" w:type="dxa"/>
            <w:vAlign w:val="center"/>
          </w:tcPr>
          <w:p w14:paraId="161FBF6D">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招标文件的异议</w:t>
            </w:r>
          </w:p>
        </w:tc>
        <w:tc>
          <w:tcPr>
            <w:tcW w:w="5866" w:type="dxa"/>
            <w:vAlign w:val="center"/>
          </w:tcPr>
          <w:p w14:paraId="5D1E2782">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本款补充：</w:t>
            </w:r>
          </w:p>
          <w:p w14:paraId="05A244AD">
            <w:pPr>
              <w:adjustRightInd w:val="0"/>
              <w:snapToGrid w:val="0"/>
              <w:spacing w:line="400" w:lineRule="exact"/>
              <w:rPr>
                <w:rFonts w:ascii="宋体" w:hAnsi="宋体" w:cs="宋体"/>
                <w:szCs w:val="21"/>
                <w:u w:val="single"/>
              </w:rPr>
            </w:pPr>
            <w:r>
              <w:rPr>
                <w:rFonts w:hint="eastAsia" w:asciiTheme="minorEastAsia" w:hAnsiTheme="minorEastAsia" w:eastAsiaTheme="minorEastAsia"/>
                <w:szCs w:val="21"/>
              </w:rPr>
              <w:t>投标人提出异议可通过</w:t>
            </w:r>
            <w:r>
              <w:rPr>
                <w:rFonts w:hint="eastAsia" w:ascii="宋体" w:hAnsi="宋体" w:cs="宋体"/>
                <w:sz w:val="21"/>
                <w:szCs w:val="21"/>
                <w:lang w:eastAsia="zh-CN"/>
              </w:rPr>
              <w:t>“乐山市公共资源交易服务平台电子招投标系统”</w:t>
            </w:r>
            <w:r>
              <w:rPr>
                <w:rFonts w:hint="eastAsia" w:asciiTheme="minorEastAsia" w:hAnsiTheme="minorEastAsia" w:eastAsiaTheme="minorEastAsia"/>
                <w:szCs w:val="21"/>
              </w:rPr>
              <w:t>在“异议”菜单中进行</w:t>
            </w:r>
            <w:r>
              <w:rPr>
                <w:rFonts w:hint="eastAsia" w:ascii="宋体" w:hAnsi="宋体" w:cs="宋体"/>
                <w:snapToGrid w:val="0"/>
                <w:kern w:val="0"/>
              </w:rPr>
              <w:t xml:space="preserve">，也可采用符合本须知前附表第8.5.2项要求的书面方式进行  </w:t>
            </w:r>
          </w:p>
        </w:tc>
      </w:tr>
      <w:tr w14:paraId="1060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13" w:type="dxa"/>
            <w:vAlign w:val="center"/>
          </w:tcPr>
          <w:p w14:paraId="5FD5E4DE">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3.1.1</w:t>
            </w:r>
          </w:p>
        </w:tc>
        <w:tc>
          <w:tcPr>
            <w:tcW w:w="2104" w:type="dxa"/>
            <w:vAlign w:val="center"/>
          </w:tcPr>
          <w:p w14:paraId="1C47B5D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5866" w:type="dxa"/>
            <w:vAlign w:val="center"/>
          </w:tcPr>
          <w:p w14:paraId="2324D6AC">
            <w:pPr>
              <w:adjustRightInd w:val="0"/>
              <w:snapToGrid w:val="0"/>
              <w:spacing w:line="400" w:lineRule="exact"/>
              <w:rPr>
                <w:rFonts w:asciiTheme="minorEastAsia" w:hAnsiTheme="minorEastAsia" w:eastAsiaTheme="minorEastAsia"/>
                <w:szCs w:val="21"/>
              </w:rPr>
            </w:pPr>
            <w:r>
              <w:rPr>
                <w:rFonts w:ascii="宋体" w:hAnsi="宋体" w:cs="宋体"/>
                <w:szCs w:val="21"/>
                <w:u w:val="single"/>
              </w:rPr>
              <w:t xml:space="preserve"> 见第八章</w:t>
            </w:r>
            <w:r>
              <w:rPr>
                <w:rFonts w:hint="eastAsia" w:ascii="宋体" w:hAnsi="宋体" w:cs="宋体"/>
                <w:szCs w:val="21"/>
                <w:u w:val="single"/>
              </w:rPr>
              <w:t>“投标文件格式”</w:t>
            </w:r>
          </w:p>
        </w:tc>
      </w:tr>
      <w:tr w14:paraId="7EA8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13" w:type="dxa"/>
            <w:vAlign w:val="center"/>
          </w:tcPr>
          <w:p w14:paraId="0F6F9EE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3.2.1</w:t>
            </w:r>
          </w:p>
        </w:tc>
        <w:tc>
          <w:tcPr>
            <w:tcW w:w="2104" w:type="dxa"/>
            <w:vAlign w:val="center"/>
          </w:tcPr>
          <w:p w14:paraId="7736322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增值税税金的</w:t>
            </w:r>
          </w:p>
          <w:p w14:paraId="79872908">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5866" w:type="dxa"/>
            <w:vAlign w:val="center"/>
          </w:tcPr>
          <w:p w14:paraId="22F47EB8">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一般计税法</w:t>
            </w:r>
          </w:p>
          <w:p w14:paraId="675B4A63">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其它：</w:t>
            </w:r>
            <w:r>
              <w:rPr>
                <w:rFonts w:asciiTheme="minorEastAsia" w:hAnsiTheme="minorEastAsia" w:eastAsiaTheme="minorEastAsia"/>
                <w:szCs w:val="21"/>
                <w:u w:val="single"/>
              </w:rPr>
              <w:t xml:space="preserve">            </w:t>
            </w:r>
          </w:p>
        </w:tc>
      </w:tr>
      <w:tr w14:paraId="67BB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vAlign w:val="center"/>
          </w:tcPr>
          <w:p w14:paraId="6BFAFFBD">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3.2.1</w:t>
            </w:r>
          </w:p>
        </w:tc>
        <w:tc>
          <w:tcPr>
            <w:tcW w:w="2104" w:type="dxa"/>
            <w:vAlign w:val="center"/>
          </w:tcPr>
          <w:p w14:paraId="536B3BA1">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价格清单的</w:t>
            </w:r>
          </w:p>
          <w:p w14:paraId="78802E3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填写方式</w:t>
            </w:r>
          </w:p>
        </w:tc>
        <w:tc>
          <w:tcPr>
            <w:tcW w:w="5866" w:type="dxa"/>
            <w:vAlign w:val="center"/>
          </w:tcPr>
          <w:p w14:paraId="0D51AD8F">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投标人按照招标人提供的价格清单电子文件填写</w:t>
            </w:r>
          </w:p>
        </w:tc>
      </w:tr>
      <w:tr w14:paraId="0B4C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2E04C31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3.2.3</w:t>
            </w:r>
          </w:p>
        </w:tc>
        <w:tc>
          <w:tcPr>
            <w:tcW w:w="2104" w:type="dxa"/>
            <w:vAlign w:val="center"/>
          </w:tcPr>
          <w:p w14:paraId="6A2BE151">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报价方式</w:t>
            </w:r>
          </w:p>
        </w:tc>
        <w:tc>
          <w:tcPr>
            <w:tcW w:w="5866" w:type="dxa"/>
            <w:vAlign w:val="center"/>
          </w:tcPr>
          <w:p w14:paraId="1642E429">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总价</w:t>
            </w:r>
          </w:p>
          <w:p w14:paraId="2793EA60">
            <w:pPr>
              <w:adjustRightInd w:val="0"/>
              <w:snapToGrid w:val="0"/>
              <w:spacing w:line="400" w:lineRule="exact"/>
              <w:rPr>
                <w:rFonts w:hint="eastAsia"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单价</w:t>
            </w:r>
          </w:p>
          <w:p w14:paraId="75548A31">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其他：</w:t>
            </w:r>
            <w:r>
              <w:rPr>
                <w:rFonts w:hint="eastAsia" w:asciiTheme="minorEastAsia" w:hAnsiTheme="minorEastAsia" w:eastAsiaTheme="minorEastAsia"/>
                <w:szCs w:val="21"/>
                <w:u w:val="single"/>
              </w:rPr>
              <w:t xml:space="preserve">        </w:t>
            </w:r>
          </w:p>
        </w:tc>
      </w:tr>
      <w:tr w14:paraId="3D8D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vAlign w:val="center"/>
          </w:tcPr>
          <w:p w14:paraId="4E5C952C">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3.2.4</w:t>
            </w:r>
          </w:p>
        </w:tc>
        <w:tc>
          <w:tcPr>
            <w:tcW w:w="2104" w:type="dxa"/>
            <w:vAlign w:val="center"/>
          </w:tcPr>
          <w:p w14:paraId="0BC5A3FA">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最高投标限价或其计算方法</w:t>
            </w:r>
          </w:p>
        </w:tc>
        <w:tc>
          <w:tcPr>
            <w:tcW w:w="5866" w:type="dxa"/>
            <w:vAlign w:val="center"/>
          </w:tcPr>
          <w:p w14:paraId="49368D52">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无 </w:t>
            </w:r>
          </w:p>
          <w:p w14:paraId="06B08AEA">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有</w:t>
            </w:r>
          </w:p>
          <w:p w14:paraId="1A466D1C">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最高投标限价为：</w:t>
            </w:r>
          </w:p>
          <w:tbl>
            <w:tblPr>
              <w:tblStyle w:val="49"/>
              <w:tblW w:w="5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2"/>
            </w:tblGrid>
            <w:tr w14:paraId="6D90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5482" w:type="dxa"/>
                  <w:vAlign w:val="center"/>
                </w:tcPr>
                <w:p w14:paraId="57A2F5FF">
                  <w:pPr>
                    <w:pStyle w:val="299"/>
                    <w:adjustRightInd w:val="0"/>
                    <w:snapToGrid w:val="0"/>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标段号：</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14:paraId="58A14EFC">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最高投标限价：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万元，其中：</w:t>
                  </w:r>
                </w:p>
                <w:p w14:paraId="34385614">
                  <w:pPr>
                    <w:pStyle w:val="299"/>
                    <w:adjustRightInd w:val="0"/>
                    <w:snapToGrid w:val="0"/>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（1）竞争性部分报价：</w:t>
                  </w:r>
                  <w:r>
                    <w:rPr>
                      <w:rFonts w:asciiTheme="minorEastAsia" w:hAnsiTheme="minorEastAsia" w:eastAsiaTheme="minorEastAsia"/>
                      <w:szCs w:val="21"/>
                      <w:u w:val="single"/>
                    </w:rPr>
                    <w:t xml:space="preserve">     </w:t>
                  </w:r>
                  <w:r>
                    <w:rPr>
                      <w:rFonts w:asciiTheme="minorEastAsia" w:hAnsiTheme="minorEastAsia" w:eastAsiaTheme="minorEastAsia"/>
                      <w:szCs w:val="21"/>
                    </w:rPr>
                    <w:t>万元</w:t>
                  </w:r>
                </w:p>
                <w:p w14:paraId="4EF664F4">
                  <w:pPr>
                    <w:pStyle w:val="299"/>
                    <w:adjustRightInd w:val="0"/>
                    <w:snapToGrid w:val="0"/>
                    <w:spacing w:line="400" w:lineRule="exact"/>
                    <w:rPr>
                      <w:rFonts w:hint="eastAsia" w:asciiTheme="minorEastAsia" w:hAnsiTheme="minorEastAsia" w:eastAsiaTheme="minorEastAsia"/>
                      <w:szCs w:val="21"/>
                      <w:lang w:eastAsia="zh-CN"/>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1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①</w:t>
                  </w:r>
                  <w:r>
                    <w:rPr>
                      <w:rFonts w:asciiTheme="minorEastAsia" w:hAnsiTheme="minorEastAsia" w:eastAsiaTheme="minorEastAsia"/>
                      <w:szCs w:val="21"/>
                    </w:rPr>
                    <w:fldChar w:fldCharType="end"/>
                  </w:r>
                  <w:r>
                    <w:rPr>
                      <w:rFonts w:hint="eastAsia" w:asciiTheme="minorEastAsia" w:hAnsiTheme="minorEastAsia" w:eastAsiaTheme="minorEastAsia"/>
                      <w:szCs w:val="21"/>
                    </w:rPr>
                    <w:t>勘察设计：</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万元</w:t>
                  </w:r>
                </w:p>
                <w:p w14:paraId="77046FEC">
                  <w:pPr>
                    <w:pStyle w:val="299"/>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2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②</w:t>
                  </w:r>
                  <w:r>
                    <w:rPr>
                      <w:rFonts w:asciiTheme="minorEastAsia" w:hAnsiTheme="minorEastAsia" w:eastAsiaTheme="minorEastAsia"/>
                      <w:szCs w:val="21"/>
                    </w:rPr>
                    <w:fldChar w:fldCharType="end"/>
                  </w:r>
                  <w:r>
                    <w:rPr>
                      <w:rFonts w:hint="eastAsia" w:asciiTheme="minorEastAsia" w:hAnsiTheme="minorEastAsia" w:eastAsiaTheme="minorEastAsia"/>
                      <w:szCs w:val="21"/>
                    </w:rPr>
                    <w:t>施工：</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万元</w:t>
                  </w:r>
                </w:p>
                <w:p w14:paraId="12DFE5BA">
                  <w:pPr>
                    <w:pStyle w:val="299"/>
                    <w:adjustRightInd w:val="0"/>
                    <w:snapToGrid w:val="0"/>
                    <w:spacing w:line="4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w:t>
                  </w:r>
                  <w:r>
                    <w:rPr>
                      <w:rFonts w:asciiTheme="minorEastAsia" w:hAnsiTheme="minorEastAsia" w:eastAsiaTheme="minorEastAsia"/>
                      <w:szCs w:val="21"/>
                    </w:rPr>
                    <w:t>非竞争性部分</w:t>
                  </w:r>
                  <w:r>
                    <w:rPr>
                      <w:rFonts w:hint="eastAsia" w:asciiTheme="minorEastAsia" w:hAnsiTheme="minorEastAsia" w:eastAsiaTheme="minorEastAsia"/>
                      <w:szCs w:val="21"/>
                    </w:rPr>
                    <w:t>报价：</w:t>
                  </w:r>
                  <w:r>
                    <w:rPr>
                      <w:rFonts w:asciiTheme="minorEastAsia" w:hAnsiTheme="minorEastAsia" w:eastAsiaTheme="minorEastAsia"/>
                      <w:szCs w:val="21"/>
                      <w:u w:val="single"/>
                    </w:rPr>
                    <w:t xml:space="preserve">     </w:t>
                  </w:r>
                  <w:r>
                    <w:rPr>
                      <w:rFonts w:asciiTheme="minorEastAsia" w:hAnsiTheme="minorEastAsia" w:eastAsiaTheme="minorEastAsia"/>
                      <w:szCs w:val="21"/>
                    </w:rPr>
                    <w:t>万元</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其中</w:t>
                  </w:r>
                </w:p>
                <w:p w14:paraId="37AE944A">
                  <w:pPr>
                    <w:pStyle w:val="299"/>
                    <w:adjustRightInd w:val="0"/>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1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①</w:t>
                  </w:r>
                  <w:r>
                    <w:rPr>
                      <w:rFonts w:asciiTheme="minorEastAsia" w:hAnsiTheme="minorEastAsia" w:eastAsiaTheme="minorEastAsia"/>
                      <w:szCs w:val="21"/>
                    </w:rPr>
                    <w:fldChar w:fldCharType="end"/>
                  </w:r>
                  <w:r>
                    <w:rPr>
                      <w:rFonts w:asciiTheme="minorEastAsia" w:hAnsiTheme="minorEastAsia" w:eastAsiaTheme="minorEastAsia"/>
                      <w:szCs w:val="21"/>
                    </w:rPr>
                    <w:t>安全生产费：</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14:paraId="6C90FF5C">
                  <w:pPr>
                    <w:pStyle w:val="299"/>
                    <w:adjustRightInd w:val="0"/>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2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②</w:t>
                  </w:r>
                  <w:r>
                    <w:rPr>
                      <w:rFonts w:asciiTheme="minorEastAsia" w:hAnsiTheme="minorEastAsia" w:eastAsiaTheme="minorEastAsia"/>
                      <w:szCs w:val="21"/>
                    </w:rPr>
                    <w:fldChar w:fldCharType="end"/>
                  </w:r>
                  <w:r>
                    <w:rPr>
                      <w:rFonts w:hint="eastAsia" w:asciiTheme="minorEastAsia" w:hAnsiTheme="minorEastAsia" w:eastAsiaTheme="minorEastAsia"/>
                      <w:szCs w:val="21"/>
                    </w:rPr>
                    <w:t>暂估价：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14:paraId="14240A21">
                  <w:pPr>
                    <w:pStyle w:val="299"/>
                    <w:adjustRightInd w:val="0"/>
                    <w:snapToGrid w:val="0"/>
                    <w:spacing w:line="400" w:lineRule="exact"/>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3 \* GB3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③</w:t>
                  </w:r>
                  <w:r>
                    <w:rPr>
                      <w:rFonts w:asciiTheme="minorEastAsia" w:hAnsiTheme="minorEastAsia" w:eastAsiaTheme="minorEastAsia"/>
                      <w:szCs w:val="21"/>
                    </w:rPr>
                    <w:fldChar w:fldCharType="end"/>
                  </w:r>
                  <w:r>
                    <w:rPr>
                      <w:rFonts w:hint="eastAsia" w:asciiTheme="minorEastAsia" w:hAnsiTheme="minorEastAsia" w:eastAsiaTheme="minorEastAsia"/>
                      <w:szCs w:val="21"/>
                    </w:rPr>
                    <w:t>暂列金额：</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14:paraId="38D107ED">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p>
              </w:tc>
            </w:tr>
          </w:tbl>
          <w:p w14:paraId="73EA07BF">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公布的最高投标限价作为投标人投标报价的控制上限，最高投标限价包括竞争性部分报价和非竞争性部分报价。凡是投标报价超过最高投标限价的，其投标将被否决</w:t>
            </w:r>
          </w:p>
          <w:p w14:paraId="400782F8">
            <w:pPr>
              <w:adjustRightInd w:val="0"/>
              <w:snapToGrid w:val="0"/>
              <w:spacing w:line="400" w:lineRule="exact"/>
              <w:ind w:firstLine="210" w:firstLineChars="100"/>
              <w:rPr>
                <w:rFonts w:asciiTheme="minorEastAsia" w:hAnsiTheme="minorEastAsia" w:eastAsiaTheme="minorEastAsia"/>
                <w:szCs w:val="21"/>
              </w:rPr>
            </w:pPr>
            <w:r>
              <w:rPr>
                <w:rFonts w:cs="宋体" w:asciiTheme="minorEastAsia" w:hAnsiTheme="minorEastAsia" w:eastAsiaTheme="minorEastAsia"/>
                <w:szCs w:val="21"/>
              </w:rPr>
              <w:t>□ 最高投标限价以补遗书的形式发布</w:t>
            </w:r>
            <w:bookmarkStart w:id="81" w:name="OLE_LINK5"/>
            <w:bookmarkStart w:id="82" w:name="OLE_LINK3"/>
            <w:bookmarkStart w:id="83" w:name="OLE_LINK4"/>
            <w:r>
              <w:rPr>
                <w:rFonts w:hint="eastAsia" w:cs="宋体" w:asciiTheme="minorEastAsia" w:hAnsiTheme="minorEastAsia" w:eastAsiaTheme="minorEastAsia"/>
                <w:szCs w:val="21"/>
              </w:rPr>
              <w:t>（补遗书须包含最高限价的招标文件，文件格式</w:t>
            </w:r>
            <w:r>
              <w:rPr>
                <w:rFonts w:cs="宋体" w:asciiTheme="minorEastAsia" w:hAnsiTheme="minorEastAsia" w:eastAsiaTheme="minorEastAsia"/>
                <w:szCs w:val="21"/>
              </w:rPr>
              <w:t>zbid</w:t>
            </w:r>
            <w:r>
              <w:rPr>
                <w:rFonts w:hint="eastAsia" w:cs="宋体" w:asciiTheme="minorEastAsia" w:hAnsiTheme="minorEastAsia" w:eastAsiaTheme="minorEastAsia"/>
                <w:szCs w:val="21"/>
              </w:rPr>
              <w:t>）</w:t>
            </w:r>
            <w:bookmarkEnd w:id="81"/>
            <w:bookmarkEnd w:id="82"/>
            <w:bookmarkEnd w:id="83"/>
          </w:p>
        </w:tc>
      </w:tr>
      <w:tr w14:paraId="231D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454DB4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3.2.5</w:t>
            </w:r>
          </w:p>
        </w:tc>
        <w:tc>
          <w:tcPr>
            <w:tcW w:w="2104" w:type="dxa"/>
            <w:vAlign w:val="center"/>
          </w:tcPr>
          <w:p w14:paraId="788BD14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投标报价的</w:t>
            </w:r>
          </w:p>
          <w:p w14:paraId="00EE9243">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其他要求</w:t>
            </w:r>
          </w:p>
        </w:tc>
        <w:tc>
          <w:tcPr>
            <w:tcW w:w="5866" w:type="dxa"/>
            <w:vAlign w:val="center"/>
          </w:tcPr>
          <w:p w14:paraId="0A388D4F">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p>
        </w:tc>
      </w:tr>
      <w:tr w14:paraId="5BB2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69C37470">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3.3.1</w:t>
            </w:r>
          </w:p>
        </w:tc>
        <w:tc>
          <w:tcPr>
            <w:tcW w:w="2104" w:type="dxa"/>
            <w:vAlign w:val="center"/>
          </w:tcPr>
          <w:p w14:paraId="4AB7A8B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5866" w:type="dxa"/>
            <w:vAlign w:val="center"/>
          </w:tcPr>
          <w:p w14:paraId="5766087F">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自投标人提交投标文件截止之日起计算</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tc>
      </w:tr>
      <w:tr w14:paraId="0A9F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3" w:type="dxa"/>
            <w:vAlign w:val="center"/>
          </w:tcPr>
          <w:p w14:paraId="1E9C3C26">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3.4.1</w:t>
            </w:r>
          </w:p>
        </w:tc>
        <w:tc>
          <w:tcPr>
            <w:tcW w:w="2104" w:type="dxa"/>
            <w:vAlign w:val="center"/>
          </w:tcPr>
          <w:p w14:paraId="74A96C58">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5866" w:type="dxa"/>
            <w:vAlign w:val="center"/>
          </w:tcPr>
          <w:p w14:paraId="20224698">
            <w:pPr>
              <w:adjustRightInd w:val="0"/>
              <w:snapToGrid w:val="0"/>
              <w:spacing w:line="400" w:lineRule="exact"/>
              <w:ind w:firstLine="211" w:firstLineChars="1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不要求</w:t>
            </w:r>
            <w:r>
              <w:rPr>
                <w:rFonts w:hint="eastAsia" w:cs="宋体" w:asciiTheme="minorEastAsia" w:hAnsiTheme="minorEastAsia" w:eastAsiaTheme="minorEastAsia"/>
                <w:szCs w:val="21"/>
                <w:lang w:val="en-US" w:eastAsia="zh-CN"/>
              </w:rPr>
              <w:t>投标人提交投标保证金</w:t>
            </w:r>
          </w:p>
          <w:p w14:paraId="3698E2A1">
            <w:pPr>
              <w:adjustRightInd w:val="0"/>
              <w:snapToGrid w:val="0"/>
              <w:spacing w:line="400" w:lineRule="exact"/>
              <w:ind w:firstLine="211" w:firstLineChars="100"/>
              <w:rPr>
                <w:rFonts w:asciiTheme="minorEastAsia" w:hAnsiTheme="minorEastAsia" w:eastAsiaTheme="minorEastAsia"/>
                <w:szCs w:val="21"/>
              </w:rPr>
            </w:pPr>
            <w:r>
              <w:rPr>
                <w:rFonts w:hint="eastAsia" w:cs="宋体" w:asciiTheme="minorEastAsia" w:hAnsiTheme="minorEastAsia" w:eastAsiaTheme="minorEastAsia"/>
                <w:b/>
                <w:szCs w:val="21"/>
              </w:rPr>
              <w:t>□</w:t>
            </w:r>
            <w:r>
              <w:rPr>
                <w:rFonts w:asciiTheme="minorEastAsia" w:hAnsiTheme="minorEastAsia" w:eastAsiaTheme="minorEastAsia"/>
                <w:szCs w:val="21"/>
              </w:rPr>
              <w:t xml:space="preserve"> 要求</w:t>
            </w:r>
            <w:r>
              <w:rPr>
                <w:rFonts w:hint="eastAsia" w:cs="宋体" w:asciiTheme="minorEastAsia" w:hAnsiTheme="minorEastAsia" w:eastAsiaTheme="minorEastAsia"/>
                <w:szCs w:val="21"/>
                <w:lang w:val="en-US" w:eastAsia="zh-CN"/>
              </w:rPr>
              <w:t>投标人提交投标保证金</w:t>
            </w:r>
          </w:p>
          <w:p w14:paraId="19A131FC">
            <w:pPr>
              <w:adjustRightInd w:val="0"/>
              <w:snapToGrid w:val="0"/>
              <w:spacing w:line="400" w:lineRule="exact"/>
              <w:ind w:firstLine="210" w:firstLineChars="100"/>
              <w:rPr>
                <w:rFonts w:cs="Courier New" w:asciiTheme="minorEastAsia" w:hAnsiTheme="minorEastAsia" w:eastAsiaTheme="minorEastAsia"/>
              </w:rPr>
            </w:pPr>
            <w:r>
              <w:rPr>
                <w:rFonts w:hint="eastAsia" w:cs="Courier New" w:asciiTheme="minorEastAsia" w:hAnsiTheme="minorEastAsia" w:eastAsiaTheme="minorEastAsia"/>
              </w:rPr>
              <w:t>（</w:t>
            </w:r>
            <w:r>
              <w:rPr>
                <w:rFonts w:cs="Courier New" w:asciiTheme="minorEastAsia" w:hAnsiTheme="minorEastAsia" w:eastAsiaTheme="minorEastAsia"/>
              </w:rPr>
              <w:t>1）投标保证金的金额：</w:t>
            </w:r>
          </w:p>
          <w:p w14:paraId="7081278F">
            <w:pPr>
              <w:adjustRightInd w:val="0"/>
              <w:snapToGrid w:val="0"/>
              <w:spacing w:line="400" w:lineRule="exact"/>
              <w:ind w:left="0" w:leftChars="0" w:firstLine="210" w:firstLineChars="100"/>
              <w:jc w:val="lef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u w:val="single"/>
                <w:lang w:val="en-US" w:eastAsia="zh-CN"/>
              </w:rPr>
              <w:t xml:space="preserve">   </w:t>
            </w:r>
            <w:r>
              <w:rPr>
                <w:rFonts w:hint="eastAsia" w:cs="Courier New" w:asciiTheme="minorEastAsia" w:hAnsiTheme="minorEastAsia" w:eastAsiaTheme="minorEastAsia"/>
                <w:szCs w:val="21"/>
                <w:u w:val="none"/>
                <w:lang w:val="en-US" w:eastAsia="zh-CN"/>
              </w:rPr>
              <w:t>标段</w:t>
            </w:r>
            <w:r>
              <w:rPr>
                <w:rFonts w:hint="eastAsia" w:cs="Courier New" w:asciiTheme="minorEastAsia" w:hAnsiTheme="minorEastAsia" w:eastAsiaTheme="minorEastAsia"/>
                <w:szCs w:val="21"/>
              </w:rPr>
              <w:t>投标保证金的金额：</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元（小写），</w:t>
            </w:r>
            <w:r>
              <w:rPr>
                <w:rFonts w:hint="eastAsia" w:cs="Courier New" w:asciiTheme="minorEastAsia" w:hAnsiTheme="minorEastAsia" w:eastAsiaTheme="minorEastAsia"/>
                <w:szCs w:val="21"/>
                <w:u w:val="single"/>
              </w:rPr>
              <w:t xml:space="preserve">   </w:t>
            </w:r>
            <w:r>
              <w:rPr>
                <w:rFonts w:hint="eastAsia" w:cs="Courier New" w:asciiTheme="minorEastAsia" w:hAnsiTheme="minorEastAsia" w:eastAsiaTheme="minorEastAsia"/>
                <w:szCs w:val="21"/>
              </w:rPr>
              <w:t>元（大写）。</w:t>
            </w:r>
          </w:p>
          <w:p w14:paraId="055DBA8D">
            <w:pPr>
              <w:adjustRightInd w:val="0"/>
              <w:snapToGrid w:val="0"/>
              <w:spacing w:line="400" w:lineRule="exact"/>
              <w:ind w:left="0" w:leftChars="0" w:firstLine="210" w:firstLineChars="100"/>
              <w:jc w:val="left"/>
              <w:rPr>
                <w:rFonts w:hint="eastAsia" w:cs="Courier New" w:asciiTheme="minorEastAsia" w:hAnsiTheme="minorEastAsia" w:eastAsiaTheme="minorEastAsia"/>
                <w:szCs w:val="21"/>
                <w:u w:val="single"/>
              </w:rPr>
            </w:pPr>
            <w:r>
              <w:rPr>
                <w:rFonts w:hint="eastAsia" w:cs="Courier New" w:asciiTheme="minorEastAsia" w:hAnsiTheme="minorEastAsia" w:eastAsiaTheme="minorEastAsia"/>
                <w:szCs w:val="21"/>
                <w:u w:val="single"/>
              </w:rPr>
              <w:t>……</w:t>
            </w:r>
          </w:p>
          <w:p w14:paraId="04C0AEDD">
            <w:pPr>
              <w:adjustRightInd w:val="0"/>
              <w:snapToGrid w:val="0"/>
              <w:spacing w:line="400" w:lineRule="exact"/>
              <w:ind w:firstLine="210" w:firstLineChars="100"/>
              <w:rPr>
                <w:rFonts w:cs="Courier New" w:asciiTheme="minorEastAsia" w:hAnsiTheme="minorEastAsia" w:eastAsiaTheme="minorEastAsia"/>
              </w:rPr>
            </w:pPr>
            <w:r>
              <w:rPr>
                <w:rFonts w:hint="eastAsia" w:cs="Courier New" w:asciiTheme="minorEastAsia" w:hAnsiTheme="minorEastAsia" w:eastAsiaTheme="minorEastAsia"/>
              </w:rPr>
              <w:t>（2）</w:t>
            </w:r>
            <w:r>
              <w:rPr>
                <w:rFonts w:cs="Courier New" w:asciiTheme="minorEastAsia" w:hAnsiTheme="minorEastAsia" w:eastAsiaTheme="minorEastAsia"/>
              </w:rPr>
              <w:t>投标保证金可采用的形式</w:t>
            </w:r>
            <w:r>
              <w:rPr>
                <w:rFonts w:hint="eastAsia" w:cs="Courier New" w:asciiTheme="minorEastAsia" w:hAnsiTheme="minorEastAsia" w:eastAsiaTheme="minorEastAsia"/>
              </w:rPr>
              <w:t>：</w:t>
            </w:r>
          </w:p>
          <w:p w14:paraId="19F9EDE3">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rPr>
              <w:t xml:space="preserve"> </w:t>
            </w:r>
            <w:r>
              <w:rPr>
                <w:rFonts w:hint="eastAsia" w:cs="Courier New" w:asciiTheme="minorEastAsia" w:hAnsiTheme="minorEastAsia" w:eastAsiaTheme="minorEastAsia"/>
                <w:szCs w:val="21"/>
              </w:rPr>
              <w:t>投标人可以选择下列</w:t>
            </w:r>
            <w:r>
              <w:rPr>
                <w:rFonts w:hint="eastAsia" w:cs="Courier New" w:asciiTheme="minorEastAsia" w:hAnsiTheme="minorEastAsia" w:eastAsiaTheme="minorEastAsia"/>
                <w:szCs w:val="21"/>
                <w:lang w:val="en-US" w:eastAsia="zh-CN"/>
              </w:rPr>
              <w:t>四</w:t>
            </w:r>
            <w:r>
              <w:rPr>
                <w:rFonts w:hint="eastAsia" w:cs="Courier New" w:asciiTheme="minorEastAsia" w:hAnsiTheme="minorEastAsia" w:eastAsiaTheme="minorEastAsia"/>
                <w:szCs w:val="21"/>
              </w:rPr>
              <w:t>种形式之一提交：</w:t>
            </w:r>
          </w:p>
          <w:p w14:paraId="72674E65">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①现金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w:t>
            </w:r>
          </w:p>
          <w:p w14:paraId="084A4143">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a.</w:t>
            </w:r>
            <w:r>
              <w:rPr>
                <w:rFonts w:hint="eastAsia" w:cs="Courier New" w:asciiTheme="minorEastAsia" w:hAnsiTheme="minorEastAsia" w:eastAsiaTheme="minorEastAsia"/>
                <w:szCs w:val="21"/>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cs="Courier New" w:asciiTheme="minorEastAsia" w:hAnsiTheme="minorEastAsia" w:eastAsiaTheme="minorEastAsia"/>
                <w:szCs w:val="21"/>
                <w:lang w:val="en-US" w:eastAsia="zh-CN"/>
              </w:rPr>
              <w:t>账</w:t>
            </w:r>
            <w:r>
              <w:rPr>
                <w:rFonts w:hint="eastAsia" w:cs="Courier New" w:asciiTheme="minorEastAsia" w:hAnsiTheme="minorEastAsia" w:eastAsiaTheme="minorEastAsia"/>
                <w:szCs w:val="21"/>
              </w:rPr>
              <w:t>的投标保证金应在投标截止时间前到达系统指定账户。</w:t>
            </w:r>
          </w:p>
          <w:p w14:paraId="4B43BBD9">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b.</w:t>
            </w:r>
            <w:r>
              <w:rPr>
                <w:rFonts w:hint="eastAsia" w:cs="Courier New" w:asciiTheme="minorEastAsia" w:hAnsiTheme="minorEastAsia" w:eastAsiaTheme="minorEastAsia"/>
                <w:szCs w:val="21"/>
              </w:rPr>
              <w:t>投标人通过银行电汇或现金</w:t>
            </w:r>
            <w:r>
              <w:rPr>
                <w:rFonts w:hint="eastAsia" w:cs="Courier New" w:asciiTheme="minorEastAsia" w:hAnsiTheme="minorEastAsia" w:eastAsiaTheme="minorEastAsia"/>
                <w:szCs w:val="21"/>
                <w:lang w:val="en-US" w:eastAsia="zh-CN"/>
              </w:rPr>
              <w:t>或支票</w:t>
            </w:r>
            <w:r>
              <w:rPr>
                <w:rFonts w:hint="eastAsia" w:cs="Courier New" w:asciiTheme="minorEastAsia" w:hAnsiTheme="minorEastAsia" w:eastAsiaTheme="minorEastAsia"/>
                <w:szCs w:val="21"/>
              </w:rPr>
              <w:t>转账方式由投标人的基本账户（或基本存款账户）转入招标人指定的账户，且须在投标截止时间前（宜在投标截止期前一天）到账。投标人须将电汇回执单或现金转账凭证</w:t>
            </w:r>
            <w:r>
              <w:rPr>
                <w:rFonts w:hint="eastAsia" w:cs="Courier New" w:asciiTheme="minorEastAsia" w:hAnsiTheme="minorEastAsia" w:eastAsiaTheme="minorEastAsia"/>
                <w:szCs w:val="21"/>
                <w:lang w:val="en-US" w:eastAsia="zh-CN"/>
              </w:rPr>
              <w:t>或支票转账回执单</w:t>
            </w:r>
            <w:r>
              <w:rPr>
                <w:rFonts w:hint="eastAsia" w:cs="Courier New" w:asciiTheme="minorEastAsia" w:hAnsiTheme="minorEastAsia" w:eastAsiaTheme="minorEastAsia"/>
                <w:szCs w:val="21"/>
              </w:rPr>
              <w:t>原件原色扫描件装入投标文件。</w:t>
            </w:r>
          </w:p>
          <w:p w14:paraId="7C4772B1">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招标人指定的开户银行及账号如下：</w:t>
            </w:r>
          </w:p>
          <w:p w14:paraId="638D3BE0">
            <w:pPr>
              <w:spacing w:line="400" w:lineRule="exact"/>
              <w:ind w:firstLine="630" w:firstLineChars="300"/>
              <w:rPr>
                <w:rFonts w:hint="default" w:cs="Courier New" w:asciiTheme="minorEastAsia" w:hAnsiTheme="minorEastAsia" w:eastAsiaTheme="minorEastAsia"/>
                <w:szCs w:val="21"/>
                <w:u w:val="single"/>
                <w:lang w:val="en-US" w:eastAsia="zh-CN"/>
              </w:rPr>
            </w:pPr>
            <w:r>
              <w:rPr>
                <w:rFonts w:hint="eastAsia" w:cs="Courier New" w:asciiTheme="minorEastAsia" w:hAnsiTheme="minorEastAsia" w:eastAsiaTheme="minorEastAsia"/>
                <w:szCs w:val="21"/>
              </w:rPr>
              <w:t>账户名称</w:t>
            </w:r>
            <w:r>
              <w:rPr>
                <w:rFonts w:hint="eastAsia" w:cs="Courier New" w:asciiTheme="minorEastAsia" w:hAnsiTheme="minorEastAsia" w:eastAsiaTheme="minorEastAsia"/>
                <w:szCs w:val="21"/>
                <w:u w:val="none"/>
                <w:lang w:val="en-US" w:eastAsia="zh-CN"/>
              </w:rPr>
              <w:t>：</w:t>
            </w:r>
            <w:r>
              <w:rPr>
                <w:rFonts w:hint="eastAsia" w:cs="Courier New" w:asciiTheme="minorEastAsia" w:hAnsiTheme="minorEastAsia" w:eastAsiaTheme="minorEastAsia"/>
                <w:szCs w:val="21"/>
                <w:u w:val="single"/>
                <w:lang w:val="en-US" w:eastAsia="zh-CN"/>
              </w:rPr>
              <w:t xml:space="preserve">                 </w:t>
            </w:r>
          </w:p>
          <w:p w14:paraId="5FD9FC4A">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开户银行</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6DC9781C">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 xml:space="preserve">账 </w:t>
            </w:r>
            <w:r>
              <w:rPr>
                <w:rFonts w:hint="eastAsia" w:cs="Courier New" w:asciiTheme="minorEastAsia" w:hAnsiTheme="minorEastAsia" w:eastAsiaTheme="minorEastAsia"/>
                <w:szCs w:val="21"/>
                <w:lang w:val="en-US" w:eastAsia="zh-CN"/>
              </w:rPr>
              <w:t xml:space="preserve">   </w:t>
            </w:r>
            <w:r>
              <w:rPr>
                <w:rFonts w:hint="eastAsia" w:cs="Courier New" w:asciiTheme="minorEastAsia" w:hAnsiTheme="minorEastAsia" w:eastAsiaTheme="minorEastAsia"/>
                <w:szCs w:val="21"/>
              </w:rPr>
              <w:t>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20FD49C7">
            <w:pPr>
              <w:spacing w:line="400" w:lineRule="exact"/>
              <w:ind w:firstLine="630" w:firstLineChars="300"/>
              <w:rPr>
                <w:rFonts w:hint="default" w:cs="Courier New" w:asciiTheme="minorEastAsia" w:hAnsiTheme="minorEastAsia" w:eastAsiaTheme="minorEastAsia"/>
                <w:szCs w:val="21"/>
                <w:lang w:val="en-US" w:eastAsia="zh-CN"/>
              </w:rPr>
            </w:pPr>
            <w:r>
              <w:rPr>
                <w:rFonts w:hint="eastAsia" w:cs="Courier New" w:asciiTheme="minorEastAsia" w:hAnsiTheme="minorEastAsia" w:eastAsiaTheme="minorEastAsia"/>
                <w:szCs w:val="21"/>
              </w:rPr>
              <w:t>□其他账号</w:t>
            </w:r>
            <w:r>
              <w:rPr>
                <w:rFonts w:hint="eastAsia" w:cs="Courier New" w:asciiTheme="minorEastAsia" w:hAnsiTheme="minorEastAsia" w:eastAsiaTheme="minorEastAsia"/>
                <w:szCs w:val="21"/>
                <w:u w:val="none"/>
              </w:rPr>
              <w:t>：</w:t>
            </w:r>
            <w:r>
              <w:rPr>
                <w:rFonts w:hint="eastAsia" w:cs="Courier New" w:asciiTheme="minorEastAsia" w:hAnsiTheme="minorEastAsia" w:eastAsiaTheme="minorEastAsia"/>
                <w:szCs w:val="21"/>
                <w:u w:val="single"/>
                <w:lang w:val="en-US" w:eastAsia="zh-CN"/>
              </w:rPr>
              <w:t xml:space="preserve">              </w:t>
            </w:r>
          </w:p>
          <w:p w14:paraId="7FF10A04">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②</w:t>
            </w:r>
            <w:r>
              <w:rPr>
                <w:rFonts w:hint="eastAsia" w:cs="Courier New" w:asciiTheme="minorEastAsia" w:hAnsiTheme="minorEastAsia" w:eastAsiaTheme="minorEastAsia"/>
                <w:szCs w:val="21"/>
              </w:rPr>
              <w:t>保险保单</w:t>
            </w:r>
          </w:p>
          <w:p w14:paraId="01C4CB18">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保险保单按乐住建发[2020]4 号和乐人保财险[2018]3 号执行,投标人通过“乐山市公共资源交易服务平台电子招投标系统”在线购买保险保单。购买保险保单到账时间应在投标截止时间前。</w:t>
            </w:r>
          </w:p>
          <w:p w14:paraId="4530BA46">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③</w:t>
            </w:r>
            <w:r>
              <w:rPr>
                <w:rFonts w:hint="eastAsia" w:cs="Courier New" w:asciiTheme="minorEastAsia" w:hAnsiTheme="minorEastAsia" w:eastAsiaTheme="minorEastAsia"/>
                <w:szCs w:val="21"/>
              </w:rPr>
              <w:t>银行电子保函</w:t>
            </w:r>
          </w:p>
          <w:p w14:paraId="70F5347D">
            <w:pPr>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 xml:space="preserve">   投标人通过“乐山市公共资源交易服务平台电子招投标系统”在线申办银行电子保函。银行电子保函的生效时间最迟不晚于投标截止时间，在投标有效期内保持有效。</w:t>
            </w:r>
          </w:p>
          <w:p w14:paraId="79422FC8">
            <w:pPr>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lang w:val="en-US" w:eastAsia="zh-CN"/>
              </w:rPr>
              <w:t>④</w:t>
            </w:r>
            <w:r>
              <w:rPr>
                <w:rFonts w:hint="eastAsia" w:cs="Courier New" w:asciiTheme="minorEastAsia" w:hAnsiTheme="minorEastAsia" w:eastAsiaTheme="minorEastAsia"/>
                <w:szCs w:val="21"/>
              </w:rPr>
              <w:t>第三方担保保函</w:t>
            </w:r>
          </w:p>
          <w:p w14:paraId="6314BF34">
            <w:pPr>
              <w:spacing w:line="400" w:lineRule="exact"/>
              <w:ind w:firstLine="210" w:firstLineChars="100"/>
              <w:rPr>
                <w:rFonts w:hint="eastAsia" w:cs="Courier New" w:asciiTheme="minorEastAsia" w:hAnsiTheme="minorEastAsia" w:eastAsiaTheme="minorEastAsia"/>
                <w:szCs w:val="21"/>
                <w:lang w:eastAsia="zh-CN"/>
              </w:rPr>
            </w:pPr>
            <w:r>
              <w:rPr>
                <w:rFonts w:hint="eastAsia" w:cs="Courier New" w:asciiTheme="minorEastAsia" w:hAnsiTheme="minorEastAsia" w:eastAsiaTheme="minorEastAsia"/>
                <w:szCs w:val="21"/>
              </w:rPr>
              <w:t>投标人通过乐山市公共资源交易服务中心电子招投标系统在线申办第三方担保保函。第三方担保保函的生效时间最迟不晚于投标截止时间，在投标有效期内保持有效</w:t>
            </w:r>
            <w:r>
              <w:rPr>
                <w:rFonts w:hint="eastAsia" w:cs="Courier New" w:asciiTheme="minorEastAsia" w:hAnsiTheme="minorEastAsia" w:eastAsiaTheme="minorEastAsia"/>
                <w:szCs w:val="21"/>
                <w:lang w:eastAsia="zh-CN"/>
              </w:rPr>
              <w:t>。</w:t>
            </w:r>
          </w:p>
          <w:p w14:paraId="4ABEB730">
            <w:pPr>
              <w:adjustRightInd w:val="0"/>
              <w:snapToGrid w:val="0"/>
              <w:spacing w:line="400" w:lineRule="exact"/>
              <w:ind w:firstLine="210" w:firstLineChars="10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注:1.采用现金</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lang w:val="en-US" w:eastAsia="zh-CN"/>
              </w:rPr>
              <w:t>支票</w:t>
            </w:r>
            <w:r>
              <w:rPr>
                <w:rFonts w:hint="eastAsia" w:cs="Courier New" w:asciiTheme="minorEastAsia" w:hAnsiTheme="minorEastAsia" w:eastAsiaTheme="minorEastAsia"/>
                <w:szCs w:val="21"/>
              </w:rPr>
              <w:t>转账方式缴纳投标保证金的，投标人应附银行给投标人的转账回单扫描件、人民银行颁发的基本存款账户开户许可证或基本存款账户信息证明材料扫描件。</w:t>
            </w:r>
          </w:p>
          <w:p w14:paraId="38A0924B">
            <w:pPr>
              <w:adjustRightInd w:val="0"/>
              <w:snapToGrid w:val="0"/>
              <w:spacing w:line="400" w:lineRule="exact"/>
              <w:ind w:firstLine="210" w:firstLineChars="100"/>
              <w:rPr>
                <w:rFonts w:hint="eastAsia" w:asciiTheme="minorEastAsia" w:hAnsiTheme="minorEastAsia" w:eastAsiaTheme="minorEastAsia"/>
                <w:szCs w:val="21"/>
                <w:u w:val="single"/>
                <w:lang w:eastAsia="zh-CN"/>
              </w:rPr>
            </w:pPr>
            <w:r>
              <w:rPr>
                <w:rFonts w:hint="eastAsia" w:cs="Courier New" w:asciiTheme="minorEastAsia" w:hAnsiTheme="minorEastAsia" w:eastAsiaTheme="minorEastAsia"/>
                <w:szCs w:val="21"/>
              </w:rPr>
              <w:t>2.采用电子保险保单、银行电子保</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第三方担保保函方式缴纳投标保证金的，投标保证金缴纳证明以开标系统中打印出的投标保证金一览表到账名单为准，投标人无需将电子保险保单、银行电子保函</w:t>
            </w:r>
            <w:r>
              <w:rPr>
                <w:rFonts w:hint="eastAsia" w:cs="Courier New" w:asciiTheme="minorEastAsia" w:hAnsiTheme="minorEastAsia" w:eastAsiaTheme="minorEastAsia"/>
                <w:szCs w:val="21"/>
                <w:lang w:eastAsia="zh-CN"/>
              </w:rPr>
              <w:t>、</w:t>
            </w:r>
            <w:r>
              <w:rPr>
                <w:rFonts w:hint="eastAsia" w:cs="Courier New" w:asciiTheme="minorEastAsia" w:hAnsiTheme="minorEastAsia" w:eastAsiaTheme="minorEastAsia"/>
                <w:szCs w:val="21"/>
              </w:rPr>
              <w:t>第三方担保保函扫描件附入投标文件中</w:t>
            </w:r>
            <w:r>
              <w:rPr>
                <w:rFonts w:hint="eastAsia" w:cs="Courier New" w:asciiTheme="minorEastAsia" w:hAnsiTheme="minorEastAsia" w:eastAsiaTheme="minorEastAsia"/>
                <w:szCs w:val="21"/>
                <w:lang w:eastAsia="zh-CN"/>
              </w:rPr>
              <w:t>。</w:t>
            </w:r>
          </w:p>
        </w:tc>
      </w:tr>
      <w:tr w14:paraId="4D63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64F40D6">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3.4.3</w:t>
            </w:r>
          </w:p>
        </w:tc>
        <w:tc>
          <w:tcPr>
            <w:tcW w:w="2104" w:type="dxa"/>
            <w:vAlign w:val="center"/>
          </w:tcPr>
          <w:p w14:paraId="21E61337">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投标保证金的利息计算原则</w:t>
            </w:r>
          </w:p>
        </w:tc>
        <w:tc>
          <w:tcPr>
            <w:tcW w:w="5866" w:type="dxa"/>
            <w:vAlign w:val="center"/>
          </w:tcPr>
          <w:p w14:paraId="59A03BE4">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投标保证金以现金形式递交的，投标保证金的利息计算原则：</w:t>
            </w:r>
          </w:p>
          <w:p w14:paraId="5C4F387B">
            <w:pPr>
              <w:pStyle w:val="299"/>
              <w:adjustRightInd w:val="0"/>
              <w:snapToGrid w:val="0"/>
              <w:spacing w:line="400" w:lineRule="exact"/>
              <w:ind w:left="199" w:leftChars="95"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14:paraId="266DE792">
            <w:pPr>
              <w:adjustRightInd w:val="0"/>
              <w:snapToGrid w:val="0"/>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rPr>
              <w:t>此内容适用于投标保证金采用现金形式提交时。</w:t>
            </w:r>
          </w:p>
        </w:tc>
      </w:tr>
      <w:tr w14:paraId="5C4A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EEA3C9A">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3.4.3</w:t>
            </w:r>
          </w:p>
        </w:tc>
        <w:tc>
          <w:tcPr>
            <w:tcW w:w="2104" w:type="dxa"/>
            <w:vAlign w:val="center"/>
          </w:tcPr>
          <w:p w14:paraId="4C928531">
            <w:pPr>
              <w:pStyle w:val="299"/>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投标保证金的</w:t>
            </w:r>
          </w:p>
          <w:p w14:paraId="071144C2">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退还方式</w:t>
            </w:r>
          </w:p>
        </w:tc>
        <w:tc>
          <w:tcPr>
            <w:tcW w:w="5866" w:type="dxa"/>
            <w:vAlign w:val="center"/>
          </w:tcPr>
          <w:p w14:paraId="15C5A72F">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 不适用（不要求投标人提交投标保证金的）</w:t>
            </w:r>
          </w:p>
          <w:p w14:paraId="324449D4">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以在线支付形式提交的投标保证金，招标人最迟应当在中标通知书发出后5日内向中标候选人以外的其他投标人退还投标保证金，与中标人签订书面合同后5日内向中标人和其他中标候选人退还投标保证金。退还投标保证金时由招标人或代理机构在</w:t>
            </w:r>
            <w:r>
              <w:rPr>
                <w:rFonts w:hint="eastAsia" w:cs="Courier New" w:asciiTheme="minorEastAsia" w:hAnsiTheme="minorEastAsia" w:eastAsiaTheme="minorEastAsia"/>
                <w:szCs w:val="21"/>
              </w:rPr>
              <w:t>“乐山市公共资源交易服务平台电子招投标系统”</w:t>
            </w:r>
            <w:r>
              <w:rPr>
                <w:rFonts w:hint="eastAsia" w:cs="Times New Roman" w:asciiTheme="minorEastAsia" w:hAnsiTheme="minorEastAsia" w:eastAsiaTheme="minorEastAsia"/>
                <w:szCs w:val="21"/>
              </w:rPr>
              <w:t>中发起退款申请，投标人须提供以下资料：</w:t>
            </w:r>
          </w:p>
          <w:p w14:paraId="03E551DB">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（1）写明投标单位基本账户银行账号的单位介绍信及经办人身份证复印件（出示身份证原件）；</w:t>
            </w:r>
          </w:p>
          <w:p w14:paraId="4F42B93B">
            <w:pPr>
              <w:spacing w:line="40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（2）与招标人签订的合同原件及履约担保收据复印件(仅对中标人适用)。投标人提交的投标保函或保险合同（保险单），超过投标有效期（包括延长期）的，自动失效</w:t>
            </w:r>
          </w:p>
          <w:p w14:paraId="27B34B51">
            <w:pPr>
              <w:adjustRightInd w:val="0"/>
              <w:snapToGrid w:val="0"/>
              <w:spacing w:line="400" w:lineRule="exact"/>
              <w:ind w:firstLine="210" w:firstLineChars="100"/>
              <w:rPr>
                <w:rFonts w:asciiTheme="minorEastAsia" w:hAnsiTheme="minorEastAsia" w:eastAsiaTheme="minorEastAsia"/>
                <w:szCs w:val="21"/>
              </w:rPr>
            </w:pPr>
            <w:r>
              <w:rPr>
                <w:rFonts w:hint="eastAsia" w:cs="Times New Roman" w:asciiTheme="minorEastAsia" w:hAnsiTheme="minorEastAsia" w:eastAsiaTheme="minorEastAsia"/>
                <w:szCs w:val="21"/>
              </w:rPr>
              <w:t>注：本项为单项选择。</w:t>
            </w:r>
          </w:p>
        </w:tc>
      </w:tr>
      <w:tr w14:paraId="7A08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7EF2E41">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3.4.4</w:t>
            </w:r>
          </w:p>
        </w:tc>
        <w:tc>
          <w:tcPr>
            <w:tcW w:w="2104" w:type="dxa"/>
            <w:vAlign w:val="center"/>
          </w:tcPr>
          <w:p w14:paraId="6F063626">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其他不予退还投标保证金的情形</w:t>
            </w:r>
          </w:p>
        </w:tc>
        <w:tc>
          <w:tcPr>
            <w:tcW w:w="5866" w:type="dxa"/>
            <w:vAlign w:val="center"/>
          </w:tcPr>
          <w:p w14:paraId="6CA04793">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3）其他不予退还投标保证金的情形：</w:t>
            </w:r>
          </w:p>
          <w:p w14:paraId="1A1BADC2">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投标人存在弄虚作假且对其初步评审、详细评审产生影响的行为；</w:t>
            </w:r>
          </w:p>
          <w:p w14:paraId="41C6DD39">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投标人有串通投标行为；</w:t>
            </w:r>
          </w:p>
          <w:p w14:paraId="1B3AC47A">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投标人有行贿行为；</w:t>
            </w:r>
          </w:p>
          <w:p w14:paraId="723ED6BF">
            <w:pPr>
              <w:adjustRightInd w:val="0"/>
              <w:snapToGrid w:val="0"/>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bCs/>
                <w:szCs w:val="21"/>
              </w:rPr>
              <w:t>□</w:t>
            </w:r>
            <w:r>
              <w:rPr>
                <w:rFonts w:hint="eastAsia" w:asciiTheme="minorEastAsia" w:hAnsiTheme="minorEastAsia" w:eastAsiaTheme="minorEastAsia"/>
                <w:szCs w:val="21"/>
              </w:rPr>
              <w:t xml:space="preserve"> 投标人有其他行为：</w:t>
            </w:r>
            <w:r>
              <w:rPr>
                <w:rFonts w:asciiTheme="minorEastAsia" w:hAnsiTheme="minorEastAsia" w:eastAsiaTheme="minorEastAsia"/>
                <w:szCs w:val="21"/>
                <w:u w:val="single"/>
              </w:rPr>
              <w:t xml:space="preserve">        </w:t>
            </w:r>
          </w:p>
          <w:p w14:paraId="0B2D9FBA">
            <w:pPr>
              <w:adjustRightInd w:val="0"/>
              <w:snapToGrid w:val="0"/>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注：串通投标、弄虚作假具体情形见第三章“评标办法”</w:t>
            </w:r>
          </w:p>
        </w:tc>
      </w:tr>
      <w:tr w14:paraId="430C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2D34D09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w:t>
            </w:r>
          </w:p>
        </w:tc>
        <w:tc>
          <w:tcPr>
            <w:tcW w:w="2104" w:type="dxa"/>
            <w:vAlign w:val="center"/>
          </w:tcPr>
          <w:p w14:paraId="6859A8D6">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资格审查资料的特殊要求</w:t>
            </w:r>
          </w:p>
        </w:tc>
        <w:tc>
          <w:tcPr>
            <w:tcW w:w="5866" w:type="dxa"/>
            <w:vAlign w:val="center"/>
          </w:tcPr>
          <w:p w14:paraId="078CD989">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无</w:t>
            </w:r>
          </w:p>
          <w:p w14:paraId="444B72BD">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有，具体要求：</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290D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7468E30">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3.5.1</w:t>
            </w:r>
          </w:p>
        </w:tc>
        <w:tc>
          <w:tcPr>
            <w:tcW w:w="2104" w:type="dxa"/>
            <w:vAlign w:val="center"/>
          </w:tcPr>
          <w:p w14:paraId="0226BEF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投标人基本情况表</w:t>
            </w:r>
          </w:p>
        </w:tc>
        <w:tc>
          <w:tcPr>
            <w:tcW w:w="5866" w:type="dxa"/>
            <w:vAlign w:val="center"/>
          </w:tcPr>
          <w:p w14:paraId="7D553C96">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“投标人基本情况表”应附的证明材料的具体要求以第八章“投标文件格式”中要求为准</w:t>
            </w:r>
          </w:p>
        </w:tc>
      </w:tr>
      <w:tr w14:paraId="79DE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2621CC88">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3.5.2</w:t>
            </w:r>
          </w:p>
        </w:tc>
        <w:tc>
          <w:tcPr>
            <w:tcW w:w="2104" w:type="dxa"/>
            <w:vAlign w:val="center"/>
          </w:tcPr>
          <w:p w14:paraId="1686493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近年财务状况的年份要求</w:t>
            </w:r>
          </w:p>
        </w:tc>
        <w:tc>
          <w:tcPr>
            <w:tcW w:w="5866" w:type="dxa"/>
            <w:vAlign w:val="center"/>
          </w:tcPr>
          <w:p w14:paraId="433E044F">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时间要求：</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p>
          <w:p w14:paraId="41CA9553">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证明材料为：</w:t>
            </w:r>
          </w:p>
          <w:p w14:paraId="5176FBBB">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“近年财务状况</w:t>
            </w:r>
            <w:r>
              <w:rPr>
                <w:rFonts w:hint="eastAsia" w:asciiTheme="minorEastAsia" w:hAnsiTheme="minorEastAsia" w:eastAsiaTheme="minorEastAsia"/>
                <w:szCs w:val="21"/>
                <w:lang w:val="en-US" w:eastAsia="zh-CN"/>
              </w:rPr>
              <w:t>表</w:t>
            </w:r>
            <w:r>
              <w:rPr>
                <w:rFonts w:hint="eastAsia" w:asciiTheme="minorEastAsia" w:hAnsiTheme="minorEastAsia" w:eastAsiaTheme="minorEastAsia"/>
                <w:szCs w:val="21"/>
              </w:rPr>
              <w:t>”应附的证明材料的具体要求以第八章“投标文件格式”中要求为准</w:t>
            </w:r>
          </w:p>
        </w:tc>
      </w:tr>
      <w:tr w14:paraId="52BE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094FD6F">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3.5.3</w:t>
            </w:r>
          </w:p>
        </w:tc>
        <w:tc>
          <w:tcPr>
            <w:tcW w:w="2104" w:type="dxa"/>
            <w:vAlign w:val="center"/>
          </w:tcPr>
          <w:p w14:paraId="326F80A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近年完成的类似项目情况的时间要求</w:t>
            </w:r>
          </w:p>
        </w:tc>
        <w:tc>
          <w:tcPr>
            <w:tcW w:w="5866" w:type="dxa"/>
            <w:vAlign w:val="center"/>
          </w:tcPr>
          <w:p w14:paraId="4F1CBD95">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时间要求：</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r>
              <w:rPr>
                <w:rFonts w:hint="eastAsia" w:cs="宋体" w:asciiTheme="minorEastAsia" w:hAnsiTheme="minorEastAsia" w:eastAsiaTheme="minorEastAsia"/>
                <w:szCs w:val="21"/>
              </w:rPr>
              <w:t>～投标截止日</w:t>
            </w:r>
          </w:p>
          <w:p w14:paraId="540533DB">
            <w:pPr>
              <w:pStyle w:val="26"/>
              <w:adjustRightInd w:val="0"/>
              <w:snapToGrid w:val="0"/>
              <w:spacing w:line="400" w:lineRule="exact"/>
              <w:rPr>
                <w:rFonts w:asciiTheme="minorEastAsia" w:hAnsiTheme="minorEastAsia" w:eastAsiaTheme="minorEastAsia"/>
              </w:rPr>
            </w:pPr>
            <w:r>
              <w:rPr>
                <w:rFonts w:hint="eastAsia" w:asciiTheme="minorEastAsia" w:hAnsiTheme="minorEastAsia" w:eastAsiaTheme="minorEastAsia"/>
              </w:rPr>
              <w:t>证明材料为：</w:t>
            </w:r>
          </w:p>
          <w:p w14:paraId="5683F84D">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“近年完成</w:t>
            </w:r>
            <w:r>
              <w:rPr>
                <w:rFonts w:hint="eastAsia" w:asciiTheme="minorEastAsia" w:hAnsiTheme="minorEastAsia" w:eastAsiaTheme="minorEastAsia"/>
                <w:szCs w:val="21"/>
                <w:lang w:val="en-US" w:eastAsia="zh-CN"/>
              </w:rPr>
              <w:t>的</w:t>
            </w:r>
            <w:r>
              <w:rPr>
                <w:rFonts w:hint="eastAsia" w:asciiTheme="minorEastAsia" w:hAnsiTheme="minorEastAsia" w:eastAsiaTheme="minorEastAsia"/>
                <w:szCs w:val="21"/>
              </w:rPr>
              <w:t>类似项目情况</w:t>
            </w:r>
            <w:r>
              <w:rPr>
                <w:rFonts w:hint="eastAsia" w:asciiTheme="minorEastAsia" w:hAnsiTheme="minorEastAsia" w:eastAsiaTheme="minorEastAsia"/>
                <w:szCs w:val="21"/>
                <w:lang w:val="en-US" w:eastAsia="zh-CN"/>
              </w:rPr>
              <w:t>表</w:t>
            </w:r>
            <w:r>
              <w:rPr>
                <w:rFonts w:hint="eastAsia" w:asciiTheme="minorEastAsia" w:hAnsiTheme="minorEastAsia" w:eastAsiaTheme="minorEastAsia"/>
                <w:szCs w:val="21"/>
              </w:rPr>
              <w:t>”应附的</w:t>
            </w:r>
            <w:r>
              <w:rPr>
                <w:rFonts w:hint="eastAsia" w:cs="宋体" w:asciiTheme="minorEastAsia" w:hAnsiTheme="minorEastAsia" w:eastAsiaTheme="minorEastAsia"/>
                <w:szCs w:val="21"/>
              </w:rPr>
              <w:t>证明材料的具体要求以第八章“投标文件格式”中要求为准</w:t>
            </w:r>
          </w:p>
        </w:tc>
      </w:tr>
      <w:tr w14:paraId="78CD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CECCA04">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3.5.4</w:t>
            </w:r>
          </w:p>
        </w:tc>
        <w:tc>
          <w:tcPr>
            <w:tcW w:w="2104" w:type="dxa"/>
            <w:vAlign w:val="center"/>
          </w:tcPr>
          <w:p w14:paraId="1BB9A27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投标人信誉情况表</w:t>
            </w:r>
          </w:p>
        </w:tc>
        <w:tc>
          <w:tcPr>
            <w:tcW w:w="5866" w:type="dxa"/>
            <w:vAlign w:val="center"/>
          </w:tcPr>
          <w:p w14:paraId="70328C01">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证明材料为：</w:t>
            </w:r>
          </w:p>
          <w:p w14:paraId="4F99A303">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“投标人信誉情况表”应附的</w:t>
            </w:r>
            <w:r>
              <w:rPr>
                <w:rFonts w:hint="eastAsia" w:cs="宋体" w:asciiTheme="minorEastAsia" w:hAnsiTheme="minorEastAsia" w:eastAsiaTheme="minorEastAsia"/>
                <w:szCs w:val="21"/>
              </w:rPr>
              <w:t>证明材料的具体要求以第八章“投标文件格式”中要求为准</w:t>
            </w:r>
          </w:p>
        </w:tc>
      </w:tr>
      <w:tr w14:paraId="60AF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7B240979">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3.5.5</w:t>
            </w:r>
          </w:p>
        </w:tc>
        <w:tc>
          <w:tcPr>
            <w:tcW w:w="2104" w:type="dxa"/>
            <w:vAlign w:val="center"/>
          </w:tcPr>
          <w:p w14:paraId="1B529EB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拟委任的主要人员资历表</w:t>
            </w:r>
          </w:p>
        </w:tc>
        <w:tc>
          <w:tcPr>
            <w:tcW w:w="5866" w:type="dxa"/>
            <w:vAlign w:val="center"/>
          </w:tcPr>
          <w:p w14:paraId="31C3153C">
            <w:pPr>
              <w:adjustRightInd w:val="0"/>
              <w:snapToGrid w:val="0"/>
              <w:spacing w:line="400" w:lineRule="exact"/>
              <w:rPr>
                <w:rFonts w:asciiTheme="minorEastAsia" w:hAnsiTheme="minorEastAsia" w:eastAsiaTheme="minorEastAsia"/>
                <w:szCs w:val="21"/>
                <w:u w:val="single"/>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w:t>
            </w:r>
            <w:r>
              <w:rPr>
                <w:rFonts w:hint="eastAsia" w:asciiTheme="minorEastAsia" w:hAnsiTheme="minorEastAsia" w:eastAsiaTheme="minorEastAsia"/>
                <w:szCs w:val="21"/>
              </w:rPr>
              <w:t>拟委任的主要人员：</w:t>
            </w:r>
            <w:r>
              <w:rPr>
                <w:rFonts w:asciiTheme="minorEastAsia" w:hAnsiTheme="minorEastAsia" w:eastAsiaTheme="minorEastAsia"/>
                <w:szCs w:val="21"/>
                <w:u w:val="single"/>
              </w:rPr>
              <w:t xml:space="preserve">           </w:t>
            </w:r>
          </w:p>
          <w:p w14:paraId="1F2DD2E8">
            <w:pPr>
              <w:adjustRightInd w:val="0"/>
              <w:snapToGrid w:val="0"/>
              <w:spacing w:line="400" w:lineRule="exact"/>
              <w:ind w:firstLine="210" w:firstLineChars="100"/>
              <w:rPr>
                <w:rFonts w:cs="宋体" w:asciiTheme="minorEastAsia" w:hAnsiTheme="minorEastAsia" w:eastAsiaTheme="minorEastAsia"/>
                <w:szCs w:val="21"/>
              </w:rPr>
            </w:pPr>
            <w:r>
              <w:rPr>
                <w:rFonts w:hint="eastAsia" w:asciiTheme="minorEastAsia" w:hAnsiTheme="minorEastAsia" w:eastAsiaTheme="minorEastAsia"/>
                <w:szCs w:val="21"/>
              </w:rPr>
              <w:t>证明材料为</w:t>
            </w:r>
            <w:r>
              <w:rPr>
                <w:rFonts w:hint="eastAsia" w:cs="宋体" w:asciiTheme="minorEastAsia" w:hAnsiTheme="minorEastAsia" w:eastAsiaTheme="minorEastAsia"/>
                <w:szCs w:val="21"/>
              </w:rPr>
              <w:t>：</w:t>
            </w:r>
            <w:r>
              <w:rPr>
                <w:rFonts w:hint="eastAsia" w:asciiTheme="minorEastAsia" w:hAnsiTheme="minorEastAsia" w:eastAsiaTheme="minorEastAsia"/>
                <w:szCs w:val="21"/>
              </w:rPr>
              <w:t>“拟委任的主要人员资历表”应附的</w:t>
            </w:r>
            <w:r>
              <w:rPr>
                <w:rFonts w:hint="eastAsia" w:cs="宋体" w:asciiTheme="minorEastAsia" w:hAnsiTheme="minorEastAsia" w:eastAsiaTheme="minorEastAsia"/>
                <w:szCs w:val="21"/>
              </w:rPr>
              <w:t>证明材料的具体要求以第八章“投标文件格式”中要求为准。</w:t>
            </w:r>
          </w:p>
          <w:p w14:paraId="1698FE2F">
            <w:pPr>
              <w:autoSpaceDE w:val="0"/>
              <w:autoSpaceDN w:val="0"/>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kern w:val="0"/>
                <w:szCs w:val="21"/>
              </w:rPr>
              <w:t xml:space="preserve"> 本次</w:t>
            </w:r>
            <w:r>
              <w:rPr>
                <w:rFonts w:hint="eastAsia" w:asciiTheme="minorEastAsia" w:hAnsiTheme="minorEastAsia" w:eastAsiaTheme="minorEastAsia"/>
                <w:szCs w:val="21"/>
              </w:rPr>
              <w:t>拟委任的主要人员</w:t>
            </w:r>
            <w:r>
              <w:rPr>
                <w:rFonts w:hint="eastAsia" w:cs="宋体" w:asciiTheme="minorEastAsia" w:hAnsiTheme="minorEastAsia" w:eastAsiaTheme="minorEastAsia"/>
                <w:kern w:val="0"/>
                <w:szCs w:val="21"/>
              </w:rPr>
              <w:t>不作为资格审查强制性条件，投标人若成为中标人，则在签订合同前，须上报满足招标文件第四章第三节“</w:t>
            </w:r>
            <w:r>
              <w:rPr>
                <w:rFonts w:hint="eastAsia" w:cs="宋体" w:asciiTheme="minorEastAsia" w:hAnsiTheme="minorEastAsia" w:eastAsiaTheme="minorEastAsia"/>
                <w:kern w:val="0"/>
                <w:szCs w:val="21"/>
                <w:u w:val="single"/>
              </w:rPr>
              <w:t>附件四 主要人员最低要求</w:t>
            </w:r>
            <w:r>
              <w:rPr>
                <w:rFonts w:hint="eastAsia" w:cs="宋体" w:asciiTheme="minorEastAsia" w:hAnsiTheme="minorEastAsia" w:eastAsiaTheme="minorEastAsia"/>
                <w:kern w:val="0"/>
                <w:szCs w:val="21"/>
              </w:rPr>
              <w:t>”的相关具体人员，经招标人或发包人审核同意后签订合同，并按填报的人员进场开展工作</w:t>
            </w:r>
          </w:p>
        </w:tc>
      </w:tr>
      <w:tr w14:paraId="1AB8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5730BF9">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3.5.6</w:t>
            </w:r>
          </w:p>
        </w:tc>
        <w:tc>
          <w:tcPr>
            <w:tcW w:w="2104" w:type="dxa"/>
            <w:vAlign w:val="center"/>
          </w:tcPr>
          <w:p w14:paraId="044F69A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拟委任的其他管理</w:t>
            </w:r>
            <w:r>
              <w:rPr>
                <w:rFonts w:asciiTheme="minorEastAsia" w:hAnsiTheme="minorEastAsia" w:eastAsiaTheme="minorEastAsia"/>
                <w:szCs w:val="21"/>
              </w:rPr>
              <w:t>和技术</w:t>
            </w:r>
            <w:r>
              <w:rPr>
                <w:rFonts w:hint="eastAsia" w:asciiTheme="minorEastAsia" w:hAnsiTheme="minorEastAsia" w:eastAsiaTheme="minorEastAsia"/>
                <w:szCs w:val="21"/>
              </w:rPr>
              <w:t>人员资历表</w:t>
            </w:r>
          </w:p>
        </w:tc>
        <w:tc>
          <w:tcPr>
            <w:tcW w:w="5866" w:type="dxa"/>
            <w:vAlign w:val="center"/>
          </w:tcPr>
          <w:p w14:paraId="536CE837">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w:t>
            </w:r>
            <w:r>
              <w:rPr>
                <w:rFonts w:hint="eastAsia" w:asciiTheme="minorEastAsia" w:hAnsiTheme="minorEastAsia" w:eastAsiaTheme="minorEastAsia"/>
                <w:szCs w:val="21"/>
              </w:rPr>
              <w:t>拟委任的其他管理</w:t>
            </w:r>
            <w:r>
              <w:rPr>
                <w:rFonts w:asciiTheme="minorEastAsia" w:hAnsiTheme="minorEastAsia" w:eastAsiaTheme="minorEastAsia"/>
                <w:szCs w:val="21"/>
              </w:rPr>
              <w:t>和技术</w:t>
            </w:r>
            <w:r>
              <w:rPr>
                <w:rFonts w:hint="eastAsia" w:asciiTheme="minorEastAsia" w:hAnsiTheme="minorEastAsia" w:eastAsiaTheme="minorEastAsia"/>
                <w:szCs w:val="21"/>
              </w:rPr>
              <w:t>人员资历表</w:t>
            </w:r>
            <w:r>
              <w:rPr>
                <w:rFonts w:hint="eastAsia" w:cs="宋体" w:asciiTheme="minorEastAsia" w:hAnsiTheme="minorEastAsia" w:eastAsiaTheme="minorEastAsia"/>
                <w:szCs w:val="21"/>
              </w:rPr>
              <w:t>”</w:t>
            </w:r>
            <w:r>
              <w:rPr>
                <w:rFonts w:hint="eastAsia" w:asciiTheme="minorEastAsia" w:hAnsiTheme="minorEastAsia" w:eastAsiaTheme="minorEastAsia"/>
                <w:szCs w:val="21"/>
              </w:rPr>
              <w:t>应附的</w:t>
            </w:r>
            <w:r>
              <w:rPr>
                <w:rFonts w:hint="eastAsia" w:cs="宋体" w:asciiTheme="minorEastAsia" w:hAnsiTheme="minorEastAsia" w:eastAsiaTheme="minorEastAsia"/>
                <w:szCs w:val="21"/>
              </w:rPr>
              <w:t>证明材料的具体要求以第八章“投标文件格式”中要求为准</w:t>
            </w:r>
          </w:p>
          <w:p w14:paraId="09745CB3">
            <w:pPr>
              <w:autoSpaceDE w:val="0"/>
              <w:autoSpaceDN w:val="0"/>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kern w:val="0"/>
                <w:szCs w:val="21"/>
              </w:rPr>
              <w:t xml:space="preserve"> 本次</w:t>
            </w:r>
            <w:r>
              <w:rPr>
                <w:rFonts w:hint="eastAsia" w:asciiTheme="minorEastAsia" w:hAnsiTheme="minorEastAsia" w:eastAsiaTheme="minorEastAsia"/>
                <w:szCs w:val="21"/>
              </w:rPr>
              <w:t>拟委任的其他管理</w:t>
            </w:r>
            <w:r>
              <w:rPr>
                <w:rFonts w:asciiTheme="minorEastAsia" w:hAnsiTheme="minorEastAsia" w:eastAsiaTheme="minorEastAsia"/>
                <w:szCs w:val="21"/>
              </w:rPr>
              <w:t>和技术</w:t>
            </w:r>
            <w:r>
              <w:rPr>
                <w:rFonts w:hint="eastAsia" w:asciiTheme="minorEastAsia" w:hAnsiTheme="minorEastAsia" w:eastAsiaTheme="minorEastAsia"/>
                <w:szCs w:val="21"/>
              </w:rPr>
              <w:t>人员</w:t>
            </w:r>
            <w:r>
              <w:rPr>
                <w:rFonts w:hint="eastAsia" w:cs="宋体" w:asciiTheme="minorEastAsia" w:hAnsiTheme="minorEastAsia" w:eastAsiaTheme="minorEastAsia"/>
                <w:kern w:val="0"/>
                <w:szCs w:val="21"/>
              </w:rPr>
              <w:t>不作为资格审查强制性条件，投标人若成为中标人，则在签订合同前，须上报满足招标文件第四章第三节“</w:t>
            </w:r>
            <w:r>
              <w:rPr>
                <w:rFonts w:hint="eastAsia" w:cs="宋体" w:asciiTheme="minorEastAsia" w:hAnsiTheme="minorEastAsia" w:eastAsiaTheme="minorEastAsia"/>
                <w:kern w:val="0"/>
                <w:szCs w:val="21"/>
                <w:u w:val="single"/>
              </w:rPr>
              <w:t>附件五 其他管理和技术人员最低要求</w:t>
            </w:r>
            <w:r>
              <w:rPr>
                <w:rFonts w:hint="eastAsia" w:cs="宋体" w:asciiTheme="minorEastAsia" w:hAnsiTheme="minorEastAsia" w:eastAsiaTheme="minorEastAsia"/>
                <w:kern w:val="0"/>
                <w:szCs w:val="21"/>
              </w:rPr>
              <w:t>”的相关具体人员，经招标人或发包人审核同意后签订合同，并按填报的人员进场开展工作</w:t>
            </w:r>
          </w:p>
        </w:tc>
      </w:tr>
      <w:tr w14:paraId="7F20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95F75AE">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3.5.7</w:t>
            </w:r>
          </w:p>
        </w:tc>
        <w:tc>
          <w:tcPr>
            <w:tcW w:w="2104" w:type="dxa"/>
            <w:vAlign w:val="center"/>
          </w:tcPr>
          <w:p w14:paraId="569451F8">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拟投入本标段的主要施工机械和试验检测设备</w:t>
            </w:r>
          </w:p>
        </w:tc>
        <w:tc>
          <w:tcPr>
            <w:tcW w:w="5866" w:type="dxa"/>
            <w:vAlign w:val="center"/>
          </w:tcPr>
          <w:p w14:paraId="01BC8281">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w:t>
            </w:r>
            <w:r>
              <w:rPr>
                <w:rFonts w:hint="eastAsia" w:asciiTheme="minorEastAsia" w:hAnsiTheme="minorEastAsia" w:eastAsiaTheme="minorEastAsia"/>
                <w:szCs w:val="21"/>
              </w:rPr>
              <w:t>拟投入本标段的主要施工机械表</w:t>
            </w:r>
            <w:r>
              <w:rPr>
                <w:rFonts w:hint="eastAsia" w:cs="宋体" w:asciiTheme="minorEastAsia" w:hAnsiTheme="minorEastAsia" w:eastAsiaTheme="minorEastAsia"/>
                <w:szCs w:val="21"/>
              </w:rPr>
              <w:t>”“</w:t>
            </w:r>
            <w:r>
              <w:rPr>
                <w:rFonts w:asciiTheme="minorEastAsia" w:hAnsiTheme="minorEastAsia" w:eastAsiaTheme="minorEastAsia"/>
                <w:szCs w:val="21"/>
              </w:rPr>
              <w:t>拟配备本标段的主要材料试验、测量、质检仪器设备表</w:t>
            </w:r>
            <w:r>
              <w:rPr>
                <w:rFonts w:hint="eastAsia" w:cs="宋体" w:asciiTheme="minorEastAsia" w:hAnsiTheme="minorEastAsia" w:eastAsiaTheme="minorEastAsia"/>
                <w:szCs w:val="21"/>
              </w:rPr>
              <w:t>”</w:t>
            </w:r>
            <w:r>
              <w:rPr>
                <w:rFonts w:asciiTheme="minorEastAsia" w:hAnsiTheme="minorEastAsia" w:eastAsiaTheme="minorEastAsia"/>
                <w:szCs w:val="21"/>
              </w:rPr>
              <w:t>应附</w:t>
            </w:r>
            <w:r>
              <w:rPr>
                <w:rFonts w:hint="eastAsia" w:asciiTheme="minorEastAsia" w:hAnsiTheme="minorEastAsia" w:eastAsiaTheme="minorEastAsia"/>
                <w:szCs w:val="21"/>
              </w:rPr>
              <w:t>的</w:t>
            </w:r>
            <w:r>
              <w:rPr>
                <w:rFonts w:hint="eastAsia" w:cs="宋体" w:asciiTheme="minorEastAsia" w:hAnsiTheme="minorEastAsia" w:eastAsiaTheme="minorEastAsia"/>
                <w:szCs w:val="21"/>
              </w:rPr>
              <w:t>证明材料的具体要求以第八章“投标文件格式”中要求为准</w:t>
            </w:r>
          </w:p>
          <w:p w14:paraId="7683A7A1">
            <w:pPr>
              <w:autoSpaceDE w:val="0"/>
              <w:autoSpaceDN w:val="0"/>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kern w:val="0"/>
                <w:szCs w:val="21"/>
              </w:rPr>
              <w:t xml:space="preserve"> 本次</w:t>
            </w:r>
            <w:r>
              <w:rPr>
                <w:rFonts w:hint="eastAsia" w:asciiTheme="minorEastAsia" w:hAnsiTheme="minorEastAsia" w:eastAsiaTheme="minorEastAsia"/>
                <w:szCs w:val="21"/>
              </w:rPr>
              <w:t>拟投入本标段的“主要施工机械”“主要试验检测设备”</w:t>
            </w:r>
            <w:r>
              <w:rPr>
                <w:rFonts w:hint="eastAsia" w:cs="宋体" w:asciiTheme="minorEastAsia" w:hAnsiTheme="minorEastAsia" w:eastAsiaTheme="minorEastAsia"/>
                <w:kern w:val="0"/>
                <w:szCs w:val="21"/>
              </w:rPr>
              <w:t>不作为资格审查强制性条件；投标人若成为中标人，则在签订合同前，须上报满足招标文件第四章第三节“</w:t>
            </w:r>
            <w:r>
              <w:rPr>
                <w:rFonts w:hint="eastAsia" w:cs="宋体" w:asciiTheme="minorEastAsia" w:hAnsiTheme="minorEastAsia" w:eastAsiaTheme="minorEastAsia"/>
                <w:kern w:val="0"/>
                <w:szCs w:val="21"/>
                <w:u w:val="single"/>
              </w:rPr>
              <w:t>附件六 主要机械设备和试验检测设备最低要求</w:t>
            </w:r>
            <w:r>
              <w:rPr>
                <w:rFonts w:hint="eastAsia" w:cs="宋体" w:asciiTheme="minorEastAsia" w:hAnsiTheme="minorEastAsia" w:eastAsiaTheme="minorEastAsia"/>
                <w:kern w:val="0"/>
                <w:szCs w:val="21"/>
              </w:rPr>
              <w:t>”的</w:t>
            </w:r>
            <w:r>
              <w:rPr>
                <w:rFonts w:hint="eastAsia" w:ascii="宋体" w:hAnsi="宋体" w:cs="宋体"/>
                <w:szCs w:val="21"/>
              </w:rPr>
              <w:t>本标段配备的主要设备，在经招标人审批后作为投入本标段的主要设备且不允许更换</w:t>
            </w:r>
          </w:p>
          <w:p w14:paraId="2AED7E09">
            <w:pPr>
              <w:autoSpaceDE w:val="0"/>
              <w:autoSpaceDN w:val="0"/>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kern w:val="0"/>
                <w:szCs w:val="21"/>
              </w:rPr>
              <w:t xml:space="preserve"> 本次</w:t>
            </w:r>
            <w:r>
              <w:rPr>
                <w:rFonts w:hint="eastAsia" w:asciiTheme="minorEastAsia" w:hAnsiTheme="minorEastAsia" w:eastAsiaTheme="minorEastAsia"/>
                <w:szCs w:val="21"/>
              </w:rPr>
              <w:t>拟投入本标段的“主要施工机械”“主要试验检测设备”均不</w:t>
            </w:r>
            <w:r>
              <w:rPr>
                <w:rFonts w:hint="eastAsia" w:cs="宋体" w:asciiTheme="minorEastAsia" w:hAnsiTheme="minorEastAsia" w:eastAsiaTheme="minorEastAsia"/>
                <w:kern w:val="0"/>
                <w:szCs w:val="21"/>
              </w:rPr>
              <w:t>作要求，由承包人根据项目实际情况配备，满足现场需要</w:t>
            </w:r>
          </w:p>
        </w:tc>
      </w:tr>
      <w:tr w14:paraId="50AE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92B073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3.5.8</w:t>
            </w:r>
          </w:p>
        </w:tc>
        <w:tc>
          <w:tcPr>
            <w:tcW w:w="2104" w:type="dxa"/>
            <w:vAlign w:val="center"/>
          </w:tcPr>
          <w:p w14:paraId="3D7AE5B9">
            <w:pPr>
              <w:adjustRightInd w:val="0"/>
              <w:snapToGrid w:val="0"/>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拟用于本标段的关键机电设备</w:t>
            </w:r>
          </w:p>
        </w:tc>
        <w:tc>
          <w:tcPr>
            <w:tcW w:w="5866" w:type="dxa"/>
            <w:vAlign w:val="center"/>
          </w:tcPr>
          <w:p w14:paraId="1C6F4B3A">
            <w:pPr>
              <w:adjustRightInd w:val="0"/>
              <w:snapToGrid w:val="0"/>
              <w:spacing w:line="40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bCs/>
                <w:szCs w:val="21"/>
              </w:rPr>
              <w:t>不适用</w:t>
            </w:r>
          </w:p>
          <w:p w14:paraId="1D68D1AC">
            <w:pPr>
              <w:adjustRightInd w:val="0"/>
              <w:snapToGrid w:val="0"/>
              <w:spacing w:line="40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b/>
                <w:szCs w:val="21"/>
              </w:rPr>
              <w:sym w:font="Wingdings 2" w:char="00A3"/>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w:t>
            </w:r>
            <w:r>
              <w:rPr>
                <w:rFonts w:hint="eastAsia" w:asciiTheme="minorEastAsia" w:hAnsiTheme="minorEastAsia" w:eastAsiaTheme="minorEastAsia"/>
                <w:szCs w:val="21"/>
              </w:rPr>
              <w:t>拟用于本标段的关键机电设备品牌</w:t>
            </w:r>
            <w:r>
              <w:rPr>
                <w:rFonts w:asciiTheme="minorEastAsia" w:hAnsiTheme="minorEastAsia" w:eastAsiaTheme="minorEastAsia"/>
                <w:szCs w:val="21"/>
              </w:rPr>
              <w:t>及主要</w:t>
            </w:r>
            <w:r>
              <w:rPr>
                <w:rFonts w:hint="eastAsia" w:asciiTheme="minorEastAsia" w:hAnsiTheme="minorEastAsia" w:eastAsiaTheme="minorEastAsia"/>
                <w:szCs w:val="21"/>
              </w:rPr>
              <w:t>技术性能</w:t>
            </w:r>
            <w:r>
              <w:rPr>
                <w:rFonts w:asciiTheme="minorEastAsia" w:hAnsiTheme="minorEastAsia" w:eastAsiaTheme="minorEastAsia"/>
                <w:szCs w:val="21"/>
              </w:rPr>
              <w:t>指标</w:t>
            </w:r>
            <w:r>
              <w:rPr>
                <w:rFonts w:hint="eastAsia" w:asciiTheme="minorEastAsia" w:hAnsiTheme="minorEastAsia" w:eastAsiaTheme="minorEastAsia"/>
                <w:szCs w:val="21"/>
              </w:rPr>
              <w:t>表</w:t>
            </w:r>
            <w:r>
              <w:rPr>
                <w:rFonts w:hint="eastAsia" w:cs="宋体" w:asciiTheme="minorEastAsia" w:hAnsiTheme="minorEastAsia" w:eastAsiaTheme="minorEastAsia"/>
                <w:szCs w:val="21"/>
              </w:rPr>
              <w:t>”</w:t>
            </w:r>
            <w:r>
              <w:rPr>
                <w:rFonts w:hint="eastAsia" w:asciiTheme="minorEastAsia" w:hAnsiTheme="minorEastAsia" w:eastAsiaTheme="minorEastAsia"/>
                <w:szCs w:val="21"/>
              </w:rPr>
              <w:t>应附的</w:t>
            </w:r>
            <w:r>
              <w:rPr>
                <w:rFonts w:hint="eastAsia" w:cs="宋体" w:asciiTheme="minorEastAsia" w:hAnsiTheme="minorEastAsia" w:eastAsiaTheme="minorEastAsia"/>
                <w:szCs w:val="21"/>
              </w:rPr>
              <w:t>证明材料以</w:t>
            </w:r>
            <w:r>
              <w:rPr>
                <w:rFonts w:hint="eastAsia" w:cs="宋体" w:asciiTheme="minorEastAsia" w:hAnsiTheme="minorEastAsia" w:eastAsiaTheme="minorEastAsia"/>
                <w:szCs w:val="21"/>
                <w:lang w:eastAsia="zh-CN"/>
              </w:rPr>
              <w:t>第八章</w:t>
            </w:r>
            <w:r>
              <w:rPr>
                <w:rFonts w:hint="eastAsia" w:cs="宋体" w:asciiTheme="minorEastAsia" w:hAnsiTheme="minorEastAsia" w:eastAsiaTheme="minorEastAsia"/>
                <w:szCs w:val="21"/>
              </w:rPr>
              <w:t>“投标文件格式”中要求为准</w:t>
            </w:r>
          </w:p>
          <w:p w14:paraId="1C70191B">
            <w:pPr>
              <w:autoSpaceDE w:val="0"/>
              <w:autoSpaceDN w:val="0"/>
              <w:adjustRightInd w:val="0"/>
              <w:snapToGrid w:val="0"/>
              <w:spacing w:line="400" w:lineRule="exac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asciiTheme="minorEastAsia" w:hAnsiTheme="minorEastAsia" w:eastAsiaTheme="minorEastAsia"/>
                <w:szCs w:val="21"/>
              </w:rPr>
              <w:t>“拟用于本标段的关键机电设备品牌</w:t>
            </w:r>
            <w:r>
              <w:rPr>
                <w:rFonts w:asciiTheme="minorEastAsia" w:hAnsiTheme="minorEastAsia" w:eastAsiaTheme="minorEastAsia"/>
                <w:szCs w:val="21"/>
              </w:rPr>
              <w:t>及主要</w:t>
            </w:r>
            <w:r>
              <w:rPr>
                <w:rFonts w:hint="eastAsia" w:asciiTheme="minorEastAsia" w:hAnsiTheme="minorEastAsia" w:eastAsiaTheme="minorEastAsia"/>
                <w:szCs w:val="21"/>
              </w:rPr>
              <w:t>技术性能</w:t>
            </w:r>
            <w:r>
              <w:rPr>
                <w:rFonts w:asciiTheme="minorEastAsia" w:hAnsiTheme="minorEastAsia" w:eastAsiaTheme="minorEastAsia"/>
                <w:szCs w:val="21"/>
              </w:rPr>
              <w:t>指标</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不作为资格审查强制性条件；投标人若成为中标人，则在签订合同前，须上报满足招标文件第四章第三节</w:t>
            </w:r>
            <w:r>
              <w:rPr>
                <w:rFonts w:hint="eastAsia" w:cs="宋体" w:asciiTheme="minorEastAsia" w:hAnsiTheme="minorEastAsia" w:eastAsiaTheme="minorEastAsia"/>
                <w:kern w:val="0"/>
                <w:szCs w:val="21"/>
                <w:u w:val="single"/>
              </w:rPr>
              <w:t xml:space="preserve">“附件十五 </w:t>
            </w:r>
            <w:r>
              <w:rPr>
                <w:rFonts w:hint="eastAsia" w:asciiTheme="minorEastAsia" w:hAnsiTheme="minorEastAsia" w:eastAsiaTheme="minorEastAsia"/>
                <w:szCs w:val="21"/>
                <w:u w:val="single"/>
              </w:rPr>
              <w:t>拟用于本标段的关键机电设备品牌</w:t>
            </w:r>
            <w:r>
              <w:rPr>
                <w:rFonts w:asciiTheme="minorEastAsia" w:hAnsiTheme="minorEastAsia" w:eastAsiaTheme="minorEastAsia"/>
                <w:szCs w:val="21"/>
                <w:u w:val="single"/>
              </w:rPr>
              <w:t>及主要</w:t>
            </w:r>
            <w:r>
              <w:rPr>
                <w:rFonts w:hint="eastAsia" w:asciiTheme="minorEastAsia" w:hAnsiTheme="minorEastAsia" w:eastAsiaTheme="minorEastAsia"/>
                <w:szCs w:val="21"/>
                <w:u w:val="single"/>
              </w:rPr>
              <w:t>技术性能</w:t>
            </w:r>
            <w:r>
              <w:rPr>
                <w:rFonts w:asciiTheme="minorEastAsia" w:hAnsiTheme="minorEastAsia" w:eastAsiaTheme="minorEastAsia"/>
                <w:szCs w:val="21"/>
                <w:u w:val="single"/>
              </w:rPr>
              <w:t>指标</w:t>
            </w:r>
            <w:r>
              <w:rPr>
                <w:rFonts w:hint="eastAsia" w:asciiTheme="minorEastAsia" w:hAnsiTheme="minorEastAsia" w:eastAsiaTheme="minorEastAsia"/>
                <w:szCs w:val="21"/>
                <w:u w:val="single"/>
              </w:rPr>
              <w:t>表</w:t>
            </w:r>
            <w:r>
              <w:rPr>
                <w:rFonts w:hint="eastAsia" w:cs="宋体" w:asciiTheme="minorEastAsia" w:hAnsiTheme="minorEastAsia" w:eastAsiaTheme="minorEastAsia"/>
                <w:kern w:val="0"/>
                <w:szCs w:val="21"/>
                <w:u w:val="single"/>
              </w:rPr>
              <w:t>”</w:t>
            </w:r>
            <w:r>
              <w:rPr>
                <w:rFonts w:hint="eastAsia" w:cs="宋体" w:asciiTheme="minorEastAsia" w:hAnsiTheme="minorEastAsia" w:eastAsiaTheme="minorEastAsia"/>
                <w:kern w:val="0"/>
                <w:szCs w:val="21"/>
              </w:rPr>
              <w:t>要求的</w:t>
            </w:r>
            <w:r>
              <w:rPr>
                <w:rFonts w:asciiTheme="minorEastAsia" w:hAnsiTheme="minorEastAsia" w:eastAsiaTheme="minorEastAsia"/>
                <w:szCs w:val="21"/>
              </w:rPr>
              <w:t>关键机电设备</w:t>
            </w:r>
            <w:r>
              <w:rPr>
                <w:rFonts w:hint="eastAsia" w:cs="宋体" w:asciiTheme="minorEastAsia" w:hAnsiTheme="minorEastAsia" w:eastAsiaTheme="minorEastAsia"/>
                <w:kern w:val="0"/>
                <w:szCs w:val="21"/>
              </w:rPr>
              <w:t>的主要</w:t>
            </w:r>
            <w:r>
              <w:rPr>
                <w:rFonts w:cs="宋体" w:asciiTheme="minorEastAsia" w:hAnsiTheme="minorEastAsia" w:eastAsiaTheme="minorEastAsia"/>
                <w:kern w:val="0"/>
                <w:szCs w:val="21"/>
              </w:rPr>
              <w:t>技术性能指标</w:t>
            </w:r>
            <w:r>
              <w:rPr>
                <w:rFonts w:hint="eastAsia" w:cs="宋体" w:asciiTheme="minorEastAsia" w:hAnsiTheme="minorEastAsia" w:eastAsiaTheme="minorEastAsia"/>
                <w:kern w:val="0"/>
                <w:szCs w:val="21"/>
              </w:rPr>
              <w:t>响应情况、</w:t>
            </w:r>
            <w:r>
              <w:rPr>
                <w:rFonts w:cs="宋体" w:asciiTheme="minorEastAsia" w:hAnsiTheme="minorEastAsia" w:eastAsiaTheme="minorEastAsia"/>
                <w:kern w:val="0"/>
                <w:szCs w:val="21"/>
              </w:rPr>
              <w:t>品牌及</w:t>
            </w:r>
            <w:r>
              <w:rPr>
                <w:rFonts w:hint="eastAsia" w:cs="宋体" w:asciiTheme="minorEastAsia" w:hAnsiTheme="minorEastAsia" w:eastAsiaTheme="minorEastAsia"/>
                <w:kern w:val="0"/>
                <w:szCs w:val="21"/>
              </w:rPr>
              <w:t>型号</w:t>
            </w:r>
            <w:r>
              <w:rPr>
                <w:rFonts w:hint="eastAsia" w:ascii="宋体" w:hAnsi="宋体" w:cs="宋体"/>
                <w:szCs w:val="21"/>
              </w:rPr>
              <w:t>，</w:t>
            </w:r>
            <w:r>
              <w:rPr>
                <w:rFonts w:hint="eastAsia" w:asciiTheme="minorEastAsia" w:hAnsiTheme="minorEastAsia" w:eastAsiaTheme="minorEastAsia"/>
                <w:szCs w:val="21"/>
              </w:rPr>
              <w:t>并附该表</w:t>
            </w:r>
            <w:r>
              <w:rPr>
                <w:rFonts w:asciiTheme="minorEastAsia" w:hAnsiTheme="minorEastAsia" w:eastAsiaTheme="minorEastAsia"/>
                <w:szCs w:val="21"/>
              </w:rPr>
              <w:t>要求的</w:t>
            </w:r>
            <w:r>
              <w:rPr>
                <w:rFonts w:hint="eastAsia" w:cs="宋体" w:asciiTheme="minorEastAsia" w:hAnsiTheme="minorEastAsia" w:eastAsiaTheme="minorEastAsia"/>
                <w:szCs w:val="21"/>
              </w:rPr>
              <w:t>证明材料</w:t>
            </w:r>
          </w:p>
        </w:tc>
      </w:tr>
      <w:tr w14:paraId="39BB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2E8C8BB3">
            <w:pPr>
              <w:adjustRightInd w:val="0"/>
              <w:snapToGrid w:val="0"/>
              <w:spacing w:line="400" w:lineRule="exact"/>
              <w:jc w:val="center"/>
              <w:rPr>
                <w:rFonts w:hint="eastAsia" w:asciiTheme="minorEastAsia" w:hAnsiTheme="minorEastAsia" w:eastAsiaTheme="minorEastAsia"/>
                <w:szCs w:val="21"/>
                <w:lang w:eastAsia="zh-CN"/>
              </w:rPr>
            </w:pPr>
            <w:r>
              <w:rPr>
                <w:rFonts w:asciiTheme="minorEastAsia" w:hAnsiTheme="minorEastAsia" w:eastAsiaTheme="minorEastAsia"/>
                <w:szCs w:val="21"/>
              </w:rPr>
              <w:t>3.5.1</w:t>
            </w:r>
            <w:r>
              <w:rPr>
                <w:rFonts w:hint="eastAsia" w:asciiTheme="minorEastAsia" w:hAnsiTheme="minorEastAsia" w:eastAsiaTheme="minorEastAsia"/>
                <w:szCs w:val="21"/>
                <w:lang w:val="en-US" w:eastAsia="zh-CN"/>
              </w:rPr>
              <w:t>2</w:t>
            </w:r>
          </w:p>
        </w:tc>
        <w:tc>
          <w:tcPr>
            <w:tcW w:w="2104" w:type="dxa"/>
            <w:vAlign w:val="center"/>
          </w:tcPr>
          <w:p w14:paraId="1694751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投标文件的真实性要求</w:t>
            </w:r>
          </w:p>
        </w:tc>
        <w:tc>
          <w:tcPr>
            <w:tcW w:w="5866" w:type="dxa"/>
            <w:vAlign w:val="center"/>
          </w:tcPr>
          <w:p w14:paraId="4E4AB378">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本项</w:t>
            </w:r>
            <w:r>
              <w:rPr>
                <w:rFonts w:hint="eastAsia" w:asciiTheme="minorEastAsia" w:hAnsiTheme="minorEastAsia" w:eastAsiaTheme="minorEastAsia"/>
                <w:szCs w:val="21"/>
              </w:rPr>
              <w:t>最后</w:t>
            </w:r>
            <w:r>
              <w:rPr>
                <w:rFonts w:hint="eastAsia" w:cs="宋体" w:asciiTheme="minorEastAsia" w:hAnsiTheme="minorEastAsia" w:eastAsiaTheme="minorEastAsia"/>
                <w:szCs w:val="21"/>
              </w:rPr>
              <w:t>补充：</w:t>
            </w:r>
          </w:p>
          <w:p w14:paraId="6BD0A5AF">
            <w:pPr>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并依据</w:t>
            </w:r>
            <w:r>
              <w:rPr>
                <w:rFonts w:hint="eastAsia" w:ascii="宋体" w:hAnsi="宋体" w:cs="宋体"/>
                <w:szCs w:val="21"/>
                <w:u w:val="single"/>
              </w:rPr>
              <w:sym w:font="Wingdings 2" w:char="00A3"/>
            </w:r>
            <w:r>
              <w:rPr>
                <w:rFonts w:hint="eastAsia" w:ascii="宋体" w:hAnsi="宋体" w:cs="宋体"/>
                <w:szCs w:val="21"/>
                <w:u w:val="single"/>
              </w:rPr>
              <w:t>《四川省重点公路建设从业单位信用管理办法》</w:t>
            </w:r>
            <w:r>
              <w:rPr>
                <w:rFonts w:hint="eastAsia" w:ascii="宋体" w:hAnsi="宋体" w:cs="宋体"/>
                <w:szCs w:val="21"/>
                <w:u w:val="single"/>
              </w:rPr>
              <w:sym w:font="Wingdings 2" w:char="00A3"/>
            </w:r>
            <w:r>
              <w:rPr>
                <w:rFonts w:hint="eastAsia"/>
                <w:szCs w:val="21"/>
                <w:u w:val="single"/>
              </w:rPr>
              <w:t>《</w:t>
            </w:r>
            <w:r>
              <w:rPr>
                <w:rFonts w:hint="eastAsia" w:ascii="宋体" w:hAnsi="宋体"/>
                <w:szCs w:val="21"/>
                <w:u w:val="single"/>
              </w:rPr>
              <w:t>四川省农村公路建设从业单位信用管理办法</w:t>
            </w:r>
            <w:r>
              <w:rPr>
                <w:rFonts w:hint="eastAsia"/>
                <w:szCs w:val="21"/>
                <w:u w:val="single"/>
              </w:rPr>
              <w:t>》</w:t>
            </w:r>
            <w:r>
              <w:rPr>
                <w:rFonts w:hint="eastAsia" w:ascii="宋体" w:hAnsi="宋体" w:cs="宋体"/>
                <w:szCs w:val="21"/>
                <w:u w:val="single"/>
              </w:rPr>
              <w:sym w:font="Wingdings 2" w:char="00A3"/>
            </w:r>
            <w:r>
              <w:rPr>
                <w:rFonts w:hint="eastAsia"/>
                <w:szCs w:val="21"/>
                <w:u w:val="single"/>
              </w:rPr>
              <w:t>《四川省重点公路养护工程从业单位信用管理办法》</w:t>
            </w:r>
            <w:r>
              <w:rPr>
                <w:rFonts w:hint="eastAsia" w:cs="宋体" w:asciiTheme="minorEastAsia" w:hAnsiTheme="minorEastAsia" w:eastAsiaTheme="minorEastAsia"/>
                <w:szCs w:val="21"/>
              </w:rPr>
              <w:t>给予信用处理</w:t>
            </w:r>
          </w:p>
          <w:p w14:paraId="125CA9DE">
            <w:pPr>
              <w:adjustRightInd w:val="0"/>
              <w:snapToGrid w:val="0"/>
              <w:spacing w:line="400" w:lineRule="exact"/>
              <w:ind w:firstLine="210" w:firstLineChars="100"/>
              <w:rPr>
                <w:rFonts w:cs="宋体" w:asciiTheme="minorEastAsia" w:hAnsiTheme="minorEastAsia" w:eastAsiaTheme="minorEastAsia"/>
                <w:szCs w:val="21"/>
              </w:rPr>
            </w:pPr>
            <w:r>
              <w:rPr>
                <w:rFonts w:hint="eastAsia"/>
              </w:rPr>
              <w:t>注：本项为单选项。</w:t>
            </w:r>
          </w:p>
        </w:tc>
      </w:tr>
      <w:tr w14:paraId="5AF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F77A360">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3.6.1</w:t>
            </w:r>
          </w:p>
        </w:tc>
        <w:tc>
          <w:tcPr>
            <w:tcW w:w="2104" w:type="dxa"/>
            <w:vAlign w:val="center"/>
          </w:tcPr>
          <w:p w14:paraId="7B30B8E3">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是否允许递交</w:t>
            </w:r>
          </w:p>
          <w:p w14:paraId="09950FAC">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备选投标方案</w:t>
            </w:r>
          </w:p>
        </w:tc>
        <w:tc>
          <w:tcPr>
            <w:tcW w:w="5866" w:type="dxa"/>
            <w:vAlign w:val="center"/>
          </w:tcPr>
          <w:p w14:paraId="526F6175">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不允许</w:t>
            </w:r>
          </w:p>
          <w:p w14:paraId="57487583">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允许</w:t>
            </w:r>
          </w:p>
        </w:tc>
      </w:tr>
      <w:tr w14:paraId="6F5B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07157C2">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3.7.3</w:t>
            </w:r>
          </w:p>
        </w:tc>
        <w:tc>
          <w:tcPr>
            <w:tcW w:w="2104" w:type="dxa"/>
            <w:vAlign w:val="center"/>
          </w:tcPr>
          <w:p w14:paraId="0A556987">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投标文件的制作及签字盖章要求</w:t>
            </w:r>
          </w:p>
        </w:tc>
        <w:tc>
          <w:tcPr>
            <w:tcW w:w="5866" w:type="dxa"/>
            <w:vAlign w:val="center"/>
          </w:tcPr>
          <w:p w14:paraId="6EC0F82A">
            <w:pPr>
              <w:tabs>
                <w:tab w:val="left" w:pos="312"/>
              </w:tabs>
              <w:adjustRightInd w:val="0"/>
              <w:snapToGrid w:val="0"/>
              <w:spacing w:line="400" w:lineRule="exact"/>
              <w:rPr>
                <w:rFonts w:ascii="宋体" w:hAnsi="宋体" w:cs="宋体"/>
                <w:szCs w:val="21"/>
              </w:rPr>
            </w:pPr>
            <w:r>
              <w:rPr>
                <w:rFonts w:ascii="宋体" w:hAnsi="宋体" w:cs="宋体"/>
                <w:szCs w:val="21"/>
              </w:rPr>
              <w:t>由投标人使用</w:t>
            </w:r>
            <w:r>
              <w:rPr>
                <w:rFonts w:hint="eastAsia" w:ascii="宋体" w:hAnsi="宋体" w:cs="宋体"/>
                <w:szCs w:val="21"/>
              </w:rPr>
              <w:t>“乐山市公共资源交易服务平台电子招投标系统”</w:t>
            </w:r>
            <w:r>
              <w:rPr>
                <w:rFonts w:ascii="宋体" w:hAnsi="宋体" w:cs="宋体"/>
                <w:szCs w:val="21"/>
              </w:rPr>
              <w:t>自带的“投标文件制作软件”制作生成的电子投标文件包括：</w:t>
            </w:r>
          </w:p>
          <w:p w14:paraId="40A90914">
            <w:pPr>
              <w:tabs>
                <w:tab w:val="left" w:pos="312"/>
              </w:tabs>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1）第一个信封（商务及技术文件）加密的电子投标文件</w:t>
            </w:r>
            <w:r>
              <w:rPr>
                <w:rFonts w:ascii="宋体" w:hAnsi="宋体" w:cs="宋体"/>
                <w:szCs w:val="21"/>
                <w:u w:val="single"/>
              </w:rPr>
              <w:t>（文件后缀名为“tbid.p7s”）</w:t>
            </w:r>
          </w:p>
          <w:p w14:paraId="1D598105">
            <w:pPr>
              <w:tabs>
                <w:tab w:val="left" w:pos="312"/>
              </w:tabs>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）第二个信封（报价文件）加密的电子投标文件</w:t>
            </w:r>
            <w:r>
              <w:rPr>
                <w:rFonts w:ascii="宋体" w:hAnsi="宋体" w:cs="宋体"/>
                <w:szCs w:val="21"/>
                <w:u w:val="single"/>
              </w:rPr>
              <w:t>（文件后缀名为“tbid.p7s”）</w:t>
            </w:r>
          </w:p>
        </w:tc>
      </w:tr>
      <w:tr w14:paraId="1AA4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797B3139">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3.7.4</w:t>
            </w:r>
          </w:p>
        </w:tc>
        <w:tc>
          <w:tcPr>
            <w:tcW w:w="2104" w:type="dxa"/>
            <w:vAlign w:val="center"/>
          </w:tcPr>
          <w:p w14:paraId="7A6B7E2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投标文件份数及其他要求</w:t>
            </w:r>
          </w:p>
        </w:tc>
        <w:tc>
          <w:tcPr>
            <w:tcW w:w="5866" w:type="dxa"/>
            <w:vAlign w:val="center"/>
          </w:tcPr>
          <w:p w14:paraId="1C54D798">
            <w:pPr>
              <w:pStyle w:val="299"/>
              <w:adjustRightInd w:val="0"/>
              <w:snapToGrid w:val="0"/>
              <w:spacing w:line="400" w:lineRule="exact"/>
              <w:ind w:firstLine="0" w:firstLineChars="0"/>
              <w:rPr>
                <w:rFonts w:ascii="宋体" w:hAnsi="宋体"/>
                <w:b/>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投标截止时间前投标人将加密的第一个信封（商务及技术文件）、第二个信封（报价文件）电子投标文件上传至“乐山市公共资源交易服务平台电子招投标系统”。</w:t>
            </w:r>
          </w:p>
          <w:p w14:paraId="7FC18D43">
            <w:pPr>
              <w:pStyle w:val="299"/>
              <w:adjustRightInd w:val="0"/>
              <w:snapToGrid w:val="0"/>
              <w:spacing w:line="400" w:lineRule="exact"/>
              <w:ind w:left="0" w:leftChars="0"/>
              <w:rPr>
                <w:rFonts w:asciiTheme="minorEastAsia" w:hAnsiTheme="minorEastAsia" w:eastAsiaTheme="minorEastAsia"/>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投标人</w:t>
            </w:r>
            <w:r>
              <w:rPr>
                <w:rFonts w:ascii="宋体" w:hAnsi="宋体" w:cs="宋体"/>
                <w:szCs w:val="21"/>
              </w:rPr>
              <w:t>提交的</w:t>
            </w:r>
            <w:r>
              <w:rPr>
                <w:rFonts w:hint="eastAsia" w:ascii="宋体" w:hAnsi="宋体" w:cs="宋体"/>
                <w:szCs w:val="21"/>
              </w:rPr>
              <w:t>第一个信封（商务及技术文件）、第二个信封（报价文件）电子投标文件以解密成功的为准</w:t>
            </w:r>
          </w:p>
        </w:tc>
      </w:tr>
      <w:tr w14:paraId="7F94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913" w:type="dxa"/>
            <w:vAlign w:val="center"/>
          </w:tcPr>
          <w:p w14:paraId="1A92939B">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3.7.5</w:t>
            </w:r>
          </w:p>
        </w:tc>
        <w:tc>
          <w:tcPr>
            <w:tcW w:w="2104" w:type="dxa"/>
            <w:vAlign w:val="center"/>
          </w:tcPr>
          <w:p w14:paraId="39E32C11">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投标文件上传的要求</w:t>
            </w:r>
          </w:p>
        </w:tc>
        <w:tc>
          <w:tcPr>
            <w:tcW w:w="5866" w:type="dxa"/>
            <w:vAlign w:val="center"/>
          </w:tcPr>
          <w:p w14:paraId="78FDA2AE">
            <w:pPr>
              <w:pStyle w:val="299"/>
              <w:adjustRightInd w:val="0"/>
              <w:snapToGrid w:val="0"/>
              <w:spacing w:line="4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投标人必须按招标文件和“乐山市公共资源交易服务平台电子招投标系统”的要求制作、上传投标文件，以保证投标文件的有效性和保密性；否则“乐山市公共资源交易服务平台电子招投标系统”将无法识别、无法上传。</w:t>
            </w:r>
          </w:p>
          <w:p w14:paraId="3B6534E5">
            <w:pPr>
              <w:pStyle w:val="299"/>
              <w:adjustRightInd w:val="0"/>
              <w:snapToGrid w:val="0"/>
              <w:spacing w:line="4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投标人必须在投标截止时间前授权解密（如未授权解密，开标时该投标文件将无法解密）</w:t>
            </w:r>
          </w:p>
        </w:tc>
      </w:tr>
      <w:tr w14:paraId="6479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67FC1F6E">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4.1.1</w:t>
            </w:r>
          </w:p>
        </w:tc>
        <w:tc>
          <w:tcPr>
            <w:tcW w:w="2104" w:type="dxa"/>
            <w:vAlign w:val="center"/>
          </w:tcPr>
          <w:p w14:paraId="1320685E">
            <w:pPr>
              <w:adjustRightInd w:val="0"/>
              <w:snapToGrid w:val="0"/>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投标文件的加密</w:t>
            </w:r>
          </w:p>
        </w:tc>
        <w:tc>
          <w:tcPr>
            <w:tcW w:w="5866" w:type="dxa"/>
            <w:vAlign w:val="center"/>
          </w:tcPr>
          <w:p w14:paraId="2D9EB518">
            <w:pPr>
              <w:pStyle w:val="299"/>
              <w:adjustRightInd w:val="0"/>
              <w:snapToGrid w:val="0"/>
              <w:spacing w:line="400" w:lineRule="exact"/>
              <w:ind w:firstLine="0" w:firstLineChars="0"/>
              <w:rPr>
                <w:rFonts w:asciiTheme="minorEastAsia" w:hAnsiTheme="minorEastAsia" w:eastAsiaTheme="minorEastAsia"/>
                <w:szCs w:val="21"/>
              </w:rPr>
            </w:pPr>
            <w:r>
              <w:rPr>
                <w:rFonts w:hint="eastAsia" w:cs="宋体" w:asciiTheme="minorEastAsia" w:hAnsiTheme="minorEastAsia" w:eastAsiaTheme="minorEastAsia"/>
                <w:bCs/>
                <w:szCs w:val="21"/>
              </w:rPr>
              <w:t>应按照本须知前附表第3.7.3项要求制作并加密电子投标文件，未按要求加密的投标文件，“乐山市公共资源交易服务平台电子招投标系统”将拒绝接收</w:t>
            </w:r>
          </w:p>
        </w:tc>
      </w:tr>
      <w:tr w14:paraId="45C8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13" w:type="dxa"/>
            <w:vAlign w:val="center"/>
          </w:tcPr>
          <w:p w14:paraId="7BDD19FA">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4.2.3</w:t>
            </w:r>
          </w:p>
        </w:tc>
        <w:tc>
          <w:tcPr>
            <w:tcW w:w="2104" w:type="dxa"/>
            <w:vAlign w:val="center"/>
          </w:tcPr>
          <w:p w14:paraId="2095EDC4">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是否退还投标文件</w:t>
            </w:r>
          </w:p>
        </w:tc>
        <w:tc>
          <w:tcPr>
            <w:tcW w:w="5866" w:type="dxa"/>
            <w:vAlign w:val="center"/>
          </w:tcPr>
          <w:p w14:paraId="112C4A05">
            <w:pPr>
              <w:pStyle w:val="299"/>
              <w:adjustRightInd w:val="0"/>
              <w:snapToGrid w:val="0"/>
              <w:spacing w:line="400" w:lineRule="exact"/>
              <w:rPr>
                <w:rFonts w:hint="eastAsia" w:cs="宋体" w:asciiTheme="minorEastAsia" w:hAnsiTheme="minorEastAsia" w:eastAsiaTheme="minorEastAsia"/>
                <w:bCs/>
                <w:szCs w:val="21"/>
              </w:rPr>
            </w:pPr>
            <w:r>
              <w:rPr>
                <w:rFonts w:hint="eastAsia" w:cs="宋体" w:asciiTheme="minorEastAsia" w:hAnsiTheme="minorEastAsia" w:eastAsiaTheme="minorEastAsia"/>
                <w:b w:val="0"/>
                <w:bCs/>
                <w:szCs w:val="21"/>
              </w:rPr>
              <w:t>□</w:t>
            </w:r>
            <w:r>
              <w:rPr>
                <w:rFonts w:hint="eastAsia" w:cs="宋体" w:asciiTheme="minorEastAsia" w:hAnsiTheme="minorEastAsia" w:eastAsiaTheme="minorEastAsia"/>
                <w:bCs/>
                <w:szCs w:val="21"/>
              </w:rPr>
              <w:t xml:space="preserve"> 否</w:t>
            </w:r>
          </w:p>
          <w:p w14:paraId="53350922">
            <w:pPr>
              <w:pStyle w:val="299"/>
              <w:adjustRightInd w:val="0"/>
              <w:snapToGrid w:val="0"/>
              <w:spacing w:line="400" w:lineRule="exact"/>
              <w:rPr>
                <w:rFonts w:hint="eastAsia" w:cs="宋体" w:asciiTheme="minorEastAsia" w:hAnsiTheme="minorEastAsia" w:eastAsiaTheme="minorEastAsia"/>
                <w:bCs/>
                <w:szCs w:val="21"/>
              </w:rPr>
            </w:pPr>
            <w:r>
              <w:rPr>
                <w:rFonts w:hint="eastAsia" w:cs="宋体" w:asciiTheme="minorEastAsia" w:hAnsiTheme="minorEastAsia" w:eastAsiaTheme="minorEastAsia"/>
                <w:b w:val="0"/>
                <w:bCs/>
                <w:szCs w:val="21"/>
              </w:rPr>
              <w:t>□</w:t>
            </w:r>
            <w:r>
              <w:rPr>
                <w:rFonts w:hint="eastAsia" w:cs="宋体" w:asciiTheme="minorEastAsia" w:hAnsiTheme="minorEastAsia" w:eastAsiaTheme="minorEastAsia"/>
                <w:bCs/>
                <w:szCs w:val="21"/>
              </w:rPr>
              <w:t xml:space="preserve"> 是，退还时间如下：</w:t>
            </w:r>
          </w:p>
          <w:p w14:paraId="5CE1AC43">
            <w:pPr>
              <w:pStyle w:val="29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1）当标段投标人少于3个（不含3个），该标段将</w:t>
            </w:r>
            <w:r>
              <w:rPr>
                <w:rFonts w:hint="eastAsia" w:cs="宋体" w:asciiTheme="minorEastAsia" w:hAnsiTheme="minorEastAsia" w:eastAsiaTheme="minorEastAsia"/>
                <w:bCs/>
                <w:szCs w:val="21"/>
              </w:rPr>
              <w:t>不予开标，投标人的电子投标文件将被“退还”给</w:t>
            </w:r>
            <w:r>
              <w:rPr>
                <w:rFonts w:cs="宋体" w:asciiTheme="minorEastAsia" w:hAnsiTheme="minorEastAsia" w:eastAsiaTheme="minorEastAsia"/>
                <w:bCs/>
                <w:szCs w:val="21"/>
              </w:rPr>
              <w:t>投标人</w:t>
            </w:r>
            <w:r>
              <w:rPr>
                <w:rFonts w:hint="eastAsia" w:cs="宋体" w:asciiTheme="minorEastAsia" w:hAnsiTheme="minorEastAsia" w:eastAsiaTheme="minorEastAsia"/>
                <w:bCs/>
                <w:szCs w:val="21"/>
              </w:rPr>
              <w:t>；</w:t>
            </w:r>
          </w:p>
          <w:p w14:paraId="1FF8B71B">
            <w:pPr>
              <w:pStyle w:val="299"/>
              <w:adjustRightInd w:val="0"/>
              <w:snapToGrid w:val="0"/>
              <w:spacing w:line="400" w:lineRule="exact"/>
              <w:ind w:firstLineChars="100"/>
              <w:rPr>
                <w:rFonts w:asciiTheme="minorEastAsia" w:hAnsiTheme="minorEastAsia" w:eastAsiaTheme="minorEastAsia"/>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2）</w:t>
            </w:r>
            <w:r>
              <w:rPr>
                <w:rFonts w:hint="eastAsia" w:cs="宋体" w:asciiTheme="minorEastAsia" w:hAnsiTheme="minorEastAsia" w:eastAsiaTheme="minorEastAsia"/>
                <w:bCs/>
                <w:szCs w:val="21"/>
                <w:highlight w:val="none"/>
              </w:rPr>
              <w:t>第二个信封开标时，未通过第一个信封评审的投标人的第二个信封（报价文件）不予二次解密，并当场“退还”给投标人</w:t>
            </w:r>
          </w:p>
        </w:tc>
      </w:tr>
      <w:tr w14:paraId="59D8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6883283C">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4.3.1</w:t>
            </w:r>
          </w:p>
        </w:tc>
        <w:tc>
          <w:tcPr>
            <w:tcW w:w="2104" w:type="dxa"/>
            <w:vAlign w:val="center"/>
          </w:tcPr>
          <w:p w14:paraId="6F6FD9A5">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投标文件的撤回</w:t>
            </w:r>
          </w:p>
        </w:tc>
        <w:tc>
          <w:tcPr>
            <w:tcW w:w="5866" w:type="dxa"/>
            <w:vAlign w:val="center"/>
          </w:tcPr>
          <w:p w14:paraId="14DAF5D9">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本项补充：</w:t>
            </w:r>
          </w:p>
          <w:p w14:paraId="759B2264">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投标文件第一个信封</w:t>
            </w:r>
            <w:r>
              <w:rPr>
                <w:rFonts w:cs="宋体" w:asciiTheme="minorEastAsia" w:hAnsiTheme="minorEastAsia" w:eastAsiaTheme="minorEastAsia"/>
                <w:szCs w:val="21"/>
              </w:rPr>
              <w:t>（商务及技术文件）或第二个信封（报价文件）在投标截止时间前未按要求上传或递交都视为投标文件撤回。</w:t>
            </w:r>
          </w:p>
          <w:p w14:paraId="03A6E855">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若开标现场证明是投标人原因造成其加密电子投标文件未解密的，视为撤销其投标文件。</w:t>
            </w:r>
          </w:p>
          <w:p w14:paraId="64F66F24">
            <w:pPr>
              <w:adjustRightInd w:val="0"/>
              <w:snapToGrid w:val="0"/>
              <w:spacing w:line="400" w:lineRule="exact"/>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rPr>
              <w:t>因投标人之外的原因造成其加密的电子投标文件在规定的时间内未解密的，按本须知前附表第</w:t>
            </w:r>
            <w:r>
              <w:rPr>
                <w:rFonts w:cs="宋体" w:asciiTheme="minorEastAsia" w:hAnsiTheme="minorEastAsia" w:eastAsiaTheme="minorEastAsia"/>
                <w:szCs w:val="21"/>
              </w:rPr>
              <w:t>5.3.1</w:t>
            </w:r>
            <w:r>
              <w:rPr>
                <w:rFonts w:hint="eastAsia" w:cs="宋体" w:asciiTheme="minorEastAsia" w:hAnsiTheme="minorEastAsia" w:eastAsiaTheme="minorEastAsia"/>
                <w:szCs w:val="21"/>
              </w:rPr>
              <w:t>项进行补救。采取补救措施仍未解密的，视为投标文件撤回</w:t>
            </w:r>
          </w:p>
        </w:tc>
      </w:tr>
      <w:tr w14:paraId="7A61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82FB59A">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5.1</w:t>
            </w:r>
          </w:p>
        </w:tc>
        <w:tc>
          <w:tcPr>
            <w:tcW w:w="2104" w:type="dxa"/>
            <w:vAlign w:val="center"/>
          </w:tcPr>
          <w:p w14:paraId="4984E5DE">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开标时间和地点</w:t>
            </w:r>
          </w:p>
        </w:tc>
        <w:tc>
          <w:tcPr>
            <w:tcW w:w="5866" w:type="dxa"/>
            <w:vAlign w:val="center"/>
          </w:tcPr>
          <w:p w14:paraId="50D80C89">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投标文件</w:t>
            </w:r>
            <w:r>
              <w:rPr>
                <w:rFonts w:cs="宋体" w:asciiTheme="minorEastAsia" w:hAnsiTheme="minorEastAsia" w:eastAsiaTheme="minorEastAsia"/>
                <w:szCs w:val="21"/>
              </w:rPr>
              <w:t>〔第一个信封（商务及技术文件）〕</w:t>
            </w:r>
          </w:p>
          <w:p w14:paraId="421A3103">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开标时间：</w:t>
            </w:r>
            <w:r>
              <w:rPr>
                <w:rFonts w:hint="eastAsia" w:cs="宋体" w:asciiTheme="minorEastAsia" w:hAnsiTheme="minorEastAsia" w:eastAsiaTheme="minorEastAsia"/>
                <w:szCs w:val="21"/>
                <w:u w:val="single"/>
              </w:rPr>
              <w:t>同投标截止时间</w:t>
            </w:r>
          </w:p>
          <w:p w14:paraId="01DD8BB7">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开标地点：</w:t>
            </w:r>
            <w:r>
              <w:rPr>
                <w:rFonts w:hint="eastAsia" w:cs="宋体" w:asciiTheme="minorEastAsia" w:hAnsiTheme="minorEastAsia" w:eastAsiaTheme="minorEastAsia"/>
                <w:szCs w:val="21"/>
                <w:u w:val="single"/>
              </w:rPr>
              <w:t>见招标公告</w:t>
            </w:r>
          </w:p>
          <w:p w14:paraId="6BB6BAF6">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投标文件</w:t>
            </w:r>
            <w:r>
              <w:rPr>
                <w:rFonts w:cs="宋体" w:asciiTheme="minorEastAsia" w:hAnsiTheme="minorEastAsia" w:eastAsiaTheme="minorEastAsia"/>
                <w:szCs w:val="21"/>
              </w:rPr>
              <w:t>〔第二个信封（报价文件）〕</w:t>
            </w:r>
          </w:p>
          <w:p w14:paraId="67ABD368">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开标时间：</w:t>
            </w:r>
            <w:r>
              <w:rPr>
                <w:rFonts w:hint="eastAsia" w:cs="宋体" w:asciiTheme="minorEastAsia" w:hAnsiTheme="minorEastAsia" w:eastAsiaTheme="minorEastAsia"/>
                <w:szCs w:val="21"/>
                <w:u w:val="single"/>
              </w:rPr>
              <w:t>招标人另行通知</w:t>
            </w:r>
          </w:p>
          <w:p w14:paraId="52AE2966">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开标地点：</w:t>
            </w:r>
            <w:r>
              <w:rPr>
                <w:rFonts w:hint="eastAsia" w:cs="宋体" w:asciiTheme="minorEastAsia" w:hAnsiTheme="minorEastAsia" w:eastAsiaTheme="minorEastAsia"/>
                <w:szCs w:val="21"/>
                <w:u w:val="single"/>
              </w:rPr>
              <w:t>招标人另行通知</w:t>
            </w:r>
          </w:p>
          <w:p w14:paraId="561CEF5F">
            <w:pPr>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第二个信封</w:t>
            </w:r>
            <w:r>
              <w:rPr>
                <w:rFonts w:cs="宋体" w:asciiTheme="minorEastAsia" w:hAnsiTheme="minorEastAsia" w:eastAsiaTheme="minorEastAsia"/>
                <w:szCs w:val="21"/>
              </w:rPr>
              <w:t>（</w:t>
            </w:r>
            <w:r>
              <w:rPr>
                <w:rFonts w:hint="eastAsia" w:cs="宋体" w:asciiTheme="minorEastAsia" w:hAnsiTheme="minorEastAsia" w:eastAsiaTheme="minorEastAsia"/>
                <w:szCs w:val="21"/>
              </w:rPr>
              <w:t>报价文件</w:t>
            </w:r>
            <w:r>
              <w:rPr>
                <w:rFonts w:cs="宋体" w:asciiTheme="minorEastAsia" w:hAnsiTheme="minorEastAsia" w:eastAsiaTheme="minorEastAsia"/>
                <w:szCs w:val="21"/>
              </w:rPr>
              <w:t>）</w:t>
            </w:r>
            <w:r>
              <w:rPr>
                <w:rFonts w:hint="eastAsia" w:cs="宋体" w:asciiTheme="minorEastAsia" w:hAnsiTheme="minorEastAsia" w:eastAsiaTheme="minorEastAsia"/>
                <w:szCs w:val="21"/>
              </w:rPr>
              <w:t>开标</w:t>
            </w:r>
            <w:r>
              <w:rPr>
                <w:rFonts w:cs="宋体" w:asciiTheme="minorEastAsia" w:hAnsiTheme="minorEastAsia" w:eastAsiaTheme="minorEastAsia"/>
                <w:szCs w:val="21"/>
              </w:rPr>
              <w:t>通知方式：</w:t>
            </w:r>
            <w:r>
              <w:rPr>
                <w:rFonts w:cs="宋体" w:asciiTheme="minorEastAsia" w:hAnsiTheme="minorEastAsia" w:eastAsiaTheme="minorEastAsia"/>
                <w:szCs w:val="21"/>
                <w:u w:val="single"/>
              </w:rPr>
              <w:t xml:space="preserve">         </w:t>
            </w:r>
          </w:p>
          <w:p w14:paraId="6298952B">
            <w:pPr>
              <w:adjustRightInd w:val="0"/>
              <w:snapToGrid w:val="0"/>
              <w:spacing w:line="400" w:lineRule="exact"/>
              <w:ind w:firstLine="210" w:firstLineChars="100"/>
              <w:rPr>
                <w:rFonts w:cs="宋体" w:asciiTheme="minorEastAsia" w:hAnsiTheme="minorEastAsia" w:eastAsiaTheme="minorEastAsia"/>
                <w:szCs w:val="21"/>
                <w:u w:val="single"/>
              </w:rPr>
            </w:pPr>
            <w:r>
              <w:rPr>
                <w:rFonts w:hint="eastAsia" w:cs="宋体" w:asciiTheme="minorEastAsia" w:hAnsiTheme="minorEastAsia" w:eastAsiaTheme="minorEastAsia"/>
                <w:szCs w:val="21"/>
              </w:rPr>
              <w:t>注: 第二个信封</w:t>
            </w:r>
            <w:r>
              <w:rPr>
                <w:rFonts w:cs="宋体" w:asciiTheme="minorEastAsia" w:hAnsiTheme="minorEastAsia" w:eastAsiaTheme="minorEastAsia"/>
                <w:szCs w:val="21"/>
              </w:rPr>
              <w:t>（</w:t>
            </w:r>
            <w:r>
              <w:rPr>
                <w:rFonts w:hint="eastAsia" w:cs="宋体" w:asciiTheme="minorEastAsia" w:hAnsiTheme="minorEastAsia" w:eastAsiaTheme="minorEastAsia"/>
                <w:szCs w:val="21"/>
              </w:rPr>
              <w:t>报价文件</w:t>
            </w:r>
            <w:r>
              <w:rPr>
                <w:rFonts w:cs="宋体" w:asciiTheme="minorEastAsia" w:hAnsiTheme="minorEastAsia" w:eastAsiaTheme="minorEastAsia"/>
                <w:szCs w:val="21"/>
              </w:rPr>
              <w:t>）</w:t>
            </w:r>
            <w:r>
              <w:rPr>
                <w:rFonts w:hint="eastAsia" w:cs="宋体" w:asciiTheme="minorEastAsia" w:hAnsiTheme="minorEastAsia" w:eastAsiaTheme="minorEastAsia"/>
                <w:szCs w:val="21"/>
              </w:rPr>
              <w:t>开标时间</w:t>
            </w:r>
            <w:r>
              <w:rPr>
                <w:rFonts w:cs="宋体" w:asciiTheme="minorEastAsia" w:hAnsiTheme="minorEastAsia" w:eastAsiaTheme="minorEastAsia"/>
                <w:szCs w:val="21"/>
              </w:rPr>
              <w:t>由</w:t>
            </w:r>
            <w:r>
              <w:rPr>
                <w:rFonts w:hint="eastAsia" w:cs="宋体" w:asciiTheme="minorEastAsia" w:hAnsiTheme="minorEastAsia" w:eastAsiaTheme="minorEastAsia"/>
                <w:szCs w:val="21"/>
              </w:rPr>
              <w:t>招标人通过</w:t>
            </w:r>
            <w:r>
              <w:rPr>
                <w:rFonts w:cs="宋体" w:asciiTheme="minorEastAsia" w:hAnsiTheme="minorEastAsia" w:eastAsiaTheme="minorEastAsia"/>
                <w:szCs w:val="21"/>
              </w:rPr>
              <w:t>系统</w:t>
            </w:r>
            <w:r>
              <w:rPr>
                <w:rFonts w:hint="eastAsia" w:cs="宋体" w:asciiTheme="minorEastAsia" w:hAnsiTheme="minorEastAsia" w:eastAsiaTheme="minorEastAsia"/>
                <w:szCs w:val="21"/>
              </w:rPr>
              <w:t>发送短信方式，或</w:t>
            </w:r>
            <w:r>
              <w:rPr>
                <w:rFonts w:cs="宋体" w:asciiTheme="minorEastAsia" w:hAnsiTheme="minorEastAsia" w:eastAsiaTheme="minorEastAsia"/>
                <w:szCs w:val="21"/>
              </w:rPr>
              <w:t>人工</w:t>
            </w:r>
            <w:r>
              <w:rPr>
                <w:rFonts w:hint="eastAsia" w:cs="宋体" w:asciiTheme="minorEastAsia" w:hAnsiTheme="minorEastAsia" w:eastAsiaTheme="minorEastAsia"/>
                <w:szCs w:val="21"/>
              </w:rPr>
              <w:t>电话通知方式或</w:t>
            </w:r>
            <w:r>
              <w:rPr>
                <w:rFonts w:cs="宋体" w:asciiTheme="minorEastAsia" w:hAnsiTheme="minorEastAsia" w:eastAsiaTheme="minorEastAsia"/>
                <w:szCs w:val="21"/>
              </w:rPr>
              <w:t>其他有效方式</w:t>
            </w:r>
            <w:r>
              <w:rPr>
                <w:rFonts w:hint="eastAsia" w:cs="宋体" w:asciiTheme="minorEastAsia" w:hAnsiTheme="minorEastAsia" w:eastAsiaTheme="minorEastAsia"/>
                <w:szCs w:val="21"/>
              </w:rPr>
              <w:t>告知</w:t>
            </w:r>
            <w:r>
              <w:rPr>
                <w:rFonts w:cs="宋体" w:asciiTheme="minorEastAsia" w:hAnsiTheme="minorEastAsia" w:eastAsiaTheme="minorEastAsia"/>
                <w:szCs w:val="21"/>
              </w:rPr>
              <w:t>投标人。</w:t>
            </w:r>
          </w:p>
        </w:tc>
      </w:tr>
      <w:tr w14:paraId="6448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645E84C2">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5.2.1</w:t>
            </w:r>
          </w:p>
        </w:tc>
        <w:tc>
          <w:tcPr>
            <w:tcW w:w="2104" w:type="dxa"/>
            <w:vAlign w:val="center"/>
          </w:tcPr>
          <w:p w14:paraId="74514249">
            <w:pPr>
              <w:pStyle w:val="299"/>
              <w:adjustRightInd w:val="0"/>
              <w:snapToGrid w:val="0"/>
              <w:spacing w:line="400" w:lineRule="exact"/>
              <w:jc w:val="both"/>
              <w:rPr>
                <w:rFonts w:asciiTheme="minorEastAsia" w:hAnsiTheme="minorEastAsia" w:eastAsiaTheme="minorEastAsia"/>
                <w:szCs w:val="21"/>
              </w:rPr>
            </w:pPr>
            <w:r>
              <w:rPr>
                <w:rFonts w:cs="宋体" w:asciiTheme="minorEastAsia" w:hAnsiTheme="minorEastAsia" w:eastAsiaTheme="minorEastAsia"/>
                <w:szCs w:val="21"/>
              </w:rPr>
              <w:t>〔第一个信封（商务及技术文件）〕开标程序</w:t>
            </w:r>
          </w:p>
        </w:tc>
        <w:tc>
          <w:tcPr>
            <w:tcW w:w="5866" w:type="dxa"/>
            <w:vAlign w:val="center"/>
          </w:tcPr>
          <w:p w14:paraId="1270CD54">
            <w:pPr>
              <w:spacing w:line="400" w:lineRule="exact"/>
              <w:ind w:firstLine="0" w:firstLineChars="0"/>
              <w:jc w:val="left"/>
              <w:rPr>
                <w:rFonts w:asciiTheme="minorEastAsia" w:hAnsiTheme="minorEastAsia"/>
                <w:szCs w:val="21"/>
              </w:rPr>
            </w:pPr>
            <w:r>
              <w:rPr>
                <w:rFonts w:hint="eastAsia" w:asciiTheme="minorEastAsia" w:hAnsiTheme="minorEastAsia" w:eastAsiaTheme="minorEastAsia"/>
                <w:b/>
                <w:szCs w:val="21"/>
              </w:rPr>
              <w:t>第一个信封（商务及技术文件）开标：</w:t>
            </w:r>
          </w:p>
          <w:p w14:paraId="3EF10CD2">
            <w:pPr>
              <w:spacing w:line="400" w:lineRule="exact"/>
              <w:ind w:firstLine="252" w:firstLineChars="120"/>
              <w:jc w:val="left"/>
              <w:rPr>
                <w:rFonts w:asciiTheme="minorEastAsia" w:hAnsi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1）投标截止时间前，投标人登录</w:t>
            </w:r>
            <w:r>
              <w:rPr>
                <w:rFonts w:hint="eastAsia" w:asciiTheme="minorEastAsia" w:hAnsiTheme="minorEastAsia" w:eastAsiaTheme="minorEastAsia"/>
                <w:szCs w:val="21"/>
              </w:rPr>
              <w:t>“乐山市公共资源交易服务平台电子招投标系统”</w:t>
            </w:r>
            <w:r>
              <w:rPr>
                <w:rFonts w:asciiTheme="minorEastAsia" w:hAnsiTheme="minorEastAsia" w:eastAsiaTheme="minorEastAsia"/>
                <w:szCs w:val="21"/>
              </w:rPr>
              <w:t>；</w:t>
            </w:r>
          </w:p>
          <w:p w14:paraId="37F3773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（2）投标截止时间后，招标人或其委托代理机构在开标系统中组织线上开标；</w:t>
            </w:r>
          </w:p>
          <w:p w14:paraId="5FFE0F4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（3）对投标文件第一个信封（商务及技术文件）进行开标；</w:t>
            </w:r>
          </w:p>
          <w:p w14:paraId="1247327A">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（4）对第一个信封（商务及技术文件）进行解密；</w:t>
            </w:r>
          </w:p>
          <w:p w14:paraId="48D9FD57">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（5）导入并读取所有解密成功的投标文件第一个信封（商务及技术文件）的内容；</w:t>
            </w:r>
          </w:p>
          <w:p w14:paraId="29B9A69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（6）公布标段名称、投标人名称、投标保证金的递交情况、工期、项目经理（如有）及其他内容，并记录在案；</w:t>
            </w:r>
          </w:p>
          <w:p w14:paraId="480A6042">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（7）按照评标办法规定进行有关随机抽取事项（如有）。</w:t>
            </w:r>
          </w:p>
          <w:p w14:paraId="28F127AB">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（8）对已解密的第一个信封（商务及技术文件）电子投标文件导入电子辅助评标系统；</w:t>
            </w:r>
          </w:p>
          <w:p w14:paraId="76436FC5">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（9）提出异议，处理异议；</w:t>
            </w:r>
          </w:p>
          <w:p w14:paraId="6E659C70">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（10）生成开标记录表，开标结束</w:t>
            </w:r>
          </w:p>
          <w:p w14:paraId="7FEDDDBA">
            <w:pPr>
              <w:spacing w:line="400" w:lineRule="exact"/>
              <w:ind w:firstLine="210" w:firstLineChars="100"/>
              <w:jc w:val="left"/>
              <w:rPr>
                <w:rFonts w:cs="宋体" w:asciiTheme="minorEastAsia" w:hAnsiTheme="minorEastAsia" w:eastAsiaTheme="minorEastAsia"/>
                <w:bCs/>
                <w:szCs w:val="21"/>
              </w:rPr>
            </w:pPr>
            <w:r>
              <w:rPr>
                <w:rFonts w:hint="eastAsia" w:cs="宋体" w:asciiTheme="minorEastAsia" w:hAnsiTheme="minorEastAsia" w:eastAsiaTheme="minorEastAsia"/>
                <w:b w:val="0"/>
                <w:bCs w:val="0"/>
                <w:szCs w:val="21"/>
              </w:rPr>
              <w:t>注：</w:t>
            </w:r>
            <w:r>
              <w:rPr>
                <w:rFonts w:hint="eastAsia" w:cs="宋体" w:asciiTheme="minorEastAsia" w:hAnsiTheme="minorEastAsia" w:eastAsiaTheme="minorEastAsia"/>
                <w:bCs/>
                <w:szCs w:val="21"/>
              </w:rPr>
              <w:t>1.开标后标段解密成功的投标人仅有</w:t>
            </w:r>
            <w:r>
              <w:rPr>
                <w:rFonts w:cs="宋体" w:asciiTheme="minorEastAsia" w:hAnsiTheme="minorEastAsia" w:eastAsiaTheme="minorEastAsia"/>
                <w:bCs/>
                <w:szCs w:val="21"/>
              </w:rPr>
              <w:t>1家时，</w:t>
            </w:r>
            <w:r>
              <w:rPr>
                <w:rFonts w:hint="eastAsia" w:cs="宋体" w:asciiTheme="minorEastAsia" w:hAnsiTheme="minorEastAsia" w:eastAsiaTheme="minorEastAsia"/>
                <w:bCs/>
                <w:szCs w:val="21"/>
              </w:rPr>
              <w:t>将不进行下一步的评标工作。</w:t>
            </w:r>
          </w:p>
          <w:p w14:paraId="544C525B">
            <w:pPr>
              <w:spacing w:line="400" w:lineRule="exact"/>
              <w:ind w:firstLine="252" w:firstLineChars="12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2.投标人最迟应在完成上述第（8）项程序后10分钟内在线提出异议，招标人或其委托招标代理机构在线即时答复处理。如投标人未提出异议的，视为其认可开标过程、开标内容和开标结果。</w:t>
            </w:r>
          </w:p>
          <w:p w14:paraId="0D18565D">
            <w:pPr>
              <w:adjustRightInd/>
              <w:snapToGrid/>
              <w:spacing w:line="400" w:lineRule="exact"/>
              <w:ind w:firstLine="252" w:firstLineChars="120"/>
              <w:jc w:val="left"/>
              <w:rPr>
                <w:rFonts w:asciiTheme="minorEastAsia" w:hAnsiTheme="minorEastAsia" w:eastAsiaTheme="minorEastAsia"/>
                <w:szCs w:val="21"/>
              </w:rPr>
            </w:pPr>
            <w:r>
              <w:rPr>
                <w:rFonts w:hint="eastAsia" w:asciiTheme="minorEastAsia" w:hAnsiTheme="minorEastAsia" w:eastAsiaTheme="minorEastAsia"/>
                <w:szCs w:val="21"/>
              </w:rPr>
              <w:t xml:space="preserve"> 投标文件无法导入开标系统或未解密的，视为撤回其投标文件。已导入电子开标系统但无法导入电子评标系统的，招标人（或招标代理机构）做好开标记录，其投标文件由评标委员会作否决处理。</w:t>
            </w:r>
          </w:p>
        </w:tc>
      </w:tr>
      <w:tr w14:paraId="7301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13" w:type="dxa"/>
            <w:vAlign w:val="center"/>
          </w:tcPr>
          <w:p w14:paraId="056FBC96">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5.2.2</w:t>
            </w:r>
          </w:p>
        </w:tc>
        <w:tc>
          <w:tcPr>
            <w:tcW w:w="2104" w:type="dxa"/>
            <w:vAlign w:val="center"/>
          </w:tcPr>
          <w:p w14:paraId="47B67BAD">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第二个信封（报价文件）开标前的处置</w:t>
            </w:r>
          </w:p>
        </w:tc>
        <w:tc>
          <w:tcPr>
            <w:tcW w:w="5866" w:type="dxa"/>
            <w:vAlign w:val="center"/>
          </w:tcPr>
          <w:p w14:paraId="72A94DDD">
            <w:pPr>
              <w:pStyle w:val="299"/>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在第二个信封（报价文件）开标时间前，投标人的第二个信封（报价文件）电子投标文件始终处于加密状态。自第二个信封（报价文件）开标时间起，“乐山市公共资源交易服务平台电子招投标系统”方可允许招标人开始解密</w:t>
            </w:r>
          </w:p>
        </w:tc>
      </w:tr>
      <w:tr w14:paraId="2093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9FD82F2">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5.2.3</w:t>
            </w:r>
          </w:p>
        </w:tc>
        <w:tc>
          <w:tcPr>
            <w:tcW w:w="2104" w:type="dxa"/>
            <w:vAlign w:val="center"/>
          </w:tcPr>
          <w:p w14:paraId="74BFFCA7">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第二个信封（报价文件）开标程序</w:t>
            </w:r>
          </w:p>
        </w:tc>
        <w:tc>
          <w:tcPr>
            <w:tcW w:w="5866" w:type="dxa"/>
            <w:vAlign w:val="center"/>
          </w:tcPr>
          <w:p w14:paraId="265C7EA4">
            <w:pPr>
              <w:spacing w:line="400" w:lineRule="exact"/>
              <w:jc w:val="left"/>
              <w:rPr>
                <w:rFonts w:asciiTheme="minorEastAsia" w:hAnsiTheme="minorEastAsia"/>
                <w:szCs w:val="21"/>
              </w:rPr>
            </w:pPr>
            <w:r>
              <w:rPr>
                <w:rFonts w:hint="eastAsia" w:asciiTheme="minorEastAsia" w:hAnsiTheme="minorEastAsia" w:eastAsiaTheme="minorEastAsia"/>
                <w:b/>
                <w:szCs w:val="21"/>
              </w:rPr>
              <w:t>第二个信封（报价文件）开标：</w:t>
            </w:r>
          </w:p>
          <w:p w14:paraId="36000C85">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1）开标截止时间前，投标人登录</w:t>
            </w:r>
            <w:r>
              <w:rPr>
                <w:rFonts w:hint="eastAsia" w:asciiTheme="minorEastAsia" w:hAnsiTheme="minorEastAsia" w:eastAsiaTheme="minorEastAsia"/>
                <w:szCs w:val="21"/>
              </w:rPr>
              <w:t>“乐山市公共资源交易服务平台电子招投标系统”</w:t>
            </w:r>
            <w:r>
              <w:rPr>
                <w:rFonts w:asciiTheme="minorEastAsia" w:hAnsiTheme="minorEastAsia" w:eastAsiaTheme="minorEastAsia"/>
                <w:szCs w:val="21"/>
              </w:rPr>
              <w:t>；</w:t>
            </w:r>
          </w:p>
          <w:p w14:paraId="2A74209E">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（2）开标截止时间后，招标人或其委托代理机构在开标系统中组织线上开标；</w:t>
            </w:r>
          </w:p>
          <w:p w14:paraId="63A15491">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（3）当众公布投标文件第一个信封（商务及技术文件）评审结果,公布通过投标文件第一个信封（商务及技术文件）评审的投标人名单；</w:t>
            </w:r>
          </w:p>
          <w:p w14:paraId="1521527B">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（4）招标人按照系统提示进行评标基准价系数的抽取（如有）；</w:t>
            </w:r>
          </w:p>
          <w:p w14:paraId="172B010C">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（5）对第二个信封（报价文件</w:t>
            </w:r>
            <w:r>
              <w:rPr>
                <w:rFonts w:hint="eastAsia" w:asciiTheme="minorEastAsia" w:hAnsiTheme="minorEastAsia" w:eastAsiaTheme="minorEastAsia"/>
                <w:szCs w:val="21"/>
              </w:rPr>
              <w:t>）解密。未通过投标文件第一个信封（商务及技术文件）评审的投标人的第二个信封（报价文件）不予解密；</w:t>
            </w:r>
          </w:p>
          <w:p w14:paraId="60445FAB">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（6）导入并读取所有解密成功的投标文件第二个信封（报价文件）的内容；</w:t>
            </w:r>
          </w:p>
          <w:p w14:paraId="36C41EB2">
            <w:pPr>
              <w:spacing w:line="400" w:lineRule="exact"/>
              <w:ind w:firstLine="252" w:firstLineChars="120"/>
              <w:jc w:val="left"/>
            </w:pPr>
            <w:r>
              <w:rPr>
                <w:rFonts w:asciiTheme="minorEastAsia" w:hAnsiTheme="minorEastAsia" w:eastAsiaTheme="minorEastAsia"/>
                <w:szCs w:val="21"/>
              </w:rPr>
              <w:t xml:space="preserve"> （7）公布标段名称、投标人名称、投标报价及其他内容,并记录在案；</w:t>
            </w:r>
          </w:p>
          <w:p w14:paraId="0E36CB94">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（8）计算并公布评标基准价（如有）</w:t>
            </w:r>
          </w:p>
          <w:p w14:paraId="156B5E1E">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）对已解密的第二个信封（报价文件）电子投标文件导入电子辅助评标系统；</w:t>
            </w:r>
          </w:p>
          <w:p w14:paraId="09297D4F">
            <w:pPr>
              <w:spacing w:line="400" w:lineRule="exact"/>
              <w:ind w:firstLine="252" w:firstLineChars="120"/>
              <w:jc w:val="left"/>
              <w:rPr>
                <w:rFonts w:asciiTheme="minorEastAsia" w:hAnsi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）提出异议，处理异议；</w:t>
            </w:r>
          </w:p>
          <w:p w14:paraId="46CCAFF4">
            <w:pPr>
              <w:spacing w:line="400" w:lineRule="exact"/>
              <w:ind w:firstLine="252" w:firstLineChars="120"/>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）生成开标记录表，开标结束</w:t>
            </w:r>
          </w:p>
          <w:p w14:paraId="3DDA8228">
            <w:pPr>
              <w:spacing w:line="400" w:lineRule="exact"/>
              <w:ind w:firstLine="210" w:firstLineChars="100"/>
              <w:jc w:val="left"/>
              <w:rPr>
                <w:rFonts w:asciiTheme="minorEastAsia" w:hAnsi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投标人最迟应在完成上述第（</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）项程序后10分钟内在线提出异议，招标人或其委托招标代理机构在线即时答复处理。如投标人未提出异议的，视为其认可开标过程、开标内容和开标结果。</w:t>
            </w:r>
          </w:p>
          <w:p w14:paraId="31EFED04">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投标文件无法导入开标系统或未解密的，视为撤回其投标文件。已导入电子开标系统但无法导入电子评标系统的，招标人（或招标代理机构）做好开标记录，其投标文件由评标委员会作否决处理</w:t>
            </w:r>
            <w:r>
              <w:rPr>
                <w:rFonts w:hint="eastAsia" w:asciiTheme="minorEastAsia" w:hAnsiTheme="minorEastAsia" w:eastAsiaTheme="minorEastAsia"/>
                <w:szCs w:val="21"/>
                <w:lang w:eastAsia="zh-CN"/>
              </w:rPr>
              <w:t>。</w:t>
            </w:r>
          </w:p>
        </w:tc>
      </w:tr>
      <w:tr w14:paraId="175A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BF35106">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5.2.4</w:t>
            </w:r>
          </w:p>
        </w:tc>
        <w:tc>
          <w:tcPr>
            <w:tcW w:w="2104" w:type="dxa"/>
            <w:vAlign w:val="center"/>
          </w:tcPr>
          <w:p w14:paraId="08027CF3">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不参加评标基准价计算的情形</w:t>
            </w:r>
          </w:p>
        </w:tc>
        <w:tc>
          <w:tcPr>
            <w:tcW w:w="5866" w:type="dxa"/>
            <w:vAlign w:val="center"/>
          </w:tcPr>
          <w:p w14:paraId="42E5503A">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见第三章“评标办法”</w:t>
            </w:r>
          </w:p>
        </w:tc>
      </w:tr>
      <w:tr w14:paraId="08CE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284F991">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5.3.1</w:t>
            </w:r>
          </w:p>
        </w:tc>
        <w:tc>
          <w:tcPr>
            <w:tcW w:w="2104" w:type="dxa"/>
            <w:vAlign w:val="center"/>
          </w:tcPr>
          <w:p w14:paraId="308F1359">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补救措施</w:t>
            </w:r>
          </w:p>
        </w:tc>
        <w:tc>
          <w:tcPr>
            <w:tcW w:w="5866" w:type="dxa"/>
            <w:vAlign w:val="center"/>
          </w:tcPr>
          <w:p w14:paraId="162730D8">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1）出现本章正文第5.3.2项所列原因的补救措施</w:t>
            </w:r>
            <w:r>
              <w:rPr>
                <w:rFonts w:hint="eastAsia" w:cs="宋体" w:asciiTheme="minorEastAsia" w:hAnsiTheme="minorEastAsia" w:eastAsiaTheme="minorEastAsia"/>
                <w:szCs w:val="21"/>
                <w:lang w:eastAsia="zh-CN"/>
              </w:rPr>
              <w:t>：</w:t>
            </w:r>
          </w:p>
          <w:p w14:paraId="6593A98F">
            <w:pPr>
              <w:pStyle w:val="299"/>
              <w:adjustRightInd w:val="0"/>
              <w:snapToGrid w:val="0"/>
              <w:spacing w:line="400" w:lineRule="exact"/>
              <w:ind w:firstLine="210" w:firstLineChars="1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招标人在收到投标人递交的投标截止时间止“电子交易系统”上传失败</w:t>
            </w:r>
            <w:r>
              <w:rPr>
                <w:rFonts w:hint="eastAsia" w:cs="宋体" w:asciiTheme="minorEastAsia" w:hAnsiTheme="minorEastAsia" w:eastAsiaTheme="minorEastAsia"/>
                <w:szCs w:val="21"/>
                <w:lang w:val="en-US" w:eastAsia="zh-CN"/>
              </w:rPr>
              <w:t>的截图</w:t>
            </w:r>
            <w:r>
              <w:rPr>
                <w:rFonts w:hint="eastAsia" w:cs="宋体" w:asciiTheme="minorEastAsia" w:hAnsiTheme="minorEastAsia" w:eastAsiaTheme="minorEastAsia"/>
                <w:szCs w:val="21"/>
              </w:rPr>
              <w:t>后，按投标人撤回投标文件的情形处理，</w:t>
            </w:r>
            <w:r>
              <w:rPr>
                <w:rFonts w:hint="eastAsia" w:cs="宋体" w:asciiTheme="minorEastAsia" w:hAnsiTheme="minorEastAsia" w:eastAsiaTheme="minorEastAsia"/>
                <w:szCs w:val="21"/>
                <w:lang w:val="en-US" w:eastAsia="zh-CN"/>
              </w:rPr>
              <w:t>按照中标候选人以外的其他投标人的程序退还</w:t>
            </w:r>
            <w:r>
              <w:rPr>
                <w:rFonts w:hint="eastAsia" w:cs="宋体" w:asciiTheme="minorEastAsia" w:hAnsiTheme="minorEastAsia" w:eastAsiaTheme="minorEastAsia"/>
                <w:szCs w:val="21"/>
              </w:rPr>
              <w:t>已收取的投标保证金</w:t>
            </w:r>
            <w:r>
              <w:rPr>
                <w:rFonts w:hint="eastAsia" w:cs="宋体" w:asciiTheme="minorEastAsia" w:hAnsiTheme="minorEastAsia" w:eastAsiaTheme="minorEastAsia"/>
                <w:szCs w:val="21"/>
                <w:lang w:eastAsia="zh-CN"/>
              </w:rPr>
              <w:t>。</w:t>
            </w:r>
          </w:p>
          <w:p w14:paraId="0BFA70FE">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2）出现本章正文第5.3.3项所列</w:t>
            </w:r>
            <w:r>
              <w:rPr>
                <w:rFonts w:hint="eastAsia" w:cs="宋体" w:asciiTheme="minorEastAsia" w:hAnsiTheme="minorEastAsia" w:eastAsiaTheme="minorEastAsia"/>
                <w:szCs w:val="21"/>
              </w:rPr>
              <w:t>情况以及招标人原因导致系统无法正常运行和证明非投标人原因导致投标人现场无法解密的</w:t>
            </w:r>
            <w:r>
              <w:rPr>
                <w:rFonts w:cs="宋体" w:asciiTheme="minorEastAsia" w:hAnsiTheme="minorEastAsia" w:eastAsiaTheme="minorEastAsia"/>
                <w:szCs w:val="21"/>
              </w:rPr>
              <w:t>补救措施：</w:t>
            </w:r>
          </w:p>
          <w:p w14:paraId="0CAD7106">
            <w:pPr>
              <w:adjustRightInd w:val="0"/>
              <w:snapToGrid w:val="0"/>
              <w:spacing w:line="400" w:lineRule="exact"/>
              <w:ind w:firstLine="210" w:firstLineChars="1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应对未开标的中止电子开标，并在恢复正常后及时安排时间开标。同时采取补救措施时，必须对原有资料及信息作出妥善保密处理</w:t>
            </w:r>
            <w:r>
              <w:rPr>
                <w:rFonts w:hint="eastAsia" w:cs="宋体" w:asciiTheme="minorEastAsia" w:hAnsiTheme="minorEastAsia" w:eastAsiaTheme="minorEastAsia"/>
                <w:szCs w:val="21"/>
                <w:lang w:eastAsia="zh-CN"/>
              </w:rPr>
              <w:t>。</w:t>
            </w:r>
          </w:p>
          <w:p w14:paraId="772593EE">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（3）其他补救措施：</w:t>
            </w:r>
            <w:r>
              <w:rPr>
                <w:rFonts w:hint="eastAsia" w:cs="宋体" w:asciiTheme="minorEastAsia" w:hAnsiTheme="minorEastAsia" w:eastAsiaTheme="minorEastAsia"/>
                <w:szCs w:val="21"/>
                <w:u w:val="single"/>
              </w:rPr>
              <w:t xml:space="preserve"> </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2D58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528EA11">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5.4</w:t>
            </w:r>
          </w:p>
        </w:tc>
        <w:tc>
          <w:tcPr>
            <w:tcW w:w="2104" w:type="dxa"/>
            <w:vAlign w:val="center"/>
          </w:tcPr>
          <w:p w14:paraId="2334A68C">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开标异议</w:t>
            </w:r>
          </w:p>
        </w:tc>
        <w:tc>
          <w:tcPr>
            <w:tcW w:w="5866" w:type="dxa"/>
            <w:vAlign w:val="center"/>
          </w:tcPr>
          <w:p w14:paraId="3EC3B65E">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本款补充</w:t>
            </w:r>
            <w:r>
              <w:rPr>
                <w:rFonts w:cs="宋体" w:asciiTheme="minorEastAsia" w:hAnsiTheme="minorEastAsia" w:eastAsiaTheme="minorEastAsia"/>
                <w:szCs w:val="21"/>
              </w:rPr>
              <w:t>：</w:t>
            </w:r>
          </w:p>
          <w:p w14:paraId="3EAB7B80">
            <w:pPr>
              <w:adjustRightInd w:val="0"/>
              <w:snapToGrid w:val="0"/>
              <w:spacing w:line="400" w:lineRule="exact"/>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rPr>
              <w:t>投标人对开标如有异议，应在</w:t>
            </w:r>
            <w:r>
              <w:rPr>
                <w:rFonts w:cs="宋体" w:asciiTheme="minorEastAsia" w:hAnsiTheme="minorEastAsia" w:eastAsiaTheme="minorEastAsia"/>
                <w:szCs w:val="21"/>
              </w:rPr>
              <w:t>“不见面开标大厅”</w:t>
            </w:r>
            <w:r>
              <w:rPr>
                <w:rFonts w:hint="eastAsia" w:cs="宋体" w:asciiTheme="minorEastAsia" w:hAnsiTheme="minorEastAsia" w:eastAsiaTheme="minorEastAsia"/>
                <w:szCs w:val="21"/>
                <w:lang w:val="en-US" w:eastAsia="zh-CN"/>
              </w:rPr>
              <w:t>中的</w:t>
            </w:r>
            <w:r>
              <w:rPr>
                <w:rFonts w:hint="eastAsia" w:cs="宋体" w:asciiTheme="minorEastAsia" w:hAnsiTheme="minorEastAsia" w:eastAsiaTheme="minorEastAsia"/>
                <w:szCs w:val="21"/>
              </w:rPr>
              <w:t>“开标异议提问”</w:t>
            </w:r>
            <w:r>
              <w:rPr>
                <w:rFonts w:hint="eastAsia" w:cs="宋体" w:asciiTheme="minorEastAsia" w:hAnsiTheme="minorEastAsia" w:eastAsiaTheme="minorEastAsia"/>
                <w:szCs w:val="21"/>
                <w:lang w:val="en-US" w:eastAsia="zh-CN"/>
              </w:rPr>
              <w:t>栏</w:t>
            </w:r>
            <w:r>
              <w:rPr>
                <w:rFonts w:hint="eastAsia" w:cs="宋体" w:asciiTheme="minorEastAsia" w:hAnsiTheme="minorEastAsia" w:eastAsiaTheme="minorEastAsia"/>
                <w:szCs w:val="21"/>
              </w:rPr>
              <w:t>提出，招标人应在“异议回复”栏当场作出答复</w:t>
            </w:r>
          </w:p>
        </w:tc>
      </w:tr>
      <w:tr w14:paraId="3151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CBDBDD4">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6.1.1</w:t>
            </w:r>
          </w:p>
        </w:tc>
        <w:tc>
          <w:tcPr>
            <w:tcW w:w="2104" w:type="dxa"/>
            <w:vAlign w:val="center"/>
          </w:tcPr>
          <w:p w14:paraId="176140A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评标委员会</w:t>
            </w:r>
          </w:p>
          <w:p w14:paraId="431FDF50">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的组建</w:t>
            </w:r>
          </w:p>
        </w:tc>
        <w:tc>
          <w:tcPr>
            <w:tcW w:w="5866" w:type="dxa"/>
            <w:vAlign w:val="center"/>
          </w:tcPr>
          <w:p w14:paraId="46ECF801">
            <w:pPr>
              <w:pStyle w:val="256"/>
              <w:tabs>
                <w:tab w:val="left" w:pos="1573"/>
                <w:tab w:val="left" w:pos="2145"/>
              </w:tabs>
              <w:adjustRightInd w:val="0"/>
              <w:snapToGrid w:val="0"/>
              <w:spacing w:line="400" w:lineRule="exact"/>
              <w:ind w:left="105" w:hanging="105" w:hangingChars="50"/>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评标委员会构成：</w:t>
            </w:r>
            <w:r>
              <w:rPr>
                <w:rFonts w:cs="Times New Roman" w:asciiTheme="minorEastAsia" w:hAnsiTheme="minorEastAsia" w:eastAsiaTheme="minorEastAsia"/>
                <w:szCs w:val="21"/>
                <w:u w:val="single"/>
              </w:rPr>
              <w:t xml:space="preserve">  </w:t>
            </w:r>
            <w:r>
              <w:rPr>
                <w:rFonts w:hint="eastAsia" w:cs="Times New Roman" w:asciiTheme="minorEastAsia" w:hAnsiTheme="minorEastAsia" w:eastAsiaTheme="minorEastAsia"/>
                <w:szCs w:val="21"/>
              </w:rPr>
              <w:t>人，其中招标人代表：</w:t>
            </w:r>
            <w:r>
              <w:rPr>
                <w:rFonts w:cs="Times New Roman" w:asciiTheme="minorEastAsia" w:hAnsiTheme="minorEastAsia" w:eastAsiaTheme="minorEastAsia"/>
                <w:szCs w:val="21"/>
                <w:u w:val="single"/>
              </w:rPr>
              <w:t xml:space="preserve">  </w:t>
            </w:r>
            <w:r>
              <w:rPr>
                <w:rFonts w:hint="eastAsia" w:cs="Times New Roman" w:asciiTheme="minorEastAsia" w:hAnsiTheme="minorEastAsia" w:eastAsiaTheme="minorEastAsia"/>
                <w:szCs w:val="21"/>
              </w:rPr>
              <w:t>人，专家：</w:t>
            </w:r>
            <w:r>
              <w:rPr>
                <w:rFonts w:cs="Times New Roman" w:asciiTheme="minorEastAsia" w:hAnsiTheme="minorEastAsia" w:eastAsiaTheme="minorEastAsia"/>
                <w:szCs w:val="21"/>
                <w:u w:val="single"/>
              </w:rPr>
              <w:t xml:space="preserve">  </w:t>
            </w:r>
            <w:r>
              <w:rPr>
                <w:rFonts w:hint="eastAsia" w:cs="Times New Roman" w:asciiTheme="minorEastAsia" w:hAnsiTheme="minorEastAsia" w:eastAsiaTheme="minorEastAsia"/>
                <w:szCs w:val="21"/>
              </w:rPr>
              <w:t>人</w:t>
            </w:r>
          </w:p>
          <w:p w14:paraId="7B65416F">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评标专家确定方式：</w:t>
            </w:r>
          </w:p>
          <w:p w14:paraId="7FBCB0FA">
            <w:pPr>
              <w:adjustRightInd w:val="0"/>
              <w:snapToGrid w:val="0"/>
              <w:spacing w:line="400" w:lineRule="exact"/>
              <w:ind w:firstLine="211" w:firstLineChars="100"/>
              <w:rPr>
                <w:rFonts w:asciiTheme="minorEastAsia" w:hAnsiTheme="minorEastAsia" w:eastAsiaTheme="minorEastAsia"/>
                <w:szCs w:val="21"/>
              </w:rPr>
            </w:pPr>
            <w:r>
              <w:rPr>
                <w:rFonts w:hint="eastAsia" w:cs="宋体" w:asciiTheme="minorEastAsia" w:hAnsiTheme="minorEastAsia" w:eastAsiaTheme="minorEastAsia"/>
                <w:b/>
                <w:bCs/>
                <w:szCs w:val="21"/>
              </w:rPr>
              <w:t xml:space="preserve">□ </w:t>
            </w:r>
            <w:r>
              <w:rPr>
                <w:rFonts w:hint="eastAsia" w:cs="宋体" w:asciiTheme="minorEastAsia" w:hAnsiTheme="minorEastAsia" w:eastAsiaTheme="minorEastAsia"/>
                <w:szCs w:val="21"/>
              </w:rPr>
              <w:t>从国家重点公路工程</w:t>
            </w:r>
            <w:r>
              <w:rPr>
                <w:rFonts w:hint="eastAsia" w:asciiTheme="minorEastAsia" w:hAnsiTheme="minorEastAsia" w:eastAsiaTheme="minorEastAsia"/>
                <w:szCs w:val="21"/>
              </w:rPr>
              <w:t>建设</w:t>
            </w:r>
            <w:r>
              <w:rPr>
                <w:rFonts w:hint="eastAsia" w:cs="宋体" w:asciiTheme="minorEastAsia" w:hAnsiTheme="minorEastAsia" w:eastAsiaTheme="minorEastAsia"/>
                <w:szCs w:val="21"/>
              </w:rPr>
              <w:t>项目</w:t>
            </w:r>
            <w:r>
              <w:rPr>
                <w:rFonts w:hint="eastAsia" w:asciiTheme="minorEastAsia" w:hAnsiTheme="minorEastAsia" w:eastAsiaTheme="minorEastAsia"/>
                <w:szCs w:val="21"/>
              </w:rPr>
              <w:t>评标专家库中随机抽取</w:t>
            </w:r>
          </w:p>
          <w:p w14:paraId="2CF8C63F">
            <w:pPr>
              <w:adjustRightInd w:val="0"/>
              <w:snapToGrid w:val="0"/>
              <w:spacing w:line="400" w:lineRule="exact"/>
              <w:ind w:firstLine="211" w:firstLineChars="100"/>
              <w:rPr>
                <w:rFonts w:asciiTheme="minorEastAsia" w:hAnsiTheme="minorEastAsia" w:eastAsiaTheme="minorEastAsia"/>
                <w:szCs w:val="21"/>
              </w:rPr>
            </w:pPr>
            <w:r>
              <w:rPr>
                <w:rFonts w:hint="eastAsia" w:cs="宋体" w:asciiTheme="minorEastAsia" w:hAnsiTheme="minorEastAsia" w:eastAsiaTheme="minorEastAsia"/>
                <w:b/>
                <w:bCs/>
                <w:szCs w:val="21"/>
              </w:rPr>
              <w:t xml:space="preserve">□ </w:t>
            </w:r>
            <w:r>
              <w:rPr>
                <w:rFonts w:hint="eastAsia" w:asciiTheme="minorEastAsia" w:hAnsiTheme="minorEastAsia" w:eastAsiaTheme="minorEastAsia"/>
                <w:szCs w:val="21"/>
              </w:rPr>
              <w:t>从四川省综合评标专家库中随机抽取</w:t>
            </w:r>
          </w:p>
          <w:p w14:paraId="2033E425">
            <w:pPr>
              <w:adjustRightInd w:val="0"/>
              <w:snapToGrid w:val="0"/>
              <w:spacing w:line="400" w:lineRule="exact"/>
              <w:ind w:firstLine="211" w:firstLineChars="100"/>
              <w:rPr>
                <w:rFonts w:hint="eastAsia" w:cs="宋体" w:asciiTheme="minorEastAsia" w:hAnsiTheme="minorEastAsia" w:eastAsiaTheme="minorEastAsia"/>
                <w:szCs w:val="21"/>
              </w:rPr>
            </w:pPr>
            <w:r>
              <w:rPr>
                <w:rFonts w:hint="eastAsia" w:cs="宋体" w:asciiTheme="minorEastAsia" w:hAnsiTheme="minorEastAsia" w:eastAsiaTheme="minorEastAsia"/>
                <w:b/>
                <w:bCs/>
                <w:szCs w:val="21"/>
              </w:rPr>
              <w:t>□</w:t>
            </w:r>
            <w:r>
              <w:rPr>
                <w:rFonts w:hint="eastAsia" w:cs="宋体" w:asciiTheme="minorEastAsia" w:hAnsiTheme="minorEastAsia" w:eastAsiaTheme="minorEastAsia"/>
                <w:szCs w:val="21"/>
              </w:rPr>
              <w:t xml:space="preserve"> 由招标人直接确定</w:t>
            </w:r>
          </w:p>
          <w:p w14:paraId="4EFA0825">
            <w:pPr>
              <w:pStyle w:val="256"/>
              <w:tabs>
                <w:tab w:val="left" w:pos="1573"/>
                <w:tab w:val="left" w:pos="2145"/>
              </w:tabs>
              <w:adjustRightInd w:val="0"/>
              <w:snapToGrid w:val="0"/>
              <w:spacing w:line="400" w:lineRule="exact"/>
              <w:ind w:left="0" w:leftChars="0" w:firstLine="210" w:firstLineChars="1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注：</w:t>
            </w:r>
            <w:r>
              <w:rPr>
                <w:rFonts w:hint="eastAsia" w:cs="Times New Roman" w:asciiTheme="minorEastAsia" w:hAnsiTheme="minorEastAsia" w:eastAsiaTheme="minorEastAsia"/>
                <w:szCs w:val="21"/>
              </w:rPr>
              <w:t>1</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评标委员会由评标专家和招标人代表共同组成，人数为五人以上单数。其中，评标专家人数不得少于成员总数的三分之二。</w:t>
            </w:r>
          </w:p>
          <w:p w14:paraId="65B4A372">
            <w:pPr>
              <w:adjustRightInd w:val="0"/>
              <w:snapToGrid w:val="0"/>
              <w:spacing w:line="400" w:lineRule="exact"/>
              <w:ind w:firstLine="210" w:firstLineChars="100"/>
              <w:rPr>
                <w:rFonts w:asciiTheme="minorEastAsia" w:hAnsiTheme="minorEastAsia" w:eastAsiaTheme="minorEastAsia"/>
                <w:szCs w:val="21"/>
              </w:rPr>
            </w:pPr>
            <w:r>
              <w:rPr>
                <w:rFonts w:hint="eastAsia" w:cs="Times New Roman" w:asciiTheme="minorEastAsia" w:hAnsiTheme="minorEastAsia" w:eastAsiaTheme="minorEastAsia"/>
                <w:szCs w:val="21"/>
              </w:rPr>
              <w:t>2</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tc>
      </w:tr>
      <w:tr w14:paraId="24FC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53E2B0F">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6.3.2</w:t>
            </w:r>
          </w:p>
        </w:tc>
        <w:tc>
          <w:tcPr>
            <w:tcW w:w="2104" w:type="dxa"/>
            <w:vAlign w:val="center"/>
          </w:tcPr>
          <w:p w14:paraId="717B41AF">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评标委员会推荐中标候选人的人数</w:t>
            </w:r>
          </w:p>
        </w:tc>
        <w:tc>
          <w:tcPr>
            <w:tcW w:w="5866" w:type="dxa"/>
            <w:vAlign w:val="center"/>
          </w:tcPr>
          <w:p w14:paraId="73874F25">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评标委员会推荐中标候选人的人数：</w:t>
            </w:r>
            <w:r>
              <w:rPr>
                <w:rFonts w:cs="宋体" w:asciiTheme="minorEastAsia" w:hAnsiTheme="minorEastAsia" w:eastAsiaTheme="minorEastAsia"/>
                <w:szCs w:val="21"/>
              </w:rPr>
              <w:t>3名（若不足3名，则按相应数量推荐）</w:t>
            </w:r>
          </w:p>
          <w:p w14:paraId="71676377">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评标报告的形式：</w:t>
            </w:r>
          </w:p>
          <w:p w14:paraId="40F507A9">
            <w:pPr>
              <w:pStyle w:val="299"/>
              <w:adjustRightInd w:val="0"/>
              <w:snapToGrid w:val="0"/>
              <w:spacing w:line="400" w:lineRule="exact"/>
              <w:ind w:firstLine="211" w:firstLineChars="100"/>
              <w:rPr>
                <w:rFonts w:cs="宋体" w:asciiTheme="minorEastAsia" w:hAnsiTheme="minorEastAsia" w:eastAsiaTheme="minorEastAsia"/>
                <w:szCs w:val="21"/>
              </w:rPr>
            </w:pPr>
            <w:r>
              <w:rPr>
                <w:rFonts w:hint="eastAsia" w:cs="宋体" w:asciiTheme="minorEastAsia" w:hAnsiTheme="minorEastAsia" w:eastAsiaTheme="minorEastAsia"/>
                <w:b/>
                <w:bCs/>
                <w:szCs w:val="21"/>
              </w:rPr>
              <w:sym w:font="Wingdings 2" w:char="00A3"/>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书面形式</w:t>
            </w:r>
          </w:p>
          <w:p w14:paraId="0A6C6939">
            <w:pPr>
              <w:adjustRightInd w:val="0"/>
              <w:snapToGrid w:val="0"/>
              <w:spacing w:line="400" w:lineRule="exact"/>
              <w:ind w:firstLine="211" w:firstLineChars="100"/>
              <w:rPr>
                <w:rFonts w:asciiTheme="minorEastAsia" w:hAnsiTheme="minorEastAsia" w:eastAsiaTheme="minorEastAsia"/>
                <w:szCs w:val="21"/>
              </w:rPr>
            </w:pPr>
            <w:r>
              <w:rPr>
                <w:rFonts w:hint="eastAsia" w:cs="宋体" w:asciiTheme="minorEastAsia" w:hAnsiTheme="minorEastAsia" w:eastAsiaTheme="minorEastAsia"/>
                <w:b/>
                <w:bCs/>
                <w:szCs w:val="21"/>
              </w:rPr>
              <w:t xml:space="preserve">□ </w:t>
            </w:r>
            <w:r>
              <w:rPr>
                <w:rFonts w:hint="eastAsia" w:cs="宋体" w:asciiTheme="minorEastAsia" w:hAnsiTheme="minorEastAsia" w:eastAsiaTheme="minorEastAsia"/>
                <w:szCs w:val="21"/>
              </w:rPr>
              <w:t>电子形式：通过“乐山市公共资源交易服务平台电子招投标系统”以数据电文形式发出</w:t>
            </w:r>
          </w:p>
        </w:tc>
      </w:tr>
      <w:tr w14:paraId="6805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3012A5B">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7.1</w:t>
            </w:r>
          </w:p>
        </w:tc>
        <w:tc>
          <w:tcPr>
            <w:tcW w:w="2104" w:type="dxa"/>
            <w:vAlign w:val="center"/>
          </w:tcPr>
          <w:p w14:paraId="6CA78392">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中标候选人公示媒介及期限</w:t>
            </w:r>
          </w:p>
        </w:tc>
        <w:tc>
          <w:tcPr>
            <w:tcW w:w="5866" w:type="dxa"/>
            <w:vAlign w:val="center"/>
          </w:tcPr>
          <w:p w14:paraId="4120EEED">
            <w:pPr>
              <w:pStyle w:val="299"/>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公示媒介：见招标公告</w:t>
            </w:r>
          </w:p>
          <w:p w14:paraId="0A031372">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公示期限：见招标公告</w:t>
            </w:r>
          </w:p>
          <w:p w14:paraId="2E5109E8">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公示的其他内容：□</w:t>
            </w:r>
            <w:r>
              <w:rPr>
                <w:rFonts w:asciiTheme="minorEastAsia" w:hAnsiTheme="minorEastAsia" w:eastAsiaTheme="minorEastAsia"/>
                <w:szCs w:val="21"/>
              </w:rPr>
              <w:t xml:space="preserve"> </w:t>
            </w:r>
            <w:r>
              <w:rPr>
                <w:rFonts w:hint="eastAsia" w:asciiTheme="minorEastAsia" w:hAnsiTheme="minorEastAsia" w:eastAsiaTheme="minorEastAsia"/>
                <w:szCs w:val="21"/>
              </w:rPr>
              <w:t>开标记录</w:t>
            </w:r>
          </w:p>
          <w:p w14:paraId="19521598">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tc>
      </w:tr>
      <w:tr w14:paraId="2595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088578D">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7.2</w:t>
            </w:r>
          </w:p>
        </w:tc>
        <w:tc>
          <w:tcPr>
            <w:tcW w:w="2104" w:type="dxa"/>
            <w:vAlign w:val="center"/>
          </w:tcPr>
          <w:p w14:paraId="0BC0AC7B">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评标结果异议</w:t>
            </w:r>
          </w:p>
        </w:tc>
        <w:tc>
          <w:tcPr>
            <w:tcW w:w="5866" w:type="dxa"/>
            <w:vAlign w:val="center"/>
          </w:tcPr>
          <w:p w14:paraId="3DB806C3">
            <w:pPr>
              <w:adjustRightInd w:val="0"/>
              <w:snapToGrid w:val="0"/>
              <w:spacing w:line="400" w:lineRule="exact"/>
              <w:rPr>
                <w:rFonts w:ascii="宋体" w:hAnsi="宋体" w:cs="宋体"/>
                <w:snapToGrid w:val="0"/>
                <w:kern w:val="0"/>
              </w:rPr>
            </w:pPr>
            <w:r>
              <w:rPr>
                <w:rFonts w:hint="eastAsia" w:ascii="宋体" w:hAnsi="宋体" w:cs="宋体"/>
                <w:snapToGrid w:val="0"/>
                <w:kern w:val="0"/>
              </w:rPr>
              <w:t>本款补充：</w:t>
            </w:r>
          </w:p>
          <w:p w14:paraId="0774B4D0">
            <w:pPr>
              <w:adjustRightInd w:val="0"/>
              <w:snapToGrid w:val="0"/>
              <w:spacing w:line="400" w:lineRule="exact"/>
              <w:rPr>
                <w:rFonts w:asciiTheme="minorEastAsia" w:hAnsiTheme="minorEastAsia"/>
                <w:szCs w:val="21"/>
              </w:rPr>
            </w:pPr>
            <w:r>
              <w:rPr>
                <w:rFonts w:hint="eastAsia" w:ascii="宋体" w:hAnsi="宋体" w:cs="宋体"/>
                <w:snapToGrid w:val="0"/>
                <w:kern w:val="0"/>
              </w:rPr>
              <w:t>投标人提出异议可通过</w:t>
            </w:r>
            <w:r>
              <w:rPr>
                <w:rFonts w:hint="eastAsia" w:cs="宋体" w:asciiTheme="minorEastAsia" w:hAnsiTheme="minorEastAsia" w:eastAsiaTheme="minorEastAsia"/>
                <w:szCs w:val="21"/>
              </w:rPr>
              <w:t>“乐山市公共资源交易服务平台电子招投标系统”</w:t>
            </w:r>
            <w:r>
              <w:rPr>
                <w:rFonts w:hint="eastAsia" w:ascii="宋体" w:hAnsi="宋体" w:cs="宋体"/>
                <w:snapToGrid w:val="0"/>
                <w:kern w:val="0"/>
              </w:rPr>
              <w:t>在“异议”菜单中进行，也可采用符合本须知前附表第8.5.2项要求的书面方式进行</w:t>
            </w:r>
          </w:p>
        </w:tc>
      </w:tr>
      <w:tr w14:paraId="48B8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0B0039B">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7.4</w:t>
            </w:r>
          </w:p>
        </w:tc>
        <w:tc>
          <w:tcPr>
            <w:tcW w:w="2104" w:type="dxa"/>
            <w:vAlign w:val="center"/>
          </w:tcPr>
          <w:p w14:paraId="4F3C5A9D">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5866" w:type="dxa"/>
            <w:vAlign w:val="center"/>
          </w:tcPr>
          <w:p w14:paraId="2E3FD22B">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是</w:t>
            </w:r>
          </w:p>
          <w:p w14:paraId="32974A56">
            <w:pPr>
              <w:pStyle w:val="299"/>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否</w:t>
            </w:r>
          </w:p>
          <w:p w14:paraId="4E9FE0DD">
            <w:pPr>
              <w:pStyle w:val="299"/>
              <w:adjustRightInd w:val="0"/>
              <w:snapToGrid w:val="0"/>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w:t>
            </w:r>
            <w:r>
              <w:rPr>
                <w:rFonts w:asciiTheme="minorEastAsia" w:hAnsiTheme="minorEastAsia" w:eastAsiaTheme="minorEastAsia"/>
                <w:szCs w:val="21"/>
              </w:rPr>
              <w:t>1）招标人将依据评标委员会推荐的中标候选人，确定中标人</w:t>
            </w:r>
            <w:r>
              <w:rPr>
                <w:rFonts w:hint="eastAsia" w:asciiTheme="minorEastAsia" w:hAnsiTheme="minorEastAsia" w:eastAsiaTheme="minorEastAsia"/>
                <w:szCs w:val="21"/>
                <w:lang w:eastAsia="zh-CN"/>
              </w:rPr>
              <w:t>。</w:t>
            </w:r>
          </w:p>
          <w:p w14:paraId="3695FF5C">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宋体" w:hAnsi="宋体" w:cs="等线"/>
                <w:szCs w:val="21"/>
              </w:rPr>
              <w:t>国有</w:t>
            </w:r>
            <w:r>
              <w:rPr>
                <w:rFonts w:ascii="宋体" w:hAnsi="宋体" w:cs="等线"/>
                <w:szCs w:val="21"/>
              </w:rPr>
              <w:t>资金占控股或者主导地位的依法必须招标的项目</w:t>
            </w:r>
            <w:r>
              <w:rPr>
                <w:rFonts w:hint="eastAsia" w:ascii="宋体" w:hAnsi="宋体" w:cs="等线"/>
                <w:szCs w:val="21"/>
              </w:rPr>
              <w:t>，</w:t>
            </w:r>
            <w:r>
              <w:rPr>
                <w:rFonts w:ascii="宋体" w:hAnsi="宋体" w:cs="等线"/>
                <w:szCs w:val="21"/>
              </w:rPr>
              <w:t>招标人应当确定排名第一的中标候选人为中标人</w:t>
            </w:r>
            <w:r>
              <w:rPr>
                <w:rFonts w:hint="eastAsia" w:ascii="宋体" w:hAnsi="宋体" w:cs="等线"/>
                <w:szCs w:val="21"/>
              </w:rPr>
              <w:t>。</w:t>
            </w:r>
            <w:r>
              <w:rPr>
                <w:rFonts w:asciiTheme="minorEastAsia" w:hAnsiTheme="minorEastAsia" w:eastAsiaTheme="minorEastAsia"/>
                <w:szCs w:val="21"/>
              </w:rPr>
              <w:t>排名第一的中标候选人放弃中标</w:t>
            </w:r>
            <w:r>
              <w:rPr>
                <w:rFonts w:hint="eastAsia" w:asciiTheme="minorEastAsia" w:hAnsiTheme="minorEastAsia" w:eastAsiaTheme="minorEastAsia"/>
                <w:szCs w:val="21"/>
                <w:lang w:eastAsia="zh-CN"/>
              </w:rPr>
              <w:t>，</w:t>
            </w:r>
            <w:r>
              <w:rPr>
                <w:rFonts w:asciiTheme="minorEastAsia" w:hAnsiTheme="minorEastAsia" w:eastAsiaTheme="minorEastAsia"/>
                <w:szCs w:val="21"/>
              </w:rPr>
              <w:t>或</w:t>
            </w:r>
            <w:r>
              <w:rPr>
                <w:rFonts w:hint="eastAsia" w:asciiTheme="minorEastAsia" w:hAnsiTheme="minorEastAsia" w:eastAsiaTheme="minorEastAsia"/>
                <w:szCs w:val="21"/>
              </w:rPr>
              <w:t>因不可抗力</w:t>
            </w:r>
            <w:r>
              <w:rPr>
                <w:rFonts w:asciiTheme="minorEastAsia" w:hAnsiTheme="minorEastAsia" w:eastAsiaTheme="minorEastAsia"/>
                <w:szCs w:val="21"/>
              </w:rPr>
              <w:t>不能履行合同</w:t>
            </w:r>
            <w:r>
              <w:rPr>
                <w:rFonts w:hint="eastAsia" w:asciiTheme="minorEastAsia" w:hAnsiTheme="minorEastAsia" w:eastAsiaTheme="minorEastAsia"/>
                <w:szCs w:val="21"/>
                <w:lang w:eastAsia="zh-CN"/>
              </w:rPr>
              <w:t>，</w:t>
            </w:r>
            <w:r>
              <w:rPr>
                <w:rFonts w:asciiTheme="minorEastAsia" w:hAnsiTheme="minorEastAsia" w:eastAsiaTheme="minorEastAsia"/>
                <w:szCs w:val="21"/>
              </w:rPr>
              <w:t>或不按招标文件要求提交履约保证金</w:t>
            </w:r>
            <w:r>
              <w:rPr>
                <w:rFonts w:hint="eastAsia" w:asciiTheme="minorEastAsia" w:hAnsiTheme="minorEastAsia" w:eastAsiaTheme="minorEastAsia"/>
                <w:szCs w:val="21"/>
                <w:lang w:eastAsia="zh-CN"/>
              </w:rPr>
              <w:t>，</w:t>
            </w:r>
            <w:r>
              <w:rPr>
                <w:rFonts w:asciiTheme="minorEastAsia" w:hAnsiTheme="minorEastAsia" w:eastAsiaTheme="minorEastAsia"/>
                <w:szCs w:val="21"/>
              </w:rPr>
              <w:t>或被查实存在影响中标结果的违法行为等情形不符合中标条件的，招标人可以按照评标委员会提出的中标候选人名单排序依次确定其他中标候选人为中标人，也可以重新招标</w:t>
            </w:r>
          </w:p>
        </w:tc>
      </w:tr>
      <w:tr w14:paraId="34B1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3AEBCB4">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7.5</w:t>
            </w:r>
          </w:p>
        </w:tc>
        <w:tc>
          <w:tcPr>
            <w:tcW w:w="2104" w:type="dxa"/>
            <w:vAlign w:val="center"/>
          </w:tcPr>
          <w:p w14:paraId="1D33B045">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中标通知书和中标结果通知发出的形式</w:t>
            </w:r>
          </w:p>
        </w:tc>
        <w:tc>
          <w:tcPr>
            <w:tcW w:w="5866" w:type="dxa"/>
            <w:vAlign w:val="center"/>
          </w:tcPr>
          <w:p w14:paraId="52CD5B00">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书面形式</w:t>
            </w:r>
          </w:p>
          <w:p w14:paraId="4BF7BB34">
            <w:pPr>
              <w:adjustRightInd w:val="0"/>
              <w:snapToGrid w:val="0"/>
              <w:spacing w:line="400" w:lineRule="exact"/>
              <w:rPr>
                <w:rFonts w:hint="eastAsia"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电子形式：通过“乐山市公共资源交易服务平台电子招投标系统”以数据电文形式发出</w:t>
            </w:r>
          </w:p>
          <w:p w14:paraId="61AABEFB">
            <w:pPr>
              <w:adjustRightInd w:val="0"/>
              <w:snapToGrid w:val="0"/>
              <w:spacing w:line="400" w:lineRule="exact"/>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注：招标人可选择电子形式、书面形式中的一种或两种发出中标通知书及中标结果通知。</w:t>
            </w:r>
          </w:p>
        </w:tc>
      </w:tr>
      <w:tr w14:paraId="7F3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40C89E3">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7.6</w:t>
            </w:r>
          </w:p>
        </w:tc>
        <w:tc>
          <w:tcPr>
            <w:tcW w:w="2104" w:type="dxa"/>
            <w:vAlign w:val="center"/>
          </w:tcPr>
          <w:p w14:paraId="01D8C8A1">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中标结果公告媒介及期限</w:t>
            </w:r>
          </w:p>
        </w:tc>
        <w:tc>
          <w:tcPr>
            <w:tcW w:w="5866" w:type="dxa"/>
            <w:vAlign w:val="center"/>
          </w:tcPr>
          <w:p w14:paraId="5A8F3381">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公告媒介：</w:t>
            </w:r>
            <w:r>
              <w:rPr>
                <w:rStyle w:val="57"/>
                <w:rFonts w:hint="eastAsia" w:cs="宋体" w:asciiTheme="minorEastAsia" w:hAnsiTheme="minorEastAsia" w:eastAsiaTheme="minorEastAsia"/>
                <w:color w:val="auto"/>
                <w:szCs w:val="21"/>
                <w:u w:val="none"/>
              </w:rPr>
              <w:t>全国公共资源交易平台（四川省·乐山市）（http://www.lsggzy.com.cn/）</w:t>
            </w:r>
            <w:r>
              <w:rPr>
                <w:rFonts w:hint="eastAsia" w:cs="宋体" w:asciiTheme="minorEastAsia" w:hAnsiTheme="minorEastAsia" w:eastAsiaTheme="minorEastAsia"/>
                <w:szCs w:val="21"/>
              </w:rPr>
              <w:t>、□其他：</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交通运输行政主管部门门户网站</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p w14:paraId="729CD6EE">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公告期：</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日 </w:t>
            </w:r>
          </w:p>
        </w:tc>
      </w:tr>
      <w:tr w14:paraId="6A69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8E976E5">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7.7.1</w:t>
            </w:r>
          </w:p>
        </w:tc>
        <w:tc>
          <w:tcPr>
            <w:tcW w:w="2104" w:type="dxa"/>
            <w:vAlign w:val="center"/>
          </w:tcPr>
          <w:p w14:paraId="1579EA6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履约保证金</w:t>
            </w:r>
          </w:p>
        </w:tc>
        <w:tc>
          <w:tcPr>
            <w:tcW w:w="5866" w:type="dxa"/>
            <w:vAlign w:val="center"/>
          </w:tcPr>
          <w:p w14:paraId="78961B5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是否要求中标人提交履约保证金：</w:t>
            </w:r>
          </w:p>
          <w:p w14:paraId="044BB87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不要求</w:t>
            </w:r>
          </w:p>
          <w:p w14:paraId="756646E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要求</w:t>
            </w:r>
          </w:p>
          <w:p w14:paraId="176C4C69">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Courier New" w:asciiTheme="minorEastAsia" w:hAnsiTheme="minorEastAsia" w:eastAsiaTheme="minorEastAsia"/>
              </w:rPr>
            </w:pPr>
            <w:r>
              <w:rPr>
                <w:rFonts w:hint="eastAsia" w:cs="Courier New" w:asciiTheme="minorEastAsia" w:hAnsiTheme="minorEastAsia" w:eastAsiaTheme="minorEastAsia"/>
              </w:rPr>
              <w:t>（1）履约保证金的形式：</w:t>
            </w:r>
          </w:p>
          <w:p w14:paraId="5810E64F">
            <w:pPr>
              <w:pStyle w:val="26"/>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cs="Courier New" w:asciiTheme="minorEastAsia" w:hAnsiTheme="minorEastAsia" w:eastAsiaTheme="minorEastAsia"/>
                <w:u w:val="single"/>
              </w:rPr>
            </w:pPr>
            <w:r>
              <w:rPr>
                <w:rFonts w:hint="eastAsia" w:cs="宋体" w:asciiTheme="minorEastAsia" w:hAnsiTheme="minorEastAsia" w:eastAsiaTheme="minorEastAsia"/>
              </w:rPr>
              <w:t>□</w:t>
            </w:r>
            <w:r>
              <w:rPr>
                <w:rFonts w:hint="eastAsia" w:cs="Courier New" w:asciiTheme="minorEastAsia" w:hAnsiTheme="minorEastAsia" w:eastAsiaTheme="minorEastAsia"/>
              </w:rPr>
              <w:t>银行保函</w:t>
            </w:r>
            <w:r>
              <w:rPr>
                <w:rFonts w:cs="Courier New" w:asciiTheme="minorEastAsia" w:hAnsiTheme="minorEastAsia" w:eastAsiaTheme="minorEastAsia"/>
              </w:rPr>
              <w:t xml:space="preserve">   </w:t>
            </w:r>
            <w:r>
              <w:rPr>
                <w:rFonts w:hint="eastAsia" w:cs="宋体" w:asciiTheme="minorEastAsia" w:hAnsiTheme="minorEastAsia" w:eastAsiaTheme="minorEastAsia"/>
              </w:rPr>
              <w:t>□</w:t>
            </w:r>
            <w:r>
              <w:rPr>
                <w:rFonts w:hint="eastAsia" w:cs="Courier New" w:asciiTheme="minorEastAsia" w:hAnsiTheme="minorEastAsia" w:eastAsiaTheme="minorEastAsia"/>
              </w:rPr>
              <w:t>现金、支票</w:t>
            </w:r>
            <w:r>
              <w:rPr>
                <w:rFonts w:cs="Courier New" w:asciiTheme="minorEastAsia" w:hAnsiTheme="minorEastAsia" w:eastAsiaTheme="minorEastAsia"/>
              </w:rPr>
              <w:t xml:space="preserve">   </w:t>
            </w:r>
            <w:r>
              <w:rPr>
                <w:rFonts w:hint="eastAsia" w:cs="宋体" w:asciiTheme="minorEastAsia" w:hAnsiTheme="minorEastAsia" w:eastAsiaTheme="minorEastAsia"/>
              </w:rPr>
              <w:t>□</w:t>
            </w:r>
            <w:r>
              <w:rPr>
                <w:rFonts w:hint="eastAsia" w:cs="Courier New" w:asciiTheme="minorEastAsia" w:hAnsiTheme="minorEastAsia" w:eastAsiaTheme="minorEastAsia"/>
              </w:rPr>
              <w:t>其他：</w:t>
            </w:r>
            <w:r>
              <w:rPr>
                <w:rFonts w:cs="Courier New" w:asciiTheme="minorEastAsia" w:hAnsiTheme="minorEastAsia" w:eastAsiaTheme="minorEastAsia"/>
                <w:u w:val="single"/>
              </w:rPr>
              <w:t xml:space="preserve">     </w:t>
            </w:r>
          </w:p>
          <w:p w14:paraId="7A313DC6">
            <w:pPr>
              <w:pStyle w:val="26"/>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cs="Courier New" w:asciiTheme="minorEastAsia" w:hAnsiTheme="minorEastAsia" w:eastAsiaTheme="minorEastAsia"/>
                <w:u w:val="single"/>
              </w:rPr>
            </w:pPr>
            <w:r>
              <w:rPr>
                <w:rFonts w:hint="eastAsia" w:cs="Courier New" w:asciiTheme="minorEastAsia" w:hAnsiTheme="minorEastAsia" w:eastAsiaTheme="minorEastAsia"/>
              </w:rPr>
              <w:t>注：招标人不得强制限定履约保证金必须采用现金或支票方式缴纳，不得拒绝银行保函形式的履约保证金。投标人可选择其中任意的方式提交其履约保证金。</w:t>
            </w:r>
          </w:p>
          <w:p w14:paraId="1C3B430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（2）履约保证金的金额：</w:t>
            </w:r>
            <w:r>
              <w:rPr>
                <w:rFonts w:asciiTheme="minorEastAsia" w:hAnsiTheme="minorEastAsia" w:eastAsiaTheme="minorEastAsia"/>
                <w:szCs w:val="21"/>
                <w:u w:val="single"/>
              </w:rPr>
              <w:t xml:space="preserve">    </w:t>
            </w:r>
            <w:r>
              <w:rPr>
                <w:rFonts w:asciiTheme="minorEastAsia" w:hAnsiTheme="minorEastAsia" w:eastAsiaTheme="minorEastAsia"/>
                <w:szCs w:val="21"/>
              </w:rPr>
              <w:t>%签约合同价</w:t>
            </w:r>
            <w:r>
              <w:rPr>
                <w:rFonts w:hint="eastAsia" w:asciiTheme="minorEastAsia" w:hAnsiTheme="minorEastAsia" w:eastAsiaTheme="minorEastAsia"/>
                <w:szCs w:val="21"/>
              </w:rPr>
              <w:t>。根据（</w:t>
            </w:r>
            <w:r>
              <w:rPr>
                <w:rFonts w:hint="eastAsia" w:asciiTheme="minorEastAsia" w:hAnsiTheme="minorEastAsia" w:eastAsiaTheme="minorEastAsia"/>
                <w:szCs w:val="21"/>
              </w:rPr>
              <w:sym w:font="Wingdings 2" w:char="00A3"/>
            </w:r>
            <w:r>
              <w:rPr>
                <w:rFonts w:hint="eastAsia" w:ascii="宋体" w:hAnsi="宋体"/>
                <w:szCs w:val="21"/>
              </w:rPr>
              <w:t>四川省重点公路建设从业单位信用评价等级；</w:t>
            </w:r>
            <w:r>
              <w:rPr>
                <w:rFonts w:hint="eastAsia" w:ascii="宋体" w:hAnsi="宋体"/>
                <w:szCs w:val="21"/>
              </w:rPr>
              <w:sym w:font="Wingdings 2" w:char="00A3"/>
            </w:r>
            <w:r>
              <w:rPr>
                <w:rFonts w:hint="eastAsia" w:ascii="宋体" w:hAnsi="宋体"/>
                <w:szCs w:val="21"/>
              </w:rPr>
              <w:t>四川省农村公路建设从业单位信用评价等级</w:t>
            </w:r>
            <w:r>
              <w:rPr>
                <w:rFonts w:hint="eastAsia" w:ascii="宋体" w:hAnsi="宋体"/>
                <w:szCs w:val="21"/>
                <w:u w:val="none"/>
              </w:rPr>
              <w:t>；</w:t>
            </w:r>
            <w:r>
              <w:rPr>
                <w:rFonts w:hint="eastAsia" w:ascii="宋体" w:hAnsi="宋体"/>
                <w:szCs w:val="21"/>
                <w:u w:val="none"/>
              </w:rPr>
              <w:sym w:font="Wingdings 2" w:char="00A3"/>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szCs w:val="21"/>
              </w:rPr>
              <w:t>）的</w:t>
            </w:r>
            <w:r>
              <w:rPr>
                <w:rFonts w:hint="eastAsia" w:asciiTheme="minorEastAsia" w:hAnsiTheme="minorEastAsia" w:eastAsiaTheme="minorEastAsia"/>
                <w:szCs w:val="21"/>
              </w:rPr>
              <w:t>评价结果设置的信用奖惩措施约定为：</w:t>
            </w:r>
            <w:r>
              <w:rPr>
                <w:rFonts w:asciiTheme="minorEastAsia" w:hAnsiTheme="minorEastAsia" w:eastAsiaTheme="minorEastAsia"/>
                <w:szCs w:val="21"/>
                <w:u w:val="single"/>
              </w:rPr>
              <w:t xml:space="preserve">                  </w:t>
            </w:r>
          </w:p>
          <w:p w14:paraId="5CA56399">
            <w:pPr>
              <w:pStyle w:val="48"/>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210" w:firstLineChars="100"/>
              <w:textAlignment w:val="auto"/>
              <w:rPr>
                <w:rFonts w:hint="eastAsia" w:asciiTheme="minorEastAsia" w:hAnsiTheme="minorEastAsia" w:eastAsiaTheme="minorEastAsia"/>
                <w:szCs w:val="21"/>
              </w:rPr>
            </w:pPr>
            <w:r>
              <w:rPr>
                <w:rFonts w:hint="eastAsia"/>
              </w:rPr>
              <w:t>注:</w:t>
            </w:r>
            <w:r>
              <w:rPr>
                <w:rFonts w:hint="eastAsia" w:ascii="宋体" w:hAnsi="宋体"/>
              </w:rPr>
              <w:t xml:space="preserve"> 履约保证金不超过签约合同价的</w:t>
            </w:r>
            <w:r>
              <w:rPr>
                <w:rFonts w:ascii="宋体" w:hAnsi="宋体"/>
              </w:rPr>
              <w:t>10%。</w:t>
            </w:r>
          </w:p>
          <w:p w14:paraId="7098BE1C">
            <w:pPr>
              <w:pStyle w:val="29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）采用银行保函</w:t>
            </w:r>
            <w:r>
              <w:rPr>
                <w:rFonts w:hint="eastAsia" w:asciiTheme="minorEastAsia" w:hAnsiTheme="minorEastAsia" w:eastAsiaTheme="minorEastAsia"/>
                <w:szCs w:val="21"/>
              </w:rPr>
              <w:t>形式，出具</w:t>
            </w:r>
            <w:r>
              <w:rPr>
                <w:rFonts w:asciiTheme="minorEastAsia" w:hAnsiTheme="minorEastAsia" w:eastAsiaTheme="minorEastAsia"/>
                <w:szCs w:val="21"/>
              </w:rPr>
              <w:t>保函</w:t>
            </w:r>
            <w:r>
              <w:rPr>
                <w:rFonts w:hint="eastAsia" w:asciiTheme="minorEastAsia" w:hAnsiTheme="minorEastAsia" w:eastAsiaTheme="minorEastAsia"/>
                <w:szCs w:val="21"/>
              </w:rPr>
              <w:t>的</w:t>
            </w:r>
            <w:r>
              <w:rPr>
                <w:rFonts w:asciiTheme="minorEastAsia" w:hAnsiTheme="minorEastAsia" w:eastAsiaTheme="minorEastAsia"/>
                <w:szCs w:val="21"/>
              </w:rPr>
              <w:t>银行</w:t>
            </w:r>
            <w:r>
              <w:rPr>
                <w:rFonts w:hint="eastAsia" w:asciiTheme="minorEastAsia" w:hAnsiTheme="minorEastAsia" w:eastAsiaTheme="minorEastAsia"/>
                <w:szCs w:val="21"/>
              </w:rPr>
              <w:t>级别要求：</w:t>
            </w:r>
          </w:p>
          <w:p w14:paraId="3C700CDB">
            <w:pPr>
              <w:pStyle w:val="299"/>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无限制</w:t>
            </w:r>
          </w:p>
          <w:p w14:paraId="35E5F559">
            <w:pPr>
              <w:pStyle w:val="299"/>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支行及以上国有或股份制商业银行</w:t>
            </w:r>
          </w:p>
          <w:p w14:paraId="13641C49">
            <w:pPr>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采用现金或支票</w:t>
            </w:r>
            <w:r>
              <w:rPr>
                <w:rFonts w:hint="eastAsia" w:asciiTheme="minorEastAsia" w:hAnsiTheme="minorEastAsia" w:eastAsiaTheme="minorEastAsia"/>
                <w:szCs w:val="21"/>
              </w:rPr>
              <w:t>形式，应从投标人单位账户中转出</w:t>
            </w:r>
          </w:p>
          <w:p w14:paraId="5B3C73DC">
            <w:pPr>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（5）采用其他担保形式的规定：</w:t>
            </w:r>
            <w:r>
              <w:rPr>
                <w:rFonts w:hint="eastAsia" w:asciiTheme="minorEastAsia" w:hAnsiTheme="minorEastAsia" w:eastAsiaTheme="minorEastAsia"/>
                <w:szCs w:val="21"/>
                <w:u w:val="single"/>
              </w:rPr>
              <w:t xml:space="preserve">               </w:t>
            </w:r>
          </w:p>
        </w:tc>
      </w:tr>
      <w:tr w14:paraId="3030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609CC3CA">
            <w:pPr>
              <w:adjustRightInd w:val="0"/>
              <w:snapToGrid w:val="0"/>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7.8.1</w:t>
            </w:r>
          </w:p>
        </w:tc>
        <w:tc>
          <w:tcPr>
            <w:tcW w:w="2104" w:type="dxa"/>
            <w:vAlign w:val="center"/>
          </w:tcPr>
          <w:p w14:paraId="48042E52">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签订合同</w:t>
            </w:r>
          </w:p>
        </w:tc>
        <w:tc>
          <w:tcPr>
            <w:tcW w:w="5866" w:type="dxa"/>
            <w:vAlign w:val="center"/>
          </w:tcPr>
          <w:p w14:paraId="52184F72">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1）招标人将把合同授予按照本须知前附表第7.7.1</w:t>
            </w:r>
            <w:r>
              <w:rPr>
                <w:rFonts w:hint="eastAsia" w:cs="宋体" w:asciiTheme="minorEastAsia" w:hAnsiTheme="minorEastAsia" w:eastAsiaTheme="minorEastAsia"/>
                <w:szCs w:val="21"/>
              </w:rPr>
              <w:t>项要求提交履约保证金的中标人；</w:t>
            </w:r>
          </w:p>
          <w:p w14:paraId="47A4A20D">
            <w:pPr>
              <w:adjustRightInd w:val="0"/>
              <w:snapToGrid w:val="0"/>
              <w:spacing w:line="40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2）在招标人发出中标通知书起</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日内，中标人与招标人签订合同协议书</w:t>
            </w:r>
            <w:r>
              <w:rPr>
                <w:rFonts w:hint="eastAsia" w:cs="宋体" w:asciiTheme="minorEastAsia" w:hAnsiTheme="minorEastAsia" w:eastAsiaTheme="minorEastAsia"/>
                <w:szCs w:val="21"/>
                <w:lang w:eastAsia="zh-CN"/>
              </w:rPr>
              <w:t>；</w:t>
            </w:r>
          </w:p>
          <w:p w14:paraId="7C745AE1">
            <w:pPr>
              <w:adjustRightInd w:val="0"/>
              <w:snapToGrid w:val="0"/>
              <w:spacing w:line="40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3）合同协议书形式</w:t>
            </w:r>
            <w:r>
              <w:rPr>
                <w:rFonts w:hint="eastAsia" w:cs="宋体" w:asciiTheme="minorEastAsia" w:hAnsiTheme="minorEastAsia" w:eastAsiaTheme="minorEastAsia"/>
                <w:szCs w:val="21"/>
                <w:lang w:eastAsia="zh-CN"/>
              </w:rPr>
              <w:t>：</w:t>
            </w:r>
          </w:p>
          <w:p w14:paraId="3C03016D">
            <w:pPr>
              <w:adjustRightInd w:val="0"/>
              <w:snapToGrid w:val="0"/>
              <w:spacing w:line="400" w:lineRule="exact"/>
              <w:ind w:firstLine="211" w:firstLineChars="100"/>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书面形式</w:t>
            </w:r>
          </w:p>
          <w:p w14:paraId="439B7EBF">
            <w:pPr>
              <w:adjustRightInd w:val="0"/>
              <w:snapToGrid w:val="0"/>
              <w:spacing w:line="400" w:lineRule="exact"/>
              <w:ind w:firstLine="211" w:firstLineChars="100"/>
              <w:rPr>
                <w:rFonts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电子形式：通过</w:t>
            </w:r>
            <w:r>
              <w:rPr>
                <w:rFonts w:hint="eastAsia" w:cs="宋体" w:asciiTheme="minorEastAsia" w:hAnsiTheme="minorEastAsia" w:eastAsiaTheme="minorEastAsia"/>
                <w:szCs w:val="21"/>
              </w:rPr>
              <w:t>“乐山市公共资源交易服务平台电子招投标系统”</w:t>
            </w:r>
            <w:r>
              <w:rPr>
                <w:rFonts w:cs="宋体" w:asciiTheme="minorEastAsia" w:hAnsiTheme="minorEastAsia" w:eastAsiaTheme="minorEastAsia"/>
                <w:szCs w:val="21"/>
              </w:rPr>
              <w:t>以数据电文形式与中标人签订</w:t>
            </w:r>
          </w:p>
        </w:tc>
      </w:tr>
      <w:tr w14:paraId="652F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CDE8ED0">
            <w:pPr>
              <w:adjustRightInd w:val="0"/>
              <w:snapToGrid w:val="0"/>
              <w:spacing w:line="400" w:lineRule="exact"/>
              <w:jc w:val="center"/>
              <w:rPr>
                <w:rFonts w:asciiTheme="minorEastAsia" w:hAnsiTheme="minorEastAsia" w:eastAsiaTheme="minorEastAsia"/>
                <w:szCs w:val="21"/>
              </w:rPr>
            </w:pPr>
            <w:r>
              <w:rPr>
                <w:rFonts w:cs="Courier New" w:asciiTheme="minorEastAsia" w:hAnsiTheme="minorEastAsia" w:eastAsiaTheme="minorEastAsia"/>
                <w:szCs w:val="21"/>
              </w:rPr>
              <w:t>7.8.3</w:t>
            </w:r>
          </w:p>
        </w:tc>
        <w:tc>
          <w:tcPr>
            <w:tcW w:w="2104" w:type="dxa"/>
            <w:vAlign w:val="center"/>
          </w:tcPr>
          <w:p w14:paraId="433FF8F3">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签约合同价的</w:t>
            </w:r>
          </w:p>
          <w:p w14:paraId="1A0CB384">
            <w:pPr>
              <w:adjustRightInd w:val="0"/>
              <w:snapToGrid w:val="0"/>
              <w:spacing w:line="400" w:lineRule="exact"/>
              <w:jc w:val="center"/>
              <w:rPr>
                <w:rFonts w:asciiTheme="minorEastAsia" w:hAnsiTheme="minorEastAsia" w:eastAsiaTheme="minorEastAsia"/>
                <w:szCs w:val="21"/>
              </w:rPr>
            </w:pPr>
            <w:r>
              <w:rPr>
                <w:rFonts w:cs="Courier New" w:asciiTheme="minorEastAsia" w:hAnsiTheme="minorEastAsia" w:eastAsiaTheme="minorEastAsia"/>
                <w:szCs w:val="21"/>
              </w:rPr>
              <w:t>确定原则</w:t>
            </w:r>
          </w:p>
        </w:tc>
        <w:tc>
          <w:tcPr>
            <w:tcW w:w="5866" w:type="dxa"/>
            <w:vAlign w:val="center"/>
          </w:tcPr>
          <w:p w14:paraId="15666B7F">
            <w:pPr>
              <w:numPr>
                <w:ilvl w:val="-1"/>
                <w:numId w:val="0"/>
              </w:numPr>
              <w:adjustRightInd w:val="0"/>
              <w:snapToGrid w:val="0"/>
              <w:spacing w:line="400" w:lineRule="exact"/>
              <w:ind w:firstLine="0" w:firstLineChars="0"/>
              <w:rPr>
                <w:rFonts w:hint="eastAsia" w:ascii="宋体" w:hAnsi="宋体" w:cs="宋体"/>
                <w:kern w:val="0"/>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kern w:val="0"/>
                <w:szCs w:val="21"/>
              </w:rPr>
              <w:t>签约合同价为</w:t>
            </w:r>
            <w:r>
              <w:rPr>
                <w:rFonts w:hint="eastAsia" w:ascii="宋体" w:hAnsi="宋体" w:cs="宋体"/>
                <w:kern w:val="0"/>
                <w:szCs w:val="21"/>
                <w:lang w:eastAsia="zh-CN"/>
              </w:rPr>
              <w:t>：</w:t>
            </w:r>
          </w:p>
          <w:p w14:paraId="55C2606F">
            <w:pPr>
              <w:numPr>
                <w:ilvl w:val="-1"/>
                <w:numId w:val="0"/>
              </w:numPr>
              <w:adjustRightInd w:val="0"/>
              <w:snapToGrid w:val="0"/>
              <w:spacing w:line="400" w:lineRule="exact"/>
              <w:ind w:firstLine="211" w:firstLineChars="100"/>
              <w:rPr>
                <w:rFonts w:hint="eastAsia" w:ascii="宋体" w:hAnsi="宋体" w:eastAsia="宋体" w:cs="宋体"/>
                <w:kern w:val="0"/>
                <w:szCs w:val="21"/>
                <w:lang w:val="en-US" w:eastAsia="zh-CN"/>
              </w:rPr>
            </w:pPr>
            <w:r>
              <w:rPr>
                <w:rFonts w:hint="eastAsia" w:ascii="宋体" w:hAnsi="宋体" w:eastAsia="宋体" w:cs="宋体"/>
                <w:b/>
                <w:bCs/>
                <w:kern w:val="0"/>
                <w:szCs w:val="21"/>
              </w:rPr>
              <w:t>□</w:t>
            </w:r>
            <w:r>
              <w:rPr>
                <w:rFonts w:hint="eastAsia" w:ascii="宋体" w:hAnsi="宋体" w:cs="宋体"/>
                <w:kern w:val="0"/>
                <w:szCs w:val="21"/>
                <w:lang w:val="en-US" w:eastAsia="zh-CN"/>
              </w:rPr>
              <w:t xml:space="preserve"> </w:t>
            </w:r>
            <w:r>
              <w:rPr>
                <w:rFonts w:hint="eastAsia" w:cs="宋体" w:asciiTheme="minorEastAsia" w:hAnsiTheme="minorEastAsia" w:eastAsiaTheme="minorEastAsia"/>
                <w:kern w:val="0"/>
                <w:szCs w:val="21"/>
              </w:rPr>
              <w:t xml:space="preserve"> 投标人投标函（第二个信封）中的投标总报价大写金额</w:t>
            </w:r>
          </w:p>
          <w:p w14:paraId="334ED048">
            <w:pPr>
              <w:numPr>
                <w:ilvl w:val="255"/>
                <w:numId w:val="0"/>
              </w:numPr>
              <w:adjustRightInd w:val="0"/>
              <w:snapToGrid w:val="0"/>
              <w:spacing w:line="400" w:lineRule="exact"/>
              <w:ind w:firstLine="211" w:firstLineChars="100"/>
              <w:rPr>
                <w:rFonts w:hint="eastAsia" w:ascii="宋体" w:hAnsi="宋体" w:cs="宋体"/>
                <w:kern w:val="0"/>
                <w:szCs w:val="21"/>
                <w:u w:val="single"/>
              </w:rPr>
            </w:pPr>
            <w:r>
              <w:rPr>
                <w:rFonts w:hint="eastAsia" w:ascii="宋体" w:hAnsi="宋体" w:cs="宋体"/>
                <w:b/>
                <w:bCs/>
                <w:kern w:val="0"/>
                <w:szCs w:val="21"/>
              </w:rPr>
              <w:sym w:font="Wingdings 2" w:char="00A3"/>
            </w:r>
            <w:r>
              <w:rPr>
                <w:rFonts w:hint="eastAsia" w:ascii="宋体" w:hAnsi="宋体" w:cs="宋体"/>
                <w:b/>
                <w:bCs/>
                <w:kern w:val="0"/>
                <w:szCs w:val="21"/>
              </w:rPr>
              <w:t xml:space="preserve"> </w:t>
            </w:r>
            <w:r>
              <w:rPr>
                <w:rFonts w:hint="eastAsia" w:ascii="宋体" w:hAnsi="宋体" w:cs="宋体"/>
                <w:kern w:val="0"/>
                <w:szCs w:val="21"/>
              </w:rPr>
              <w:t>其他：</w:t>
            </w:r>
            <w:r>
              <w:rPr>
                <w:rFonts w:hint="eastAsia" w:ascii="宋体" w:hAnsi="宋体" w:cs="宋体"/>
                <w:kern w:val="0"/>
                <w:szCs w:val="21"/>
                <w:u w:val="single"/>
              </w:rPr>
              <w:t xml:space="preserve">       </w:t>
            </w:r>
          </w:p>
          <w:p w14:paraId="18822104">
            <w:pPr>
              <w:numPr>
                <w:ilvl w:val="255"/>
                <w:numId w:val="0"/>
              </w:numPr>
              <w:adjustRightInd w:val="0"/>
              <w:snapToGrid w:val="0"/>
              <w:spacing w:line="400" w:lineRule="exact"/>
              <w:ind w:firstLine="210" w:firstLineChars="100"/>
              <w:rPr>
                <w:rFonts w:hint="eastAsia" w:ascii="宋体" w:hAnsi="宋体" w:cs="宋体"/>
              </w:rPr>
            </w:pPr>
            <w:r>
              <w:rPr>
                <w:rFonts w:hint="eastAsia" w:cs="宋体" w:asciiTheme="minorEastAsia" w:hAnsiTheme="minorEastAsia" w:eastAsiaTheme="minorEastAsia"/>
                <w:kern w:val="0"/>
                <w:szCs w:val="21"/>
              </w:rPr>
              <w:t>注：当报价方式采用单价或总价以外的其他情形时，在此约定具体签约合同价。</w:t>
            </w:r>
          </w:p>
          <w:p w14:paraId="5A27466F">
            <w:pPr>
              <w:adjustRightInd w:val="0"/>
              <w:snapToGrid w:val="0"/>
              <w:spacing w:line="400" w:lineRule="exact"/>
              <w:rPr>
                <w:rFonts w:hint="eastAsia" w:ascii="宋体" w:hAnsi="宋体" w:eastAsia="宋体" w:cs="宋体"/>
                <w:lang w:val="en-US" w:eastAsia="zh-CN"/>
              </w:rPr>
            </w:pPr>
            <w:r>
              <w:rPr>
                <w:rFonts w:hint="eastAsia" w:ascii="宋体" w:hAnsi="宋体" w:cs="宋体"/>
              </w:rPr>
              <w:t>（2）签订合同协议书时如需对价格清单子项进行相应修正的，修正原则如下：</w:t>
            </w:r>
            <w:r>
              <w:rPr>
                <w:rFonts w:hint="eastAsia" w:ascii="宋体" w:hAnsi="宋体" w:cs="宋体"/>
                <w:lang w:val="en-US" w:eastAsia="zh-CN"/>
              </w:rPr>
              <w:t xml:space="preserve"> </w:t>
            </w:r>
          </w:p>
          <w:p w14:paraId="05997934">
            <w:pPr>
              <w:pStyle w:val="299"/>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方式一：</w:t>
            </w:r>
          </w:p>
          <w:p w14:paraId="66EF5113">
            <w:pPr>
              <w:adjustRightInd w:val="0"/>
              <w:snapToGrid w:val="0"/>
              <w:spacing w:line="400" w:lineRule="exact"/>
              <w:ind w:firstLine="210" w:firstLineChars="100"/>
              <w:rPr>
                <w:rFonts w:hint="eastAsia" w:ascii="宋体" w:hAnsi="宋体" w:eastAsia="宋体" w:cs="宋体"/>
                <w:kern w:val="0"/>
                <w:szCs w:val="21"/>
                <w:lang w:eastAsia="zh-CN"/>
              </w:rPr>
            </w:pPr>
            <w:r>
              <w:rPr>
                <w:rFonts w:hint="eastAsia" w:cs="宋体" w:asciiTheme="minorEastAsia" w:hAnsiTheme="minorEastAsia" w:eastAsiaTheme="minorEastAsia"/>
                <w:kern w:val="0"/>
                <w:szCs w:val="21"/>
              </w:rPr>
              <w:t>投标函（第二个信封）中</w:t>
            </w:r>
            <w:r>
              <w:rPr>
                <w:rFonts w:hint="eastAsia" w:ascii="宋体" w:hAnsi="宋体" w:cs="宋体"/>
                <w:kern w:val="0"/>
                <w:szCs w:val="21"/>
              </w:rPr>
              <w:t>投标总报价大写金额与依据价格清单子目数量及单价（或总额价）计算出的结果不一致的，以</w:t>
            </w:r>
            <w:r>
              <w:rPr>
                <w:rFonts w:hint="eastAsia" w:cs="宋体" w:asciiTheme="minorEastAsia" w:hAnsiTheme="minorEastAsia" w:eastAsiaTheme="minorEastAsia"/>
                <w:kern w:val="0"/>
                <w:szCs w:val="21"/>
              </w:rPr>
              <w:t>投标函（第二个信封）中</w:t>
            </w:r>
            <w:r>
              <w:rPr>
                <w:rFonts w:hint="eastAsia" w:ascii="宋体" w:hAnsi="宋体" w:cs="宋体"/>
                <w:kern w:val="0"/>
                <w:szCs w:val="21"/>
              </w:rPr>
              <w:t>投标总报价大写金额为准修正单价：首先按照价格清单中有关规定，对于投标人不符合要求的报价予以修正；然后再对其他单价（或总额价）按</w:t>
            </w:r>
            <w:r>
              <w:rPr>
                <w:rFonts w:hint="eastAsia" w:cs="宋体" w:asciiTheme="minorEastAsia" w:hAnsiTheme="minorEastAsia" w:eastAsiaTheme="minorEastAsia"/>
                <w:kern w:val="0"/>
                <w:szCs w:val="21"/>
              </w:rPr>
              <w:t>同一</w:t>
            </w:r>
            <w:r>
              <w:rPr>
                <w:rFonts w:hint="eastAsia" w:ascii="宋体" w:hAnsi="宋体" w:cs="宋体"/>
                <w:kern w:val="0"/>
                <w:szCs w:val="21"/>
              </w:rPr>
              <w:t>比例进行修正</w:t>
            </w:r>
            <w:r>
              <w:rPr>
                <w:rFonts w:hint="eastAsia" w:ascii="宋体" w:hAnsi="宋体" w:cs="宋体"/>
                <w:kern w:val="0"/>
                <w:szCs w:val="21"/>
                <w:lang w:eastAsia="zh-CN"/>
              </w:rPr>
              <w:t>。</w:t>
            </w:r>
          </w:p>
          <w:p w14:paraId="6F01EC3C">
            <w:pPr>
              <w:pStyle w:val="299"/>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方式二：</w:t>
            </w:r>
          </w:p>
          <w:p w14:paraId="27A85335">
            <w:pPr>
              <w:numPr>
                <w:ilvl w:val="255"/>
                <w:numId w:val="0"/>
              </w:numPr>
              <w:adjustRightInd w:val="0"/>
              <w:snapToGrid w:val="0"/>
              <w:spacing w:line="400" w:lineRule="exact"/>
              <w:ind w:firstLine="210" w:firstLineChars="100"/>
              <w:rPr>
                <w:rFonts w:hint="default"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lang w:val="en-US" w:eastAsia="zh-CN"/>
              </w:rPr>
              <w:t xml:space="preserve">         </w:t>
            </w:r>
          </w:p>
          <w:p w14:paraId="61CF49D4">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注：当报价方式采用单价或总价以外的其他情形时，在此约定具体修正原则内容。</w:t>
            </w:r>
          </w:p>
          <w:p w14:paraId="1B177D80">
            <w:pPr>
              <w:adjustRightInd w:val="0"/>
              <w:snapToGrid w:val="0"/>
              <w:spacing w:line="400" w:lineRule="exact"/>
              <w:ind w:firstLine="0" w:firstLineChars="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修正后的价格对合同双方具有约束力。如果中标人不接受招标人按本项约定进行的修正，则视为中标人拒签合同，将取消其中标资格，投标保证金不予退还</w:t>
            </w:r>
            <w:r>
              <w:rPr>
                <w:rFonts w:hint="eastAsia" w:ascii="宋体" w:hAnsi="宋体" w:cs="宋体"/>
                <w:szCs w:val="21"/>
                <w:lang w:eastAsia="zh-CN"/>
              </w:rPr>
              <w:t>；</w:t>
            </w:r>
            <w:r>
              <w:rPr>
                <w:rFonts w:hint="eastAsia" w:ascii="宋体" w:hAnsi="宋体" w:cs="宋体"/>
                <w:szCs w:val="21"/>
              </w:rPr>
              <w:t>给招标人造成的损失超过投标保证金数额的，中标人还应对超过部分予以赔偿</w:t>
            </w:r>
            <w:r>
              <w:rPr>
                <w:rFonts w:hint="eastAsia" w:ascii="宋体" w:hAnsi="宋体" w:cs="宋体"/>
                <w:szCs w:val="21"/>
                <w:lang w:eastAsia="zh-CN"/>
              </w:rPr>
              <w:t>，</w:t>
            </w:r>
            <w:r>
              <w:rPr>
                <w:rFonts w:hint="eastAsia" w:ascii="宋体" w:hAnsi="宋体" w:cs="宋体"/>
                <w:szCs w:val="21"/>
              </w:rPr>
              <w:t>并上报省级</w:t>
            </w:r>
            <w:r>
              <w:rPr>
                <w:rFonts w:hint="eastAsia" w:ascii="宋体" w:hAnsi="宋体" w:cs="宋体"/>
                <w:szCs w:val="21"/>
                <w:lang w:eastAsia="zh-CN"/>
              </w:rPr>
              <w:t>交通运输主管部门</w:t>
            </w:r>
            <w:r>
              <w:rPr>
                <w:rFonts w:hint="eastAsia" w:ascii="宋体" w:hAnsi="宋体" w:cs="宋体"/>
                <w:szCs w:val="21"/>
              </w:rPr>
              <w:t>，作为不良记录纳入</w:t>
            </w:r>
            <w:r>
              <w:rPr>
                <w:rFonts w:hint="eastAsia" w:ascii="宋体" w:hAnsi="宋体" w:cs="宋体"/>
                <w:szCs w:val="21"/>
                <w:lang w:val="en-US" w:eastAsia="zh-CN"/>
              </w:rPr>
              <w:t>全国</w:t>
            </w:r>
            <w:r>
              <w:rPr>
                <w:rFonts w:hint="eastAsia" w:ascii="宋体" w:hAnsi="宋体" w:cs="宋体"/>
                <w:szCs w:val="21"/>
              </w:rPr>
              <w:t>公路建设市场</w:t>
            </w:r>
            <w:r>
              <w:rPr>
                <w:rFonts w:hint="eastAsia" w:ascii="宋体" w:hAnsi="宋体" w:cs="宋体"/>
                <w:szCs w:val="21"/>
                <w:lang w:val="en-US" w:eastAsia="zh-CN"/>
              </w:rPr>
              <w:t>监督</w:t>
            </w:r>
            <w:r>
              <w:rPr>
                <w:rFonts w:hint="eastAsia" w:ascii="宋体" w:hAnsi="宋体" w:cs="宋体"/>
                <w:szCs w:val="21"/>
              </w:rPr>
              <w:t>管理系统</w:t>
            </w:r>
          </w:p>
        </w:tc>
      </w:tr>
      <w:tr w14:paraId="651E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DCC1A0F">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7.8.5</w:t>
            </w:r>
          </w:p>
        </w:tc>
        <w:tc>
          <w:tcPr>
            <w:tcW w:w="2104" w:type="dxa"/>
            <w:vAlign w:val="center"/>
          </w:tcPr>
          <w:p w14:paraId="756B7C32">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签订合同事项</w:t>
            </w:r>
          </w:p>
        </w:tc>
        <w:tc>
          <w:tcPr>
            <w:tcW w:w="5866" w:type="dxa"/>
            <w:vAlign w:val="center"/>
          </w:tcPr>
          <w:p w14:paraId="1B220294">
            <w:pPr>
              <w:adjustRightInd w:val="0"/>
              <w:snapToGrid w:val="0"/>
              <w:spacing w:line="400" w:lineRule="exact"/>
              <w:jc w:val="left"/>
              <w:rPr>
                <w:rFonts w:asciiTheme="minorEastAsia" w:hAnsiTheme="minorEastAsia" w:eastAsiaTheme="minorEastAsia"/>
                <w:szCs w:val="21"/>
              </w:rPr>
            </w:pPr>
            <w:r>
              <w:rPr>
                <w:rFonts w:asciiTheme="minorEastAsia" w:hAnsiTheme="minorEastAsia" w:eastAsiaTheme="minorEastAsia"/>
                <w:szCs w:val="21"/>
              </w:rPr>
              <w:t>合同文件的制作及费用</w:t>
            </w:r>
            <w:r>
              <w:rPr>
                <w:rFonts w:hint="eastAsia" w:asciiTheme="minorEastAsia" w:hAnsiTheme="minorEastAsia" w:eastAsiaTheme="minorEastAsia"/>
                <w:szCs w:val="21"/>
              </w:rPr>
              <w:t>承担：</w:t>
            </w: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 xml:space="preserve">招标人 </w:t>
            </w:r>
            <w:r>
              <w:rPr>
                <w:rFonts w:asciiTheme="minorEastAsia" w:hAnsiTheme="minorEastAsia" w:eastAsiaTheme="minorEastAsia"/>
                <w:szCs w:val="21"/>
              </w:rPr>
              <w:t xml:space="preserve"> </w:t>
            </w:r>
          </w:p>
          <w:p w14:paraId="422B3B6C">
            <w:pPr>
              <w:adjustRightInd w:val="0"/>
              <w:snapToGrid w:val="0"/>
              <w:spacing w:line="400" w:lineRule="exact"/>
              <w:ind w:firstLine="2741" w:firstLineChars="1300"/>
              <w:rPr>
                <w:rFonts w:asciiTheme="minorEastAsia" w:hAnsiTheme="minorEastAsia" w:eastAsiaTheme="minorEastAsia"/>
                <w:szCs w:val="21"/>
              </w:rPr>
            </w:pP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中</w:t>
            </w:r>
            <w:r>
              <w:rPr>
                <w:rFonts w:asciiTheme="minorEastAsia" w:hAnsiTheme="minorEastAsia" w:eastAsiaTheme="minorEastAsia"/>
                <w:szCs w:val="21"/>
              </w:rPr>
              <w:t>标人</w:t>
            </w:r>
          </w:p>
          <w:p w14:paraId="44104AD3">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合同文件的份数根据需要由</w:t>
            </w:r>
            <w:r>
              <w:rPr>
                <w:rFonts w:hint="eastAsia" w:asciiTheme="minorEastAsia" w:hAnsiTheme="minorEastAsia" w:eastAsiaTheme="minorEastAsia"/>
                <w:szCs w:val="21"/>
              </w:rPr>
              <w:t>招标人</w:t>
            </w:r>
            <w:r>
              <w:rPr>
                <w:rFonts w:asciiTheme="minorEastAsia" w:hAnsiTheme="minorEastAsia" w:eastAsiaTheme="minorEastAsia"/>
                <w:szCs w:val="21"/>
              </w:rPr>
              <w:t>与中标人协商确定</w:t>
            </w:r>
            <w:r>
              <w:rPr>
                <w:rFonts w:hint="eastAsia" w:asciiTheme="minorEastAsia" w:hAnsiTheme="minorEastAsia" w:eastAsiaTheme="minorEastAsia"/>
                <w:szCs w:val="21"/>
              </w:rPr>
              <w:t>；</w:t>
            </w:r>
            <w:r>
              <w:rPr>
                <w:rFonts w:asciiTheme="minorEastAsia" w:hAnsiTheme="minorEastAsia" w:eastAsiaTheme="minorEastAsia"/>
                <w:szCs w:val="21"/>
              </w:rPr>
              <w:t>在合同协议书签订之前，投标文件和中标通知书将约束双方</w:t>
            </w:r>
          </w:p>
        </w:tc>
      </w:tr>
      <w:tr w14:paraId="77BD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98AD4BD">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cs="宋体" w:asciiTheme="minorEastAsia" w:hAnsiTheme="minorEastAsia" w:eastAsiaTheme="minorEastAsia"/>
                <w:szCs w:val="21"/>
              </w:rPr>
              <w:t>7.</w:t>
            </w:r>
            <w:r>
              <w:rPr>
                <w:rFonts w:hint="eastAsia" w:cs="宋体" w:asciiTheme="minorEastAsia" w:hAnsiTheme="minorEastAsia" w:eastAsiaTheme="minorEastAsia"/>
                <w:szCs w:val="21"/>
                <w:lang w:val="en-US" w:eastAsia="zh-CN"/>
              </w:rPr>
              <w:t>9</w:t>
            </w:r>
          </w:p>
        </w:tc>
        <w:tc>
          <w:tcPr>
            <w:tcW w:w="2104" w:type="dxa"/>
            <w:vAlign w:val="center"/>
          </w:tcPr>
          <w:p w14:paraId="7BFECFD5">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合同内容</w:t>
            </w:r>
            <w:r>
              <w:rPr>
                <w:rFonts w:hint="eastAsia" w:cs="宋体" w:asciiTheme="minorEastAsia" w:hAnsiTheme="minorEastAsia" w:eastAsiaTheme="minorEastAsia"/>
                <w:szCs w:val="21"/>
              </w:rPr>
              <w:t>公告媒介</w:t>
            </w:r>
          </w:p>
        </w:tc>
        <w:tc>
          <w:tcPr>
            <w:tcW w:w="5866" w:type="dxa"/>
            <w:vAlign w:val="center"/>
          </w:tcPr>
          <w:p w14:paraId="16B944CF">
            <w:pPr>
              <w:adjustRightInd w:val="0"/>
              <w:snapToGrid w:val="0"/>
              <w:spacing w:line="400" w:lineRule="exac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公告媒介：</w:t>
            </w:r>
            <w:r>
              <w:fldChar w:fldCharType="begin"/>
            </w:r>
            <w:r>
              <w:instrText xml:space="preserve"> HYPERLINK "http://ggzyjy.sc.gov.cn/）、" </w:instrText>
            </w:r>
            <w:r>
              <w:fldChar w:fldCharType="separate"/>
            </w:r>
            <w:r>
              <w:rPr>
                <w:rStyle w:val="57"/>
                <w:rFonts w:hint="eastAsia" w:cs="宋体" w:asciiTheme="minorEastAsia" w:hAnsiTheme="minorEastAsia" w:eastAsiaTheme="minorEastAsia"/>
                <w:color w:val="auto"/>
                <w:szCs w:val="21"/>
                <w:u w:val="none"/>
              </w:rPr>
              <w:t>全国公共资源交易平台（四川省·乐山市）（http://www.lsggzy.com.cn/）</w:t>
            </w:r>
            <w:r>
              <w:rPr>
                <w:rStyle w:val="57"/>
                <w:rFonts w:cs="宋体" w:asciiTheme="minorEastAsia" w:hAnsiTheme="minorEastAsia" w:eastAsiaTheme="minorEastAsia"/>
                <w:color w:val="auto"/>
                <w:szCs w:val="21"/>
                <w:u w:val="none"/>
              </w:rPr>
              <w:t>、</w:t>
            </w:r>
            <w:r>
              <w:rPr>
                <w:rStyle w:val="57"/>
                <w:rFonts w:cs="宋体" w:asciiTheme="minorEastAsia" w:hAnsiTheme="minorEastAsia" w:eastAsiaTheme="minorEastAsia"/>
                <w:color w:val="auto"/>
                <w:szCs w:val="21"/>
                <w:u w:val="none"/>
              </w:rPr>
              <w:fldChar w:fldCharType="end"/>
            </w:r>
            <w:r>
              <w:rPr>
                <w:rFonts w:hint="eastAsia" w:cs="宋体" w:asciiTheme="minorEastAsia" w:hAnsiTheme="minorEastAsia" w:eastAsiaTheme="minorEastAsia"/>
                <w:szCs w:val="21"/>
              </w:rPr>
              <w:t>其他：</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rPr>
              <w:t>交通运输行政主管部门门户网站</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6120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686B222">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8.5.1</w:t>
            </w:r>
          </w:p>
        </w:tc>
        <w:tc>
          <w:tcPr>
            <w:tcW w:w="2104" w:type="dxa"/>
            <w:vAlign w:val="center"/>
          </w:tcPr>
          <w:p w14:paraId="227BCF09">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投诉</w:t>
            </w:r>
          </w:p>
        </w:tc>
        <w:tc>
          <w:tcPr>
            <w:tcW w:w="5866" w:type="dxa"/>
            <w:vAlign w:val="center"/>
          </w:tcPr>
          <w:p w14:paraId="04D4E9B1">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行政监督部门：见招标公告</w:t>
            </w:r>
          </w:p>
          <w:p w14:paraId="466AF37A">
            <w:pPr>
              <w:pStyle w:val="299"/>
              <w:adjustRightInd w:val="0"/>
              <w:snapToGrid w:val="0"/>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行政监督</w:t>
            </w:r>
            <w:r>
              <w:rPr>
                <w:rFonts w:asciiTheme="minorEastAsia" w:hAnsiTheme="minorEastAsia" w:eastAsiaTheme="minorEastAsia"/>
                <w:szCs w:val="21"/>
              </w:rPr>
              <w:t>部门按照</w:t>
            </w:r>
            <w:r>
              <w:rPr>
                <w:rFonts w:hint="eastAsia" w:asciiTheme="minorEastAsia" w:hAnsiTheme="minorEastAsia" w:eastAsiaTheme="minorEastAsia"/>
                <w:szCs w:val="21"/>
                <w:u w:val="single"/>
              </w:rPr>
              <w:t>《中华人民共和国招标投标法实施条例》《工程建设项目招标投标活动投诉处理办法》（</w:t>
            </w:r>
            <w:r>
              <w:rPr>
                <w:rFonts w:asciiTheme="minorEastAsia" w:hAnsiTheme="minorEastAsia" w:eastAsiaTheme="minorEastAsia"/>
                <w:szCs w:val="21"/>
                <w:u w:val="single"/>
              </w:rPr>
              <w:t>2013年3月11日国家发展改革委等</w:t>
            </w:r>
            <w:r>
              <w:rPr>
                <w:rFonts w:hint="eastAsia" w:asciiTheme="minorEastAsia" w:hAnsiTheme="minorEastAsia" w:eastAsiaTheme="minorEastAsia"/>
                <w:szCs w:val="21"/>
                <w:u w:val="single"/>
              </w:rPr>
              <w:t>九</w:t>
            </w:r>
            <w:r>
              <w:rPr>
                <w:rFonts w:asciiTheme="minorEastAsia" w:hAnsiTheme="minorEastAsia" w:eastAsiaTheme="minorEastAsia"/>
                <w:szCs w:val="21"/>
                <w:u w:val="single"/>
              </w:rPr>
              <w:t>部委令第23号</w:t>
            </w:r>
            <w:r>
              <w:rPr>
                <w:rFonts w:hint="eastAsia" w:asciiTheme="minorEastAsia" w:hAnsiTheme="minorEastAsia" w:eastAsiaTheme="minorEastAsia"/>
                <w:szCs w:val="21"/>
                <w:u w:val="single"/>
              </w:rPr>
              <w:t>修改）、《四川省公路工程建设项目招标投标管理实施细则》（</w:t>
            </w:r>
            <w:r>
              <w:rPr>
                <w:rFonts w:hint="eastAsia" w:asciiTheme="minorEastAsia" w:hAnsiTheme="minorEastAsia" w:eastAsiaTheme="minorEastAsia"/>
                <w:szCs w:val="21"/>
                <w:u w:val="single"/>
                <w:lang w:eastAsia="zh-CN"/>
              </w:rPr>
              <w:t>川交规〔2024〕7号</w:t>
            </w:r>
            <w:r>
              <w:rPr>
                <w:rFonts w:hint="eastAsia" w:asciiTheme="minorEastAsia" w:hAnsiTheme="minorEastAsia" w:eastAsiaTheme="minorEastAsia"/>
                <w:szCs w:val="21"/>
                <w:u w:val="single"/>
              </w:rPr>
              <w:t>）</w:t>
            </w:r>
            <w:r>
              <w:rPr>
                <w:rFonts w:asciiTheme="minorEastAsia" w:hAnsiTheme="minorEastAsia" w:eastAsiaTheme="minorEastAsia"/>
                <w:szCs w:val="21"/>
              </w:rPr>
              <w:t>的规定接受投诉。</w:t>
            </w:r>
            <w:r>
              <w:rPr>
                <w:rFonts w:hint="eastAsia" w:asciiTheme="minorEastAsia" w:hAnsiTheme="minorEastAsia" w:eastAsiaTheme="minorEastAsia"/>
                <w:szCs w:val="21"/>
              </w:rPr>
              <w:t>投诉</w:t>
            </w:r>
            <w:r>
              <w:rPr>
                <w:rFonts w:asciiTheme="minorEastAsia" w:hAnsiTheme="minorEastAsia" w:eastAsiaTheme="minorEastAsia"/>
                <w:szCs w:val="21"/>
              </w:rPr>
              <w:t>材料要求、</w:t>
            </w:r>
            <w:r>
              <w:rPr>
                <w:rFonts w:hint="eastAsia" w:asciiTheme="minorEastAsia" w:hAnsiTheme="minorEastAsia" w:eastAsiaTheme="minorEastAsia"/>
                <w:szCs w:val="21"/>
              </w:rPr>
              <w:t>投诉</w:t>
            </w:r>
            <w:r>
              <w:rPr>
                <w:rFonts w:asciiTheme="minorEastAsia" w:hAnsiTheme="minorEastAsia" w:eastAsiaTheme="minorEastAsia"/>
                <w:szCs w:val="21"/>
              </w:rPr>
              <w:t>受理条件及查处</w:t>
            </w:r>
            <w:r>
              <w:rPr>
                <w:rFonts w:hint="eastAsia" w:asciiTheme="minorEastAsia" w:hAnsiTheme="minorEastAsia" w:eastAsiaTheme="minorEastAsia"/>
                <w:szCs w:val="21"/>
              </w:rPr>
              <w:t>按照上述</w:t>
            </w:r>
            <w:r>
              <w:rPr>
                <w:rFonts w:hint="eastAsia" w:cs="宋体" w:asciiTheme="minorEastAsia" w:hAnsiTheme="minorEastAsia" w:eastAsiaTheme="minorEastAsia"/>
                <w:szCs w:val="21"/>
              </w:rPr>
              <w:t>规定执行</w:t>
            </w:r>
            <w:r>
              <w:rPr>
                <w:rFonts w:hint="eastAsia" w:asciiTheme="minorEastAsia" w:hAnsiTheme="minorEastAsia" w:eastAsiaTheme="minorEastAsia"/>
                <w:szCs w:val="21"/>
              </w:rPr>
              <w:t>。</w:t>
            </w:r>
          </w:p>
          <w:p w14:paraId="45A507C9">
            <w:pPr>
              <w:pStyle w:val="299"/>
              <w:adjustRightInd w:val="0"/>
              <w:snapToGrid w:val="0"/>
              <w:spacing w:line="40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）投诉人认为招标投标活动不符合法律行政法规规定的，可以在知道或者应当知道之日起</w:t>
            </w:r>
            <w:r>
              <w:rPr>
                <w:rFonts w:asciiTheme="minorEastAsia" w:hAnsiTheme="minorEastAsia" w:eastAsiaTheme="minorEastAsia"/>
                <w:szCs w:val="21"/>
              </w:rPr>
              <w:t>10</w:t>
            </w:r>
            <w:r>
              <w:rPr>
                <w:rFonts w:hint="eastAsia" w:asciiTheme="minorEastAsia" w:hAnsiTheme="minorEastAsia" w:eastAsiaTheme="minorEastAsia"/>
                <w:szCs w:val="21"/>
              </w:rPr>
              <w:t>日内提出书面投诉。依法应先提出异议的，异议答复期间不计算在内；异议人对答复不满意，应在异议答复之日起</w:t>
            </w:r>
            <w:r>
              <w:rPr>
                <w:rFonts w:asciiTheme="minorEastAsia" w:hAnsiTheme="minorEastAsia" w:eastAsiaTheme="minorEastAsia"/>
                <w:szCs w:val="21"/>
              </w:rPr>
              <w:t>10</w:t>
            </w:r>
            <w:r>
              <w:rPr>
                <w:rFonts w:hint="eastAsia" w:asciiTheme="minorEastAsia" w:hAnsiTheme="minorEastAsia" w:eastAsiaTheme="minorEastAsia"/>
                <w:szCs w:val="21"/>
              </w:rPr>
              <w:t>日内提出书面投诉</w:t>
            </w:r>
            <w:r>
              <w:rPr>
                <w:rFonts w:hint="eastAsia" w:asciiTheme="minorEastAsia" w:hAnsiTheme="minorEastAsia" w:eastAsiaTheme="minorEastAsia"/>
                <w:szCs w:val="21"/>
                <w:lang w:eastAsia="zh-CN"/>
              </w:rPr>
              <w:t>。</w:t>
            </w:r>
          </w:p>
          <w:p w14:paraId="230EEBB0">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）投诉人向行政监督部门提出投诉，应当实名提交投诉书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u w:val="single"/>
              </w:rPr>
              <w:t>投诉书格式见投标人须知附件八</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p>
          <w:p w14:paraId="189D35D5">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）有下列情形之一的投诉，不予受理：</w:t>
            </w:r>
          </w:p>
          <w:p w14:paraId="358A766C">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①投诉人不是所投诉招标投标活动的参与者，或者与投诉项目无任何利害关系；</w:t>
            </w:r>
          </w:p>
          <w:p w14:paraId="549B625F">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②投诉事项不具体，且未提供有效的线索、证据，难以查证的；</w:t>
            </w:r>
          </w:p>
          <w:p w14:paraId="6AA9C1B8">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66E1DC06">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④应当在规定时间提出诉求而未提出，超出投诉时效的；</w:t>
            </w:r>
          </w:p>
          <w:p w14:paraId="1C83FEE4">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⑤已经作出处理决定，且投诉人没有提出新的证据的；</w:t>
            </w:r>
          </w:p>
          <w:p w14:paraId="650907D5">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⑥投诉事项应先提出异议没有提出异议、已进入行政复议或者司法程序的；</w:t>
            </w:r>
          </w:p>
          <w:p w14:paraId="0A3D1B7C">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⑦其他行政主管部门已经受理的</w:t>
            </w:r>
          </w:p>
        </w:tc>
      </w:tr>
      <w:tr w14:paraId="0660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72DF9758">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8.5.2</w:t>
            </w:r>
          </w:p>
        </w:tc>
        <w:tc>
          <w:tcPr>
            <w:tcW w:w="2104" w:type="dxa"/>
            <w:vAlign w:val="center"/>
          </w:tcPr>
          <w:p w14:paraId="4CB4D07E">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异议</w:t>
            </w:r>
          </w:p>
        </w:tc>
        <w:tc>
          <w:tcPr>
            <w:tcW w:w="5866" w:type="dxa"/>
            <w:vAlign w:val="center"/>
          </w:tcPr>
          <w:p w14:paraId="5AFAC4A7">
            <w:pPr>
              <w:pStyle w:val="299"/>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14:paraId="592F625B">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1）异议提出的期限规定如下：</w:t>
            </w:r>
          </w:p>
          <w:p w14:paraId="32AFC1B5">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①对招标文件有异议的，潜在投标人或者其他利害关系人应当在提交投标文件截止时间</w:t>
            </w:r>
            <w:r>
              <w:rPr>
                <w:rFonts w:cs="宋体" w:asciiTheme="minorEastAsia" w:hAnsiTheme="minorEastAsia" w:eastAsiaTheme="minorEastAsia"/>
                <w:szCs w:val="21"/>
              </w:rPr>
              <w:t>10日前提出</w:t>
            </w:r>
            <w:r>
              <w:rPr>
                <w:rFonts w:hint="eastAsia" w:cs="宋体" w:asciiTheme="minorEastAsia" w:hAnsiTheme="minorEastAsia" w:eastAsiaTheme="minorEastAsia"/>
                <w:szCs w:val="21"/>
              </w:rPr>
              <w:t>；</w:t>
            </w:r>
          </w:p>
          <w:p w14:paraId="58FB4567">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②对提交投标文件的截标时间、开标程序、投标文件密封检查和开封、唱标内容、开标记录、唱标次序等开标有异议的，投标人应当在开标期间当场提出；</w:t>
            </w:r>
          </w:p>
          <w:p w14:paraId="3E540FEC">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③对评标有异议的，投标人或其他利害关系人应当在中标候选人的公示期间提出。</w:t>
            </w:r>
          </w:p>
          <w:p w14:paraId="5877692A">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2）异议人提出异议应当提交异议书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u w:val="single"/>
              </w:rPr>
              <w:t>异议书格式见投标人须知附件七</w:t>
            </w:r>
            <w:r>
              <w:rPr>
                <w:rFonts w:hint="eastAsia" w:cs="宋体" w:asciiTheme="minorEastAsia" w:hAnsiTheme="minorEastAsia" w:eastAsiaTheme="minorEastAsia"/>
                <w:szCs w:val="21"/>
                <w:lang w:eastAsia="zh-CN"/>
              </w:rPr>
              <w:t>）</w:t>
            </w:r>
            <w:r>
              <w:rPr>
                <w:rFonts w:cs="宋体" w:asciiTheme="minorEastAsia" w:hAnsiTheme="minorEastAsia" w:eastAsiaTheme="minorEastAsia"/>
                <w:szCs w:val="21"/>
              </w:rPr>
              <w:t>，但异议仅涉及开标的除外</w:t>
            </w:r>
            <w:r>
              <w:rPr>
                <w:rFonts w:hint="eastAsia" w:cs="宋体" w:asciiTheme="minorEastAsia" w:hAnsiTheme="minorEastAsia" w:eastAsiaTheme="minorEastAsia"/>
                <w:szCs w:val="21"/>
              </w:rPr>
              <w:t>。</w:t>
            </w:r>
          </w:p>
          <w:p w14:paraId="7261D374">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3）异议人是法人的，异议书必须由其法定代表人或者授权代表签字并加盖公章；其他组织或者个人提出异议的，异议书必须由其主要负责人或者提出异议的本人签字，并附真实有效身份证明复印件。</w:t>
            </w:r>
          </w:p>
          <w:p w14:paraId="44F5339A">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4）有下列情形之一的，招标人可以不予受理异议，并向异议人发出异议不予受理通知书：</w:t>
            </w:r>
          </w:p>
          <w:p w14:paraId="71CC2815">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①异议人不是投标人、潜在投标人或者其他利害关系人；</w:t>
            </w:r>
          </w:p>
          <w:p w14:paraId="288EEEB6">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②未在法定的异议期限内提出的；</w:t>
            </w:r>
          </w:p>
          <w:p w14:paraId="4165A0FD">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③规定应当以书面形式提出但未以书面形式提出的；</w:t>
            </w:r>
          </w:p>
          <w:p w14:paraId="556AD51F">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④异议书未按照要求签字盖章的；</w:t>
            </w:r>
          </w:p>
          <w:p w14:paraId="7698FE4A">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⑤异议书未提供有效联系人和联系方式的；</w:t>
            </w:r>
          </w:p>
          <w:p w14:paraId="1B1426D1">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⑥针对依法应当保密的信息和资料提出异议的；</w:t>
            </w:r>
          </w:p>
          <w:p w14:paraId="75ED7C9C">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⑦开标现场已经投标人确认的事项，开标后投标人又就该事项提出异议的；</w:t>
            </w:r>
          </w:p>
          <w:p w14:paraId="23E867CC">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⑧招标人已经作出明确答复，无新的事实证据，又就同一问题提出异议的；</w:t>
            </w:r>
          </w:p>
          <w:p w14:paraId="6D2CFEDD">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⑨异议人违反《中华人民共和国招标投标法》等法律规定，捏造事实、伪造材料或者以非法手段取得证明材料提出异议的。</w:t>
            </w:r>
          </w:p>
          <w:p w14:paraId="0D9BC1EF">
            <w:pPr>
              <w:adjustRightInd w:val="0"/>
              <w:snapToGrid w:val="0"/>
              <w:spacing w:line="400" w:lineRule="exact"/>
              <w:rPr>
                <w:rFonts w:asciiTheme="minorEastAsia" w:hAnsiTheme="minorEastAsia" w:eastAsiaTheme="minorEastAsia"/>
                <w:szCs w:val="21"/>
              </w:rPr>
            </w:pPr>
            <w:r>
              <w:rPr>
                <w:rFonts w:cs="宋体" w:asciiTheme="minorEastAsia" w:hAnsiTheme="minorEastAsia" w:eastAsiaTheme="minorEastAsia"/>
                <w:szCs w:val="21"/>
              </w:rPr>
              <w:t xml:space="preserve">  招标人对异议未在规定时限内作出答复的，异议人可以向交通运输行政主管部门申诉，交通运输行政主管部门应当</w:t>
            </w:r>
            <w:r>
              <w:rPr>
                <w:rFonts w:hint="eastAsia" w:cs="宋体" w:asciiTheme="minorEastAsia" w:hAnsiTheme="minorEastAsia" w:eastAsiaTheme="minorEastAsia"/>
                <w:szCs w:val="21"/>
              </w:rPr>
              <w:t>责令招标人依法作出答复。异议人对答复不满意的，可以提起投诉</w:t>
            </w:r>
          </w:p>
        </w:tc>
      </w:tr>
      <w:tr w14:paraId="2D79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883" w:type="dxa"/>
            <w:gridSpan w:val="3"/>
            <w:vAlign w:val="center"/>
          </w:tcPr>
          <w:p w14:paraId="64C1B961">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需要补充的其他内容</w:t>
            </w:r>
          </w:p>
        </w:tc>
      </w:tr>
      <w:tr w14:paraId="2282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E00ED58">
            <w:pPr>
              <w:adjustRightInd w:val="0"/>
              <w:snapToGrid w:val="0"/>
              <w:spacing w:line="400" w:lineRule="exact"/>
              <w:jc w:val="center"/>
              <w:rPr>
                <w:rFonts w:asciiTheme="minorEastAsia" w:hAnsiTheme="minorEastAsia" w:eastAsiaTheme="minorEastAsia"/>
                <w:szCs w:val="21"/>
              </w:rPr>
            </w:pPr>
            <w:r>
              <w:rPr>
                <w:rFonts w:hint="eastAsia" w:cs="Courier New" w:asciiTheme="minorEastAsia" w:hAnsiTheme="minorEastAsia" w:eastAsiaTheme="minorEastAsia"/>
                <w:szCs w:val="21"/>
                <w:lang w:val="en-US" w:eastAsia="zh-CN"/>
              </w:rPr>
              <w:t>10</w:t>
            </w:r>
            <w:r>
              <w:rPr>
                <w:rFonts w:cs="Courier New" w:asciiTheme="minorEastAsia" w:hAnsiTheme="minorEastAsia" w:eastAsiaTheme="minorEastAsia"/>
                <w:szCs w:val="21"/>
              </w:rPr>
              <w:t>.1</w:t>
            </w:r>
          </w:p>
        </w:tc>
        <w:tc>
          <w:tcPr>
            <w:tcW w:w="2104" w:type="dxa"/>
            <w:vAlign w:val="center"/>
          </w:tcPr>
          <w:p w14:paraId="3ED29A21">
            <w:pPr>
              <w:adjustRightInd w:val="0"/>
              <w:snapToGrid w:val="0"/>
              <w:spacing w:line="400" w:lineRule="exact"/>
              <w:jc w:val="center"/>
              <w:rPr>
                <w:rFonts w:asciiTheme="minorEastAsia" w:hAnsiTheme="minorEastAsia" w:eastAsiaTheme="minorEastAsia"/>
                <w:szCs w:val="21"/>
              </w:rPr>
            </w:pPr>
            <w:r>
              <w:rPr>
                <w:rFonts w:cs="Courier New" w:asciiTheme="minorEastAsia" w:hAnsiTheme="minorEastAsia" w:eastAsiaTheme="minorEastAsia"/>
                <w:szCs w:val="21"/>
              </w:rPr>
              <w:t>投标人的通</w:t>
            </w:r>
            <w:r>
              <w:rPr>
                <w:rFonts w:hint="eastAsia" w:cs="Courier New" w:asciiTheme="minorEastAsia" w:hAnsiTheme="minorEastAsia" w:eastAsiaTheme="minorEastAsia"/>
                <w:szCs w:val="21"/>
                <w:lang w:val="en-US" w:eastAsia="zh-CN"/>
              </w:rPr>
              <w:t>信</w:t>
            </w:r>
            <w:r>
              <w:rPr>
                <w:rFonts w:cs="Courier New" w:asciiTheme="minorEastAsia" w:hAnsiTheme="minorEastAsia" w:eastAsiaTheme="minorEastAsia"/>
                <w:szCs w:val="21"/>
              </w:rPr>
              <w:t>和其他要求</w:t>
            </w:r>
          </w:p>
        </w:tc>
        <w:tc>
          <w:tcPr>
            <w:tcW w:w="5866" w:type="dxa"/>
            <w:vAlign w:val="center"/>
          </w:tcPr>
          <w:p w14:paraId="27C7E6E2">
            <w:pPr>
              <w:pStyle w:val="299"/>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投标人在送交投标文件之前无</w:t>
            </w:r>
            <w:r>
              <w:rPr>
                <w:rFonts w:hint="eastAsia" w:asciiTheme="minorEastAsia" w:hAnsiTheme="minorEastAsia" w:eastAsiaTheme="minorEastAsia"/>
                <w:szCs w:val="21"/>
                <w:lang w:val="en-US" w:eastAsia="zh-CN"/>
              </w:rPr>
              <w:t>须</w:t>
            </w:r>
            <w:r>
              <w:rPr>
                <w:rFonts w:hint="eastAsia" w:asciiTheme="minorEastAsia" w:hAnsiTheme="minorEastAsia" w:eastAsiaTheme="minorEastAsia"/>
                <w:szCs w:val="21"/>
              </w:rPr>
              <w:t>向招标人登记有关投标人信息，不提供联系方式；</w:t>
            </w:r>
          </w:p>
          <w:p w14:paraId="1D9FA01B">
            <w:pPr>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cs="宋体" w:asciiTheme="minorEastAsia" w:hAnsiTheme="minorEastAsia" w:eastAsiaTheme="minorEastAsia"/>
                <w:szCs w:val="21"/>
              </w:rPr>
              <w:t>投标人在递交或上传投标文件</w:t>
            </w:r>
            <w:r>
              <w:rPr>
                <w:rFonts w:hint="eastAsia" w:asciiTheme="minorEastAsia" w:hAnsiTheme="minorEastAsia" w:eastAsiaTheme="minorEastAsia"/>
                <w:szCs w:val="21"/>
              </w:rPr>
              <w:t>时登记的投标人信息及有效的联系方式（电话、传真、电子邮件），至评标结果公示前，必须保证其提供的联系方式处于有效工作状态，否则由此引起的一切后果由</w:t>
            </w:r>
            <w:r>
              <w:rPr>
                <w:rFonts w:hint="eastAsia" w:asciiTheme="minorEastAsia" w:hAnsiTheme="minorEastAsia" w:eastAsiaTheme="minorEastAsia"/>
                <w:szCs w:val="21"/>
                <w:lang w:val="en-US" w:eastAsia="zh-CN"/>
              </w:rPr>
              <w:t>投标</w:t>
            </w:r>
            <w:r>
              <w:rPr>
                <w:rFonts w:hint="eastAsia" w:asciiTheme="minorEastAsia" w:hAnsiTheme="minorEastAsia" w:eastAsiaTheme="minorEastAsia"/>
                <w:szCs w:val="21"/>
              </w:rPr>
              <w:t>人承担</w:t>
            </w:r>
          </w:p>
        </w:tc>
      </w:tr>
      <w:tr w14:paraId="2864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2B9B3382">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lang w:val="en-US" w:eastAsia="zh-CN"/>
              </w:rPr>
              <w:t>10</w:t>
            </w:r>
            <w:r>
              <w:rPr>
                <w:rFonts w:cs="宋体" w:asciiTheme="minorEastAsia" w:hAnsiTheme="minorEastAsia" w:eastAsiaTheme="minorEastAsia"/>
                <w:szCs w:val="21"/>
              </w:rPr>
              <w:t>.2</w:t>
            </w:r>
          </w:p>
        </w:tc>
        <w:tc>
          <w:tcPr>
            <w:tcW w:w="2104" w:type="dxa"/>
            <w:vAlign w:val="center"/>
          </w:tcPr>
          <w:p w14:paraId="1BFBD469">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合同权利义务</w:t>
            </w:r>
          </w:p>
          <w:p w14:paraId="13DF7643">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要求</w:t>
            </w:r>
          </w:p>
        </w:tc>
        <w:tc>
          <w:tcPr>
            <w:tcW w:w="5866" w:type="dxa"/>
            <w:vAlign w:val="center"/>
          </w:tcPr>
          <w:p w14:paraId="3E1AAD28">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1）投标人应接受招标文件规定的风险划分原则，未提出新的风险划分办法；</w:t>
            </w:r>
          </w:p>
          <w:p w14:paraId="01D4E631">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2）投标人未增加发包人的责任范围，或减少投标人义务；</w:t>
            </w:r>
          </w:p>
          <w:p w14:paraId="0A7EC3DD">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3）投标人未提出不同的工程验收、计量、支付办法；</w:t>
            </w:r>
          </w:p>
          <w:p w14:paraId="3F78EE8E">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4）投标人对合同纠纷、事故处理办法未提出异议；</w:t>
            </w:r>
          </w:p>
          <w:p w14:paraId="42D06CF0">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5）投标人在投标活动中无欺诈行为；</w:t>
            </w:r>
          </w:p>
          <w:p w14:paraId="5CB3AB5B">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6）投标人未对合同条款有重要保留</w:t>
            </w:r>
          </w:p>
        </w:tc>
      </w:tr>
      <w:tr w14:paraId="1B18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BEB0293">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lang w:val="en-US" w:eastAsia="zh-CN"/>
              </w:rPr>
              <w:t>10</w:t>
            </w:r>
            <w:r>
              <w:rPr>
                <w:rFonts w:cs="宋体" w:asciiTheme="minorEastAsia" w:hAnsiTheme="minorEastAsia" w:eastAsiaTheme="minorEastAsia"/>
                <w:szCs w:val="21"/>
              </w:rPr>
              <w:t>.3</w:t>
            </w:r>
          </w:p>
        </w:tc>
        <w:tc>
          <w:tcPr>
            <w:tcW w:w="2104" w:type="dxa"/>
            <w:vAlign w:val="center"/>
          </w:tcPr>
          <w:p w14:paraId="7B3A4FD8">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纳入信用处理的放弃中标行为</w:t>
            </w:r>
          </w:p>
        </w:tc>
        <w:tc>
          <w:tcPr>
            <w:tcW w:w="5866" w:type="dxa"/>
            <w:vAlign w:val="center"/>
          </w:tcPr>
          <w:p w14:paraId="13B3D6D8">
            <w:pPr>
              <w:pStyle w:val="299"/>
              <w:adjustRightInd w:val="0"/>
              <w:snapToGrid w:val="0"/>
              <w:spacing w:line="400" w:lineRule="exact"/>
              <w:rPr>
                <w:rFonts w:cs="宋体" w:asciiTheme="minorEastAsia" w:hAnsiTheme="minorEastAsia"/>
                <w:szCs w:val="21"/>
              </w:rPr>
            </w:pPr>
            <w:r>
              <w:rPr>
                <w:rFonts w:cs="宋体" w:asciiTheme="minorEastAsia" w:hAnsiTheme="minorEastAsia"/>
                <w:szCs w:val="21"/>
              </w:rPr>
              <w:t>投标人有下列</w:t>
            </w:r>
            <w:r>
              <w:rPr>
                <w:rFonts w:hint="eastAsia" w:cs="宋体" w:asciiTheme="minorEastAsia" w:hAnsiTheme="minorEastAsia"/>
                <w:szCs w:val="21"/>
              </w:rPr>
              <w:t>放弃中标</w:t>
            </w:r>
            <w:r>
              <w:rPr>
                <w:rFonts w:cs="宋体" w:asciiTheme="minorEastAsia" w:hAnsiTheme="minorEastAsia"/>
                <w:szCs w:val="21"/>
              </w:rPr>
              <w:t>行为的，</w:t>
            </w:r>
            <w:r>
              <w:rPr>
                <w:rFonts w:hint="eastAsia" w:cs="宋体" w:asciiTheme="minorEastAsia" w:hAnsiTheme="minorEastAsia"/>
                <w:szCs w:val="21"/>
              </w:rPr>
              <w:t>将上报省级交通运输主管部门建议纳入</w:t>
            </w:r>
            <w:r>
              <w:rPr>
                <w:rFonts w:hint="eastAsia" w:cs="宋体" w:asciiTheme="minorEastAsia" w:hAnsiTheme="minorEastAsia"/>
                <w:szCs w:val="21"/>
                <w:lang w:val="en-US" w:eastAsia="zh-CN"/>
              </w:rPr>
              <w:t>全国公路建设市场监督</w:t>
            </w:r>
            <w:r>
              <w:rPr>
                <w:rFonts w:hint="eastAsia" w:cs="宋体" w:asciiTheme="minorEastAsia" w:hAnsiTheme="minorEastAsia"/>
                <w:szCs w:val="21"/>
              </w:rPr>
              <w:t>管理：</w:t>
            </w:r>
          </w:p>
          <w:p w14:paraId="5F23F687">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投标人在</w:t>
            </w:r>
            <w:r>
              <w:rPr>
                <w:rFonts w:cs="宋体" w:asciiTheme="minorEastAsia" w:hAnsiTheme="minorEastAsia" w:eastAsiaTheme="minorEastAsia"/>
                <w:szCs w:val="21"/>
              </w:rPr>
              <w:t>投标有效期内撤销投标文件</w:t>
            </w:r>
            <w:r>
              <w:rPr>
                <w:rFonts w:hint="eastAsia" w:cs="宋体" w:asciiTheme="minorEastAsia" w:hAnsiTheme="minorEastAsia" w:eastAsiaTheme="minorEastAsia"/>
                <w:szCs w:val="21"/>
              </w:rPr>
              <w:t>的；</w:t>
            </w:r>
          </w:p>
          <w:p w14:paraId="2033FB4C">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2）中标人在收到中标通知书后，无正当理由不与招标人订立合同，在签订合同时向招标人提出附加条件或未按招标文件规定提交履约保证金</w:t>
            </w:r>
            <w:r>
              <w:rPr>
                <w:rFonts w:hint="eastAsia" w:cs="宋体" w:asciiTheme="minorEastAsia" w:hAnsiTheme="minorEastAsia" w:eastAsiaTheme="minorEastAsia"/>
                <w:szCs w:val="21"/>
              </w:rPr>
              <w:t>的</w:t>
            </w:r>
            <w:r>
              <w:rPr>
                <w:rFonts w:cs="宋体" w:asciiTheme="minorEastAsia" w:hAnsiTheme="minorEastAsia" w:eastAsiaTheme="minorEastAsia"/>
                <w:szCs w:val="21"/>
              </w:rPr>
              <w:t>；</w:t>
            </w:r>
          </w:p>
          <w:p w14:paraId="3ED94B93">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3）合同协议书签订后，中标人放弃合同</w:t>
            </w:r>
            <w:r>
              <w:rPr>
                <w:rFonts w:hint="eastAsia" w:cs="宋体" w:asciiTheme="minorEastAsia" w:hAnsiTheme="minorEastAsia" w:eastAsiaTheme="minorEastAsia"/>
                <w:szCs w:val="21"/>
              </w:rPr>
              <w:t>的</w:t>
            </w:r>
          </w:p>
        </w:tc>
      </w:tr>
      <w:tr w14:paraId="0679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45D01A6">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lang w:val="en-US" w:eastAsia="zh-CN"/>
              </w:rPr>
              <w:t>10</w:t>
            </w:r>
            <w:r>
              <w:rPr>
                <w:rFonts w:cs="宋体" w:asciiTheme="minorEastAsia" w:hAnsiTheme="minorEastAsia" w:eastAsiaTheme="minorEastAsia"/>
                <w:szCs w:val="21"/>
              </w:rPr>
              <w:t>.4</w:t>
            </w:r>
          </w:p>
        </w:tc>
        <w:tc>
          <w:tcPr>
            <w:tcW w:w="2104" w:type="dxa"/>
            <w:vAlign w:val="center"/>
          </w:tcPr>
          <w:p w14:paraId="145B52DB">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开展扫黑除恶斗争的要求</w:t>
            </w:r>
          </w:p>
        </w:tc>
        <w:tc>
          <w:tcPr>
            <w:tcW w:w="5866" w:type="dxa"/>
            <w:vAlign w:val="center"/>
          </w:tcPr>
          <w:p w14:paraId="2CC209F3">
            <w:pPr>
              <w:adjustRightInd w:val="0"/>
              <w:snapToGrid w:val="0"/>
              <w:spacing w:line="400" w:lineRule="exact"/>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按照有黑扫黑、无黑除恶、无恶治乱的工作要求，各投标单位及从业人员应按照</w:t>
            </w:r>
            <w:r>
              <w:rPr>
                <w:rFonts w:hint="eastAsia" w:cs="宋体" w:asciiTheme="minorEastAsia" w:hAnsiTheme="minorEastAsia" w:eastAsiaTheme="minorEastAsia"/>
                <w:szCs w:val="21"/>
                <w:u w:val="single"/>
              </w:rPr>
              <w:t>《四川省交通运输厅关于开展公路水运建设领域建设环境专项整治工作的通知》（川交函〔</w:t>
            </w:r>
            <w:r>
              <w:rPr>
                <w:rFonts w:cs="宋体" w:asciiTheme="minorEastAsia" w:hAnsiTheme="minorEastAsia" w:eastAsiaTheme="minorEastAsia"/>
                <w:szCs w:val="21"/>
                <w:u w:val="single"/>
              </w:rPr>
              <w:t>2018〕657号）、《四川省交通运输厅关于开展公路水运建设领域恶意竞标专项整治工作的通知》（川交函〔2018〕656号）</w:t>
            </w:r>
            <w:r>
              <w:rPr>
                <w:rFonts w:cs="宋体" w:asciiTheme="minorEastAsia" w:hAnsiTheme="minorEastAsia" w:eastAsiaTheme="minorEastAsia"/>
                <w:szCs w:val="21"/>
              </w:rPr>
              <w:t>文件要求做好相关工作</w:t>
            </w:r>
          </w:p>
        </w:tc>
      </w:tr>
      <w:tr w14:paraId="368B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3E9931F">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10</w:t>
            </w:r>
            <w:r>
              <w:rPr>
                <w:rFonts w:cs="宋体" w:asciiTheme="minorEastAsia" w:hAnsiTheme="minorEastAsia" w:eastAsiaTheme="minorEastAsia"/>
                <w:szCs w:val="21"/>
              </w:rPr>
              <w:t>.5</w:t>
            </w:r>
          </w:p>
        </w:tc>
        <w:tc>
          <w:tcPr>
            <w:tcW w:w="2104" w:type="dxa"/>
            <w:vAlign w:val="center"/>
          </w:tcPr>
          <w:p w14:paraId="0E607A93">
            <w:pPr>
              <w:pStyle w:val="299"/>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扫黑除恶</w:t>
            </w:r>
          </w:p>
          <w:p w14:paraId="608D6792">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举报电话</w:t>
            </w:r>
          </w:p>
        </w:tc>
        <w:tc>
          <w:tcPr>
            <w:tcW w:w="5866" w:type="dxa"/>
            <w:vAlign w:val="center"/>
          </w:tcPr>
          <w:p w14:paraId="051569C7">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乐山市交通运输局</w:t>
            </w:r>
            <w:r>
              <w:rPr>
                <w:rFonts w:hint="eastAsia" w:cs="宋体" w:asciiTheme="minorEastAsia" w:hAnsiTheme="minorEastAsia" w:eastAsiaTheme="minorEastAsia"/>
                <w:szCs w:val="21"/>
              </w:rPr>
              <w:t>：</w:t>
            </w:r>
          </w:p>
          <w:p w14:paraId="44A07DA7">
            <w:pPr>
              <w:pStyle w:val="299"/>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w:t>
            </w:r>
            <w:r>
              <w:rPr>
                <w:rFonts w:hint="eastAsia" w:cs="宋体" w:asciiTheme="minorEastAsia" w:hAnsiTheme="minorEastAsia" w:eastAsiaTheme="minorEastAsia"/>
                <w:szCs w:val="21"/>
              </w:rPr>
              <w:t>扫黑除恶办公室举报电话：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2428523</w:t>
            </w:r>
          </w:p>
          <w:p w14:paraId="5D1677C3">
            <w:pPr>
              <w:pStyle w:val="299"/>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局建管科</w:t>
            </w:r>
            <w:r>
              <w:rPr>
                <w:rFonts w:hint="eastAsia" w:cs="宋体" w:asciiTheme="minorEastAsia" w:hAnsiTheme="minorEastAsia" w:eastAsiaTheme="minorEastAsia"/>
                <w:szCs w:val="21"/>
              </w:rPr>
              <w:t>举报电话：</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833</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2428529</w:t>
            </w:r>
          </w:p>
          <w:p w14:paraId="418CA379">
            <w:pPr>
              <w:pStyle w:val="299"/>
              <w:adjustRightInd w:val="0"/>
              <w:snapToGrid w:val="0"/>
              <w:spacing w:line="40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举报邮箱：lssjwchce@126.com</w:t>
            </w:r>
          </w:p>
          <w:p w14:paraId="3C009054">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举报地址：乐山市市中区嘉祥路703号51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室</w:t>
            </w:r>
          </w:p>
          <w:p w14:paraId="31787309">
            <w:pPr>
              <w:adjustRightInd w:val="0"/>
              <w:snapToGrid w:val="0"/>
              <w:spacing w:line="400" w:lineRule="exac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邮政编码：</w:t>
            </w:r>
            <w:r>
              <w:rPr>
                <w:rFonts w:cs="宋体" w:asciiTheme="minorEastAsia" w:hAnsiTheme="minorEastAsia" w:eastAsiaTheme="minorEastAsia"/>
                <w:szCs w:val="21"/>
              </w:rPr>
              <w:t>61</w:t>
            </w:r>
            <w:r>
              <w:rPr>
                <w:rFonts w:hint="eastAsia" w:cs="宋体" w:asciiTheme="minorEastAsia" w:hAnsiTheme="minorEastAsia" w:eastAsiaTheme="minorEastAsia"/>
                <w:szCs w:val="21"/>
                <w:lang w:val="en-US" w:eastAsia="zh-CN"/>
              </w:rPr>
              <w:t>4000</w:t>
            </w:r>
          </w:p>
          <w:p w14:paraId="47D2D35D">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区（县）交通运输局扫黑除恶举报电话：</w:t>
            </w:r>
            <w:r>
              <w:rPr>
                <w:rFonts w:hint="eastAsia" w:cs="宋体" w:asciiTheme="minorEastAsia" w:hAnsiTheme="minorEastAsia" w:eastAsiaTheme="minorEastAsia"/>
                <w:szCs w:val="21"/>
                <w:u w:val="single"/>
                <w:lang w:val="en-US" w:eastAsia="zh-CN"/>
              </w:rPr>
              <w:t xml:space="preserve">        </w:t>
            </w:r>
          </w:p>
        </w:tc>
      </w:tr>
      <w:tr w14:paraId="62DF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40A7513">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10</w:t>
            </w:r>
            <w:r>
              <w:rPr>
                <w:rFonts w:cs="宋体" w:asciiTheme="minorEastAsia" w:hAnsiTheme="minorEastAsia" w:eastAsiaTheme="minorEastAsia"/>
                <w:szCs w:val="21"/>
              </w:rPr>
              <w:t>.6</w:t>
            </w:r>
          </w:p>
        </w:tc>
        <w:tc>
          <w:tcPr>
            <w:tcW w:w="2104" w:type="dxa"/>
            <w:vAlign w:val="center"/>
          </w:tcPr>
          <w:p w14:paraId="2C961702">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招标代理服务费</w:t>
            </w:r>
          </w:p>
        </w:tc>
        <w:tc>
          <w:tcPr>
            <w:tcW w:w="5866" w:type="dxa"/>
            <w:vAlign w:val="center"/>
          </w:tcPr>
          <w:p w14:paraId="7C717AE3">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 </w:t>
            </w:r>
            <w:r>
              <w:rPr>
                <w:rFonts w:hint="eastAsia" w:cs="宋体" w:asciiTheme="minorEastAsia" w:hAnsiTheme="minorEastAsia" w:eastAsiaTheme="minorEastAsia"/>
                <w:szCs w:val="21"/>
              </w:rPr>
              <w:t>无</w:t>
            </w:r>
          </w:p>
          <w:p w14:paraId="128B436B">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b/>
                <w:szCs w:val="21"/>
              </w:rPr>
              <w:t>□</w:t>
            </w:r>
            <w:r>
              <w:rPr>
                <w:rFonts w:cs="宋体" w:asciiTheme="minorEastAsia" w:hAnsiTheme="minorEastAsia" w:eastAsiaTheme="minorEastAsia"/>
                <w:szCs w:val="21"/>
              </w:rPr>
              <w:t xml:space="preserve"> 有，招标代理服务费金额：</w:t>
            </w:r>
            <w:r>
              <w:rPr>
                <w:rFonts w:cs="宋体" w:asciiTheme="minorEastAsia" w:hAnsiTheme="minorEastAsia" w:eastAsiaTheme="minorEastAsia"/>
                <w:szCs w:val="21"/>
                <w:u w:val="single"/>
              </w:rPr>
              <w:t xml:space="preserve">                 </w:t>
            </w:r>
          </w:p>
          <w:p w14:paraId="294EAA32">
            <w:pPr>
              <w:pStyle w:val="299"/>
              <w:adjustRightInd w:val="0"/>
              <w:snapToGrid w:val="0"/>
              <w:spacing w:line="400" w:lineRule="exact"/>
              <w:ind w:firstLine="210" w:firstLineChars="100"/>
              <w:rPr>
                <w:rFonts w:cs="宋体" w:asciiTheme="minorEastAsia" w:hAnsiTheme="minorEastAsia" w:eastAsiaTheme="minorEastAsia"/>
                <w:szCs w:val="21"/>
                <w:u w:val="single"/>
              </w:rPr>
            </w:pPr>
            <w:r>
              <w:rPr>
                <w:rFonts w:hint="eastAsia" w:cs="宋体" w:asciiTheme="minorEastAsia" w:hAnsiTheme="minorEastAsia" w:eastAsiaTheme="minorEastAsia"/>
                <w:szCs w:val="21"/>
              </w:rPr>
              <w:t>支付方式：</w:t>
            </w:r>
            <w:r>
              <w:rPr>
                <w:rFonts w:cs="宋体" w:asciiTheme="minorEastAsia" w:hAnsiTheme="minorEastAsia" w:eastAsiaTheme="minorEastAsia"/>
                <w:szCs w:val="21"/>
                <w:u w:val="single"/>
              </w:rPr>
              <w:t xml:space="preserve">                                 </w:t>
            </w:r>
          </w:p>
          <w:p w14:paraId="5D1E271D">
            <w:pPr>
              <w:adjustRightInd w:val="0"/>
              <w:snapToGrid w:val="0"/>
              <w:spacing w:line="4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支付时间：</w:t>
            </w:r>
            <w:r>
              <w:rPr>
                <w:rFonts w:cs="宋体" w:asciiTheme="minorEastAsia" w:hAnsiTheme="minorEastAsia" w:eastAsiaTheme="minorEastAsia"/>
                <w:szCs w:val="21"/>
                <w:u w:val="single"/>
              </w:rPr>
              <w:t xml:space="preserve">                                 </w:t>
            </w:r>
          </w:p>
        </w:tc>
      </w:tr>
      <w:tr w14:paraId="005C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8638443">
            <w:pPr>
              <w:adjustRightInd w:val="0"/>
              <w:snapToGrid w:val="0"/>
              <w:spacing w:line="400" w:lineRule="exact"/>
              <w:jc w:val="center"/>
              <w:rPr>
                <w:rFonts w:cs="宋体" w:asciiTheme="minorEastAsia" w:hAnsiTheme="minorEastAsia" w:eastAsiaTheme="minorEastAsia"/>
                <w:szCs w:val="21"/>
              </w:rPr>
            </w:pPr>
            <w:r>
              <w:rPr>
                <w:rFonts w:hint="eastAsia" w:ascii="宋体" w:hAnsi="宋体" w:cs="宋体"/>
                <w:szCs w:val="21"/>
                <w:lang w:val="en-US" w:eastAsia="zh-CN"/>
              </w:rPr>
              <w:t>10</w:t>
            </w:r>
            <w:r>
              <w:rPr>
                <w:rFonts w:ascii="宋体" w:hAnsi="宋体" w:cs="宋体"/>
                <w:szCs w:val="21"/>
              </w:rPr>
              <w:t>.7</w:t>
            </w:r>
          </w:p>
        </w:tc>
        <w:tc>
          <w:tcPr>
            <w:tcW w:w="2104" w:type="dxa"/>
            <w:vAlign w:val="center"/>
          </w:tcPr>
          <w:p w14:paraId="6FF240F9">
            <w:pPr>
              <w:adjustRightInd w:val="0"/>
              <w:snapToGrid w:val="0"/>
              <w:spacing w:line="400" w:lineRule="exact"/>
              <w:jc w:val="center"/>
              <w:rPr>
                <w:rFonts w:cs="宋体" w:asciiTheme="minorEastAsia" w:hAnsiTheme="minorEastAsia" w:eastAsiaTheme="minorEastAsia"/>
                <w:szCs w:val="21"/>
              </w:rPr>
            </w:pPr>
            <w:r>
              <w:rPr>
                <w:rFonts w:hint="eastAsia" w:ascii="宋体" w:hAnsi="宋体" w:cs="宋体"/>
                <w:szCs w:val="21"/>
              </w:rPr>
              <w:t>本项目设计施工总承包方案评审是否采用暗标</w:t>
            </w:r>
          </w:p>
        </w:tc>
        <w:tc>
          <w:tcPr>
            <w:tcW w:w="5866" w:type="dxa"/>
            <w:vAlign w:val="center"/>
          </w:tcPr>
          <w:p w14:paraId="35D33705">
            <w:pPr>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否</w:t>
            </w:r>
          </w:p>
          <w:p w14:paraId="5FD05631">
            <w:pPr>
              <w:adjustRightInd w:val="0"/>
              <w:snapToGrid w:val="0"/>
              <w:spacing w:line="400" w:lineRule="exact"/>
              <w:rPr>
                <w:rFonts w:ascii="宋体" w:hAnsi="宋体" w:cs="宋体"/>
                <w:szCs w:val="21"/>
              </w:rPr>
            </w:pPr>
            <w:r>
              <w:rPr>
                <w:rFonts w:hint="eastAsia" w:ascii="宋体" w:hAnsi="宋体" w:cs="宋体"/>
                <w:b/>
                <w:szCs w:val="21"/>
              </w:rPr>
              <w:t>□</w:t>
            </w:r>
            <w:r>
              <w:rPr>
                <w:rFonts w:hint="eastAsia" w:ascii="宋体" w:hAnsi="宋体" w:cs="宋体"/>
                <w:b w:val="0"/>
                <w:szCs w:val="21"/>
              </w:rPr>
              <w:t xml:space="preserve"> 是，</w:t>
            </w:r>
            <w:r>
              <w:rPr>
                <w:rFonts w:hint="eastAsia" w:ascii="宋体" w:hAnsi="宋体" w:cs="宋体"/>
                <w:szCs w:val="21"/>
              </w:rPr>
              <w:t>具体</w:t>
            </w:r>
            <w:r>
              <w:rPr>
                <w:rFonts w:hint="eastAsia"/>
              </w:rPr>
              <w:t>编制要求：</w:t>
            </w:r>
          </w:p>
          <w:p w14:paraId="0A21D33E">
            <w:pPr>
              <w:adjustRightInd w:val="0"/>
              <w:snapToGrid w:val="0"/>
              <w:spacing w:line="400" w:lineRule="exact"/>
              <w:ind w:left="0" w:leftChars="0" w:firstLineChars="0"/>
              <w:rPr>
                <w:rFonts w:hint="eastAsia" w:ascii="宋体" w:hAnsi="宋体" w:eastAsia="宋体" w:cs="宋体"/>
              </w:rPr>
            </w:pPr>
            <w:r>
              <w:rPr>
                <w:rFonts w:hint="eastAsia" w:ascii="宋体" w:hAnsi="宋体" w:cs="宋体"/>
                <w:szCs w:val="21"/>
              </w:rPr>
              <w:t>（1）</w:t>
            </w:r>
            <w:r>
              <w:rPr>
                <w:rFonts w:hint="eastAsia"/>
              </w:rPr>
              <w:t>设计施工总承包方案</w:t>
            </w:r>
            <w:r>
              <w:t>评审采用暗标方式</w:t>
            </w:r>
            <w:r>
              <w:rPr>
                <w:rFonts w:hint="eastAsia"/>
              </w:rPr>
              <w:t>，投标人设计施工总承包方案</w:t>
            </w:r>
            <w:r>
              <w:rPr>
                <w:rFonts w:hint="eastAsia" w:ascii="宋体" w:hAnsi="宋体"/>
                <w:kern w:val="0"/>
              </w:rPr>
              <w:t>中不得出现投标人的名称和其他可识别投标人身份的文字、符号、标识等；</w:t>
            </w:r>
            <w:r>
              <w:rPr>
                <w:rFonts w:hint="eastAsia" w:ascii="宋体" w:hAnsi="宋体" w:eastAsia="宋体" w:cs="宋体"/>
              </w:rPr>
              <w:t>否则评标委员会应对暗标部分的评分按</w:t>
            </w:r>
            <w:r>
              <w:rPr>
                <w:rFonts w:hint="eastAsia" w:ascii="宋体" w:hAnsi="宋体" w:eastAsia="宋体" w:cs="宋体"/>
                <w:lang w:val="en-US" w:eastAsia="zh-CN"/>
              </w:rPr>
              <w:t>0</w:t>
            </w:r>
            <w:r>
              <w:rPr>
                <w:rFonts w:hint="eastAsia" w:ascii="宋体" w:hAnsi="宋体" w:eastAsia="宋体" w:cs="宋体"/>
              </w:rPr>
              <w:t>分处理，但不否决其投标。</w:t>
            </w:r>
          </w:p>
          <w:p w14:paraId="533D5452">
            <w:pPr>
              <w:adjustRightInd w:val="0"/>
              <w:snapToGrid w:val="0"/>
              <w:spacing w:line="400" w:lineRule="exact"/>
              <w:rPr>
                <w:rFonts w:cs="宋体" w:asciiTheme="minorEastAsia" w:hAnsiTheme="minorEastAsia" w:eastAsiaTheme="minorEastAsia"/>
                <w:szCs w:val="21"/>
              </w:rPr>
            </w:pPr>
            <w:r>
              <w:rPr>
                <w:rFonts w:hint="eastAsia" w:ascii="宋体" w:hAnsi="宋体"/>
                <w:kern w:val="0"/>
              </w:rPr>
              <w:t>（2）</w:t>
            </w:r>
            <w:r>
              <w:rPr>
                <w:rFonts w:hint="eastAsia" w:ascii="宋体" w:hAnsi="宋体"/>
                <w:kern w:val="0"/>
                <w:u w:val="single"/>
              </w:rPr>
              <w:t xml:space="preserve">  </w:t>
            </w:r>
            <w:r>
              <w:rPr>
                <w:rFonts w:ascii="宋体" w:hAnsi="宋体"/>
                <w:kern w:val="0"/>
                <w:u w:val="single"/>
              </w:rPr>
              <w:t xml:space="preserve">        </w:t>
            </w:r>
          </w:p>
        </w:tc>
      </w:tr>
      <w:tr w14:paraId="0135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3" w:type="dxa"/>
            <w:vAlign w:val="center"/>
          </w:tcPr>
          <w:p w14:paraId="0AE040CC">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2104" w:type="dxa"/>
            <w:vAlign w:val="center"/>
          </w:tcPr>
          <w:p w14:paraId="2E23FE88">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5866" w:type="dxa"/>
            <w:vAlign w:val="center"/>
          </w:tcPr>
          <w:p w14:paraId="08653D40">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p>
        </w:tc>
      </w:tr>
    </w:tbl>
    <w:p w14:paraId="377FD0F6">
      <w:pPr>
        <w:sectPr>
          <w:headerReference r:id="rId7" w:type="default"/>
          <w:footnotePr>
            <w:numFmt w:val="decimalEnclosedCircleChinese"/>
            <w:numRestart w:val="eachPage"/>
          </w:footnotePr>
          <w:type w:val="continuous"/>
          <w:pgSz w:w="11900" w:h="16840"/>
          <w:pgMar w:top="1418" w:right="1418" w:bottom="1418" w:left="1701" w:header="885" w:footer="624" w:gutter="0"/>
          <w:cols w:space="720" w:num="1"/>
          <w:docGrid w:linePitch="312" w:charSpace="0"/>
        </w:sectPr>
      </w:pPr>
    </w:p>
    <w:p w14:paraId="439575E3">
      <w:pPr>
        <w:spacing w:before="0" w:beforeLines="0" w:after="240"/>
        <w:jc w:val="center"/>
        <w:rPr>
          <w:rFonts w:hint="eastAsia" w:ascii="宋体" w:hAnsi="宋体"/>
          <w:highlight w:val="none"/>
        </w:rPr>
      </w:pPr>
      <w:bookmarkStart w:id="84" w:name="_Toc27060649"/>
      <w:bookmarkStart w:id="85" w:name="_Toc27059853"/>
      <w:bookmarkStart w:id="86" w:name="_Toc27059751"/>
      <w:bookmarkStart w:id="87" w:name="_Toc27059480"/>
      <w:bookmarkStart w:id="88" w:name="_Toc519844460"/>
      <w:bookmarkStart w:id="89" w:name="_Toc27059661"/>
      <w:bookmarkStart w:id="90" w:name="_Toc53685582"/>
      <w:r>
        <w:rPr>
          <w:rFonts w:hint="eastAsia" w:ascii="宋体" w:hAnsi="宋体"/>
          <w:highlight w:val="none"/>
        </w:rPr>
        <w:br w:type="page"/>
      </w:r>
    </w:p>
    <w:p w14:paraId="2EAE0865">
      <w:pPr>
        <w:pStyle w:val="3"/>
        <w:spacing w:before="0" w:beforeLines="0" w:after="240" w:line="500" w:lineRule="exact"/>
        <w:jc w:val="center"/>
        <w:rPr>
          <w:rFonts w:ascii="宋体" w:hAnsi="宋体"/>
          <w:highlight w:val="none"/>
        </w:rPr>
      </w:pPr>
      <w:r>
        <w:rPr>
          <w:rFonts w:hint="eastAsia" w:ascii="宋体" w:hAnsi="宋体"/>
          <w:highlight w:val="none"/>
        </w:rPr>
        <w:t>附录</w:t>
      </w:r>
      <w:r>
        <w:rPr>
          <w:rFonts w:ascii="宋体" w:hAnsi="宋体"/>
          <w:highlight w:val="none"/>
        </w:rPr>
        <w:t xml:space="preserve">1  </w:t>
      </w:r>
      <w:r>
        <w:rPr>
          <w:rFonts w:hint="eastAsia" w:ascii="宋体" w:hAnsi="宋体"/>
          <w:highlight w:val="none"/>
        </w:rPr>
        <w:t>资格审查条件（资质最低要求）</w:t>
      </w:r>
      <w:bookmarkEnd w:id="84"/>
      <w:bookmarkEnd w:id="85"/>
      <w:bookmarkEnd w:id="86"/>
      <w:bookmarkEnd w:id="87"/>
      <w:bookmarkEnd w:id="88"/>
      <w:bookmarkEnd w:id="89"/>
      <w:bookmarkEnd w:id="90"/>
    </w:p>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797"/>
      </w:tblGrid>
      <w:tr w14:paraId="2E8B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129" w:type="dxa"/>
          </w:tcPr>
          <w:p w14:paraId="0D73DCEF">
            <w:pPr>
              <w:adjustRightInd w:val="0"/>
              <w:snapToGrid w:val="0"/>
              <w:spacing w:line="400" w:lineRule="exact"/>
              <w:jc w:val="center"/>
              <w:rPr>
                <w:rFonts w:ascii="宋体" w:hAnsi="宋体"/>
                <w:szCs w:val="21"/>
              </w:rPr>
            </w:pPr>
            <w:r>
              <w:rPr>
                <w:rFonts w:hint="eastAsia" w:ascii="宋体" w:hAnsi="宋体"/>
                <w:szCs w:val="21"/>
              </w:rPr>
              <w:t>标段</w:t>
            </w:r>
          </w:p>
        </w:tc>
        <w:tc>
          <w:tcPr>
            <w:tcW w:w="7797" w:type="dxa"/>
          </w:tcPr>
          <w:p w14:paraId="16CD59CF">
            <w:pPr>
              <w:adjustRightInd w:val="0"/>
              <w:snapToGrid w:val="0"/>
              <w:spacing w:line="400" w:lineRule="exact"/>
              <w:jc w:val="center"/>
              <w:rPr>
                <w:rFonts w:ascii="宋体" w:hAnsi="宋体"/>
                <w:szCs w:val="21"/>
              </w:rPr>
            </w:pPr>
            <w:r>
              <w:rPr>
                <w:rFonts w:hint="eastAsia" w:ascii="宋体" w:hAnsi="宋体"/>
                <w:szCs w:val="21"/>
              </w:rPr>
              <w:t>企业资质等级要求</w:t>
            </w:r>
          </w:p>
        </w:tc>
      </w:tr>
      <w:tr w14:paraId="5C59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jc w:val="center"/>
        </w:trPr>
        <w:tc>
          <w:tcPr>
            <w:tcW w:w="1129" w:type="dxa"/>
            <w:vAlign w:val="center"/>
          </w:tcPr>
          <w:p w14:paraId="4A124FFF">
            <w:pPr>
              <w:tabs>
                <w:tab w:val="left" w:pos="7146"/>
              </w:tabs>
              <w:adjustRightInd w:val="0"/>
              <w:snapToGrid w:val="0"/>
              <w:spacing w:line="400" w:lineRule="exact"/>
              <w:ind w:firstLine="630"/>
              <w:rPr>
                <w:rFonts w:ascii="宋体" w:hAnsi="宋体"/>
                <w:szCs w:val="21"/>
                <w:u w:val="single"/>
              </w:rPr>
            </w:pPr>
          </w:p>
        </w:tc>
        <w:tc>
          <w:tcPr>
            <w:tcW w:w="7797" w:type="dxa"/>
          </w:tcPr>
          <w:p w14:paraId="3DDDDDAC">
            <w:pPr>
              <w:pStyle w:val="299"/>
              <w:numPr>
                <w:ilvl w:val="0"/>
                <w:numId w:val="0"/>
              </w:numPr>
              <w:spacing w:line="400" w:lineRule="exact"/>
              <w:rPr>
                <w:rFonts w:ascii="宋体" w:hAnsi="宋体" w:cs="宋体"/>
                <w:szCs w:val="21"/>
              </w:rPr>
            </w:pPr>
            <w:r>
              <w:rPr>
                <w:rFonts w:ascii="宋体" w:hAnsi="宋体" w:eastAsia="宋体" w:cs="宋体"/>
                <w:kern w:val="2"/>
                <w:sz w:val="21"/>
                <w:szCs w:val="21"/>
                <w:lang w:val="en-US" w:eastAsia="zh-CN" w:bidi="ar-SA"/>
              </w:rPr>
              <w:t>（1）</w:t>
            </w:r>
            <w:r>
              <w:rPr>
                <w:rFonts w:ascii="宋体" w:hAnsi="宋体" w:cs="宋体"/>
                <w:szCs w:val="21"/>
              </w:rPr>
              <w:t>独立法人资格，持有有效的营业执照、□安全生产许可证</w:t>
            </w:r>
            <w:r>
              <w:rPr>
                <w:rFonts w:hint="eastAsia" w:ascii="宋体" w:hAnsi="宋体" w:cs="宋体"/>
                <w:szCs w:val="21"/>
              </w:rPr>
              <w:t>、</w:t>
            </w:r>
            <w:r>
              <w:rPr>
                <w:rFonts w:ascii="宋体" w:hAnsi="宋体" w:cs="宋体"/>
                <w:szCs w:val="21"/>
              </w:rPr>
              <w:t>基本账户开户许可证或基本存款账户信息表。</w:t>
            </w:r>
          </w:p>
          <w:p w14:paraId="61589A98">
            <w:pPr>
              <w:pStyle w:val="299"/>
              <w:numPr>
                <w:ilvl w:val="0"/>
                <w:numId w:val="0"/>
              </w:numPr>
              <w:spacing w:line="400" w:lineRule="exact"/>
              <w:ind w:firstLine="210" w:firstLineChars="100"/>
              <w:rPr>
                <w:rFonts w:hint="eastAsia" w:ascii="宋体" w:hAnsi="宋体" w:eastAsia="宋体" w:cs="宋体"/>
                <w:szCs w:val="21"/>
                <w:lang w:eastAsia="zh-CN"/>
              </w:rPr>
            </w:pPr>
            <w:r>
              <w:rPr>
                <w:rFonts w:hint="eastAsia" w:ascii="宋体" w:hAnsi="宋体"/>
                <w:lang w:val="en-US" w:eastAsia="zh-CN"/>
              </w:rPr>
              <w:t>注：</w:t>
            </w:r>
            <w:r>
              <w:rPr>
                <w:rFonts w:hint="eastAsia" w:ascii="宋体" w:hAnsi="宋体"/>
              </w:rPr>
              <w:t>安全生产许可证</w:t>
            </w:r>
            <w:r>
              <w:rPr>
                <w:rFonts w:ascii="宋体" w:hAnsi="宋体"/>
              </w:rPr>
              <w:t>仅限施工企业</w:t>
            </w:r>
            <w:r>
              <w:rPr>
                <w:rFonts w:hint="eastAsia" w:ascii="宋体" w:hAnsi="宋体"/>
                <w:lang w:eastAsia="zh-CN"/>
              </w:rPr>
              <w:t>。</w:t>
            </w:r>
          </w:p>
          <w:p w14:paraId="4578A2FF">
            <w:pPr>
              <w:pStyle w:val="299"/>
              <w:spacing w:line="400" w:lineRule="exact"/>
              <w:rPr>
                <w:rFonts w:ascii="宋体" w:hAnsi="宋体" w:cs="宋体"/>
                <w:szCs w:val="21"/>
              </w:rPr>
            </w:pPr>
            <w:r>
              <w:rPr>
                <w:rFonts w:hint="eastAsia" w:ascii="宋体" w:hAnsi="宋体" w:cs="宋体"/>
                <w:szCs w:val="21"/>
              </w:rPr>
              <w:t>（2）具有住房和城乡建设部门颁发的</w:t>
            </w:r>
          </w:p>
          <w:p w14:paraId="10657CA9">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工程勘察综合类甲级资质；□和 □或</w:t>
            </w:r>
          </w:p>
          <w:p w14:paraId="43BDDE5C">
            <w:pPr>
              <w:pStyle w:val="299"/>
              <w:spacing w:line="400" w:lineRule="exact"/>
              <w:ind w:left="210" w:leftChars="100" w:firstLine="0" w:firstLineChars="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岩土工程勘察专业资质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岩土工程勘察（</w:t>
            </w:r>
            <w:r>
              <w:rPr>
                <w:rFonts w:hint="eastAsia" w:ascii="宋体" w:hAnsi="宋体" w:cs="宋体"/>
                <w:szCs w:val="21"/>
              </w:rPr>
              <w:t>□甲级；□乙级及以上；□丙级及以上</w:t>
            </w:r>
            <w:r>
              <w:rPr>
                <w:rFonts w:hint="eastAsia" w:ascii="宋体" w:hAnsi="宋体" w:cs="宋体"/>
                <w:szCs w:val="21"/>
                <w:lang w:val="en-US" w:eastAsia="zh-CN"/>
              </w:rPr>
              <w:t>）；</w:t>
            </w:r>
            <w:r>
              <w:rPr>
                <w:rFonts w:hint="eastAsia" w:ascii="宋体" w:hAnsi="宋体" w:cs="宋体"/>
                <w:szCs w:val="21"/>
              </w:rPr>
              <w:t>□</w:t>
            </w:r>
            <w:r>
              <w:rPr>
                <w:rFonts w:hint="eastAsia" w:ascii="宋体" w:hAnsi="宋体" w:cs="宋体"/>
                <w:szCs w:val="21"/>
                <w:lang w:val="en-US" w:eastAsia="zh-CN"/>
              </w:rPr>
              <w:t>岩土工程设计（</w:t>
            </w:r>
            <w:r>
              <w:rPr>
                <w:rFonts w:hint="eastAsia" w:ascii="宋体" w:hAnsi="宋体" w:cs="宋体"/>
                <w:szCs w:val="21"/>
              </w:rPr>
              <w:t>□甲级；□乙级及以上</w:t>
            </w:r>
            <w:r>
              <w:rPr>
                <w:rFonts w:hint="eastAsia" w:ascii="宋体" w:hAnsi="宋体" w:cs="宋体"/>
                <w:szCs w:val="21"/>
                <w:lang w:val="en-US" w:eastAsia="zh-CN"/>
              </w:rPr>
              <w:t>）；</w:t>
            </w:r>
            <w:r>
              <w:rPr>
                <w:rFonts w:hint="eastAsia" w:ascii="宋体" w:hAnsi="宋体" w:cs="宋体"/>
                <w:szCs w:val="21"/>
              </w:rPr>
              <w:t>□</w:t>
            </w:r>
            <w:r>
              <w:rPr>
                <w:rFonts w:hint="eastAsia" w:ascii="宋体" w:hAnsi="宋体" w:cs="宋体"/>
                <w:szCs w:val="21"/>
                <w:lang w:val="en-US" w:eastAsia="zh-CN"/>
              </w:rPr>
              <w:t>岩土工程物探测试检测监测（</w:t>
            </w:r>
            <w:r>
              <w:rPr>
                <w:rFonts w:hint="eastAsia" w:ascii="宋体" w:hAnsi="宋体" w:cs="宋体"/>
                <w:szCs w:val="21"/>
              </w:rPr>
              <w:t>□甲级；□乙级及以上</w:t>
            </w:r>
            <w:r>
              <w:rPr>
                <w:rFonts w:hint="eastAsia" w:ascii="宋体" w:hAnsi="宋体" w:cs="宋体"/>
                <w:szCs w:val="21"/>
                <w:lang w:val="en-US" w:eastAsia="zh-CN"/>
              </w:rPr>
              <w:t>）</w:t>
            </w:r>
            <w:r>
              <w:rPr>
                <w:rFonts w:hint="eastAsia" w:ascii="宋体" w:hAnsi="宋体" w:cs="宋体"/>
                <w:szCs w:val="21"/>
                <w:lang w:eastAsia="zh-CN"/>
              </w:rPr>
              <w:t>）</w:t>
            </w:r>
            <w:r>
              <w:rPr>
                <w:rFonts w:hint="eastAsia" w:ascii="宋体" w:hAnsi="宋体" w:cs="宋体"/>
                <w:szCs w:val="21"/>
              </w:rPr>
              <w:t>（□甲级；□乙级及以上）；□和 □或</w:t>
            </w:r>
          </w:p>
          <w:p w14:paraId="192CA84D">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水文地质勘察专业资质（□甲级；□乙级及以上）；□和 □或</w:t>
            </w:r>
          </w:p>
          <w:p w14:paraId="3B1651BC">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工程测量专业资质（□甲级；□乙级及以上）。 </w:t>
            </w:r>
          </w:p>
          <w:p w14:paraId="0C137123">
            <w:pPr>
              <w:widowControl/>
              <w:adjustRightInd/>
              <w:snapToGrid/>
              <w:spacing w:before="120" w:line="400" w:lineRule="exact"/>
              <w:ind w:left="0" w:leftChars="0" w:firstLine="210" w:firstLineChars="100"/>
              <w:jc w:val="left"/>
              <w:rPr>
                <w:rFonts w:hint="eastAsia" w:ascii="宋体" w:hAnsi="宋体" w:cs="Times New Roman"/>
                <w:szCs w:val="21"/>
              </w:rPr>
            </w:pPr>
            <w:r>
              <w:rPr>
                <w:rFonts w:hint="eastAsia" w:ascii="宋体" w:hAnsi="宋体" w:cs="Times New Roman"/>
                <w:szCs w:val="21"/>
              </w:rPr>
              <w:t>注：“□</w:t>
            </w:r>
            <w:r>
              <w:rPr>
                <w:rFonts w:hint="eastAsia" w:ascii="宋体" w:hAnsi="宋体"/>
                <w:szCs w:val="21"/>
              </w:rPr>
              <w:t>甲级；</w:t>
            </w:r>
            <w:r>
              <w:rPr>
                <w:rFonts w:hint="eastAsia" w:ascii="宋体" w:hAnsi="宋体" w:cs="Times New Roman"/>
                <w:szCs w:val="21"/>
              </w:rPr>
              <w:t>□</w:t>
            </w:r>
            <w:r>
              <w:rPr>
                <w:rFonts w:hint="eastAsia" w:ascii="宋体" w:hAnsi="宋体"/>
                <w:szCs w:val="21"/>
              </w:rPr>
              <w:t>乙级及以上；</w:t>
            </w:r>
            <w:r>
              <w:rPr>
                <w:rFonts w:hint="eastAsia" w:ascii="宋体" w:hAnsi="宋体" w:cs="Times New Roman"/>
                <w:szCs w:val="21"/>
              </w:rPr>
              <w:t>□</w:t>
            </w:r>
            <w:r>
              <w:rPr>
                <w:rFonts w:hint="eastAsia" w:ascii="宋体" w:hAnsi="宋体"/>
                <w:szCs w:val="21"/>
              </w:rPr>
              <w:t>丙级及以上</w:t>
            </w:r>
            <w:r>
              <w:rPr>
                <w:rFonts w:hint="eastAsia" w:ascii="宋体" w:hAnsi="宋体" w:cs="Times New Roman"/>
                <w:szCs w:val="21"/>
              </w:rPr>
              <w:t>”“</w:t>
            </w:r>
            <w:r>
              <w:rPr>
                <w:rFonts w:hint="eastAsia" w:ascii="宋体" w:hAnsi="宋体" w:cs="Times New Roman"/>
                <w:szCs w:val="21"/>
                <w:lang w:eastAsia="zh-CN"/>
              </w:rPr>
              <w:t>□</w:t>
            </w:r>
            <w:r>
              <w:rPr>
                <w:rFonts w:hint="eastAsia" w:ascii="宋体" w:hAnsi="宋体"/>
                <w:szCs w:val="21"/>
              </w:rPr>
              <w:t>甲级；</w:t>
            </w:r>
            <w:r>
              <w:rPr>
                <w:rFonts w:hint="eastAsia" w:ascii="宋体" w:hAnsi="宋体" w:cs="Times New Roman"/>
                <w:szCs w:val="21"/>
              </w:rPr>
              <w:sym w:font="Wingdings 2" w:char="00A3"/>
            </w:r>
            <w:r>
              <w:rPr>
                <w:rFonts w:hint="eastAsia" w:ascii="宋体" w:hAnsi="宋体"/>
                <w:szCs w:val="21"/>
              </w:rPr>
              <w:t>乙级及以上</w:t>
            </w:r>
            <w:r>
              <w:rPr>
                <w:rFonts w:hint="eastAsia" w:ascii="宋体" w:hAnsi="宋体" w:cs="Times New Roman"/>
                <w:szCs w:val="21"/>
              </w:rPr>
              <w:t>”为单选项</w:t>
            </w:r>
            <w:r>
              <w:rPr>
                <w:rFonts w:hint="eastAsia" w:ascii="宋体" w:hAnsi="宋体" w:cs="Times New Roman"/>
                <w:szCs w:val="21"/>
                <w:lang w:eastAsia="zh-CN"/>
              </w:rPr>
              <w:t>，</w:t>
            </w:r>
            <w:r>
              <w:rPr>
                <w:rFonts w:hint="eastAsia" w:ascii="宋体" w:hAnsi="宋体" w:cs="Times New Roman"/>
                <w:szCs w:val="21"/>
                <w:lang w:val="en-US" w:eastAsia="zh-CN"/>
              </w:rPr>
              <w:t>下同</w:t>
            </w:r>
            <w:r>
              <w:rPr>
                <w:rFonts w:hint="eastAsia" w:ascii="宋体" w:hAnsi="宋体" w:cs="Times New Roman"/>
                <w:szCs w:val="21"/>
              </w:rPr>
              <w:t>。</w:t>
            </w:r>
          </w:p>
          <w:p w14:paraId="47836FAB">
            <w:pPr>
              <w:pStyle w:val="299"/>
              <w:spacing w:line="400" w:lineRule="exact"/>
              <w:rPr>
                <w:rFonts w:ascii="宋体" w:hAnsi="宋体" w:cs="宋体"/>
                <w:szCs w:val="21"/>
              </w:rPr>
            </w:pPr>
            <w:r>
              <w:rPr>
                <w:rFonts w:ascii="宋体" w:hAnsi="宋体" w:cs="宋体"/>
                <w:kern w:val="0"/>
                <w:szCs w:val="21"/>
              </w:rPr>
              <w:t>（3）</w:t>
            </w:r>
            <w:r>
              <w:rPr>
                <w:rFonts w:hint="eastAsia" w:ascii="宋体" w:hAnsi="宋体" w:cs="宋体"/>
                <w:szCs w:val="21"/>
              </w:rPr>
              <w:t>具有住房和城乡建设部门颁发的</w:t>
            </w:r>
          </w:p>
          <w:p w14:paraId="2282F8EF">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工程设计综合甲级资质；□和 □或</w:t>
            </w:r>
          </w:p>
          <w:p w14:paraId="06C0C4B3">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工程设计公路行业资质（□甲级；□乙级及以上）；□和 □或</w:t>
            </w:r>
          </w:p>
          <w:p w14:paraId="55AEF38A">
            <w:pPr>
              <w:pStyle w:val="299"/>
              <w:spacing w:line="400" w:lineRule="exact"/>
              <w:ind w:firstLine="210" w:firstLineChars="100"/>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公路行业（□公路；□特大桥梁；□特长隧道；□交通工程）专业设计资质</w:t>
            </w:r>
          </w:p>
          <w:p w14:paraId="5CBD6DE0">
            <w:pPr>
              <w:pStyle w:val="299"/>
              <w:spacing w:line="40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w:t>
            </w:r>
            <w:r>
              <w:rPr>
                <w:rFonts w:hint="eastAsia" w:ascii="宋体" w:hAnsi="宋体" w:cs="宋体"/>
                <w:szCs w:val="21"/>
              </w:rPr>
              <w:sym w:font="Wingdings 2" w:char="00A3"/>
            </w:r>
            <w:r>
              <w:rPr>
                <w:rFonts w:hint="eastAsia" w:ascii="宋体" w:hAnsi="宋体" w:cs="宋体"/>
                <w:szCs w:val="21"/>
              </w:rPr>
              <w:t>甲级；□乙级及以上）；□和 □或</w:t>
            </w:r>
          </w:p>
          <w:p w14:paraId="4DE27DE3">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建筑行业（建筑工程）专业设计资质（□甲级；□乙级及以上）；</w:t>
            </w:r>
          </w:p>
          <w:p w14:paraId="76AC01E1">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其他：</w:t>
            </w:r>
            <w:r>
              <w:rPr>
                <w:rFonts w:hint="eastAsia" w:ascii="宋体" w:hAnsi="宋体" w:cs="宋体"/>
                <w:szCs w:val="21"/>
                <w:u w:val="single"/>
              </w:rPr>
              <w:t xml:space="preserve">                                        </w:t>
            </w:r>
            <w:r>
              <w:rPr>
                <w:rFonts w:hint="eastAsia" w:ascii="宋体" w:hAnsi="宋体" w:cs="宋体"/>
                <w:szCs w:val="21"/>
              </w:rPr>
              <w:t>。</w:t>
            </w:r>
          </w:p>
          <w:p w14:paraId="57F040B0">
            <w:pPr>
              <w:pStyle w:val="299"/>
              <w:spacing w:line="400" w:lineRule="exact"/>
              <w:rPr>
                <w:rFonts w:ascii="宋体" w:hAnsi="宋体" w:cs="宋体"/>
                <w:szCs w:val="21"/>
              </w:rPr>
            </w:pPr>
            <w:r>
              <w:rPr>
                <w:rFonts w:hint="eastAsia" w:ascii="宋体" w:hAnsi="宋体" w:cs="宋体"/>
                <w:szCs w:val="21"/>
              </w:rPr>
              <w:t>（4）具有住房和城乡建设部门颁发的</w:t>
            </w:r>
          </w:p>
          <w:p w14:paraId="6B70A568">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ascii="宋体" w:hAnsi="宋体" w:cs="宋体"/>
                <w:szCs w:val="21"/>
              </w:rPr>
              <w:t xml:space="preserve"> </w:t>
            </w:r>
            <w:r>
              <w:rPr>
                <w:rFonts w:hint="eastAsia" w:ascii="宋体" w:hAnsi="宋体" w:cs="宋体"/>
                <w:szCs w:val="21"/>
              </w:rPr>
              <w:t>公路工程施工</w:t>
            </w:r>
            <w:r>
              <w:rPr>
                <w:rFonts w:ascii="宋体" w:hAnsi="宋体" w:cs="宋体"/>
                <w:szCs w:val="21"/>
              </w:rPr>
              <w:t>总承包</w:t>
            </w:r>
            <w:r>
              <w:rPr>
                <w:rFonts w:hint="eastAsia" w:ascii="宋体" w:hAnsi="宋体" w:cs="宋体"/>
                <w:szCs w:val="21"/>
              </w:rPr>
              <w:t>资质（</w:t>
            </w:r>
            <w:r>
              <w:rPr>
                <w:rFonts w:hint="eastAsia" w:ascii="宋体" w:hAnsi="宋体" w:cs="宋体"/>
                <w:szCs w:val="21"/>
              </w:rPr>
              <w:sym w:font="Wingdings 2" w:char="00A3"/>
            </w:r>
            <w:r>
              <w:rPr>
                <w:rFonts w:hint="eastAsia" w:ascii="宋体" w:hAnsi="宋体" w:cs="宋体"/>
                <w:szCs w:val="21"/>
              </w:rPr>
              <w:t>特级；□</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32237558">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ascii="宋体" w:hAnsi="宋体" w:cs="宋体"/>
                <w:szCs w:val="21"/>
              </w:rPr>
              <w:t xml:space="preserve"> </w:t>
            </w:r>
            <w:r>
              <w:rPr>
                <w:rFonts w:hint="eastAsia" w:ascii="宋体" w:hAnsi="宋体" w:cs="宋体"/>
                <w:szCs w:val="21"/>
              </w:rPr>
              <w:t>桥梁工程专业承包资质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ascii="宋体" w:hAnsi="宋体" w:cs="宋体"/>
                <w:szCs w:val="21"/>
              </w:rPr>
              <w:sym w:font="Wingdings 2" w:char="00A3"/>
            </w:r>
            <w:r>
              <w:rPr>
                <w:rFonts w:hint="eastAsia" w:ascii="宋体" w:hAnsi="宋体" w:cs="宋体"/>
                <w:szCs w:val="21"/>
              </w:rPr>
              <w:t>或</w:t>
            </w:r>
          </w:p>
          <w:p w14:paraId="52D149EC">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ascii="宋体" w:hAnsi="宋体" w:cs="宋体"/>
                <w:szCs w:val="21"/>
              </w:rPr>
              <w:t xml:space="preserve"> </w:t>
            </w:r>
            <w:r>
              <w:rPr>
                <w:rFonts w:hint="eastAsia" w:ascii="宋体" w:hAnsi="宋体" w:cs="宋体"/>
                <w:szCs w:val="21"/>
              </w:rPr>
              <w:t>隧道工程专业承包资质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51102A4B">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ascii="宋体" w:hAnsi="宋体" w:cs="宋体"/>
                <w:szCs w:val="21"/>
              </w:rPr>
              <w:t xml:space="preserve"> </w:t>
            </w:r>
            <w:r>
              <w:rPr>
                <w:rFonts w:hint="eastAsia" w:ascii="宋体" w:hAnsi="宋体" w:cs="宋体"/>
                <w:szCs w:val="21"/>
              </w:rPr>
              <w:t>公路路面工程专业承包资质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5F44A547">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ascii="宋体" w:hAnsi="宋体" w:cs="宋体"/>
                <w:szCs w:val="21"/>
              </w:rPr>
              <w:t xml:space="preserve"> </w:t>
            </w:r>
            <w:r>
              <w:rPr>
                <w:rFonts w:hint="eastAsia" w:ascii="宋体" w:hAnsi="宋体" w:cs="宋体"/>
                <w:szCs w:val="21"/>
              </w:rPr>
              <w:t>公路路基工程专业承包资质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7C18F035">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ascii="宋体" w:hAnsi="宋体" w:cs="宋体"/>
                <w:szCs w:val="21"/>
              </w:rPr>
              <w:t xml:space="preserve"> </w:t>
            </w:r>
            <w:r>
              <w:rPr>
                <w:rFonts w:hint="eastAsia" w:ascii="宋体" w:hAnsi="宋体" w:cs="宋体"/>
                <w:szCs w:val="21"/>
              </w:rPr>
              <w:t>公路交通工程专业承包（公路安全设施分项）资质</w:t>
            </w:r>
            <w:r>
              <w:rPr>
                <w:rFonts w:hint="eastAsia" w:ascii="宋体" w:hAnsi="宋体" w:cs="宋体"/>
                <w:szCs w:val="21"/>
                <w:u w:val="single"/>
              </w:rPr>
              <w:t xml:space="preserve">   </w:t>
            </w:r>
            <w:r>
              <w:rPr>
                <w:rFonts w:hint="eastAsia" w:ascii="宋体" w:hAnsi="宋体" w:cs="宋体"/>
                <w:szCs w:val="21"/>
              </w:rPr>
              <w:t>级及以上；</w:t>
            </w:r>
          </w:p>
          <w:p w14:paraId="0E5268A9">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ascii="宋体" w:hAnsi="宋体" w:cs="宋体"/>
                <w:szCs w:val="21"/>
              </w:rPr>
              <w:t xml:space="preserve"> </w:t>
            </w:r>
            <w:r>
              <w:rPr>
                <w:rFonts w:hint="eastAsia" w:ascii="宋体" w:hAnsi="宋体" w:cs="宋体"/>
                <w:szCs w:val="21"/>
              </w:rPr>
              <w:t>公路交通工程专业承包（公路机电工程分项）资质</w:t>
            </w:r>
            <w:r>
              <w:rPr>
                <w:rFonts w:hint="eastAsia" w:ascii="宋体" w:hAnsi="宋体" w:cs="宋体"/>
                <w:szCs w:val="21"/>
                <w:u w:val="single"/>
              </w:rPr>
              <w:t xml:space="preserve">   </w:t>
            </w:r>
            <w:r>
              <w:rPr>
                <w:rFonts w:hint="eastAsia" w:ascii="宋体" w:hAnsi="宋体" w:cs="宋体"/>
                <w:szCs w:val="21"/>
              </w:rPr>
              <w:t>级及以上；</w:t>
            </w:r>
          </w:p>
          <w:p w14:paraId="02F8041F">
            <w:pPr>
              <w:pStyle w:val="299"/>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建筑工程施工总承包资质</w:t>
            </w:r>
            <w:r>
              <w:rPr>
                <w:rFonts w:hint="eastAsia" w:ascii="宋体" w:hAnsi="宋体" w:cs="宋体"/>
                <w:szCs w:val="21"/>
                <w:u w:val="single"/>
              </w:rPr>
              <w:t xml:space="preserve">   </w:t>
            </w:r>
            <w:r>
              <w:rPr>
                <w:rFonts w:hint="eastAsia" w:ascii="宋体" w:hAnsi="宋体" w:cs="宋体"/>
                <w:szCs w:val="21"/>
              </w:rPr>
              <w:t>级及以上；</w:t>
            </w:r>
          </w:p>
          <w:p w14:paraId="7CB3F206">
            <w:pPr>
              <w:pStyle w:val="299"/>
              <w:spacing w:line="400" w:lineRule="exact"/>
              <w:ind w:firstLine="210" w:firstLineChars="100"/>
              <w:rPr>
                <w:rFonts w:hint="eastAsia"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其他：</w:t>
            </w:r>
            <w:r>
              <w:rPr>
                <w:rFonts w:hint="eastAsia" w:ascii="宋体" w:hAnsi="宋体" w:cs="宋体"/>
                <w:szCs w:val="21"/>
                <w:u w:val="single"/>
              </w:rPr>
              <w:t xml:space="preserve">                 </w:t>
            </w:r>
            <w:r>
              <w:rPr>
                <w:rFonts w:hint="eastAsia" w:ascii="宋体" w:hAnsi="宋体" w:cs="宋体"/>
                <w:szCs w:val="21"/>
              </w:rPr>
              <w:t xml:space="preserve"> 。</w:t>
            </w:r>
          </w:p>
          <w:p w14:paraId="4C7B10D1">
            <w:pPr>
              <w:widowControl/>
              <w:adjustRightInd w:val="0"/>
              <w:snapToGrid w:val="0"/>
              <w:spacing w:line="400" w:lineRule="exact"/>
              <w:ind w:firstLine="0" w:firstLineChars="0"/>
              <w:rPr>
                <w:rFonts w:hint="eastAsia" w:ascii="宋体" w:hAnsi="宋体" w:cs="宋体"/>
                <w:b w:val="0"/>
                <w:bCs/>
                <w:szCs w:val="21"/>
                <w:lang w:val="en-US" w:eastAsia="zh-CN"/>
              </w:rPr>
            </w:pPr>
            <w:r>
              <w:rPr>
                <w:rFonts w:hint="eastAsia" w:ascii="宋体" w:hAnsi="宋体" w:cs="宋体"/>
                <w:b w:val="0"/>
                <w:bCs/>
                <w:szCs w:val="21"/>
                <w:lang w:eastAsia="zh-CN"/>
              </w:rPr>
              <w:t>（</w:t>
            </w:r>
            <w:r>
              <w:rPr>
                <w:rFonts w:hint="eastAsia" w:ascii="宋体" w:hAnsi="宋体" w:cs="宋体"/>
                <w:b w:val="0"/>
                <w:bCs/>
                <w:szCs w:val="21"/>
                <w:lang w:val="en-US" w:eastAsia="zh-CN"/>
              </w:rPr>
              <w:t>5</w:t>
            </w:r>
            <w:r>
              <w:rPr>
                <w:rFonts w:hint="eastAsia" w:ascii="宋体" w:hAnsi="宋体" w:cs="宋体"/>
                <w:b w:val="0"/>
                <w:bCs/>
                <w:szCs w:val="21"/>
                <w:lang w:eastAsia="zh-CN"/>
              </w:rPr>
              <w:t>）</w:t>
            </w:r>
            <w:r>
              <w:rPr>
                <w:rFonts w:hint="eastAsia" w:ascii="宋体" w:hAnsi="宋体" w:cs="宋体"/>
                <w:b w:val="0"/>
                <w:bCs/>
                <w:szCs w:val="21"/>
                <w:lang w:val="en-US" w:eastAsia="zh-CN"/>
              </w:rPr>
              <w:t>具有交通运输主管部门颁发的</w:t>
            </w:r>
          </w:p>
          <w:p w14:paraId="16157CEE">
            <w:pPr>
              <w:pStyle w:val="299"/>
              <w:adjustRightInd w:val="0"/>
              <w:snapToGrid w:val="0"/>
              <w:spacing w:line="400" w:lineRule="exact"/>
              <w:ind w:firstLine="199" w:firstLineChars="95"/>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lang w:val="en-US" w:eastAsia="zh-CN"/>
              </w:rPr>
              <w:t>路基路面养护</w:t>
            </w:r>
            <w:r>
              <w:rPr>
                <w:rFonts w:hint="eastAsia" w:ascii="宋体" w:hAnsi="宋体" w:cs="宋体"/>
                <w:szCs w:val="21"/>
              </w:rPr>
              <w:t>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ascii="宋体" w:hAnsi="宋体" w:cs="宋体"/>
                <w:szCs w:val="21"/>
              </w:rPr>
              <w:sym w:font="Wingdings 2" w:char="00A3"/>
            </w:r>
            <w:r>
              <w:rPr>
                <w:rFonts w:hint="eastAsia" w:ascii="宋体" w:hAnsi="宋体" w:cs="宋体"/>
                <w:szCs w:val="21"/>
              </w:rPr>
              <w:t>或</w:t>
            </w:r>
          </w:p>
          <w:p w14:paraId="78C8F662">
            <w:pPr>
              <w:pStyle w:val="299"/>
              <w:adjustRightInd w:val="0"/>
              <w:snapToGrid w:val="0"/>
              <w:spacing w:line="400" w:lineRule="exact"/>
              <w:ind w:firstLine="199" w:firstLineChars="95"/>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lang w:val="en-US" w:eastAsia="zh-CN"/>
              </w:rPr>
              <w:t>桥梁养护</w:t>
            </w:r>
            <w:r>
              <w:rPr>
                <w:rFonts w:hint="eastAsia" w:ascii="宋体" w:hAnsi="宋体" w:cs="宋体"/>
                <w:szCs w:val="21"/>
              </w:rPr>
              <w:t>资质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485DBA2A">
            <w:pPr>
              <w:pStyle w:val="299"/>
              <w:adjustRightInd w:val="0"/>
              <w:snapToGrid w:val="0"/>
              <w:spacing w:line="400" w:lineRule="exact"/>
              <w:ind w:firstLine="199" w:firstLineChars="95"/>
              <w:rPr>
                <w:rFonts w:hint="eastAsia"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lang w:val="en-US" w:eastAsia="zh-CN"/>
              </w:rPr>
              <w:t>隧道养护</w:t>
            </w:r>
            <w:r>
              <w:rPr>
                <w:rFonts w:hint="eastAsia" w:ascii="宋体" w:hAnsi="宋体" w:cs="宋体"/>
                <w:szCs w:val="21"/>
              </w:rPr>
              <w:t>资质</w:t>
            </w:r>
            <w:r>
              <w:rPr>
                <w:rFonts w:ascii="宋体" w:hAnsi="宋体" w:cs="宋体"/>
                <w:szCs w:val="21"/>
                <w:u w:val="single"/>
              </w:rPr>
              <w:t xml:space="preserve">   </w:t>
            </w:r>
            <w:r>
              <w:rPr>
                <w:rFonts w:hint="eastAsia" w:ascii="宋体" w:hAnsi="宋体" w:cs="宋体"/>
                <w:szCs w:val="21"/>
              </w:rPr>
              <w:t>级及以上；□和</w:t>
            </w:r>
            <w:r>
              <w:rPr>
                <w:rFonts w:ascii="宋体" w:hAnsi="宋体" w:cs="宋体"/>
                <w:szCs w:val="21"/>
              </w:rPr>
              <w:t xml:space="preserve"> </w:t>
            </w:r>
            <w:r>
              <w:rPr>
                <w:rFonts w:hint="eastAsia" w:ascii="宋体" w:hAnsi="宋体" w:cs="宋体"/>
                <w:szCs w:val="21"/>
              </w:rPr>
              <w:t>□或</w:t>
            </w:r>
          </w:p>
          <w:p w14:paraId="3ACCBCDA">
            <w:pPr>
              <w:pStyle w:val="299"/>
              <w:adjustRightInd w:val="0"/>
              <w:snapToGrid w:val="0"/>
              <w:spacing w:line="400" w:lineRule="exact"/>
              <w:ind w:firstLine="199" w:firstLineChars="95"/>
              <w:rPr>
                <w:rFonts w:hint="eastAsia"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交通安全设施养护资质</w:t>
            </w:r>
          </w:p>
          <w:p w14:paraId="11E4C585">
            <w:pPr>
              <w:pStyle w:val="299"/>
              <w:spacing w:line="400" w:lineRule="exact"/>
              <w:ind w:left="0" w:leftChars="0" w:firstLine="0" w:firstLineChars="0"/>
              <w:rPr>
                <w:rFonts w:hint="eastAsia" w:ascii="宋体" w:hAnsi="宋体" w:cs="宋体"/>
                <w:kern w:val="0"/>
                <w:szCs w:val="21"/>
              </w:rPr>
            </w:pPr>
            <w:r>
              <w:rPr>
                <w:rFonts w:hint="eastAsia" w:ascii="宋体" w:hAnsi="宋体" w:cs="宋体"/>
                <w:b/>
                <w:szCs w:val="21"/>
              </w:rPr>
              <w:sym w:font="Wingdings 2" w:char="00A3"/>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投标人应进入交通运输部“全国公路建设市场监督管理系统（https://hwdms.mot.gov.cn/BMWebSite/）”中的公路工程设计资质企业名录（限勘察设计企业，建筑行业类设计资质除外）、公路工程施工资质企业名录（限施工企业，建筑工程施工资质除外），且投标人名称和资质与该名录中相应企业名称和资质完全一致。</w:t>
            </w:r>
          </w:p>
          <w:p w14:paraId="01DF13CE">
            <w:pPr>
              <w:pStyle w:val="37"/>
              <w:spacing w:line="400" w:lineRule="exact"/>
              <w:ind w:left="0" w:leftChars="0" w:firstLine="210" w:firstLineChars="100"/>
              <w:jc w:val="both"/>
              <w:rPr>
                <w:rFonts w:ascii="宋体" w:hAnsi="宋体" w:cs="宋体"/>
                <w:kern w:val="0"/>
                <w:sz w:val="21"/>
                <w:szCs w:val="21"/>
              </w:rPr>
            </w:pPr>
            <w:r>
              <w:rPr>
                <w:rFonts w:hint="eastAsia" w:ascii="宋体" w:hAnsi="宋体" w:cs="宋体"/>
                <w:kern w:val="0"/>
                <w:sz w:val="21"/>
                <w:szCs w:val="21"/>
                <w:lang w:val="en-US" w:eastAsia="zh-CN"/>
              </w:rPr>
              <w:t>注：1</w:t>
            </w:r>
            <w:r>
              <w:rPr>
                <w:rFonts w:ascii="宋体" w:hAnsi="宋体" w:cs="宋体"/>
                <w:kern w:val="0"/>
                <w:sz w:val="21"/>
                <w:szCs w:val="21"/>
              </w:rPr>
              <w:t>.</w:t>
            </w:r>
            <w:r>
              <w:rPr>
                <w:rFonts w:hint="eastAsia" w:ascii="宋体" w:hAnsi="宋体" w:cs="宋体"/>
                <w:kern w:val="0"/>
                <w:sz w:val="21"/>
                <w:szCs w:val="21"/>
              </w:rPr>
              <w:t>本项规定仅适用于根据《关于发布公路工程从业企业资质名录的通知》（厅公路字〔</w:t>
            </w:r>
            <w:r>
              <w:rPr>
                <w:rFonts w:ascii="宋体" w:hAnsi="宋体" w:cs="宋体"/>
                <w:kern w:val="0"/>
                <w:sz w:val="21"/>
                <w:szCs w:val="21"/>
              </w:rPr>
              <w:t>2011</w:t>
            </w:r>
            <w:r>
              <w:rPr>
                <w:rFonts w:hint="eastAsia" w:ascii="宋体" w:hAnsi="宋体" w:cs="宋体"/>
                <w:kern w:val="0"/>
                <w:sz w:val="21"/>
                <w:szCs w:val="21"/>
              </w:rPr>
              <w:t>〕</w:t>
            </w:r>
            <w:r>
              <w:rPr>
                <w:rFonts w:ascii="宋体" w:hAnsi="宋体" w:cs="宋体"/>
                <w:kern w:val="0"/>
                <w:sz w:val="21"/>
                <w:szCs w:val="21"/>
              </w:rPr>
              <w:t>114</w:t>
            </w:r>
            <w:r>
              <w:rPr>
                <w:rFonts w:hint="eastAsia" w:ascii="宋体" w:hAnsi="宋体" w:cs="宋体"/>
                <w:kern w:val="0"/>
                <w:sz w:val="21"/>
                <w:szCs w:val="21"/>
              </w:rPr>
              <w:t>号）要求，招标人应通过名录对投标人资质条件进行审核的公路施工企业。</w:t>
            </w:r>
          </w:p>
          <w:p w14:paraId="56D206BD">
            <w:pPr>
              <w:tabs>
                <w:tab w:val="left" w:pos="4213"/>
                <w:tab w:val="center" w:pos="4973"/>
              </w:tabs>
              <w:wordWrap w:val="0"/>
              <w:adjustRightInd w:val="0"/>
              <w:snapToGrid w:val="0"/>
              <w:spacing w:line="400" w:lineRule="exact"/>
              <w:ind w:left="0" w:leftChars="0" w:firstLine="210" w:firstLineChars="100"/>
              <w:rPr>
                <w:rFonts w:hint="eastAsia" w:ascii="宋体" w:hAnsi="宋体" w:cs="宋体"/>
                <w:kern w:val="0"/>
                <w:szCs w:val="21"/>
              </w:rPr>
            </w:pPr>
            <w:r>
              <w:rPr>
                <w:rFonts w:hint="eastAsia" w:ascii="宋体" w:hAnsi="宋体" w:cs="宋体"/>
                <w:kern w:val="0"/>
                <w:szCs w:val="21"/>
                <w:lang w:val="en-US" w:eastAsia="zh-CN"/>
              </w:rPr>
              <w:t>2</w:t>
            </w:r>
            <w:r>
              <w:rPr>
                <w:rFonts w:ascii="宋体" w:hAnsi="宋体" w:cs="宋体"/>
                <w:kern w:val="0"/>
                <w:szCs w:val="21"/>
              </w:rPr>
              <w:t>.</w:t>
            </w:r>
            <w:r>
              <w:rPr>
                <w:rFonts w:hint="eastAsia" w:ascii="宋体" w:hAnsi="宋体" w:cs="宋体"/>
                <w:kern w:val="0"/>
                <w:szCs w:val="21"/>
              </w:rPr>
              <w:t>投标人名称和资质有变更，与</w:t>
            </w:r>
            <w:r>
              <w:rPr>
                <w:rFonts w:ascii="宋体" w:hAnsi="宋体" w:cs="宋体"/>
                <w:kern w:val="0"/>
                <w:szCs w:val="21"/>
              </w:rPr>
              <w:t>交通运输部</w:t>
            </w:r>
            <w:r>
              <w:rPr>
                <w:rFonts w:hint="eastAsia" w:ascii="宋体" w:hAnsi="宋体" w:cs="宋体"/>
                <w:kern w:val="0"/>
                <w:szCs w:val="21"/>
              </w:rPr>
              <w:t>“全国公路建设市场监督管理系统”</w:t>
            </w:r>
            <w:r>
              <w:rPr>
                <w:rFonts w:ascii="宋体" w:hAnsi="宋体" w:cs="宋体"/>
                <w:kern w:val="0"/>
                <w:szCs w:val="21"/>
              </w:rPr>
              <w:t>中的</w:t>
            </w:r>
            <w:r>
              <w:rPr>
                <w:rFonts w:hint="eastAsia" w:ascii="宋体" w:hAnsi="宋体" w:cs="宋体"/>
                <w:kern w:val="0"/>
                <w:szCs w:val="21"/>
              </w:rPr>
              <w:t>“</w:t>
            </w:r>
            <w:r>
              <w:rPr>
                <w:rFonts w:ascii="宋体" w:hAnsi="宋体" w:cs="宋体"/>
                <w:kern w:val="0"/>
                <w:szCs w:val="21"/>
              </w:rPr>
              <w:t>公路</w:t>
            </w:r>
            <w:r>
              <w:rPr>
                <w:rFonts w:hint="eastAsia" w:ascii="宋体" w:hAnsi="宋体" w:cs="宋体"/>
                <w:kern w:val="0"/>
                <w:szCs w:val="21"/>
              </w:rPr>
              <w:t>工程施工资质</w:t>
            </w:r>
            <w:r>
              <w:rPr>
                <w:rFonts w:ascii="宋体" w:hAnsi="宋体" w:cs="宋体"/>
                <w:kern w:val="0"/>
                <w:szCs w:val="21"/>
              </w:rPr>
              <w:t>企业名录</w:t>
            </w:r>
            <w:r>
              <w:rPr>
                <w:rFonts w:hint="eastAsia" w:ascii="宋体" w:hAnsi="宋体" w:cs="宋体"/>
                <w:kern w:val="0"/>
                <w:szCs w:val="21"/>
              </w:rPr>
              <w:t>”中的相应企业名称和资质不一致时，投标人应提供相关证明材料。</w:t>
            </w:r>
          </w:p>
          <w:p w14:paraId="68E2AB21">
            <w:pPr>
              <w:pStyle w:val="299"/>
              <w:spacing w:line="400" w:lineRule="exact"/>
              <w:rPr>
                <w:rFonts w:ascii="宋体" w:hAnsi="宋体" w:cs="宋体"/>
                <w:szCs w:val="21"/>
              </w:rPr>
            </w:pPr>
            <w:r>
              <w:rPr>
                <w:rFonts w:hint="eastAsia" w:ascii="宋体" w:hAnsi="宋体" w:cs="宋体"/>
                <w:b/>
                <w:szCs w:val="21"/>
              </w:rPr>
              <w:sym w:font="Wingdings 2" w:char="00A3"/>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）投标人工地试验室</w:t>
            </w:r>
            <w:r>
              <w:rPr>
                <w:rFonts w:ascii="宋体" w:hAnsi="宋体" w:cs="宋体"/>
                <w:szCs w:val="21"/>
              </w:rPr>
              <w:t>的</w:t>
            </w:r>
            <w:r>
              <w:rPr>
                <w:rFonts w:hint="eastAsia" w:ascii="宋体" w:hAnsi="宋体" w:cs="宋体"/>
                <w:szCs w:val="21"/>
              </w:rPr>
              <w:t>母体试验检测机构</w:t>
            </w:r>
            <w:r>
              <w:rPr>
                <w:rFonts w:ascii="宋体" w:hAnsi="宋体" w:cs="宋体"/>
                <w:szCs w:val="21"/>
              </w:rPr>
              <w:t>具有</w:t>
            </w:r>
            <w:r>
              <w:rPr>
                <w:rFonts w:hint="eastAsia" w:ascii="宋体" w:hAnsi="宋体" w:cs="宋体"/>
                <w:szCs w:val="21"/>
              </w:rPr>
              <w:t>交通运输部门颁发的公路工程试验检测机构</w:t>
            </w:r>
            <w:r>
              <w:rPr>
                <w:rFonts w:hint="eastAsia" w:ascii="宋体" w:hAnsi="宋体" w:cs="宋体"/>
                <w:szCs w:val="21"/>
                <w:lang w:val="en-US" w:eastAsia="zh-CN"/>
              </w:rPr>
              <w:t>公路工程</w:t>
            </w:r>
            <w:r>
              <w:rPr>
                <w:rFonts w:hint="eastAsia" w:ascii="宋体" w:hAnsi="宋体"/>
                <w:szCs w:val="21"/>
              </w:rPr>
              <w:t>（□甲级；□乙级</w:t>
            </w:r>
            <w:r>
              <w:rPr>
                <w:rFonts w:hint="eastAsia" w:ascii="宋体" w:hAnsi="宋体"/>
                <w:szCs w:val="21"/>
                <w:lang w:eastAsia="zh-CN"/>
              </w:rPr>
              <w:t>；</w:t>
            </w:r>
            <w:r>
              <w:rPr>
                <w:rFonts w:hint="eastAsia" w:ascii="宋体" w:hAnsi="宋体" w:cs="宋体"/>
                <w:szCs w:val="21"/>
              </w:rPr>
              <w:t>□</w:t>
            </w:r>
            <w:r>
              <w:rPr>
                <w:rFonts w:hint="eastAsia" w:ascii="宋体" w:hAnsi="宋体" w:cs="宋体"/>
                <w:szCs w:val="21"/>
                <w:lang w:val="en-US" w:eastAsia="zh-CN"/>
              </w:rPr>
              <w:t>丙</w:t>
            </w:r>
            <w:r>
              <w:rPr>
                <w:rFonts w:hint="eastAsia" w:ascii="宋体" w:hAnsi="宋体" w:cs="宋体"/>
                <w:szCs w:val="21"/>
              </w:rPr>
              <w:t>级</w:t>
            </w:r>
            <w:r>
              <w:rPr>
                <w:rFonts w:hint="eastAsia" w:ascii="宋体" w:hAnsi="宋体"/>
                <w:szCs w:val="21"/>
              </w:rPr>
              <w:t>及以上）</w:t>
            </w:r>
            <w:r>
              <w:rPr>
                <w:rFonts w:hint="eastAsia" w:ascii="宋体" w:hAnsi="宋体" w:cs="宋体"/>
                <w:szCs w:val="21"/>
              </w:rPr>
              <w:t>等级证书。</w:t>
            </w:r>
          </w:p>
          <w:p w14:paraId="713D19CE">
            <w:pPr>
              <w:pStyle w:val="299"/>
              <w:spacing w:line="400" w:lineRule="exact"/>
              <w:ind w:firstLine="210" w:firstLineChars="100"/>
              <w:rPr>
                <w:rFonts w:ascii="宋体" w:hAnsi="宋体"/>
                <w:b/>
                <w:szCs w:val="21"/>
              </w:rPr>
            </w:pPr>
            <w:r>
              <w:rPr>
                <w:rFonts w:hint="eastAsia" w:ascii="宋体" w:hAnsi="宋体" w:cs="宋体"/>
                <w:szCs w:val="21"/>
              </w:rPr>
              <w:t>注：</w:t>
            </w:r>
            <w:r>
              <w:rPr>
                <w:rFonts w:hint="eastAsia" w:ascii="宋体" w:hAnsi="宋体" w:cs="宋体"/>
                <w:szCs w:val="21"/>
                <w:lang w:val="en-US" w:eastAsia="zh-CN"/>
              </w:rPr>
              <w:t>仅限施工企业。</w:t>
            </w:r>
            <w:r>
              <w:rPr>
                <w:rFonts w:hint="eastAsia" w:ascii="宋体" w:hAnsi="宋体" w:cs="宋体"/>
                <w:szCs w:val="21"/>
              </w:rPr>
              <w:t>如投标人工地试验室的母体试验检测机构与投标人为母子关系或参股关系时应出具为母子关系或参股关系的证明材料；如投标人工地试验室的母体检测机构与投标人为合作关系时应出具与试验检测单位的合作协议书。</w:t>
            </w:r>
          </w:p>
          <w:p w14:paraId="054CB2DC">
            <w:pPr>
              <w:pStyle w:val="299"/>
              <w:spacing w:line="400" w:lineRule="exact"/>
              <w:rPr>
                <w:rFonts w:ascii="宋体" w:hAnsi="宋体"/>
                <w:szCs w:val="21"/>
              </w:rPr>
            </w:pPr>
            <w:r>
              <w:rPr>
                <w:rFonts w:hint="eastAsia"/>
                <w:b/>
                <w:szCs w:val="21"/>
              </w:rPr>
              <w:t>□</w:t>
            </w:r>
            <w:r>
              <w:rPr>
                <w:rFonts w:hint="eastAsia" w:ascii="宋体" w:hAnsi="宋体"/>
                <w:szCs w:val="21"/>
              </w:rPr>
              <w:t>（</w:t>
            </w:r>
            <w:r>
              <w:rPr>
                <w:rFonts w:hint="eastAsia" w:ascii="宋体" w:hAnsi="宋体"/>
                <w:szCs w:val="21"/>
                <w:lang w:val="en-US" w:eastAsia="zh-CN"/>
              </w:rPr>
              <w:t>8</w:t>
            </w:r>
            <w:r>
              <w:rPr>
                <w:rFonts w:hint="eastAsia" w:ascii="宋体" w:hAnsi="宋体"/>
                <w:szCs w:val="21"/>
              </w:rPr>
              <w:t>）其他：</w:t>
            </w:r>
            <w:r>
              <w:rPr>
                <w:rFonts w:ascii="宋体" w:hAnsi="宋体"/>
                <w:szCs w:val="21"/>
                <w:u w:val="single"/>
              </w:rPr>
              <w:t xml:space="preserve">                                        </w:t>
            </w:r>
          </w:p>
          <w:p w14:paraId="7011E905">
            <w:pPr>
              <w:pStyle w:val="299"/>
              <w:spacing w:line="400" w:lineRule="exact"/>
              <w:rPr>
                <w:rFonts w:hint="eastAsia" w:ascii="宋体" w:hAnsi="宋体" w:cs="宋体"/>
                <w:kern w:val="0"/>
                <w:szCs w:val="21"/>
              </w:rPr>
            </w:pPr>
            <w:r>
              <w:rPr>
                <w:rFonts w:hint="eastAsia"/>
                <w:b/>
                <w:szCs w:val="21"/>
              </w:rPr>
              <w:t>□</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）联</w:t>
            </w:r>
            <w:r>
              <w:rPr>
                <w:rFonts w:hint="eastAsia"/>
                <w:szCs w:val="21"/>
              </w:rPr>
              <w:t>合体</w:t>
            </w:r>
            <w:r>
              <w:rPr>
                <w:rFonts w:hint="eastAsia" w:ascii="宋体" w:hAnsi="宋体"/>
                <w:szCs w:val="21"/>
              </w:rPr>
              <w:t>应满足下列要求：</w:t>
            </w:r>
            <w:r>
              <w:rPr>
                <w:rFonts w:ascii="宋体" w:hAnsi="宋体"/>
                <w:szCs w:val="21"/>
              </w:rPr>
              <w:t xml:space="preserve"> </w:t>
            </w:r>
            <w:r>
              <w:rPr>
                <w:rFonts w:ascii="宋体" w:hAnsi="宋体"/>
                <w:szCs w:val="21"/>
                <w:u w:val="single"/>
              </w:rPr>
              <w:t xml:space="preserve">                        </w:t>
            </w:r>
          </w:p>
        </w:tc>
      </w:tr>
      <w:tr w14:paraId="7C85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9" w:type="dxa"/>
            <w:vAlign w:val="center"/>
          </w:tcPr>
          <w:p w14:paraId="4DAF070E">
            <w:pPr>
              <w:tabs>
                <w:tab w:val="left" w:pos="7146"/>
              </w:tabs>
              <w:adjustRightInd w:val="0"/>
              <w:snapToGrid w:val="0"/>
              <w:spacing w:line="400" w:lineRule="exact"/>
              <w:ind w:firstLine="0"/>
              <w:jc w:val="center"/>
              <w:rPr>
                <w:rFonts w:ascii="宋体" w:hAnsi="宋体"/>
                <w:szCs w:val="21"/>
                <w:u w:val="single"/>
              </w:rPr>
            </w:pPr>
            <w:r>
              <w:rPr>
                <w:rFonts w:ascii="宋体" w:hAnsi="宋体"/>
                <w:szCs w:val="21"/>
              </w:rPr>
              <w:t>……</w:t>
            </w:r>
          </w:p>
        </w:tc>
        <w:tc>
          <w:tcPr>
            <w:tcW w:w="7797" w:type="dxa"/>
            <w:vAlign w:val="center"/>
          </w:tcPr>
          <w:p w14:paraId="027240D6">
            <w:pPr>
              <w:pStyle w:val="299"/>
              <w:spacing w:line="400" w:lineRule="exact"/>
              <w:jc w:val="center"/>
              <w:rPr>
                <w:rFonts w:hint="eastAsia"/>
                <w:b/>
                <w:szCs w:val="21"/>
              </w:rPr>
            </w:pPr>
            <w:r>
              <w:rPr>
                <w:rFonts w:ascii="宋体" w:hAnsi="宋体"/>
                <w:szCs w:val="21"/>
              </w:rPr>
              <w:t>……</w:t>
            </w:r>
          </w:p>
        </w:tc>
      </w:tr>
    </w:tbl>
    <w:p w14:paraId="4F304B2B"/>
    <w:p w14:paraId="62C87B62"/>
    <w:p w14:paraId="2D2A6736">
      <w:pPr>
        <w:pStyle w:val="37"/>
        <w:ind w:left="0" w:firstLine="0" w:firstLineChars="0"/>
        <w:jc w:val="both"/>
        <w:rPr>
          <w:rFonts w:ascii="宋体" w:hAnsi="宋体"/>
        </w:rPr>
      </w:pPr>
      <w:bookmarkStart w:id="91" w:name="_Toc27059662"/>
      <w:bookmarkStart w:id="92" w:name="_Toc234832864"/>
      <w:bookmarkStart w:id="93" w:name="_Toc27059854"/>
      <w:bookmarkStart w:id="94" w:name="_Toc27059752"/>
      <w:bookmarkStart w:id="95" w:name="_Toc27060650"/>
      <w:bookmarkStart w:id="96" w:name="_Toc27059481"/>
      <w:bookmarkStart w:id="97" w:name="_Toc501257054"/>
      <w:bookmarkStart w:id="98" w:name="_Toc519844461"/>
    </w:p>
    <w:p w14:paraId="02C6D792">
      <w:pPr>
        <w:ind w:left="360" w:hangingChars="200"/>
        <w:jc w:val="both"/>
        <w:rPr>
          <w:rFonts w:ascii="宋体" w:hAnsi="宋体"/>
        </w:rPr>
      </w:pPr>
      <w:r>
        <w:rPr>
          <w:rFonts w:ascii="宋体" w:hAnsi="宋体"/>
        </w:rPr>
        <w:br w:type="page"/>
      </w:r>
    </w:p>
    <w:p w14:paraId="291EF870">
      <w:pPr>
        <w:spacing w:before="0" w:beforeLines="0" w:after="120"/>
        <w:jc w:val="center"/>
        <w:rPr>
          <w:rFonts w:ascii="宋体" w:hAnsi="宋体" w:eastAsia="黑体"/>
          <w:sz w:val="28"/>
        </w:rPr>
      </w:pPr>
      <w:bookmarkStart w:id="99" w:name="_Toc53685583"/>
    </w:p>
    <w:p w14:paraId="667B3182">
      <w:pPr>
        <w:pStyle w:val="3"/>
        <w:spacing w:before="0" w:beforeLines="0" w:after="240"/>
        <w:jc w:val="center"/>
        <w:rPr>
          <w:rFonts w:hint="eastAsia" w:ascii="宋体" w:hAnsi="宋体"/>
          <w:highlight w:val="none"/>
        </w:rPr>
      </w:pPr>
      <w:r>
        <w:rPr>
          <w:rFonts w:hint="eastAsia" w:ascii="宋体" w:hAnsi="宋体"/>
          <w:highlight w:val="none"/>
        </w:rPr>
        <w:t>附录2  资格审查条件（财务最低要求）</w:t>
      </w:r>
      <w:bookmarkEnd w:id="91"/>
      <w:bookmarkEnd w:id="92"/>
      <w:bookmarkEnd w:id="93"/>
      <w:bookmarkEnd w:id="94"/>
      <w:bookmarkEnd w:id="95"/>
      <w:bookmarkEnd w:id="96"/>
      <w:bookmarkEnd w:id="97"/>
      <w:bookmarkEnd w:id="99"/>
    </w:p>
    <w:tbl>
      <w:tblPr>
        <w:tblStyle w:val="4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7496"/>
      </w:tblGrid>
      <w:tr w14:paraId="7C24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571" w:type="dxa"/>
            <w:vAlign w:val="center"/>
          </w:tcPr>
          <w:p w14:paraId="7C1A05CA">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标段</w:t>
            </w:r>
          </w:p>
        </w:tc>
        <w:tc>
          <w:tcPr>
            <w:tcW w:w="7496" w:type="dxa"/>
            <w:vAlign w:val="center"/>
          </w:tcPr>
          <w:p w14:paraId="5AAD06E1">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财 务 要 求</w:t>
            </w:r>
            <w:r>
              <w:rPr>
                <w:rFonts w:hint="eastAsia" w:asciiTheme="minorEastAsia" w:hAnsiTheme="minorEastAsia" w:eastAsiaTheme="minorEastAsia"/>
                <w:szCs w:val="21"/>
              </w:rPr>
              <w:t>（</w:t>
            </w:r>
            <w:r>
              <w:rPr>
                <w:rFonts w:hint="eastAsia" w:ascii="宋体" w:hAnsi="宋体"/>
              </w:rPr>
              <w:t>不得设置过高的要求</w:t>
            </w:r>
            <w:r>
              <w:rPr>
                <w:rFonts w:hint="eastAsia" w:asciiTheme="minorEastAsia" w:hAnsiTheme="minorEastAsia" w:eastAsiaTheme="minorEastAsia"/>
                <w:szCs w:val="21"/>
              </w:rPr>
              <w:t>）</w:t>
            </w:r>
          </w:p>
        </w:tc>
      </w:tr>
      <w:tr w14:paraId="076D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1571" w:type="dxa"/>
            <w:vAlign w:val="center"/>
          </w:tcPr>
          <w:p w14:paraId="4848144F">
            <w:pPr>
              <w:adjustRightInd w:val="0"/>
              <w:snapToGrid w:val="0"/>
              <w:spacing w:line="400" w:lineRule="exact"/>
              <w:jc w:val="center"/>
              <w:rPr>
                <w:rFonts w:asciiTheme="minorEastAsia" w:hAnsiTheme="minorEastAsia" w:eastAsiaTheme="minorEastAsia"/>
                <w:szCs w:val="21"/>
              </w:rPr>
            </w:pPr>
          </w:p>
        </w:tc>
        <w:tc>
          <w:tcPr>
            <w:tcW w:w="7496" w:type="dxa"/>
            <w:vAlign w:val="center"/>
          </w:tcPr>
          <w:p w14:paraId="44A57E17">
            <w:pPr>
              <w:tabs>
                <w:tab w:val="left" w:pos="4213"/>
                <w:tab w:val="center" w:pos="4973"/>
              </w:tabs>
              <w:spacing w:line="4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投标人的财务能力应同时满足：</w:t>
            </w:r>
          </w:p>
          <w:p w14:paraId="77CEC783">
            <w:pPr>
              <w:tabs>
                <w:tab w:val="left" w:pos="4213"/>
                <w:tab w:val="center" w:pos="4973"/>
              </w:tabs>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1）投标人的</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年净资产收益率≥</w:t>
            </w:r>
            <w:r>
              <w:rPr>
                <w:rFonts w:asciiTheme="minorEastAsia" w:hAnsiTheme="minorEastAsia" w:eastAsiaTheme="minorEastAsia"/>
                <w:szCs w:val="21"/>
              </w:rPr>
              <w:t>0。</w:t>
            </w:r>
          </w:p>
          <w:p w14:paraId="790EE22E">
            <w:pPr>
              <w:tabs>
                <w:tab w:val="left" w:pos="4213"/>
                <w:tab w:val="center" w:pos="4973"/>
              </w:tabs>
              <w:spacing w:line="400" w:lineRule="exact"/>
              <w:ind w:firstLine="211" w:firstLineChars="100"/>
              <w:rPr>
                <w:rFonts w:asciiTheme="minorEastAsia" w:hAnsiTheme="minorEastAsia" w:eastAsiaTheme="minorEastAsia"/>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2）其他：</w:t>
            </w:r>
            <w:r>
              <w:rPr>
                <w:rFonts w:asciiTheme="minorEastAsia" w:hAnsiTheme="minorEastAsia" w:eastAsiaTheme="minorEastAsia"/>
                <w:szCs w:val="21"/>
                <w:u w:val="single"/>
              </w:rPr>
              <w:t xml:space="preserve">                                        </w:t>
            </w:r>
          </w:p>
          <w:p w14:paraId="5A24366A">
            <w:pPr>
              <w:tabs>
                <w:tab w:val="left" w:pos="4213"/>
                <w:tab w:val="center" w:pos="4973"/>
              </w:tabs>
              <w:spacing w:line="400" w:lineRule="exact"/>
              <w:ind w:firstLine="211" w:firstLineChars="100"/>
              <w:jc w:val="left"/>
              <w:rPr>
                <w:rFonts w:asciiTheme="minorEastAsia" w:hAnsiTheme="minorEastAsia" w:eastAsiaTheme="minorEastAsia"/>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3）联合体应满足下列要求： </w:t>
            </w:r>
            <w:r>
              <w:rPr>
                <w:rFonts w:asciiTheme="minorEastAsia" w:hAnsiTheme="minorEastAsia" w:eastAsiaTheme="minorEastAsia"/>
                <w:szCs w:val="21"/>
                <w:u w:val="single"/>
              </w:rPr>
              <w:t xml:space="preserve">                             </w:t>
            </w:r>
          </w:p>
        </w:tc>
      </w:tr>
      <w:tr w14:paraId="0372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1571" w:type="dxa"/>
            <w:vAlign w:val="center"/>
          </w:tcPr>
          <w:p w14:paraId="062FAA26">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7496" w:type="dxa"/>
            <w:vAlign w:val="center"/>
          </w:tcPr>
          <w:p w14:paraId="21E933CB">
            <w:pPr>
              <w:tabs>
                <w:tab w:val="left" w:pos="5542"/>
              </w:tabs>
              <w:spacing w:line="400" w:lineRule="exact"/>
              <w:jc w:val="center"/>
              <w:rPr>
                <w:rFonts w:asciiTheme="minorEastAsia" w:hAnsiTheme="minorEastAsia" w:eastAsiaTheme="minorEastAsia"/>
                <w:szCs w:val="21"/>
              </w:rPr>
            </w:pPr>
            <w:r>
              <w:rPr>
                <w:rFonts w:asciiTheme="minorEastAsia" w:hAnsiTheme="minorEastAsia" w:eastAsiaTheme="minorEastAsia"/>
                <w:szCs w:val="21"/>
              </w:rPr>
              <w:t>……</w:t>
            </w:r>
          </w:p>
        </w:tc>
      </w:tr>
    </w:tbl>
    <w:p w14:paraId="0910A71D">
      <w:pPr>
        <w:tabs>
          <w:tab w:val="left" w:pos="5542"/>
        </w:tabs>
        <w:spacing w:line="360" w:lineRule="auto"/>
        <w:ind w:firstLine="420" w:firstLineChars="200"/>
        <w:rPr>
          <w:szCs w:val="21"/>
        </w:rPr>
      </w:pPr>
    </w:p>
    <w:p w14:paraId="057DBCCF">
      <w:pPr>
        <w:tabs>
          <w:tab w:val="left" w:pos="5542"/>
        </w:tabs>
        <w:spacing w:line="360" w:lineRule="auto"/>
        <w:ind w:firstLine="420" w:firstLineChars="200"/>
        <w:rPr>
          <w:szCs w:val="21"/>
        </w:rPr>
      </w:pPr>
    </w:p>
    <w:p w14:paraId="4F801D1A">
      <w:pPr>
        <w:tabs>
          <w:tab w:val="left" w:pos="5542"/>
        </w:tabs>
        <w:spacing w:line="360" w:lineRule="auto"/>
        <w:ind w:firstLine="420" w:firstLineChars="200"/>
        <w:rPr>
          <w:szCs w:val="21"/>
        </w:rPr>
      </w:pPr>
    </w:p>
    <w:p w14:paraId="043E0FE2">
      <w:pPr>
        <w:tabs>
          <w:tab w:val="left" w:pos="5542"/>
        </w:tabs>
        <w:spacing w:line="360" w:lineRule="auto"/>
        <w:ind w:firstLine="420" w:firstLineChars="200"/>
        <w:rPr>
          <w:szCs w:val="21"/>
        </w:rPr>
      </w:pPr>
    </w:p>
    <w:p w14:paraId="7C5A19E5">
      <w:pPr>
        <w:tabs>
          <w:tab w:val="left" w:pos="5542"/>
        </w:tabs>
        <w:spacing w:line="360" w:lineRule="auto"/>
        <w:ind w:firstLine="420" w:firstLineChars="200"/>
        <w:rPr>
          <w:szCs w:val="21"/>
        </w:rPr>
      </w:pPr>
    </w:p>
    <w:p w14:paraId="6633F5B2">
      <w:pPr>
        <w:tabs>
          <w:tab w:val="left" w:pos="5542"/>
        </w:tabs>
        <w:spacing w:line="360" w:lineRule="auto"/>
        <w:ind w:firstLine="420" w:firstLineChars="200"/>
        <w:rPr>
          <w:szCs w:val="21"/>
        </w:rPr>
      </w:pPr>
    </w:p>
    <w:p w14:paraId="1E2DCC6D">
      <w:pPr>
        <w:tabs>
          <w:tab w:val="left" w:pos="5542"/>
        </w:tabs>
        <w:spacing w:line="360" w:lineRule="auto"/>
        <w:ind w:firstLine="420" w:firstLineChars="200"/>
        <w:rPr>
          <w:szCs w:val="21"/>
        </w:rPr>
      </w:pPr>
    </w:p>
    <w:p w14:paraId="401BBF3F">
      <w:pPr>
        <w:tabs>
          <w:tab w:val="left" w:pos="5542"/>
        </w:tabs>
        <w:spacing w:line="360" w:lineRule="auto"/>
        <w:ind w:firstLine="420" w:firstLineChars="200"/>
        <w:rPr>
          <w:szCs w:val="21"/>
        </w:rPr>
      </w:pPr>
    </w:p>
    <w:p w14:paraId="6C722D1B">
      <w:pPr>
        <w:pStyle w:val="3"/>
        <w:spacing w:before="0" w:beforeLines="0" w:after="120"/>
        <w:jc w:val="center"/>
        <w:rPr>
          <w:rFonts w:ascii="宋体" w:hAnsi="宋体" w:eastAsia="黑体"/>
          <w:sz w:val="28"/>
        </w:rPr>
      </w:pPr>
      <w:bookmarkStart w:id="100" w:name="_Toc27060651"/>
      <w:bookmarkStart w:id="101" w:name="_Toc27059855"/>
      <w:bookmarkStart w:id="102" w:name="_Toc27059482"/>
      <w:bookmarkStart w:id="103" w:name="_Toc27059753"/>
      <w:bookmarkStart w:id="104" w:name="_Toc27059663"/>
      <w:r>
        <w:rPr>
          <w:rFonts w:ascii="宋体" w:hAnsi="宋体" w:eastAsia="黑体"/>
          <w:sz w:val="28"/>
        </w:rPr>
        <w:br w:type="page"/>
      </w:r>
      <w:bookmarkStart w:id="105" w:name="_Toc53685584"/>
      <w:r>
        <w:rPr>
          <w:rFonts w:hint="eastAsia" w:ascii="宋体" w:hAnsi="宋体" w:eastAsia="黑体"/>
          <w:sz w:val="28"/>
        </w:rPr>
        <w:t>附录</w:t>
      </w:r>
      <w:r>
        <w:rPr>
          <w:rFonts w:ascii="宋体" w:hAnsi="宋体" w:eastAsia="黑体"/>
          <w:sz w:val="28"/>
        </w:rPr>
        <w:t xml:space="preserve">3  </w:t>
      </w:r>
      <w:r>
        <w:rPr>
          <w:rFonts w:hint="eastAsia" w:ascii="宋体" w:hAnsi="宋体" w:eastAsia="黑体"/>
          <w:sz w:val="28"/>
        </w:rPr>
        <w:t>资格审查条件（业绩最低要求）</w:t>
      </w:r>
      <w:bookmarkEnd w:id="98"/>
      <w:bookmarkEnd w:id="100"/>
      <w:bookmarkEnd w:id="101"/>
      <w:bookmarkEnd w:id="102"/>
      <w:bookmarkEnd w:id="103"/>
      <w:bookmarkEnd w:id="104"/>
      <w:bookmarkEnd w:id="105"/>
    </w:p>
    <w:tbl>
      <w:tblPr>
        <w:tblStyle w:val="4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7777"/>
      </w:tblGrid>
      <w:tr w14:paraId="4B36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1007" w:type="dxa"/>
            <w:vAlign w:val="center"/>
          </w:tcPr>
          <w:p w14:paraId="3AB7B22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标段</w:t>
            </w:r>
          </w:p>
        </w:tc>
        <w:tc>
          <w:tcPr>
            <w:tcW w:w="7777" w:type="dxa"/>
            <w:vAlign w:val="center"/>
          </w:tcPr>
          <w:p w14:paraId="7FE92D9E">
            <w:pPr>
              <w:spacing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业绩要求</w:t>
            </w:r>
          </w:p>
        </w:tc>
      </w:tr>
      <w:tr w14:paraId="04A4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14:paraId="7C9FCAC0">
            <w:pPr>
              <w:snapToGrid w:val="0"/>
              <w:spacing w:line="400" w:lineRule="exact"/>
              <w:ind w:firstLine="105" w:firstLineChars="50"/>
              <w:jc w:val="center"/>
              <w:rPr>
                <w:rFonts w:asciiTheme="minorEastAsia" w:hAnsiTheme="minorEastAsia" w:eastAsiaTheme="minorEastAsia"/>
                <w:szCs w:val="21"/>
              </w:rPr>
            </w:pPr>
          </w:p>
        </w:tc>
        <w:tc>
          <w:tcPr>
            <w:tcW w:w="7777" w:type="dxa"/>
            <w:vAlign w:val="center"/>
          </w:tcPr>
          <w:p w14:paraId="1FB75C73">
            <w:pPr>
              <w:tabs>
                <w:tab w:val="left" w:pos="5542"/>
              </w:tabs>
              <w:snapToGrid/>
              <w:spacing w:line="400" w:lineRule="exact"/>
              <w:ind w:firstLine="211" w:firstLineChars="100"/>
              <w:rPr>
                <w:rFonts w:asciiTheme="minorEastAsia" w:hAnsiTheme="minorEastAsia" w:eastAsiaTheme="minorEastAsia"/>
                <w:b/>
                <w:bCs/>
                <w:szCs w:val="21"/>
              </w:rPr>
            </w:pPr>
            <w:r>
              <w:rPr>
                <w:rFonts w:hint="eastAsia" w:asciiTheme="minorEastAsia" w:hAnsiTheme="minorEastAsia" w:eastAsiaTheme="minorEastAsia"/>
                <w:b/>
                <w:bCs/>
                <w:szCs w:val="21"/>
              </w:rPr>
              <w:t>（</w:t>
            </w:r>
            <w:r>
              <w:rPr>
                <w:rFonts w:asciiTheme="minorEastAsia" w:hAnsiTheme="minorEastAsia" w:eastAsiaTheme="minorEastAsia"/>
                <w:b/>
                <w:bCs/>
                <w:szCs w:val="21"/>
              </w:rPr>
              <w:t>1）勘察设计业绩</w:t>
            </w:r>
            <w:r>
              <w:rPr>
                <w:rFonts w:hint="eastAsia" w:asciiTheme="minorEastAsia" w:hAnsiTheme="minorEastAsia" w:eastAsiaTheme="minorEastAsia"/>
                <w:b/>
                <w:bCs/>
                <w:szCs w:val="21"/>
              </w:rPr>
              <w:t>：</w:t>
            </w:r>
          </w:p>
          <w:p w14:paraId="1B53CE5F">
            <w:pPr>
              <w:tabs>
                <w:tab w:val="left" w:pos="5542"/>
              </w:tabs>
              <w:adjustRightInd/>
              <w:snapToGrid/>
              <w:spacing w:line="400" w:lineRule="exact"/>
              <w:ind w:firstLine="210" w:firstLineChars="100"/>
              <w:rPr>
                <w:rFonts w:hint="eastAsia" w:ascii="宋体" w:hAnsi="宋体" w:cs="宋体"/>
                <w:b/>
                <w:szCs w:val="21"/>
              </w:rPr>
            </w:pPr>
            <w:r>
              <w:rPr>
                <w:rFonts w:hint="eastAsia" w:ascii="宋体" w:hAnsi="宋体"/>
                <w:szCs w:val="21"/>
              </w:rPr>
              <w:t>投标人近</w:t>
            </w:r>
            <w:r>
              <w:rPr>
                <w:rFonts w:hint="eastAsia" w:ascii="宋体" w:hAnsi="宋体"/>
                <w:szCs w:val="21"/>
                <w:u w:val="single"/>
              </w:rPr>
              <w:t xml:space="preserve">   </w:t>
            </w:r>
            <w:r>
              <w:rPr>
                <w:rFonts w:hint="eastAsia" w:ascii="宋体" w:hAnsi="宋体"/>
                <w:szCs w:val="21"/>
              </w:rPr>
              <w:t>年（指</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投</w:t>
            </w:r>
            <w:r>
              <w:rPr>
                <w:rFonts w:hint="eastAsia" w:ascii="宋体" w:hAnsi="宋体"/>
                <w:szCs w:val="21"/>
              </w:rPr>
              <w:t>标截止日，勘察设计以相应设计阶段的批复时间为准）的已完工程业绩应同时满足：</w:t>
            </w:r>
          </w:p>
          <w:p w14:paraId="11963329">
            <w:pPr>
              <w:tabs>
                <w:tab w:val="left" w:pos="5542"/>
              </w:tabs>
              <w:snapToGrid/>
              <w:spacing w:line="400" w:lineRule="exact"/>
              <w:ind w:left="0" w:firstLine="211" w:firstLineChars="100"/>
              <w:rPr>
                <w:rFonts w:ascii="宋体" w:hAnsi="宋体"/>
                <w:szCs w:val="21"/>
              </w:rPr>
            </w:pPr>
            <w:r>
              <w:rPr>
                <w:rFonts w:hint="eastAsia" w:ascii="宋体" w:hAnsi="宋体" w:cs="宋体"/>
                <w:b/>
                <w:bCs/>
                <w:szCs w:val="21"/>
              </w:rPr>
              <w:t xml:space="preserve">□ </w:t>
            </w:r>
            <w:r>
              <w:rPr>
                <w:rFonts w:hint="eastAsia" w:ascii="宋体" w:hAnsi="宋体" w:cs="宋体"/>
                <w:szCs w:val="21"/>
              </w:rPr>
              <w:t>至少</w:t>
            </w:r>
            <w:r>
              <w:rPr>
                <w:rFonts w:hint="eastAsia" w:ascii="宋体" w:hAnsi="宋体"/>
                <w:szCs w:val="21"/>
              </w:rPr>
              <w:t>完成</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段每段里程不低于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公里的国内（□新建；□改扩建；□新建或改扩建）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公路（必须包含□路线、□路基、□路面、□桥涵、□隧道、□路线交叉、□环境保护与景观设计、□安全设施、□交通工程及沿线设施）（□初步；□施工图；□初步或施工图）勘察设计工作，其中至少有</w:t>
            </w:r>
            <w:r>
              <w:rPr>
                <w:rFonts w:hint="eastAsia" w:ascii="宋体" w:hAnsi="宋体"/>
                <w:szCs w:val="21"/>
                <w:u w:val="single"/>
              </w:rPr>
              <w:t xml:space="preserve">   </w:t>
            </w:r>
            <w:r>
              <w:rPr>
                <w:rFonts w:hint="eastAsia" w:ascii="宋体" w:hAnsi="宋体"/>
                <w:szCs w:val="21"/>
              </w:rPr>
              <w:t>段桥隧比不低于</w:t>
            </w:r>
            <w:r>
              <w:rPr>
                <w:rFonts w:hint="eastAsia" w:ascii="宋体" w:hAnsi="宋体"/>
                <w:szCs w:val="21"/>
                <w:u w:val="single"/>
              </w:rPr>
              <w:t xml:space="preserve">    </w:t>
            </w:r>
            <w:r>
              <w:rPr>
                <w:rFonts w:hint="eastAsia" w:ascii="宋体" w:hAnsi="宋体"/>
                <w:szCs w:val="21"/>
              </w:rPr>
              <w:t>%；</w:t>
            </w:r>
          </w:p>
          <w:p w14:paraId="5FC72310">
            <w:pPr>
              <w:widowControl/>
              <w:tabs>
                <w:tab w:val="left" w:pos="5542"/>
              </w:tabs>
              <w:spacing w:line="400" w:lineRule="exact"/>
              <w:ind w:left="0" w:leftChars="0" w:firstLine="210" w:firstLineChars="100"/>
              <w:jc w:val="left"/>
              <w:rPr>
                <w:rFonts w:ascii="宋体" w:hAnsi="宋体"/>
                <w:szCs w:val="21"/>
              </w:rPr>
            </w:pPr>
            <w:r>
              <w:rPr>
                <w:rFonts w:hint="eastAsia" w:ascii="宋体" w:hAnsi="宋体"/>
                <w:szCs w:val="21"/>
              </w:rPr>
              <w:t>注：业绩包含的专业可为选择项中的一项或多项，多项选择的视为应同时具备；未选择的项，视为不含该项专业。</w:t>
            </w:r>
          </w:p>
          <w:p w14:paraId="688E63DB">
            <w:pPr>
              <w:tabs>
                <w:tab w:val="left" w:pos="5542"/>
              </w:tabs>
              <w:snapToGrid/>
              <w:spacing w:line="400" w:lineRule="exact"/>
              <w:ind w:left="0" w:firstLine="211" w:firstLineChars="100"/>
              <w:rPr>
                <w:rFonts w:ascii="宋体" w:hAnsi="宋体"/>
                <w:szCs w:val="21"/>
              </w:rPr>
            </w:pPr>
            <w:r>
              <w:rPr>
                <w:rFonts w:hint="eastAsia" w:ascii="宋体" w:hAnsi="宋体" w:cs="宋体"/>
                <w:b/>
                <w:bCs/>
                <w:szCs w:val="21"/>
              </w:rPr>
              <w:t xml:space="preserve">□ </w:t>
            </w:r>
            <w:r>
              <w:rPr>
                <w:rFonts w:hint="eastAsia" w:ascii="宋体" w:hAnsi="宋体" w:cs="宋体"/>
                <w:szCs w:val="21"/>
              </w:rPr>
              <w:t>至少</w:t>
            </w:r>
            <w:r>
              <w:rPr>
                <w:rFonts w:hint="eastAsia" w:ascii="宋体" w:hAnsi="宋体"/>
                <w:szCs w:val="21"/>
              </w:rPr>
              <w:t>完成</w:t>
            </w:r>
            <w:r>
              <w:rPr>
                <w:rFonts w:hint="eastAsia" w:ascii="宋体" w:hAnsi="宋体"/>
                <w:szCs w:val="21"/>
                <w:u w:val="single"/>
              </w:rPr>
              <w:t xml:space="preserve">     </w:t>
            </w:r>
            <w:r>
              <w:rPr>
                <w:rFonts w:hint="eastAsia" w:ascii="宋体" w:hAnsi="宋体"/>
                <w:szCs w:val="21"/>
              </w:rPr>
              <w:t>座国内（□新建；□改扩建；□新建或改扩建）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级及以上公路特大桥（□初步；□施工图；□初步或施工图）勘察设计工作，其中至少有</w:t>
            </w:r>
            <w:r>
              <w:rPr>
                <w:rFonts w:hint="eastAsia" w:ascii="宋体" w:hAnsi="宋体"/>
                <w:szCs w:val="21"/>
                <w:u w:val="single"/>
              </w:rPr>
              <w:t xml:space="preserve">    </w:t>
            </w:r>
            <w:r>
              <w:rPr>
                <w:rFonts w:hint="eastAsia" w:ascii="宋体" w:hAnsi="宋体"/>
                <w:szCs w:val="21"/>
              </w:rPr>
              <w:t>座</w:t>
            </w:r>
          </w:p>
          <w:p w14:paraId="49167107">
            <w:pPr>
              <w:tabs>
                <w:tab w:val="left" w:pos="5542"/>
              </w:tabs>
              <w:snapToGrid/>
              <w:spacing w:line="400" w:lineRule="exact"/>
              <w:ind w:left="0" w:firstLine="210" w:firstLineChars="100"/>
              <w:rPr>
                <w:rFonts w:ascii="宋体" w:hAnsi="宋体"/>
                <w:szCs w:val="21"/>
              </w:rPr>
            </w:pPr>
            <w:r>
              <w:rPr>
                <w:rFonts w:hint="eastAsia" w:ascii="宋体" w:hAnsi="宋体"/>
                <w:szCs w:val="21"/>
              </w:rPr>
              <w:t xml:space="preserve">   单跨跨径不低于</w:t>
            </w:r>
            <w:r>
              <w:rPr>
                <w:rFonts w:hint="eastAsia" w:ascii="宋体" w:hAnsi="宋体"/>
                <w:szCs w:val="21"/>
                <w:u w:val="single"/>
              </w:rPr>
              <w:t xml:space="preserve">    </w:t>
            </w:r>
            <w:r>
              <w:rPr>
                <w:rFonts w:hint="eastAsia" w:ascii="宋体" w:hAnsi="宋体"/>
                <w:szCs w:val="21"/>
              </w:rPr>
              <w:t>米的国内公路</w:t>
            </w:r>
            <w:r>
              <w:rPr>
                <w:rFonts w:hint="eastAsia" w:ascii="宋体" w:hAnsi="宋体"/>
                <w:szCs w:val="21"/>
                <w:u w:val="single"/>
              </w:rPr>
              <w:t>（桥梁类型）</w:t>
            </w:r>
            <w:r>
              <w:rPr>
                <w:rFonts w:hint="eastAsia" w:ascii="宋体" w:hAnsi="宋体"/>
                <w:szCs w:val="21"/>
              </w:rPr>
              <w:t>；</w:t>
            </w:r>
          </w:p>
          <w:p w14:paraId="48622E8D">
            <w:pPr>
              <w:widowControl/>
              <w:tabs>
                <w:tab w:val="left" w:pos="5542"/>
              </w:tabs>
              <w:spacing w:line="400" w:lineRule="exact"/>
              <w:ind w:left="0" w:leftChars="0" w:firstLine="210" w:firstLineChars="100"/>
              <w:jc w:val="left"/>
              <w:rPr>
                <w:rFonts w:ascii="宋体" w:hAnsi="宋体"/>
                <w:szCs w:val="21"/>
              </w:rPr>
            </w:pPr>
            <w:r>
              <w:rPr>
                <w:rFonts w:hint="eastAsia" w:ascii="宋体" w:hAnsi="宋体"/>
                <w:szCs w:val="21"/>
              </w:rPr>
              <w:t>注：桥梁类型应为具有较大跨径的悬索桥、斜拉桥等特殊性结构桥梁，非一般性连续刚构桥梁。</w:t>
            </w:r>
          </w:p>
          <w:p w14:paraId="62E7A175">
            <w:pPr>
              <w:tabs>
                <w:tab w:val="left" w:pos="5542"/>
              </w:tabs>
              <w:snapToGrid/>
              <w:spacing w:line="400" w:lineRule="exact"/>
              <w:ind w:left="0" w:firstLine="211" w:firstLineChars="100"/>
              <w:rPr>
                <w:rFonts w:ascii="宋体" w:hAnsi="宋体"/>
                <w:szCs w:val="21"/>
              </w:rPr>
            </w:pPr>
            <w:r>
              <w:rPr>
                <w:rFonts w:hint="eastAsia" w:ascii="宋体" w:hAnsi="宋体" w:cs="宋体"/>
                <w:b/>
                <w:bCs/>
                <w:szCs w:val="21"/>
              </w:rPr>
              <w:t xml:space="preserve">□ </w:t>
            </w:r>
            <w:r>
              <w:rPr>
                <w:rFonts w:hint="eastAsia" w:ascii="宋体" w:hAnsi="宋体" w:cs="宋体"/>
                <w:szCs w:val="21"/>
              </w:rPr>
              <w:t>至少</w:t>
            </w:r>
            <w:r>
              <w:rPr>
                <w:rFonts w:hint="eastAsia" w:ascii="宋体" w:hAnsi="宋体"/>
                <w:szCs w:val="21"/>
              </w:rPr>
              <w:t>完成</w:t>
            </w:r>
            <w:r>
              <w:rPr>
                <w:rFonts w:hint="eastAsia" w:ascii="宋体" w:hAnsi="宋体"/>
                <w:szCs w:val="21"/>
                <w:u w:val="single"/>
              </w:rPr>
              <w:t xml:space="preserve">    </w:t>
            </w:r>
            <w:r>
              <w:rPr>
                <w:rFonts w:hint="eastAsia" w:ascii="宋体" w:hAnsi="宋体"/>
                <w:szCs w:val="21"/>
              </w:rPr>
              <w:t>座国内（□新建；□改扩建；□新建或改扩建）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级及以上公路特长隧道（其中至少有</w:t>
            </w:r>
            <w:r>
              <w:rPr>
                <w:rFonts w:hint="eastAsia" w:ascii="宋体" w:hAnsi="宋体"/>
                <w:szCs w:val="21"/>
                <w:u w:val="single"/>
              </w:rPr>
              <w:t xml:space="preserve">    </w:t>
            </w:r>
            <w:r>
              <w:rPr>
                <w:rFonts w:hint="eastAsia" w:ascii="宋体" w:hAnsi="宋体"/>
                <w:szCs w:val="21"/>
              </w:rPr>
              <w:t>座隧道长度大于</w:t>
            </w:r>
            <w:r>
              <w:rPr>
                <w:rFonts w:hint="eastAsia" w:ascii="宋体" w:hAnsi="宋体"/>
                <w:szCs w:val="21"/>
                <w:u w:val="single"/>
              </w:rPr>
              <w:t xml:space="preserve">      </w:t>
            </w:r>
            <w:r>
              <w:rPr>
                <w:rFonts w:hint="eastAsia" w:ascii="宋体" w:hAnsi="宋体"/>
                <w:szCs w:val="21"/>
              </w:rPr>
              <w:t>米）的（□初步；</w:t>
            </w:r>
            <w:r>
              <w:rPr>
                <w:rFonts w:hint="eastAsia" w:ascii="宋体" w:hAnsi="宋体"/>
                <w:szCs w:val="21"/>
              </w:rPr>
              <w:sym w:font="Wingdings 2" w:char="00A3"/>
            </w:r>
            <w:r>
              <w:rPr>
                <w:rFonts w:hint="eastAsia" w:ascii="宋体" w:hAnsi="宋体"/>
                <w:szCs w:val="21"/>
              </w:rPr>
              <w:t>施工图；</w:t>
            </w:r>
          </w:p>
          <w:p w14:paraId="4B04A9A4">
            <w:pPr>
              <w:tabs>
                <w:tab w:val="left" w:pos="5542"/>
              </w:tabs>
              <w:snapToGrid/>
              <w:spacing w:line="400" w:lineRule="exact"/>
              <w:ind w:left="0" w:firstLine="210" w:firstLineChars="100"/>
              <w:rPr>
                <w:rFonts w:ascii="宋体" w:hAnsi="宋体"/>
                <w:szCs w:val="21"/>
              </w:rPr>
            </w:pPr>
            <w:r>
              <w:rPr>
                <w:rFonts w:hint="eastAsia" w:ascii="宋体" w:hAnsi="宋体"/>
                <w:szCs w:val="21"/>
              </w:rPr>
              <w:t xml:space="preserve">   □初步或施工图）勘察设计工作；</w:t>
            </w:r>
          </w:p>
          <w:p w14:paraId="5BC7CDCD">
            <w:pPr>
              <w:tabs>
                <w:tab w:val="left" w:pos="5542"/>
              </w:tabs>
              <w:spacing w:after="0" w:line="400" w:lineRule="exact"/>
              <w:ind w:left="0" w:leftChars="0" w:firstLineChars="100"/>
            </w:pPr>
            <w:r>
              <w:rPr>
                <w:rFonts w:hint="eastAsia"/>
              </w:rPr>
              <w:t>注：</w:t>
            </w:r>
            <w:r>
              <w:rPr>
                <w:rFonts w:hint="eastAsia" w:ascii="宋体" w:hAnsi="宋体" w:cs="宋体"/>
              </w:rPr>
              <w:t>对于具有双洞的隧道，其承担隧道长度以左右线隧道长度较长的为准；若只有单洞的，则以承担单洞隧道长度数据为准。隧道单洞长度不含</w:t>
            </w:r>
            <w:r>
              <w:rPr>
                <w:rFonts w:hint="eastAsia"/>
                <w:szCs w:val="21"/>
              </w:rPr>
              <w:t>斜井、竖井、支洞。</w:t>
            </w:r>
          </w:p>
          <w:p w14:paraId="6E6F7814">
            <w:pPr>
              <w:tabs>
                <w:tab w:val="left" w:pos="5542"/>
              </w:tabs>
              <w:snapToGrid/>
              <w:spacing w:line="400" w:lineRule="exact"/>
              <w:ind w:firstLine="211" w:firstLineChars="100"/>
              <w:rPr>
                <w:rFonts w:ascii="宋体" w:hAnsi="宋体"/>
                <w:szCs w:val="21"/>
                <w:u w:val="single"/>
              </w:rPr>
            </w:pPr>
            <w:r>
              <w:rPr>
                <w:rFonts w:hint="eastAsia" w:ascii="宋体" w:hAnsi="宋体" w:cs="宋体"/>
                <w:b/>
                <w:bCs/>
                <w:szCs w:val="21"/>
              </w:rPr>
              <w:t xml:space="preserve">□ </w:t>
            </w:r>
            <w:r>
              <w:rPr>
                <w:rFonts w:hint="eastAsia" w:ascii="宋体" w:hAnsi="宋体"/>
                <w:szCs w:val="21"/>
              </w:rPr>
              <w:t>其他：</w:t>
            </w:r>
            <w:r>
              <w:rPr>
                <w:rFonts w:ascii="宋体" w:hAnsi="宋体"/>
                <w:szCs w:val="21"/>
                <w:u w:val="single"/>
              </w:rPr>
              <w:t xml:space="preserve">                                 </w:t>
            </w:r>
          </w:p>
          <w:p w14:paraId="0FCDE5B6">
            <w:pPr>
              <w:tabs>
                <w:tab w:val="left" w:pos="5542"/>
              </w:tabs>
              <w:snapToGrid/>
              <w:spacing w:line="400" w:lineRule="exact"/>
              <w:ind w:firstLine="211" w:firstLineChars="100"/>
              <w:rPr>
                <w:rFonts w:asciiTheme="minorEastAsia" w:hAnsiTheme="minorEastAsia" w:eastAsiaTheme="minorEastAsia"/>
                <w:szCs w:val="21"/>
              </w:rPr>
            </w:pPr>
            <w:r>
              <w:rPr>
                <w:rFonts w:hint="eastAsia" w:ascii="宋体" w:hAnsi="宋体" w:cs="宋体"/>
                <w:b/>
                <w:bCs/>
                <w:szCs w:val="21"/>
              </w:rPr>
              <w:t xml:space="preserve">□ </w:t>
            </w:r>
            <w:r>
              <w:rPr>
                <w:rFonts w:ascii="宋体" w:hAnsi="宋体" w:cs="宋体"/>
                <w:kern w:val="0"/>
                <w:szCs w:val="21"/>
              </w:rPr>
              <w:t>联合体应满足下列要求</w:t>
            </w:r>
            <w:r>
              <w:rPr>
                <w:rFonts w:hint="eastAsia" w:ascii="宋体" w:hAnsi="宋体" w:cs="宋体"/>
                <w:kern w:val="0"/>
                <w:szCs w:val="21"/>
              </w:rPr>
              <w:t>：</w:t>
            </w:r>
            <w:r>
              <w:rPr>
                <w:rFonts w:hint="eastAsia" w:ascii="宋体" w:hAnsi="宋体" w:cs="宋体"/>
                <w:kern w:val="0"/>
                <w:szCs w:val="21"/>
                <w:u w:val="single"/>
              </w:rPr>
              <w:t xml:space="preserve">                 </w:t>
            </w:r>
          </w:p>
          <w:p w14:paraId="19286C21">
            <w:pPr>
              <w:tabs>
                <w:tab w:val="left" w:pos="5542"/>
              </w:tabs>
              <w:snapToGrid/>
              <w:spacing w:line="400" w:lineRule="exact"/>
              <w:ind w:firstLine="211" w:firstLineChars="100"/>
              <w:rPr>
                <w:rFonts w:asciiTheme="minorEastAsia" w:hAnsiTheme="minorEastAsia" w:eastAsiaTheme="minorEastAsia"/>
                <w:b/>
                <w:bCs/>
                <w:szCs w:val="21"/>
              </w:rPr>
            </w:pPr>
            <w:r>
              <w:rPr>
                <w:rFonts w:hint="eastAsia" w:asciiTheme="minorEastAsia" w:hAnsiTheme="minorEastAsia" w:eastAsiaTheme="minorEastAsia"/>
                <w:b/>
                <w:bCs/>
                <w:szCs w:val="21"/>
              </w:rPr>
              <w:t>（</w:t>
            </w:r>
            <w:r>
              <w:rPr>
                <w:rFonts w:asciiTheme="minorEastAsia" w:hAnsiTheme="minorEastAsia" w:eastAsiaTheme="minorEastAsia"/>
                <w:b/>
                <w:bCs/>
                <w:szCs w:val="21"/>
              </w:rPr>
              <w:t>2）施工业绩</w:t>
            </w:r>
            <w:r>
              <w:rPr>
                <w:rFonts w:hint="eastAsia" w:asciiTheme="minorEastAsia" w:hAnsiTheme="minorEastAsia" w:eastAsiaTheme="minorEastAsia"/>
                <w:b/>
                <w:bCs/>
                <w:szCs w:val="21"/>
              </w:rPr>
              <w:t>：</w:t>
            </w:r>
          </w:p>
          <w:p w14:paraId="43F8582C">
            <w:pPr>
              <w:tabs>
                <w:tab w:val="left" w:pos="5542"/>
              </w:tabs>
              <w:snapToGrid/>
              <w:spacing w:line="400" w:lineRule="exact"/>
              <w:ind w:firstLine="210" w:firstLineChars="100"/>
              <w:rPr>
                <w:rFonts w:ascii="宋体" w:hAnsi="宋体"/>
                <w:szCs w:val="21"/>
              </w:rPr>
            </w:pPr>
            <w:r>
              <w:rPr>
                <w:rFonts w:hint="eastAsia" w:asciiTheme="minorEastAsia" w:hAnsiTheme="minorEastAsia" w:eastAsiaTheme="minorEastAsia"/>
                <w:szCs w:val="21"/>
              </w:rPr>
              <w:t>投标人近</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年（指</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r>
              <w:rPr>
                <w:rFonts w:hint="eastAsia" w:cs="宋体" w:asciiTheme="minorEastAsia" w:hAnsiTheme="minorEastAsia" w:eastAsiaTheme="minorEastAsia"/>
                <w:szCs w:val="21"/>
              </w:rPr>
              <w:t>投标截止日</w:t>
            </w:r>
            <w:r>
              <w:rPr>
                <w:rFonts w:hint="eastAsia" w:asciiTheme="minorEastAsia" w:hAnsiTheme="minorEastAsia" w:eastAsiaTheme="minorEastAsia"/>
                <w:szCs w:val="21"/>
              </w:rPr>
              <w:t>，以项目交工验收时间为准）的已完工程业绩应同时满足：</w:t>
            </w:r>
            <w:r>
              <w:rPr>
                <w:rFonts w:ascii="宋体" w:hAnsi="宋体"/>
                <w:szCs w:val="21"/>
              </w:rPr>
              <w:t xml:space="preserve"> </w:t>
            </w:r>
          </w:p>
          <w:p w14:paraId="75FC8829">
            <w:pPr>
              <w:tabs>
                <w:tab w:val="left" w:pos="5542"/>
              </w:tabs>
              <w:adjustRightInd/>
              <w:snapToGrid/>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至少完成</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p>
          <w:p w14:paraId="6A92903B">
            <w:pPr>
              <w:tabs>
                <w:tab w:val="left" w:pos="5542"/>
              </w:tabs>
              <w:adjustRightInd/>
              <w:snapToGrid/>
              <w:spacing w:line="400" w:lineRule="exact"/>
              <w:ind w:firstLine="210" w:firstLineChars="10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公路标段长度</w:t>
            </w:r>
            <w:r>
              <w:rPr>
                <w:rFonts w:ascii="宋体" w:hAnsi="宋体" w:cs="宋体"/>
                <w:szCs w:val="21"/>
                <w:u w:val="single"/>
              </w:rPr>
              <w:t xml:space="preserve">      </w:t>
            </w:r>
            <w:r>
              <w:rPr>
                <w:rFonts w:hint="eastAsia" w:ascii="宋体" w:hAnsi="宋体" w:cs="宋体"/>
                <w:szCs w:val="21"/>
              </w:rPr>
              <w:t>公里及以上的路基土建工程施工项目。</w:t>
            </w:r>
          </w:p>
          <w:p w14:paraId="52A82CBE">
            <w:pPr>
              <w:tabs>
                <w:tab w:val="left" w:pos="5542"/>
              </w:tabs>
              <w:adjustRightInd/>
              <w:snapToGrid/>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至少完成</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座国内（□新建；□改扩建；□新建或改扩建）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p>
          <w:p w14:paraId="24C1F44A">
            <w:pPr>
              <w:tabs>
                <w:tab w:val="left" w:pos="5542"/>
              </w:tabs>
              <w:adjustRightInd/>
              <w:snapToGrid/>
              <w:spacing w:line="400" w:lineRule="exact"/>
              <w:ind w:firstLine="210" w:firstLineChars="10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公路（□大桥；□特大桥）施工，□其中须至少包含（□同时包含；□包含</w:t>
            </w:r>
          </w:p>
          <w:p w14:paraId="18BE8B5B">
            <w:pPr>
              <w:tabs>
                <w:tab w:val="left" w:pos="5542"/>
              </w:tabs>
              <w:adjustRightInd/>
              <w:snapToGrid/>
              <w:spacing w:line="400" w:lineRule="exact"/>
              <w:ind w:firstLine="210" w:firstLineChars="100"/>
              <w:rPr>
                <w:rFonts w:ascii="宋体" w:hAnsi="宋体" w:cs="宋体"/>
                <w:szCs w:val="21"/>
                <w:u w:val="single"/>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其中之一）主跨桥梁类型：</w:t>
            </w:r>
          </w:p>
          <w:p w14:paraId="4C8B9E99">
            <w:pPr>
              <w:tabs>
                <w:tab w:val="left" w:pos="5542"/>
              </w:tabs>
              <w:adjustRightInd/>
              <w:snapToGrid/>
              <w:spacing w:line="400" w:lineRule="exact"/>
              <w:ind w:firstLine="210" w:firstLineChars="100"/>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6996D151">
            <w:pPr>
              <w:tabs>
                <w:tab w:val="left" w:pos="5542"/>
              </w:tabs>
              <w:adjustRightInd/>
              <w:snapToGrid/>
              <w:spacing w:line="400" w:lineRule="exact"/>
              <w:ind w:firstLine="210" w:firstLineChars="100"/>
              <w:rPr>
                <w:rFonts w:ascii="宋体" w:hAnsi="宋体" w:cs="宋体"/>
                <w:szCs w:val="21"/>
              </w:rPr>
            </w:pPr>
            <w:r>
              <w:rPr>
                <w:rFonts w:hint="eastAsia" w:ascii="宋体" w:hAnsi="宋体" w:cs="宋体"/>
                <w:szCs w:val="21"/>
              </w:rPr>
              <w:t>注：</w:t>
            </w:r>
            <w:r>
              <w:rPr>
                <w:rFonts w:hint="eastAsia" w:ascii="宋体" w:hAnsi="宋体"/>
              </w:rPr>
              <w:t>对于左右幅桥长不相同的桥梁，其桥梁长度以</w:t>
            </w:r>
            <w:r>
              <w:rPr>
                <w:rFonts w:hint="eastAsia" w:ascii="宋体" w:hAnsi="宋体" w:cs="宋体"/>
              </w:rPr>
              <w:t>左右幅长度</w:t>
            </w:r>
            <w:r>
              <w:rPr>
                <w:rFonts w:hint="eastAsia" w:ascii="宋体" w:hAnsi="宋体"/>
              </w:rPr>
              <w:t>较长的为准；若只有单幅的，则以单幅桥梁长度数据为准。</w:t>
            </w:r>
          </w:p>
          <w:p w14:paraId="0BD9014E">
            <w:pPr>
              <w:tabs>
                <w:tab w:val="left" w:pos="5542"/>
              </w:tabs>
              <w:adjustRightInd/>
              <w:snapToGrid/>
              <w:spacing w:line="400" w:lineRule="exact"/>
              <w:ind w:firstLine="210" w:firstLineChars="100"/>
              <w:rPr>
                <w:rFonts w:ascii="宋体" w:hAnsi="宋体" w:cs="宋体"/>
                <w:szCs w:val="21"/>
              </w:rPr>
            </w:pPr>
            <w:r>
              <w:rPr>
                <w:rFonts w:ascii="宋体" w:hAnsi="宋体" w:cs="宋体"/>
                <w:szCs w:val="21"/>
              </w:rPr>
              <w:t xml:space="preserve">      </w:t>
            </w: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2C54C6F1">
            <w:pPr>
              <w:tabs>
                <w:tab w:val="left" w:pos="5542"/>
              </w:tabs>
              <w:adjustRightInd/>
              <w:snapToGrid/>
              <w:spacing w:line="400" w:lineRule="exact"/>
              <w:ind w:firstLine="210" w:firstLineChars="100"/>
              <w:rPr>
                <w:rFonts w:ascii="宋体" w:hAnsi="宋体" w:cs="宋体"/>
                <w:szCs w:val="21"/>
              </w:rPr>
            </w:pPr>
            <w:r>
              <w:rPr>
                <w:rFonts w:ascii="宋体" w:hAnsi="宋体" w:cs="宋体"/>
                <w:szCs w:val="21"/>
              </w:rPr>
              <w:t xml:space="preserve">      </w:t>
            </w: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3F7C64CA">
            <w:pPr>
              <w:tabs>
                <w:tab w:val="left" w:pos="5542"/>
              </w:tabs>
              <w:adjustRightInd/>
              <w:snapToGrid/>
              <w:spacing w:line="400" w:lineRule="exact"/>
              <w:ind w:firstLine="210" w:firstLineChars="100"/>
              <w:rPr>
                <w:rFonts w:ascii="宋体" w:hAnsi="宋体" w:cs="宋体"/>
                <w:szCs w:val="21"/>
              </w:rPr>
            </w:pPr>
            <w:r>
              <w:rPr>
                <w:rFonts w:ascii="宋体" w:hAnsi="宋体" w:cs="宋体"/>
                <w:szCs w:val="21"/>
              </w:rPr>
              <w:t xml:space="preserve">      </w:t>
            </w: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79E42B09">
            <w:pPr>
              <w:tabs>
                <w:tab w:val="left" w:pos="5542"/>
              </w:tabs>
              <w:adjustRightInd/>
              <w:snapToGrid/>
              <w:spacing w:line="400" w:lineRule="exact"/>
              <w:ind w:firstLine="210" w:firstLineChars="100"/>
              <w:rPr>
                <w:rFonts w:ascii="宋体" w:hAnsi="宋体" w:cs="宋体"/>
                <w:szCs w:val="21"/>
              </w:rPr>
            </w:pPr>
            <w:r>
              <w:rPr>
                <w:rFonts w:ascii="宋体" w:hAnsi="宋体" w:cs="宋体"/>
                <w:szCs w:val="21"/>
              </w:rPr>
              <w:t xml:space="preserve">      </w:t>
            </w: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13937FA1">
            <w:pPr>
              <w:tabs>
                <w:tab w:val="left" w:pos="5542"/>
              </w:tabs>
              <w:adjustRightInd/>
              <w:snapToGrid/>
              <w:spacing w:line="400" w:lineRule="exact"/>
              <w:ind w:firstLine="210" w:firstLineChars="100"/>
              <w:rPr>
                <w:rFonts w:ascii="宋体" w:hAnsi="宋体" w:cs="宋体"/>
                <w:szCs w:val="21"/>
              </w:rPr>
            </w:pPr>
            <w:r>
              <w:rPr>
                <w:rFonts w:ascii="宋体" w:hAnsi="宋体" w:cs="宋体"/>
                <w:szCs w:val="21"/>
              </w:rPr>
              <w:t xml:space="preserve">      </w:t>
            </w:r>
            <w:r>
              <w:rPr>
                <w:rFonts w:hint="eastAsia" w:ascii="宋体" w:hAnsi="宋体" w:cs="宋体"/>
                <w:szCs w:val="21"/>
              </w:rPr>
              <w:t>□其他：</w:t>
            </w:r>
            <w:r>
              <w:rPr>
                <w:rFonts w:ascii="宋体" w:hAnsi="宋体" w:cs="宋体"/>
                <w:szCs w:val="21"/>
                <w:u w:val="single"/>
              </w:rPr>
              <w:t xml:space="preserve">     </w:t>
            </w:r>
            <w:r>
              <w:rPr>
                <w:rFonts w:ascii="宋体" w:hAnsi="宋体" w:cs="宋体"/>
                <w:szCs w:val="21"/>
              </w:rPr>
              <w:t xml:space="preserve"> ,主跨跨径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r>
              <w:rPr>
                <w:rFonts w:ascii="宋体" w:hAnsi="宋体" w:cs="宋体"/>
                <w:szCs w:val="21"/>
              </w:rPr>
              <w:t xml:space="preserve">  </w:t>
            </w:r>
          </w:p>
          <w:p w14:paraId="28AFE44A">
            <w:pPr>
              <w:tabs>
                <w:tab w:val="left" w:pos="5542"/>
              </w:tabs>
              <w:adjustRightInd/>
              <w:snapToGrid/>
              <w:spacing w:line="400" w:lineRule="exact"/>
              <w:ind w:left="0" w:leftChars="0" w:firstLine="210" w:firstLineChars="100"/>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lang w:val="en-US" w:eastAsia="zh-CN"/>
              </w:rPr>
              <w:t>该</w:t>
            </w:r>
            <w:r>
              <w:rPr>
                <w:rFonts w:hint="eastAsia" w:ascii="宋体" w:hAnsi="宋体" w:cs="宋体"/>
                <w:szCs w:val="21"/>
              </w:rPr>
              <w:t>桥梁工程可为路基土建工程中包含的内容或者单独桥梁工程合同的项目。</w:t>
            </w:r>
          </w:p>
          <w:p w14:paraId="5E51B8DA">
            <w:pPr>
              <w:tabs>
                <w:tab w:val="left" w:pos="5542"/>
              </w:tabs>
              <w:adjustRightInd/>
              <w:snapToGrid/>
              <w:spacing w:line="400" w:lineRule="exact"/>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主跨桥梁</w:t>
            </w:r>
            <w:r>
              <w:rPr>
                <w:rFonts w:hint="eastAsia" w:ascii="宋体" w:hAnsi="宋体" w:cs="宋体"/>
                <w:szCs w:val="21"/>
                <w:lang w:val="en-US" w:eastAsia="zh-CN"/>
              </w:rPr>
              <w:t>类型</w:t>
            </w:r>
            <w:r>
              <w:rPr>
                <w:rFonts w:hint="eastAsia" w:ascii="宋体" w:hAnsi="宋体" w:cs="宋体"/>
                <w:szCs w:val="21"/>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w:t>
            </w:r>
            <w:r>
              <w:rPr>
                <w:rFonts w:ascii="宋体" w:hAnsi="宋体" w:cs="宋体"/>
                <w:szCs w:val="21"/>
              </w:rPr>
              <w:t>2</w:t>
            </w:r>
            <w:r>
              <w:rPr>
                <w:rFonts w:hint="eastAsia" w:ascii="宋体" w:hAnsi="宋体" w:cs="宋体"/>
                <w:szCs w:val="21"/>
              </w:rPr>
              <w:t>种类型。</w:t>
            </w:r>
          </w:p>
          <w:p w14:paraId="6A4013D8">
            <w:pPr>
              <w:tabs>
                <w:tab w:val="left" w:pos="5542"/>
              </w:tabs>
              <w:adjustRightInd/>
              <w:snapToGrid/>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至少</w:t>
            </w:r>
            <w:r>
              <w:rPr>
                <w:rFonts w:hint="eastAsia" w:ascii="宋体" w:hAnsi="宋体" w:cs="宋体"/>
                <w:szCs w:val="21"/>
              </w:rPr>
              <w:t>完成</w:t>
            </w:r>
            <w:r>
              <w:rPr>
                <w:rFonts w:ascii="宋体" w:hAnsi="宋体" w:cs="宋体"/>
                <w:szCs w:val="21"/>
                <w:u w:val="single"/>
              </w:rPr>
              <w:t xml:space="preserve">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ascii="宋体" w:hAnsi="宋体" w:cs="宋体"/>
                <w:szCs w:val="21"/>
                <w:u w:val="single"/>
              </w:rPr>
              <w:t xml:space="preserve">     </w:t>
            </w:r>
            <w:r>
              <w:rPr>
                <w:rFonts w:hint="eastAsia" w:ascii="宋体" w:hAnsi="宋体" w:cs="宋体"/>
                <w:szCs w:val="21"/>
              </w:rPr>
              <w:t>米及以上特长隧道）</w:t>
            </w:r>
            <w:r>
              <w:rPr>
                <w:rFonts w:hint="eastAsia" w:cs="宋体" w:asciiTheme="minorEastAsia" w:hAnsiTheme="minorEastAsia" w:eastAsiaTheme="minorEastAsia"/>
                <w:szCs w:val="21"/>
              </w:rPr>
              <w:t>掘进长度</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米的</w:t>
            </w:r>
            <w:r>
              <w:rPr>
                <w:rFonts w:hint="eastAsia" w:ascii="宋体" w:hAnsi="宋体" w:cs="宋体"/>
                <w:szCs w:val="21"/>
              </w:rPr>
              <w:t>施工。</w:t>
            </w:r>
          </w:p>
          <w:p w14:paraId="0AA96A3A">
            <w:pPr>
              <w:tabs>
                <w:tab w:val="left" w:pos="5542"/>
              </w:tabs>
              <w:adjustRightInd/>
              <w:snapToGrid/>
              <w:spacing w:line="400" w:lineRule="exact"/>
              <w:ind w:firstLine="210" w:firstLineChars="100"/>
              <w:rPr>
                <w:rFonts w:hint="eastAsia" w:ascii="宋体" w:hAnsi="宋体" w:cs="宋体"/>
                <w:szCs w:val="21"/>
              </w:rPr>
            </w:pPr>
            <w:r>
              <w:rPr>
                <w:rFonts w:hint="eastAsia" w:ascii="宋体" w:hAnsi="宋体" w:cs="宋体"/>
                <w:szCs w:val="21"/>
              </w:rPr>
              <w:t>注：1.单洞长度，对于具有双洞的隧道，其承担隧道长度以左右线隧道长度较长的为准；若只有单洞的，则以承担单洞隧道长度数据为准。隧道单洞长度不含斜井、竖井、支洞。</w:t>
            </w:r>
          </w:p>
          <w:p w14:paraId="4D5F9B36">
            <w:pPr>
              <w:tabs>
                <w:tab w:val="left" w:pos="5542"/>
              </w:tabs>
              <w:adjustRightInd/>
              <w:snapToGrid/>
              <w:spacing w:line="400" w:lineRule="exact"/>
              <w:ind w:left="0" w:leftChars="0" w:firstLine="420" w:firstLineChars="200"/>
              <w:rPr>
                <w:rFonts w:ascii="宋体" w:hAnsi="宋体" w:cs="宋体"/>
                <w:szCs w:val="21"/>
              </w:rPr>
            </w:pPr>
            <w:r>
              <w:rPr>
                <w:rFonts w:hint="eastAsia" w:ascii="宋体" w:hAnsi="宋体" w:cs="宋体"/>
                <w:szCs w:val="21"/>
              </w:rPr>
              <w:t>2.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153B30ED">
            <w:pPr>
              <w:tabs>
                <w:tab w:val="left" w:pos="5542"/>
              </w:tabs>
              <w:adjustRightInd/>
              <w:snapToGrid/>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至少完成</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p>
          <w:p w14:paraId="2A9CC950">
            <w:pPr>
              <w:tabs>
                <w:tab w:val="left" w:pos="5542"/>
              </w:tabs>
              <w:adjustRightInd/>
              <w:snapToGrid/>
              <w:spacing w:line="400" w:lineRule="exact"/>
              <w:ind w:firstLine="210" w:firstLineChars="100"/>
              <w:rPr>
                <w:rFonts w:ascii="宋体" w:hAnsi="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公路标段长度</w:t>
            </w:r>
            <w:r>
              <w:rPr>
                <w:rFonts w:ascii="宋体" w:hAnsi="宋体" w:cs="宋体"/>
                <w:szCs w:val="21"/>
                <w:u w:val="single"/>
              </w:rPr>
              <w:t xml:space="preserve">    </w:t>
            </w:r>
            <w:r>
              <w:rPr>
                <w:rFonts w:hint="eastAsia" w:ascii="宋体" w:hAnsi="宋体" w:cs="宋体"/>
                <w:szCs w:val="21"/>
              </w:rPr>
              <w:t>公里及以上的路面工程施工项目。</w:t>
            </w:r>
          </w:p>
          <w:p w14:paraId="6F372452">
            <w:pPr>
              <w:tabs>
                <w:tab w:val="left" w:pos="5542"/>
              </w:tabs>
              <w:snapToGrid/>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ascii="宋体" w:hAnsi="宋体" w:cs="宋体"/>
                <w:szCs w:val="21"/>
              </w:rPr>
              <w:t>至少</w:t>
            </w:r>
            <w:r>
              <w:rPr>
                <w:rFonts w:hint="eastAsia" w:ascii="宋体" w:hAnsi="宋体"/>
                <w:szCs w:val="21"/>
              </w:rPr>
              <w:t>完成</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p>
          <w:p w14:paraId="714358D3">
            <w:pPr>
              <w:tabs>
                <w:tab w:val="left" w:pos="5542"/>
              </w:tabs>
              <w:snapToGrid/>
              <w:spacing w:line="400" w:lineRule="exact"/>
              <w:ind w:firstLine="210" w:firstLineChars="100"/>
              <w:rPr>
                <w:rFonts w:ascii="宋体" w:hAnsi="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公路标段长度</w:t>
            </w:r>
            <w:r>
              <w:rPr>
                <w:rFonts w:ascii="宋体" w:hAnsi="宋体" w:cs="宋体"/>
                <w:szCs w:val="21"/>
                <w:u w:val="single"/>
              </w:rPr>
              <w:t xml:space="preserve">      </w:t>
            </w:r>
            <w:r>
              <w:rPr>
                <w:rFonts w:hint="eastAsia" w:ascii="宋体" w:hAnsi="宋体" w:cs="宋体"/>
                <w:szCs w:val="21"/>
              </w:rPr>
              <w:t>公里及以上</w:t>
            </w:r>
            <w:r>
              <w:rPr>
                <w:rFonts w:hint="eastAsia" w:ascii="宋体" w:hAnsi="宋体"/>
                <w:szCs w:val="21"/>
              </w:rPr>
              <w:t>交通安全设施工程施工项目（施工内容须同</w:t>
            </w:r>
          </w:p>
          <w:p w14:paraId="6BEE1D5B">
            <w:pPr>
              <w:tabs>
                <w:tab w:val="left" w:pos="5542"/>
              </w:tabs>
              <w:snapToGrid/>
              <w:spacing w:line="400" w:lineRule="exact"/>
              <w:ind w:firstLine="210" w:firstLineChars="10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时包含□标志、□标线、□波形梁钢护栏工程、</w:t>
            </w:r>
            <w:r>
              <w:rPr>
                <w:rFonts w:hint="eastAsia" w:ascii="宋体" w:hAnsi="宋体" w:cs="宋体"/>
                <w:szCs w:val="21"/>
              </w:rPr>
              <w:t>□</w:t>
            </w:r>
            <w:r>
              <w:rPr>
                <w:rFonts w:hint="eastAsia" w:ascii="宋体" w:hAnsi="宋体"/>
                <w:szCs w:val="21"/>
              </w:rPr>
              <w:t>其他：</w:t>
            </w:r>
            <w:r>
              <w:rPr>
                <w:rFonts w:ascii="宋体" w:hAnsi="宋体"/>
                <w:szCs w:val="21"/>
                <w:u w:val="single"/>
              </w:rPr>
              <w:t xml:space="preserve">       </w:t>
            </w:r>
            <w:r>
              <w:rPr>
                <w:rFonts w:hint="eastAsia" w:ascii="宋体" w:hAnsi="宋体"/>
                <w:szCs w:val="21"/>
              </w:rPr>
              <w:t xml:space="preserve">）。 </w:t>
            </w:r>
            <w:r>
              <w:rPr>
                <w:rFonts w:ascii="宋体" w:hAnsi="宋体"/>
                <w:szCs w:val="21"/>
              </w:rPr>
              <w:t xml:space="preserve">  </w:t>
            </w:r>
          </w:p>
          <w:p w14:paraId="2D868852">
            <w:pPr>
              <w:tabs>
                <w:tab w:val="left" w:pos="5542"/>
              </w:tabs>
              <w:adjustRightInd/>
              <w:snapToGrid/>
              <w:spacing w:line="400" w:lineRule="exact"/>
              <w:ind w:firstLine="211" w:firstLineChars="100"/>
              <w:rPr>
                <w:rFonts w:ascii="宋体" w:hAnsi="宋体" w:cs="宋体"/>
                <w:szCs w:val="21"/>
              </w:rPr>
            </w:pPr>
            <w:r>
              <w:rPr>
                <w:rFonts w:hint="eastAsia" w:ascii="宋体" w:hAnsi="宋体" w:cs="宋体"/>
                <w:b/>
                <w:szCs w:val="21"/>
              </w:rPr>
              <w:t xml:space="preserve">□ </w:t>
            </w:r>
            <w:r>
              <w:rPr>
                <w:rFonts w:hint="eastAsia" w:ascii="宋体" w:hAnsi="宋体" w:cs="宋体"/>
                <w:szCs w:val="21"/>
              </w:rPr>
              <w:t>至少</w:t>
            </w:r>
            <w:r>
              <w:rPr>
                <w:rFonts w:ascii="宋体" w:hAnsi="宋体" w:cs="宋体"/>
                <w:szCs w:val="21"/>
              </w:rPr>
              <w:t>完成</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p>
          <w:p w14:paraId="154372F3">
            <w:pPr>
              <w:tabs>
                <w:tab w:val="left" w:pos="5542"/>
              </w:tabs>
              <w:adjustRightInd/>
              <w:snapToGrid/>
              <w:spacing w:line="400" w:lineRule="exact"/>
              <w:ind w:firstLine="210" w:firstLineChars="10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公路</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（□机电工程；□</w:t>
            </w:r>
            <w:r>
              <w:t>和</w:t>
            </w:r>
            <w:r>
              <w:rPr>
                <w:rFonts w:hint="eastAsia" w:ascii="宋体" w:hAnsi="宋体" w:cs="宋体"/>
                <w:szCs w:val="21"/>
              </w:rPr>
              <w:t>□</w:t>
            </w:r>
            <w:r>
              <w:t>或 </w:t>
            </w:r>
            <w:r>
              <w:rPr>
                <w:rFonts w:hint="eastAsia" w:ascii="宋体" w:hAnsi="宋体" w:cs="宋体"/>
                <w:szCs w:val="21"/>
              </w:rPr>
              <w:t>□隧道机电）施工项目；</w:t>
            </w:r>
          </w:p>
          <w:p w14:paraId="74B5E4E0">
            <w:pPr>
              <w:tabs>
                <w:tab w:val="left" w:pos="5542"/>
              </w:tabs>
              <w:spacing w:line="400" w:lineRule="exact"/>
              <w:ind w:firstLine="210" w:firstLineChars="100"/>
            </w:pPr>
            <w:r>
              <w:rPr>
                <w:rFonts w:hint="eastAsia"/>
              </w:rPr>
              <w:t>注：“</w:t>
            </w:r>
            <w:r>
              <w:rPr>
                <w:rFonts w:hint="eastAsia" w:ascii="宋体" w:hAnsi="宋体" w:cs="宋体"/>
                <w:szCs w:val="21"/>
              </w:rPr>
              <w:t>□机电工程；□隧道机电</w:t>
            </w:r>
            <w:r>
              <w:rPr>
                <w:rFonts w:hint="eastAsia"/>
              </w:rPr>
              <w:t>”选择项为单选或多选，多选时由招标人根据实际需要设定选择项之间是“或”还是“同时”的关系。</w:t>
            </w:r>
          </w:p>
          <w:p w14:paraId="0337B69B">
            <w:pPr>
              <w:tabs>
                <w:tab w:val="left" w:pos="5542"/>
              </w:tabs>
              <w:snapToGrid/>
              <w:spacing w:line="400" w:lineRule="exact"/>
              <w:ind w:firstLine="211" w:firstLineChars="100"/>
              <w:rPr>
                <w:rFonts w:ascii="宋体" w:hAnsi="宋体"/>
                <w:szCs w:val="21"/>
              </w:rPr>
            </w:pPr>
            <w:r>
              <w:rPr>
                <w:rFonts w:hint="eastAsia" w:ascii="宋体" w:hAnsi="宋体" w:cs="宋体"/>
                <w:b/>
                <w:szCs w:val="21"/>
              </w:rPr>
              <w:t>□</w:t>
            </w:r>
            <w:r>
              <w:rPr>
                <w:rFonts w:ascii="宋体" w:hAnsi="宋体"/>
                <w:szCs w:val="21"/>
              </w:rPr>
              <w:t xml:space="preserve"> </w:t>
            </w:r>
            <w:r>
              <w:rPr>
                <w:rFonts w:hint="eastAsia"/>
                <w:szCs w:val="21"/>
              </w:rPr>
              <w:t>至少</w:t>
            </w:r>
            <w:r>
              <w:rPr>
                <w:rFonts w:hint="eastAsia" w:ascii="宋体" w:hAnsi="宋体"/>
                <w:szCs w:val="21"/>
              </w:rPr>
              <w:t>完成</w:t>
            </w:r>
            <w:r>
              <w:rPr>
                <w:rFonts w:hint="eastAsia" w:ascii="宋体" w:hAnsi="宋体"/>
                <w:szCs w:val="21"/>
                <w:u w:val="single"/>
              </w:rPr>
              <w:t xml:space="preserve">    </w:t>
            </w:r>
            <w:r>
              <w:rPr>
                <w:rFonts w:hint="eastAsia" w:ascii="宋体" w:hAnsi="宋体"/>
                <w:szCs w:val="21"/>
              </w:rPr>
              <w:t>个国内房建工程施工项目，</w:t>
            </w:r>
            <w:r>
              <w:rPr>
                <w:rFonts w:hint="eastAsia" w:ascii="宋体" w:hAnsi="宋体" w:cs="宋体"/>
                <w:szCs w:val="21"/>
              </w:rPr>
              <w:t>□</w:t>
            </w:r>
            <w:r>
              <w:rPr>
                <w:rFonts w:hint="eastAsia" w:ascii="宋体" w:hAnsi="宋体"/>
                <w:szCs w:val="21"/>
              </w:rPr>
              <w:t xml:space="preserve"> 累计完成房建工程施工建筑面积</w:t>
            </w:r>
          </w:p>
          <w:p w14:paraId="1EE21231">
            <w:pPr>
              <w:tabs>
                <w:tab w:val="left" w:pos="5542"/>
              </w:tabs>
              <w:adjustRightInd/>
              <w:snapToGrid/>
              <w:spacing w:line="400" w:lineRule="exact"/>
              <w:ind w:firstLine="210" w:firstLineChars="100"/>
              <w:rPr>
                <w:rFonts w:ascii="宋体" w:hAnsi="宋体" w:cs="宋体"/>
                <w:szCs w:val="21"/>
              </w:rPr>
            </w:pPr>
            <w:r>
              <w:rPr>
                <w:rFonts w:hint="eastAsia" w:ascii="宋体" w:hAnsi="宋体"/>
                <w:szCs w:val="21"/>
              </w:rPr>
              <w:t xml:space="preserve"> </w:t>
            </w:r>
            <w:r>
              <w:rPr>
                <w:rFonts w:hint="eastAsia" w:ascii="宋体" w:hAnsi="宋体"/>
                <w:szCs w:val="21"/>
                <w:u w:val="single"/>
              </w:rPr>
              <w:t xml:space="preserve">     </w:t>
            </w:r>
            <w:r>
              <w:rPr>
                <w:rFonts w:hint="eastAsia"/>
                <w:szCs w:val="21"/>
              </w:rPr>
              <w:t>平方米</w:t>
            </w:r>
            <w:r>
              <w:rPr>
                <w:rFonts w:hint="eastAsia" w:ascii="宋体" w:hAnsi="宋体"/>
                <w:szCs w:val="21"/>
              </w:rPr>
              <w:t>及以上；</w:t>
            </w:r>
          </w:p>
          <w:p w14:paraId="2103252D">
            <w:pPr>
              <w:tabs>
                <w:tab w:val="left" w:pos="5542"/>
              </w:tabs>
              <w:snapToGrid/>
              <w:spacing w:line="400" w:lineRule="exact"/>
              <w:ind w:firstLine="211" w:firstLineChars="100"/>
              <w:rPr>
                <w:rFonts w:asciiTheme="minorEastAsia" w:hAnsiTheme="minorEastAsia" w:eastAsiaTheme="minorEastAsia"/>
                <w:szCs w:val="21"/>
              </w:rPr>
            </w:pPr>
            <w:r>
              <w:rPr>
                <w:rFonts w:hint="eastAsia" w:ascii="宋体" w:hAnsi="宋体" w:cs="宋体"/>
                <w:b/>
                <w:szCs w:val="21"/>
              </w:rPr>
              <w:t xml:space="preserve">□ </w:t>
            </w:r>
            <w:r>
              <w:rPr>
                <w:rFonts w:hint="eastAsia" w:ascii="宋体" w:hAnsi="宋体"/>
                <w:szCs w:val="21"/>
              </w:rPr>
              <w:t>其他：</w:t>
            </w:r>
            <w:r>
              <w:rPr>
                <w:rFonts w:ascii="宋体" w:hAnsi="宋体"/>
                <w:szCs w:val="21"/>
                <w:u w:val="single"/>
              </w:rPr>
              <w:t xml:space="preserve">                                           </w:t>
            </w:r>
          </w:p>
          <w:p w14:paraId="6DAAC94B">
            <w:pPr>
              <w:tabs>
                <w:tab w:val="left" w:pos="5542"/>
              </w:tabs>
              <w:spacing w:line="400" w:lineRule="exact"/>
              <w:ind w:firstLine="211" w:firstLineChars="100"/>
              <w:rPr>
                <w:rFonts w:asciiTheme="minorEastAsia" w:hAnsiTheme="minorEastAsia" w:eastAsiaTheme="minorEastAsia"/>
                <w:szCs w:val="21"/>
              </w:rPr>
            </w:pPr>
            <w:r>
              <w:rPr>
                <w:rFonts w:hint="eastAsia" w:cs="宋体"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联合体应满足下列要求：</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p>
        </w:tc>
      </w:tr>
      <w:tr w14:paraId="7ED7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07" w:type="dxa"/>
            <w:vAlign w:val="center"/>
          </w:tcPr>
          <w:p w14:paraId="77E58C12">
            <w:pPr>
              <w:snapToGrid w:val="0"/>
              <w:spacing w:line="400" w:lineRule="exact"/>
              <w:ind w:firstLine="105" w:firstLineChars="50"/>
              <w:jc w:val="center"/>
              <w:rPr>
                <w:rFonts w:asciiTheme="minorEastAsia" w:hAnsiTheme="minorEastAsia" w:eastAsiaTheme="minorEastAsia"/>
                <w:szCs w:val="21"/>
              </w:rPr>
            </w:pPr>
            <w:r>
              <w:rPr>
                <w:rFonts w:asciiTheme="minorEastAsia" w:hAnsiTheme="minorEastAsia" w:eastAsiaTheme="minorEastAsia"/>
                <w:szCs w:val="21"/>
              </w:rPr>
              <w:t>……</w:t>
            </w:r>
          </w:p>
        </w:tc>
        <w:tc>
          <w:tcPr>
            <w:tcW w:w="7777" w:type="dxa"/>
            <w:vAlign w:val="center"/>
          </w:tcPr>
          <w:p w14:paraId="6EA377D4">
            <w:pPr>
              <w:snapToGrid w:val="0"/>
              <w:spacing w:line="400" w:lineRule="exact"/>
              <w:ind w:firstLine="315" w:firstLineChars="150"/>
              <w:jc w:val="left"/>
              <w:rPr>
                <w:rFonts w:asciiTheme="minorEastAsia" w:hAnsiTheme="minorEastAsia" w:eastAsiaTheme="minorEastAsia"/>
                <w:szCs w:val="21"/>
              </w:rPr>
            </w:pPr>
            <w:r>
              <w:rPr>
                <w:rFonts w:asciiTheme="minorEastAsia" w:hAnsiTheme="minorEastAsia" w:eastAsiaTheme="minorEastAsia"/>
                <w:szCs w:val="21"/>
              </w:rPr>
              <w:t>……</w:t>
            </w:r>
          </w:p>
        </w:tc>
      </w:tr>
    </w:tbl>
    <w:p w14:paraId="54F8E928">
      <w:pPr>
        <w:tabs>
          <w:tab w:val="left" w:pos="5542"/>
        </w:tabs>
        <w:spacing w:line="400" w:lineRule="exact"/>
        <w:ind w:firstLine="0" w:firstLineChars="0"/>
        <w:rPr>
          <w:rFonts w:hint="eastAsia" w:ascii="宋体" w:hAnsi="宋体" w:eastAsia="宋体" w:cs="宋体"/>
        </w:rPr>
      </w:pPr>
      <w:bookmarkStart w:id="106" w:name="_Toc519844462"/>
      <w:r>
        <w:rPr>
          <w:rFonts w:hint="eastAsia" w:ascii="宋体" w:hAnsi="宋体" w:cs="宋体"/>
          <w:szCs w:val="21"/>
        </w:rPr>
        <w:t>注：</w:t>
      </w:r>
      <w:r>
        <w:rPr>
          <w:rFonts w:hint="eastAsia" w:ascii="宋体" w:hAnsi="宋体" w:eastAsia="宋体" w:cs="宋体"/>
          <w:szCs w:val="21"/>
          <w:lang w:val="en-US" w:eastAsia="zh-CN"/>
        </w:rPr>
        <w:t>1.</w:t>
      </w:r>
      <w:r>
        <w:rPr>
          <w:rFonts w:hint="eastAsia" w:ascii="宋体" w:hAnsi="宋体" w:eastAsia="宋体" w:cs="宋体"/>
        </w:rPr>
        <w:t>涉及“□新建；□改扩建；□新建或改扩建”</w:t>
      </w:r>
      <w:r>
        <w:rPr>
          <w:rFonts w:hint="eastAsia" w:ascii="宋体" w:hAnsi="宋体"/>
          <w:szCs w:val="21"/>
        </w:rPr>
        <w:t>“□初步；□施工图；□初步或施工图”</w:t>
      </w:r>
      <w:r>
        <w:rPr>
          <w:rFonts w:hint="eastAsia" w:ascii="宋体" w:hAnsi="宋体" w:eastAsia="宋体" w:cs="宋体"/>
        </w:rPr>
        <w:t>为单选项。</w:t>
      </w:r>
    </w:p>
    <w:p w14:paraId="6A2AAA75">
      <w:pPr>
        <w:tabs>
          <w:tab w:val="left" w:pos="5542"/>
        </w:tabs>
        <w:adjustRightInd/>
        <w:snapToGrid/>
        <w:spacing w:line="400" w:lineRule="exact"/>
        <w:ind w:firstLine="210" w:firstLineChars="100"/>
      </w:pPr>
      <w:r>
        <w:rPr>
          <w:rFonts w:hint="eastAsia" w:ascii="宋体" w:hAnsi="宋体" w:eastAsia="宋体" w:cs="宋体"/>
          <w:lang w:val="en-US" w:eastAsia="zh-CN"/>
        </w:rPr>
        <w:t>2.</w:t>
      </w:r>
      <w:r>
        <w:rPr>
          <w:rFonts w:hint="eastAsia"/>
        </w:rPr>
        <w:t>路基土建工程指须至少包含“路基工程、桥涵工程”或“路基工程、隧道工程”的项目。</w:t>
      </w:r>
    </w:p>
    <w:p w14:paraId="35CF2263">
      <w:pPr>
        <w:tabs>
          <w:tab w:val="left" w:pos="5542"/>
        </w:tabs>
        <w:spacing w:line="400" w:lineRule="exact"/>
        <w:ind w:firstLine="210" w:firstLineChars="1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投标人提供的业绩以交通运输部“全国公路建设市场监督管理系统”企业“业绩信息”中登载</w:t>
      </w:r>
      <w:r>
        <w:rPr>
          <w:rFonts w:ascii="宋体" w:hAnsi="宋体" w:cs="宋体"/>
          <w:szCs w:val="21"/>
        </w:rPr>
        <w:t>的为准</w:t>
      </w:r>
      <w:r>
        <w:rPr>
          <w:rFonts w:hint="eastAsia" w:ascii="宋体" w:hAnsi="宋体" w:cs="宋体"/>
          <w:szCs w:val="21"/>
        </w:rPr>
        <w:t>：</w:t>
      </w:r>
    </w:p>
    <w:p w14:paraId="2FDD62E3">
      <w:pPr>
        <w:tabs>
          <w:tab w:val="left" w:pos="5542"/>
        </w:tabs>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a.本项规定仅适用于根据《关于发布公路工程从业企业资质名录的通知》（厅公路字〔</w:t>
      </w:r>
      <w:r>
        <w:rPr>
          <w:rFonts w:ascii="宋体" w:hAnsi="宋体"/>
          <w:color w:val="000000" w:themeColor="text1"/>
          <w:szCs w:val="21"/>
          <w14:textFill>
            <w14:solidFill>
              <w14:schemeClr w14:val="tx1"/>
            </w14:solidFill>
          </w14:textFill>
        </w:rPr>
        <w:t>2011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114</w:t>
      </w:r>
      <w:r>
        <w:rPr>
          <w:rFonts w:hint="eastAsia" w:ascii="宋体" w:hAnsi="宋体"/>
          <w:color w:val="000000" w:themeColor="text1"/>
          <w:szCs w:val="21"/>
          <w14:textFill>
            <w14:solidFill>
              <w14:schemeClr w14:val="tx1"/>
            </w14:solidFill>
          </w14:textFill>
        </w:rPr>
        <w:t>号）要求，招标人应通过名录对投标人资质条件进行审核的</w:t>
      </w:r>
      <w:r>
        <w:rPr>
          <w:rFonts w:hint="eastAsia" w:ascii="宋体" w:hAnsi="宋体"/>
          <w:color w:val="000000" w:themeColor="text1"/>
          <w:szCs w:val="21"/>
          <w:lang w:val="en-US" w:eastAsia="zh-CN"/>
          <w14:textFill>
            <w14:solidFill>
              <w14:schemeClr w14:val="tx1"/>
            </w14:solidFill>
          </w14:textFill>
        </w:rPr>
        <w:t>公路设计企业、</w:t>
      </w:r>
      <w:r>
        <w:rPr>
          <w:rFonts w:hint="eastAsia" w:ascii="宋体" w:hAnsi="宋体"/>
          <w:color w:val="000000" w:themeColor="text1"/>
          <w:szCs w:val="21"/>
          <w14:textFill>
            <w14:solidFill>
              <w14:schemeClr w14:val="tx1"/>
            </w14:solidFill>
          </w14:textFill>
        </w:rPr>
        <w:t>公路施工企业。否则，招标人可对相关业绩提出其他证明材料要求。</w:t>
      </w:r>
    </w:p>
    <w:p w14:paraId="18933E76">
      <w:pPr>
        <w:tabs>
          <w:tab w:val="left" w:pos="5542"/>
        </w:tabs>
        <w:spacing w:line="400" w:lineRule="exact"/>
        <w:ind w:firstLine="210" w:firstLineChars="100"/>
        <w:rPr>
          <w:rFonts w:ascii="宋体" w:hAnsi="宋体" w:cs="宋体"/>
          <w:szCs w:val="21"/>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招标人要求业绩经验的证明材料采用交通运输部“全国公路建设市场监督管理系统”中查询到的企业“业绩信息”相关项目网页截图的。除网页截图外，不再要求投标人提供其他任何证明材料。</w:t>
      </w:r>
    </w:p>
    <w:p w14:paraId="275EADEA">
      <w:pPr>
        <w:tabs>
          <w:tab w:val="left" w:pos="5542"/>
        </w:tabs>
        <w:spacing w:line="40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招标人设定的业绩为房建工程或市政类施工项目的，以“全国建筑市场监管公共服务平台”中查询到的企业数据“工程项目”中登载的为准。</w:t>
      </w:r>
    </w:p>
    <w:p w14:paraId="1E795508">
      <w:pPr>
        <w:pStyle w:val="3"/>
        <w:spacing w:before="0" w:beforeLines="0" w:after="120"/>
        <w:jc w:val="center"/>
        <w:rPr>
          <w:rFonts w:ascii="宋体" w:hAnsi="宋体" w:eastAsia="黑体"/>
          <w:sz w:val="28"/>
        </w:rPr>
      </w:pPr>
      <w:bookmarkStart w:id="107" w:name="_Toc27059664"/>
      <w:bookmarkStart w:id="108" w:name="_Toc27059754"/>
      <w:bookmarkStart w:id="109" w:name="_Toc27059483"/>
      <w:bookmarkStart w:id="110" w:name="_Toc27060652"/>
      <w:bookmarkStart w:id="111" w:name="_Toc27059856"/>
      <w:r>
        <w:rPr>
          <w:rFonts w:ascii="宋体" w:hAnsi="宋体" w:eastAsia="黑体"/>
          <w:sz w:val="28"/>
        </w:rPr>
        <w:br w:type="page"/>
      </w:r>
      <w:bookmarkStart w:id="112" w:name="_Toc53685585"/>
      <w:r>
        <w:rPr>
          <w:rFonts w:hint="eastAsia" w:ascii="宋体" w:hAnsi="宋体" w:eastAsia="黑体"/>
          <w:sz w:val="28"/>
        </w:rPr>
        <w:t>附录</w:t>
      </w:r>
      <w:r>
        <w:rPr>
          <w:rFonts w:ascii="宋体" w:hAnsi="宋体" w:eastAsia="黑体"/>
          <w:sz w:val="28"/>
        </w:rPr>
        <w:t xml:space="preserve">4  </w:t>
      </w:r>
      <w:r>
        <w:rPr>
          <w:rFonts w:hint="eastAsia" w:ascii="宋体" w:hAnsi="宋体" w:eastAsia="黑体"/>
          <w:sz w:val="28"/>
        </w:rPr>
        <w:t>资格审查</w:t>
      </w:r>
      <w:r>
        <w:rPr>
          <w:rFonts w:hint="eastAsia" w:ascii="宋体" w:hAnsi="宋体" w:eastAsia="黑体"/>
          <w:sz w:val="28"/>
          <w:highlight w:val="none"/>
        </w:rPr>
        <w:t>条件（信誉最低要求）</w:t>
      </w:r>
      <w:bookmarkEnd w:id="106"/>
      <w:bookmarkEnd w:id="107"/>
      <w:bookmarkEnd w:id="108"/>
      <w:bookmarkEnd w:id="109"/>
      <w:bookmarkEnd w:id="110"/>
      <w:bookmarkEnd w:id="111"/>
      <w:bookmarkEnd w:id="112"/>
    </w:p>
    <w:tbl>
      <w:tblPr>
        <w:tblStyle w:val="4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7559"/>
      </w:tblGrid>
      <w:tr w14:paraId="539CAF80">
        <w:tblPrEx>
          <w:tblCellMar>
            <w:top w:w="0" w:type="dxa"/>
            <w:left w:w="108" w:type="dxa"/>
            <w:bottom w:w="0" w:type="dxa"/>
            <w:right w:w="108" w:type="dxa"/>
          </w:tblCellMar>
        </w:tblPrEx>
        <w:trPr>
          <w:trHeight w:val="597" w:hRule="atLeast"/>
          <w:jc w:val="center"/>
        </w:trPr>
        <w:tc>
          <w:tcPr>
            <w:tcW w:w="1225" w:type="dxa"/>
          </w:tcPr>
          <w:p w14:paraId="2A1E527B">
            <w:pPr>
              <w:adjustRightInd w:val="0"/>
              <w:snapToGrid w:val="0"/>
              <w:spacing w:line="400" w:lineRule="exact"/>
              <w:jc w:val="center"/>
              <w:rPr>
                <w:rFonts w:ascii="宋体" w:hAnsi="宋体"/>
                <w:szCs w:val="21"/>
              </w:rPr>
            </w:pPr>
            <w:r>
              <w:rPr>
                <w:rFonts w:hint="eastAsia" w:ascii="宋体" w:hAnsi="宋体"/>
                <w:szCs w:val="21"/>
              </w:rPr>
              <w:t>标段</w:t>
            </w:r>
          </w:p>
        </w:tc>
        <w:tc>
          <w:tcPr>
            <w:tcW w:w="7559" w:type="dxa"/>
          </w:tcPr>
          <w:p w14:paraId="1E6661ED">
            <w:pPr>
              <w:adjustRightInd w:val="0"/>
              <w:snapToGrid w:val="0"/>
              <w:spacing w:line="400" w:lineRule="exact"/>
              <w:jc w:val="center"/>
              <w:rPr>
                <w:rFonts w:ascii="宋体" w:hAnsi="宋体"/>
                <w:szCs w:val="21"/>
              </w:rPr>
            </w:pPr>
            <w:r>
              <w:rPr>
                <w:rFonts w:hint="eastAsia" w:ascii="宋体" w:hAnsi="宋体"/>
                <w:szCs w:val="21"/>
              </w:rPr>
              <w:t>信誉要求（</w:t>
            </w:r>
            <w:r>
              <w:rPr>
                <w:rFonts w:hint="eastAsia" w:ascii="宋体" w:hAnsi="宋体"/>
              </w:rPr>
              <w:t>不得设置过高的信誉条件</w:t>
            </w:r>
            <w:r>
              <w:rPr>
                <w:rFonts w:hint="eastAsia" w:ascii="宋体" w:hAnsi="宋体"/>
                <w:szCs w:val="21"/>
              </w:rPr>
              <w:t>）</w:t>
            </w:r>
          </w:p>
        </w:tc>
      </w:tr>
      <w:tr w14:paraId="6203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5" w:hRule="atLeast"/>
          <w:jc w:val="center"/>
        </w:trPr>
        <w:tc>
          <w:tcPr>
            <w:tcW w:w="1225" w:type="dxa"/>
            <w:vAlign w:val="center"/>
          </w:tcPr>
          <w:p w14:paraId="5FE6BDD9">
            <w:pPr>
              <w:adjustRightInd w:val="0"/>
              <w:snapToGrid w:val="0"/>
              <w:spacing w:line="400" w:lineRule="exact"/>
              <w:jc w:val="center"/>
              <w:rPr>
                <w:rFonts w:ascii="宋体" w:hAnsi="宋体"/>
                <w:szCs w:val="21"/>
              </w:rPr>
            </w:pPr>
          </w:p>
        </w:tc>
        <w:tc>
          <w:tcPr>
            <w:tcW w:w="7559" w:type="dxa"/>
          </w:tcPr>
          <w:p w14:paraId="0D00B50E">
            <w:pPr>
              <w:widowControl/>
              <w:adjustRightInd w:val="0"/>
              <w:snapToGrid w:val="0"/>
              <w:spacing w:line="400" w:lineRule="exact"/>
              <w:rPr>
                <w:rFonts w:ascii="宋体" w:hAnsi="宋体"/>
                <w:kern w:val="0"/>
                <w:szCs w:val="21"/>
                <w:u w:val="single"/>
              </w:rPr>
            </w:pPr>
            <w:r>
              <w:rPr>
                <w:rFonts w:hint="eastAsia" w:ascii="宋体" w:hAnsi="宋体"/>
                <w:szCs w:val="21"/>
              </w:rPr>
              <w:t>（1）</w:t>
            </w:r>
            <w:r>
              <w:rPr>
                <w:rFonts w:ascii="宋体" w:hAnsi="宋体" w:cs="宋体"/>
                <w:bCs/>
                <w:szCs w:val="21"/>
              </w:rPr>
              <w:t>投标人在</w:t>
            </w:r>
            <w:r>
              <w:rPr>
                <w:rFonts w:hint="eastAsia" w:ascii="宋体" w:hAnsi="宋体" w:cs="宋体"/>
                <w:bCs/>
                <w:szCs w:val="21"/>
              </w:rPr>
              <w:t>四川省交通运输厅网站公布的下述信用评价等级</w:t>
            </w:r>
            <w:r>
              <w:rPr>
                <w:rFonts w:ascii="宋体" w:hAnsi="宋体" w:cs="宋体"/>
                <w:bCs/>
                <w:szCs w:val="21"/>
              </w:rPr>
              <w:t>评定为</w:t>
            </w:r>
            <w:r>
              <w:rPr>
                <w:rFonts w:hint="eastAsia" w:ascii="宋体" w:hAnsi="宋体" w:cs="宋体"/>
                <w:bCs/>
                <w:szCs w:val="21"/>
              </w:rPr>
              <w:t>C级及以上</w:t>
            </w:r>
            <w:r>
              <w:rPr>
                <w:rFonts w:ascii="宋体" w:hAnsi="宋体" w:cs="宋体"/>
                <w:bCs/>
                <w:szCs w:val="21"/>
              </w:rPr>
              <w:t>，且不得处</w:t>
            </w:r>
            <w:r>
              <w:rPr>
                <w:rFonts w:hint="eastAsia" w:ascii="宋体" w:hAnsi="宋体" w:cs="宋体"/>
                <w:bCs/>
                <w:szCs w:val="21"/>
              </w:rPr>
              <w:t>于禁止投标行政处罚期内。</w:t>
            </w:r>
          </w:p>
          <w:p w14:paraId="0181C0D7">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bCs/>
                <w:szCs w:val="21"/>
              </w:rPr>
              <w:sym w:font="Wingdings 2" w:char="00A3"/>
            </w:r>
            <w:r>
              <w:rPr>
                <w:rFonts w:hint="eastAsia" w:ascii="宋体" w:hAnsi="宋体"/>
                <w:bCs/>
                <w:szCs w:val="21"/>
              </w:rPr>
              <w:t xml:space="preserve"> 或</w:t>
            </w:r>
          </w:p>
          <w:p w14:paraId="7AEBA812">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szCs w:val="21"/>
                <w:lang w:eastAsia="zh-CN"/>
              </w:rPr>
              <w:t>；</w:t>
            </w:r>
            <w:r>
              <w:rPr>
                <w:rFonts w:hint="eastAsia" w:ascii="宋体" w:hAnsi="宋体"/>
                <w:bCs/>
                <w:szCs w:val="21"/>
              </w:rPr>
              <w:sym w:font="Wingdings 2" w:char="00A3"/>
            </w:r>
            <w:r>
              <w:rPr>
                <w:rFonts w:hint="eastAsia" w:ascii="宋体" w:hAnsi="宋体"/>
                <w:bCs/>
                <w:szCs w:val="21"/>
              </w:rPr>
              <w:t xml:space="preserve"> 或</w:t>
            </w:r>
          </w:p>
          <w:p w14:paraId="527DC2DE">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p w14:paraId="6EFB67C7">
            <w:pPr>
              <w:adjustRightInd w:val="0"/>
              <w:snapToGrid w:val="0"/>
              <w:spacing w:line="400" w:lineRule="exact"/>
              <w:ind w:firstLine="210" w:firstLineChars="100"/>
              <w:rPr>
                <w:rFonts w:ascii="宋体" w:hAnsi="宋体"/>
                <w:bCs/>
                <w:szCs w:val="21"/>
              </w:rPr>
            </w:pPr>
            <w:r>
              <w:rPr>
                <w:rFonts w:hint="eastAsia" w:ascii="宋体" w:hAnsi="宋体"/>
                <w:bCs/>
                <w:szCs w:val="21"/>
              </w:rPr>
              <w:t>注：该选择项为单选或多选，多选时由招标人根据项目实际需要设定选择项之间是否为“或”的关系。</w:t>
            </w:r>
          </w:p>
          <w:p w14:paraId="7BFD6B91">
            <w:pPr>
              <w:widowControl/>
              <w:numPr>
                <w:ilvl w:val="255"/>
                <w:numId w:val="0"/>
              </w:num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2）</w:t>
            </w:r>
            <w:r>
              <w:rPr>
                <w:rFonts w:hint="eastAsia" w:hAnsi="宋体"/>
                <w:bCs/>
                <w:kern w:val="0"/>
                <w:szCs w:val="21"/>
              </w:rPr>
              <w:t>在国家企业信用信息公示系统</w:t>
            </w:r>
            <w:r>
              <w:rPr>
                <w:rFonts w:hint="eastAsia" w:ascii="宋体" w:hAnsi="宋体"/>
                <w:bCs/>
                <w:spacing w:val="-4"/>
                <w:szCs w:val="21"/>
              </w:rPr>
              <w:t>（</w:t>
            </w:r>
            <w:r>
              <w:rPr>
                <w:rFonts w:ascii="宋体" w:hAnsi="宋体"/>
                <w:bCs/>
                <w:spacing w:val="-4"/>
                <w:szCs w:val="21"/>
              </w:rPr>
              <w:t>http：//www.gsxt.gov.cn/</w:t>
            </w:r>
            <w:r>
              <w:rPr>
                <w:rFonts w:hint="eastAsia" w:ascii="宋体" w:hAnsi="宋体"/>
                <w:bCs/>
                <w:spacing w:val="-4"/>
                <w:szCs w:val="21"/>
              </w:rPr>
              <w:t>）</w:t>
            </w:r>
            <w:r>
              <w:rPr>
                <w:rFonts w:hint="eastAsia" w:hAnsi="宋体"/>
                <w:bCs/>
                <w:kern w:val="0"/>
                <w:szCs w:val="21"/>
              </w:rPr>
              <w:t>中被列入严重违法失信企业名单，</w:t>
            </w:r>
            <w:r>
              <w:rPr>
                <w:rFonts w:hint="eastAsia" w:ascii="宋体" w:hAnsi="宋体"/>
                <w:bCs/>
                <w:szCs w:val="21"/>
              </w:rPr>
              <w:t>不得参加投标</w:t>
            </w:r>
            <w:r>
              <w:rPr>
                <w:rFonts w:hint="eastAsia" w:hAnsi="宋体"/>
                <w:bCs/>
                <w:kern w:val="0"/>
                <w:szCs w:val="21"/>
              </w:rPr>
              <w:t>。</w:t>
            </w:r>
          </w:p>
          <w:p w14:paraId="1BA70FFB">
            <w:pPr>
              <w:numPr>
                <w:ilvl w:val="255"/>
                <w:numId w:val="0"/>
              </w:numPr>
              <w:adjustRightInd w:val="0"/>
              <w:snapToGrid w:val="0"/>
              <w:spacing w:line="400" w:lineRule="exact"/>
              <w:rPr>
                <w:rFonts w:ascii="宋体" w:hAnsi="宋体"/>
                <w:bCs/>
                <w:spacing w:val="-4"/>
                <w:szCs w:val="21"/>
              </w:rPr>
            </w:pPr>
            <w:r>
              <w:rPr>
                <w:rFonts w:hint="eastAsia" w:ascii="宋体" w:hAnsi="宋体"/>
                <w:bCs/>
                <w:szCs w:val="21"/>
              </w:rPr>
              <w:t>（</w:t>
            </w:r>
            <w:r>
              <w:rPr>
                <w:rFonts w:ascii="宋体" w:hAnsi="宋体"/>
                <w:bCs/>
                <w:szCs w:val="21"/>
              </w:rPr>
              <w:t>3）</w:t>
            </w:r>
            <w:r>
              <w:rPr>
                <w:rFonts w:hint="eastAsia" w:asciiTheme="minorEastAsia" w:hAnsiTheme="minorEastAsia" w:eastAsiaTheme="minorEastAsia"/>
                <w:spacing w:val="-4"/>
              </w:rPr>
              <w:t>对通过“信用中国”网站（http://www.creditchina.gov.cn</w:t>
            </w:r>
            <w:r>
              <w:rPr>
                <w:rFonts w:hint="eastAsia" w:cs="宋体" w:asciiTheme="minorEastAsia" w:hAnsiTheme="minorEastAsia" w:eastAsiaTheme="minorEastAsia"/>
                <w:bCs/>
              </w:rPr>
              <w:t>/</w:t>
            </w:r>
            <w:r>
              <w:rPr>
                <w:rFonts w:hint="eastAsia" w:asciiTheme="minorEastAsia" w:hAnsiTheme="minorEastAsia" w:eastAsiaTheme="minorEastAsia"/>
                <w:spacing w:val="-4"/>
              </w:rPr>
              <w:t>）</w:t>
            </w:r>
            <w:r>
              <w:rPr>
                <w:rFonts w:asciiTheme="minorEastAsia" w:hAnsiTheme="minorEastAsia" w:eastAsiaTheme="minorEastAsia"/>
              </w:rPr>
              <w:t xml:space="preserve"> </w:t>
            </w:r>
            <w:r>
              <w:rPr>
                <w:rFonts w:hint="eastAsia" w:asciiTheme="minorEastAsia" w:hAnsiTheme="minorEastAsia" w:eastAsiaTheme="minorEastAsia"/>
              </w:rPr>
              <w:t>查询</w:t>
            </w:r>
            <w:r>
              <w:rPr>
                <w:rFonts w:asciiTheme="minorEastAsia" w:hAnsiTheme="minorEastAsia" w:eastAsiaTheme="minorEastAsia"/>
              </w:rPr>
              <w:t>“失信被执行人”链接</w:t>
            </w:r>
            <w:r>
              <w:rPr>
                <w:rFonts w:hint="eastAsia" w:asciiTheme="minorEastAsia" w:hAnsiTheme="minorEastAsia" w:eastAsiaTheme="minorEastAsia"/>
              </w:rPr>
              <w:t>“</w:t>
            </w:r>
            <w:r>
              <w:rPr>
                <w:rFonts w:asciiTheme="minorEastAsia" w:hAnsiTheme="minorEastAsia" w:eastAsiaTheme="minorEastAsia"/>
              </w:rPr>
              <w:t>中国执行信息公开网</w:t>
            </w:r>
            <w:r>
              <w:rPr>
                <w:rFonts w:hint="eastAsia" w:asciiTheme="minorEastAsia" w:hAnsiTheme="minorEastAsia" w:eastAsiaTheme="minorEastAsia"/>
              </w:rPr>
              <w:t>（</w:t>
            </w:r>
            <w:r>
              <w:rPr>
                <w:rFonts w:asciiTheme="minorEastAsia" w:hAnsiTheme="minorEastAsia" w:eastAsiaTheme="minorEastAsia"/>
              </w:rPr>
              <w:t>http://zxgk.court.gov.cn/shixin/</w:t>
            </w:r>
            <w:r>
              <w:rPr>
                <w:rFonts w:hint="eastAsia" w:asciiTheme="minorEastAsia" w:hAnsiTheme="minorEastAsia" w:eastAsiaTheme="minorEastAsia"/>
              </w:rPr>
              <w:t>）”</w:t>
            </w:r>
            <w:r>
              <w:rPr>
                <w:rFonts w:hint="eastAsia" w:asciiTheme="minorEastAsia" w:hAnsiTheme="minorEastAsia" w:eastAsiaTheme="minorEastAsia"/>
                <w:spacing w:val="-4"/>
              </w:rPr>
              <w:t>中列为失信被执行人的投标人，</w:t>
            </w:r>
            <w:r>
              <w:rPr>
                <w:rFonts w:hint="eastAsia" w:asciiTheme="minorEastAsia" w:hAnsiTheme="minorEastAsia" w:eastAsiaTheme="minorEastAsia"/>
              </w:rPr>
              <w:t>不得参加投标</w:t>
            </w:r>
            <w:r>
              <w:rPr>
                <w:rFonts w:hint="eastAsia" w:ascii="宋体" w:hAnsi="宋体"/>
                <w:bCs/>
                <w:spacing w:val="-4"/>
                <w:szCs w:val="21"/>
              </w:rPr>
              <w:t>。</w:t>
            </w:r>
          </w:p>
          <w:p w14:paraId="36BF3DB4">
            <w:pPr>
              <w:numPr>
                <w:ilvl w:val="255"/>
                <w:numId w:val="0"/>
              </w:numPr>
              <w:adjustRightInd w:val="0"/>
              <w:snapToGrid w:val="0"/>
              <w:spacing w:line="400" w:lineRule="exact"/>
              <w:rPr>
                <w:rFonts w:ascii="宋体" w:hAnsi="宋体"/>
                <w:szCs w:val="21"/>
                <w:u w:val="single"/>
              </w:rPr>
            </w:pPr>
            <w:r>
              <w:rPr>
                <w:rFonts w:hint="eastAsia" w:ascii="宋体" w:hAnsi="宋体"/>
                <w:bCs/>
                <w:szCs w:val="21"/>
              </w:rPr>
              <w:t>（</w:t>
            </w:r>
            <w:r>
              <w:rPr>
                <w:rFonts w:ascii="宋体" w:hAnsi="宋体"/>
                <w:bCs/>
                <w:szCs w:val="21"/>
              </w:rPr>
              <w:t>4）</w:t>
            </w:r>
            <w:r>
              <w:rPr>
                <w:rFonts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日至本项目投标截止日期间，投标人（单位）、法定代表人、</w:t>
            </w:r>
          </w:p>
          <w:p w14:paraId="762ABD07">
            <w:pPr>
              <w:numPr>
                <w:ilvl w:val="255"/>
                <w:numId w:val="0"/>
              </w:numPr>
              <w:adjustRightInd w:val="0"/>
              <w:snapToGrid w:val="0"/>
              <w:spacing w:line="400" w:lineRule="exact"/>
              <w:rPr>
                <w:rFonts w:hint="eastAsia" w:ascii="宋体" w:hAnsi="宋体"/>
                <w:szCs w:val="21"/>
              </w:rPr>
            </w:pPr>
            <w:r>
              <w:rPr>
                <w:rFonts w:hint="eastAsia" w:ascii="宋体" w:hAnsi="宋体"/>
                <w:szCs w:val="21"/>
              </w:rPr>
              <w:t>主要人员（□项目总负责人、□设计项目负责人、□勘察设计技术负责人或总设计师、□项目经理、□项目总工）被人民法院生效判决为行贿犯罪的，不得参加投标。</w:t>
            </w:r>
          </w:p>
          <w:p w14:paraId="1373C4CE">
            <w:pPr>
              <w:numPr>
                <w:ilvl w:val="-1"/>
                <w:numId w:val="0"/>
              </w:numPr>
              <w:adjustRightInd w:val="0"/>
              <w:snapToGrid w:val="0"/>
              <w:spacing w:line="400" w:lineRule="exact"/>
              <w:ind w:firstLine="210" w:firstLineChars="100"/>
              <w:rPr>
                <w:rFonts w:hint="default" w:ascii="宋体" w:hAnsi="宋体" w:eastAsia="宋体"/>
                <w:szCs w:val="21"/>
                <w:lang w:val="en-US" w:eastAsia="zh-CN"/>
              </w:rPr>
            </w:pPr>
            <w:r>
              <w:rPr>
                <w:rFonts w:hint="eastAsia"/>
              </w:rPr>
              <w:t>注：主要人员被列入资格审查条件时，相应的人员也须对该项信誉条件进行资格审查。</w:t>
            </w:r>
          </w:p>
          <w:p w14:paraId="2749BEB3">
            <w:pPr>
              <w:numPr>
                <w:ilvl w:val="255"/>
                <w:numId w:val="0"/>
              </w:numPr>
              <w:adjustRightInd w:val="0"/>
              <w:snapToGrid w:val="0"/>
              <w:spacing w:line="400" w:lineRule="exact"/>
              <w:rPr>
                <w:rFonts w:ascii="宋体" w:hAnsi="宋体"/>
                <w:b/>
                <w:szCs w:val="21"/>
              </w:rPr>
            </w:pPr>
            <w:r>
              <w:rPr>
                <w:rFonts w:hint="eastAsia" w:ascii="宋体" w:hAnsi="宋体"/>
                <w:b/>
                <w:szCs w:val="21"/>
              </w:rPr>
              <w:t>□</w:t>
            </w:r>
            <w:r>
              <w:rPr>
                <w:rFonts w:hint="eastAsia" w:ascii="宋体" w:hAnsi="宋体"/>
                <w:szCs w:val="21"/>
              </w:rPr>
              <w:t>（5）</w:t>
            </w:r>
            <w:r>
              <w:rPr>
                <w:rFonts w:ascii="宋体" w:hAnsi="宋体"/>
                <w:szCs w:val="21"/>
              </w:rPr>
              <w:t>其他：</w:t>
            </w:r>
            <w:r>
              <w:rPr>
                <w:rFonts w:ascii="宋体" w:hAnsi="宋体"/>
                <w:b/>
                <w:szCs w:val="21"/>
                <w:u w:val="single"/>
              </w:rPr>
              <w:t xml:space="preserve">               </w:t>
            </w:r>
          </w:p>
          <w:p w14:paraId="7EA6CECF">
            <w:pPr>
              <w:numPr>
                <w:ilvl w:val="255"/>
                <w:numId w:val="0"/>
              </w:numPr>
              <w:adjustRightInd w:val="0"/>
              <w:snapToGrid w:val="0"/>
              <w:spacing w:line="400" w:lineRule="exact"/>
              <w:ind w:firstLine="0" w:firstLineChars="0"/>
              <w:rPr>
                <w:rFonts w:ascii="宋体" w:hAnsi="宋体" w:cs="宋体"/>
                <w:szCs w:val="21"/>
              </w:rPr>
            </w:pPr>
            <w:r>
              <w:rPr>
                <w:rFonts w:hint="eastAsia"/>
                <w:b/>
                <w:szCs w:val="21"/>
              </w:rPr>
              <w:t>□</w:t>
            </w:r>
            <w:r>
              <w:rPr>
                <w:rFonts w:hint="eastAsia" w:ascii="宋体" w:hAnsi="宋体" w:cs="宋体"/>
                <w:szCs w:val="21"/>
              </w:rPr>
              <w:t>（6）</w:t>
            </w:r>
            <w:r>
              <w:rPr>
                <w:rFonts w:hint="eastAsia"/>
                <w:szCs w:val="21"/>
              </w:rPr>
              <w:t>联合体</w:t>
            </w:r>
            <w:r>
              <w:rPr>
                <w:rFonts w:hint="eastAsia" w:ascii="宋体" w:hAnsi="宋体"/>
                <w:szCs w:val="21"/>
              </w:rPr>
              <w:t>应满足下列要求：</w:t>
            </w:r>
            <w:r>
              <w:rPr>
                <w:rFonts w:ascii="宋体" w:hAnsi="宋体"/>
                <w:szCs w:val="21"/>
              </w:rPr>
              <w:t xml:space="preserve"> </w:t>
            </w:r>
            <w:r>
              <w:rPr>
                <w:rFonts w:ascii="宋体" w:hAnsi="宋体"/>
                <w:szCs w:val="21"/>
                <w:u w:val="single"/>
              </w:rPr>
              <w:t xml:space="preserve">                                  </w:t>
            </w:r>
          </w:p>
        </w:tc>
      </w:tr>
      <w:tr w14:paraId="221B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25" w:type="dxa"/>
            <w:vAlign w:val="center"/>
          </w:tcPr>
          <w:p w14:paraId="6F12949A">
            <w:pPr>
              <w:adjustRightInd w:val="0"/>
              <w:snapToGrid w:val="0"/>
              <w:spacing w:line="400" w:lineRule="exact"/>
              <w:jc w:val="center"/>
              <w:rPr>
                <w:rFonts w:ascii="宋体" w:hAnsi="宋体"/>
                <w:szCs w:val="21"/>
              </w:rPr>
            </w:pPr>
            <w:r>
              <w:rPr>
                <w:rFonts w:ascii="宋体" w:hAnsi="宋体"/>
                <w:szCs w:val="21"/>
              </w:rPr>
              <w:t>……</w:t>
            </w:r>
          </w:p>
        </w:tc>
        <w:tc>
          <w:tcPr>
            <w:tcW w:w="7559" w:type="dxa"/>
            <w:vAlign w:val="center"/>
          </w:tcPr>
          <w:p w14:paraId="48EE891D">
            <w:pPr>
              <w:adjustRightInd w:val="0"/>
              <w:snapToGrid w:val="0"/>
              <w:spacing w:line="400" w:lineRule="exact"/>
              <w:rPr>
                <w:rFonts w:ascii="宋体" w:hAnsi="宋体" w:cs="宋体"/>
                <w:kern w:val="0"/>
                <w:szCs w:val="21"/>
              </w:rPr>
            </w:pPr>
            <w:r>
              <w:rPr>
                <w:rFonts w:ascii="宋体" w:hAnsi="宋体"/>
                <w:szCs w:val="21"/>
              </w:rPr>
              <w:t>……</w:t>
            </w:r>
          </w:p>
        </w:tc>
      </w:tr>
    </w:tbl>
    <w:p w14:paraId="6DEDE4BF">
      <w:pPr>
        <w:pStyle w:val="299"/>
        <w:adjustRightInd w:val="0"/>
        <w:snapToGrid w:val="0"/>
        <w:spacing w:line="360" w:lineRule="auto"/>
        <w:rPr>
          <w:rFonts w:hint="eastAsia" w:ascii="宋体" w:hAnsi="宋体" w:cs="宋体"/>
          <w:szCs w:val="21"/>
        </w:rPr>
      </w:pPr>
      <w:r>
        <w:rPr>
          <w:rFonts w:hint="eastAsia" w:ascii="宋体" w:hAnsi="宋体" w:cs="宋体"/>
          <w:szCs w:val="21"/>
        </w:rPr>
        <w:t>注</w:t>
      </w:r>
      <w:r>
        <w:rPr>
          <w:rFonts w:ascii="宋体" w:hAnsi="宋体" w:cs="宋体"/>
          <w:szCs w:val="21"/>
        </w:rPr>
        <w:t>：</w:t>
      </w:r>
      <w:r>
        <w:rPr>
          <w:rFonts w:hint="eastAsia" w:ascii="宋体" w:hAnsi="宋体" w:cs="宋体"/>
          <w:szCs w:val="21"/>
          <w:lang w:val="en-US" w:eastAsia="zh-CN"/>
        </w:rPr>
        <w:t>1.</w:t>
      </w:r>
      <w:r>
        <w:rPr>
          <w:rFonts w:hint="eastAsia" w:ascii="宋体" w:hAnsi="宋体" w:cs="宋体"/>
          <w:szCs w:val="21"/>
        </w:rPr>
        <w:t>投标人信誉要求中第（1）～（3）项</w:t>
      </w:r>
      <w:r>
        <w:rPr>
          <w:rFonts w:ascii="宋体" w:hAnsi="宋体" w:cs="宋体"/>
          <w:szCs w:val="21"/>
        </w:rPr>
        <w:t>均以招标人投标截止</w:t>
      </w:r>
      <w:r>
        <w:rPr>
          <w:rFonts w:hint="eastAsia" w:ascii="宋体" w:hAnsi="宋体" w:cs="宋体"/>
          <w:szCs w:val="21"/>
        </w:rPr>
        <w:t>时间</w:t>
      </w:r>
      <w:r>
        <w:rPr>
          <w:rFonts w:ascii="宋体" w:hAnsi="宋体" w:cs="宋体"/>
          <w:szCs w:val="21"/>
        </w:rPr>
        <w:t>核查的</w:t>
      </w:r>
      <w:r>
        <w:rPr>
          <w:rFonts w:hint="eastAsia" w:ascii="宋体" w:hAnsi="宋体" w:cs="宋体"/>
          <w:szCs w:val="21"/>
        </w:rPr>
        <w:t>上述对应网站投标人</w:t>
      </w:r>
      <w:r>
        <w:rPr>
          <w:rFonts w:ascii="宋体" w:hAnsi="宋体" w:cs="宋体"/>
          <w:szCs w:val="21"/>
        </w:rPr>
        <w:t>信息内容为准</w:t>
      </w:r>
      <w:r>
        <w:rPr>
          <w:rFonts w:hint="eastAsia" w:ascii="宋体" w:hAnsi="宋体" w:cs="宋体"/>
          <w:szCs w:val="21"/>
        </w:rPr>
        <w:t>，第（4）项以投标人投标文件中提交的承诺函为准。</w:t>
      </w:r>
    </w:p>
    <w:p w14:paraId="17A3AEF3">
      <w:pPr>
        <w:pStyle w:val="299"/>
        <w:adjustRightInd w:val="0"/>
        <w:snapToGrid w:val="0"/>
        <w:spacing w:line="360" w:lineRule="auto"/>
        <w:ind w:firstLine="420" w:firstLineChars="200"/>
        <w:rPr>
          <w:rFonts w:ascii="宋体" w:hAnsi="宋体"/>
          <w:sz w:val="24"/>
        </w:rPr>
      </w:pPr>
      <w:r>
        <w:rPr>
          <w:rFonts w:hint="eastAsia" w:ascii="宋体" w:hAnsi="宋体" w:cs="宋体"/>
          <w:szCs w:val="21"/>
          <w:lang w:val="en-US" w:eastAsia="zh-CN"/>
        </w:rPr>
        <w:t>2.</w:t>
      </w:r>
      <w:r>
        <w:rPr>
          <w:rFonts w:hint="eastAsia" w:ascii="宋体" w:hAnsi="宋体" w:cs="宋体"/>
          <w:szCs w:val="21"/>
        </w:rPr>
        <w:t>以联合体形式投标的，所有成员均应满足本表</w:t>
      </w:r>
      <w:r>
        <w:rPr>
          <w:rFonts w:hint="eastAsia" w:ascii="宋体" w:hAnsi="宋体" w:cs="宋体"/>
          <w:bCs/>
          <w:szCs w:val="21"/>
        </w:rPr>
        <w:t>要求</w:t>
      </w:r>
      <w:r>
        <w:rPr>
          <w:rFonts w:hint="eastAsia" w:ascii="宋体" w:hAnsi="宋体" w:cs="宋体"/>
          <w:szCs w:val="21"/>
        </w:rPr>
        <w:t>。</w:t>
      </w:r>
    </w:p>
    <w:p w14:paraId="3DF35D99">
      <w:pPr>
        <w:spacing w:line="500" w:lineRule="exact"/>
        <w:rPr>
          <w:rFonts w:ascii="宋体" w:hAnsi="宋体"/>
          <w:sz w:val="24"/>
        </w:rPr>
      </w:pPr>
    </w:p>
    <w:p w14:paraId="4304F563">
      <w:pPr>
        <w:pStyle w:val="3"/>
        <w:spacing w:before="0" w:beforeLines="0" w:after="120"/>
        <w:jc w:val="center"/>
        <w:rPr>
          <w:rFonts w:ascii="宋体" w:hAnsi="宋体" w:eastAsia="黑体"/>
          <w:sz w:val="28"/>
        </w:rPr>
      </w:pPr>
      <w:bookmarkStart w:id="113" w:name="_Toc519844463"/>
      <w:r>
        <w:rPr>
          <w:rFonts w:ascii="宋体" w:hAnsi="宋体"/>
        </w:rPr>
        <w:br w:type="page"/>
      </w:r>
      <w:bookmarkStart w:id="114" w:name="_Toc27060653"/>
      <w:bookmarkStart w:id="115" w:name="_Toc27059755"/>
      <w:bookmarkStart w:id="116" w:name="_Toc27059665"/>
      <w:bookmarkStart w:id="117" w:name="_Toc27059484"/>
      <w:bookmarkStart w:id="118" w:name="_Toc27059857"/>
      <w:bookmarkStart w:id="119" w:name="_Toc53685586"/>
      <w:r>
        <w:rPr>
          <w:rFonts w:hint="eastAsia" w:ascii="宋体" w:hAnsi="宋体" w:eastAsia="黑体"/>
          <w:sz w:val="28"/>
          <w:lang w:eastAsia="zh-CN"/>
        </w:rPr>
        <w:t>□</w:t>
      </w:r>
      <w:r>
        <w:rPr>
          <w:rFonts w:ascii="宋体" w:hAnsi="宋体" w:eastAsia="黑体"/>
          <w:sz w:val="28"/>
        </w:rPr>
        <w:t xml:space="preserve"> </w:t>
      </w:r>
      <w:r>
        <w:rPr>
          <w:rFonts w:hint="eastAsia" w:ascii="宋体" w:hAnsi="宋体" w:eastAsia="黑体"/>
          <w:sz w:val="28"/>
        </w:rPr>
        <w:t>附录</w:t>
      </w:r>
      <w:r>
        <w:rPr>
          <w:rFonts w:ascii="宋体" w:hAnsi="宋体" w:eastAsia="黑体"/>
          <w:sz w:val="28"/>
        </w:rPr>
        <w:t xml:space="preserve">5  </w:t>
      </w:r>
      <w:r>
        <w:rPr>
          <w:rFonts w:hint="eastAsia" w:ascii="宋体" w:hAnsi="宋体" w:eastAsia="黑体"/>
          <w:sz w:val="28"/>
        </w:rPr>
        <w:t>资格审查条件（主要人员最低要求）</w:t>
      </w:r>
      <w:bookmarkEnd w:id="113"/>
      <w:bookmarkEnd w:id="114"/>
      <w:bookmarkEnd w:id="115"/>
      <w:bookmarkEnd w:id="116"/>
      <w:bookmarkEnd w:id="117"/>
      <w:bookmarkEnd w:id="118"/>
      <w:bookmarkEnd w:id="119"/>
    </w:p>
    <w:p w14:paraId="0B7EF0D6">
      <w:pPr>
        <w:pStyle w:val="299"/>
        <w:jc w:val="center"/>
        <w:rPr>
          <w:rFonts w:ascii="黑体" w:hAnsi="黑体" w:eastAsia="黑体"/>
          <w:bCs/>
          <w:sz w:val="24"/>
        </w:rPr>
      </w:pPr>
      <w:r>
        <w:rPr>
          <w:rFonts w:hint="eastAsia" w:ascii="黑体" w:hAnsi="黑体" w:eastAsia="黑体"/>
          <w:bCs/>
          <w:sz w:val="24"/>
        </w:rPr>
        <w:t>□</w:t>
      </w:r>
      <w:r>
        <w:rPr>
          <w:rFonts w:ascii="黑体" w:hAnsi="黑体" w:eastAsia="黑体"/>
          <w:bCs/>
          <w:sz w:val="24"/>
        </w:rPr>
        <w:t xml:space="preserve"> 项目</w:t>
      </w:r>
      <w:r>
        <w:rPr>
          <w:rFonts w:hint="eastAsia" w:ascii="黑体" w:hAnsi="黑体" w:eastAsia="黑体"/>
          <w:sz w:val="24"/>
        </w:rPr>
        <w:t>总负责人</w:t>
      </w:r>
    </w:p>
    <w:p w14:paraId="5C78B369"/>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868"/>
        <w:gridCol w:w="7088"/>
      </w:tblGrid>
      <w:tr w14:paraId="4829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970" w:type="dxa"/>
            <w:tcBorders>
              <w:bottom w:val="single" w:color="auto" w:sz="4" w:space="0"/>
            </w:tcBorders>
            <w:vAlign w:val="center"/>
          </w:tcPr>
          <w:p w14:paraId="42A10EB3">
            <w:pPr>
              <w:spacing w:line="400" w:lineRule="exact"/>
              <w:jc w:val="center"/>
              <w:rPr>
                <w:rFonts w:ascii="宋体" w:hAnsi="宋体"/>
                <w:szCs w:val="21"/>
              </w:rPr>
            </w:pPr>
            <w:r>
              <w:rPr>
                <w:rFonts w:hint="eastAsia" w:ascii="宋体" w:hAnsi="宋体"/>
                <w:szCs w:val="21"/>
              </w:rPr>
              <w:t>标段</w:t>
            </w:r>
          </w:p>
        </w:tc>
        <w:tc>
          <w:tcPr>
            <w:tcW w:w="868" w:type="dxa"/>
            <w:tcBorders>
              <w:bottom w:val="single" w:color="auto" w:sz="4" w:space="0"/>
            </w:tcBorders>
            <w:vAlign w:val="center"/>
          </w:tcPr>
          <w:p w14:paraId="0262DDCD">
            <w:pPr>
              <w:spacing w:line="400" w:lineRule="exact"/>
              <w:jc w:val="center"/>
              <w:rPr>
                <w:rFonts w:ascii="宋体" w:hAnsi="宋体"/>
                <w:szCs w:val="21"/>
              </w:rPr>
            </w:pPr>
            <w:r>
              <w:rPr>
                <w:rFonts w:hint="eastAsia" w:ascii="宋体" w:hAnsi="宋体"/>
                <w:szCs w:val="21"/>
              </w:rPr>
              <w:t>数量</w:t>
            </w:r>
          </w:p>
        </w:tc>
        <w:tc>
          <w:tcPr>
            <w:tcW w:w="7088" w:type="dxa"/>
            <w:tcBorders>
              <w:bottom w:val="single" w:color="auto" w:sz="4" w:space="0"/>
            </w:tcBorders>
            <w:vAlign w:val="center"/>
          </w:tcPr>
          <w:p w14:paraId="6ADF54E4">
            <w:pPr>
              <w:spacing w:line="400" w:lineRule="exact"/>
              <w:jc w:val="center"/>
              <w:rPr>
                <w:rFonts w:ascii="宋体" w:hAnsi="宋体"/>
                <w:b/>
                <w:szCs w:val="21"/>
              </w:rPr>
            </w:pPr>
            <w:r>
              <w:rPr>
                <w:rFonts w:hint="eastAsia" w:ascii="宋体" w:hAnsi="宋体"/>
                <w:szCs w:val="21"/>
              </w:rPr>
              <w:t>资格要求</w:t>
            </w:r>
          </w:p>
        </w:tc>
      </w:tr>
      <w:tr w14:paraId="6DCB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970" w:type="dxa"/>
            <w:vAlign w:val="center"/>
          </w:tcPr>
          <w:p w14:paraId="0F4FE5B3">
            <w:pPr>
              <w:spacing w:line="400" w:lineRule="exact"/>
              <w:jc w:val="center"/>
              <w:rPr>
                <w:rFonts w:ascii="宋体" w:hAnsi="宋体"/>
                <w:szCs w:val="21"/>
                <w:u w:val="single"/>
              </w:rPr>
            </w:pPr>
          </w:p>
        </w:tc>
        <w:tc>
          <w:tcPr>
            <w:tcW w:w="868" w:type="dxa"/>
            <w:vAlign w:val="center"/>
          </w:tcPr>
          <w:p w14:paraId="3B328FDD">
            <w:pPr>
              <w:spacing w:line="400" w:lineRule="exact"/>
              <w:jc w:val="center"/>
              <w:rPr>
                <w:rFonts w:ascii="宋体" w:hAnsi="宋体"/>
                <w:szCs w:val="21"/>
              </w:rPr>
            </w:pPr>
          </w:p>
        </w:tc>
        <w:tc>
          <w:tcPr>
            <w:tcW w:w="7088" w:type="dxa"/>
            <w:vAlign w:val="center"/>
          </w:tcPr>
          <w:p w14:paraId="2AFB51D0">
            <w:pPr>
              <w:spacing w:line="400" w:lineRule="exact"/>
              <w:ind w:left="211" w:hanging="211" w:hangingChars="100"/>
              <w:rPr>
                <w:rFonts w:hint="eastAsia" w:ascii="宋体" w:hAnsi="宋体"/>
                <w:szCs w:val="21"/>
                <w:lang w:eastAsia="zh-CN"/>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w:t>
            </w:r>
            <w:r>
              <w:rPr>
                <w:rFonts w:hint="eastAsia" w:ascii="宋体" w:hAnsi="宋体" w:eastAsia="宋体" w:cs="宋体"/>
                <w:szCs w:val="21"/>
              </w:rPr>
              <w:t>〔</w:t>
            </w:r>
            <w:r>
              <w:rPr>
                <w:rFonts w:hint="eastAsia" w:ascii="宋体" w:hAnsi="宋体"/>
                <w:szCs w:val="21"/>
              </w:rPr>
              <w:t>□工程师；□高级工程师</w:t>
            </w:r>
            <w:r>
              <w:rPr>
                <w:rFonts w:hint="eastAsia" w:ascii="宋体" w:hAnsi="宋体" w:eastAsia="宋体" w:cs="宋体"/>
                <w:szCs w:val="21"/>
              </w:rPr>
              <w:t>〕</w:t>
            </w:r>
            <w:r>
              <w:rPr>
                <w:rFonts w:hint="eastAsia" w:ascii="宋体" w:hAnsi="宋体"/>
                <w:szCs w:val="21"/>
              </w:rPr>
              <w:t>及以上技术职称</w:t>
            </w:r>
            <w:r>
              <w:rPr>
                <w:rFonts w:hint="eastAsia" w:ascii="宋体" w:hAnsi="宋体"/>
                <w:szCs w:val="21"/>
                <w:lang w:eastAsia="zh-CN"/>
              </w:rPr>
              <w:t>。</w:t>
            </w:r>
          </w:p>
          <w:p w14:paraId="0DB52E5A">
            <w:pPr>
              <w:spacing w:line="400" w:lineRule="exact"/>
              <w:ind w:left="210" w:leftChars="100" w:firstLine="0" w:firstLineChars="0"/>
              <w:rPr>
                <w:rFonts w:hint="default" w:ascii="宋体" w:hAnsi="宋体"/>
                <w:szCs w:val="21"/>
                <w:lang w:val="en-US" w:eastAsia="zh-CN"/>
              </w:rPr>
            </w:pPr>
            <w:r>
              <w:rPr>
                <w:rFonts w:hint="eastAsia" w:ascii="宋体" w:hAnsi="宋体"/>
                <w:szCs w:val="21"/>
                <w:lang w:val="en-US" w:eastAsia="zh-CN"/>
              </w:rPr>
              <w:t>注：“</w:t>
            </w:r>
            <w:r>
              <w:rPr>
                <w:rFonts w:hint="eastAsia" w:ascii="宋体" w:hAnsi="宋体"/>
                <w:szCs w:val="21"/>
              </w:rPr>
              <w:t>□工程师；□高级工程师）高级工程师</w:t>
            </w:r>
            <w:r>
              <w:rPr>
                <w:rFonts w:hint="eastAsia" w:ascii="宋体" w:hAnsi="宋体"/>
                <w:szCs w:val="21"/>
                <w:lang w:val="en-US" w:eastAsia="zh-CN"/>
              </w:rPr>
              <w:t>”为单选项</w:t>
            </w:r>
          </w:p>
          <w:p w14:paraId="6D9EFE91">
            <w:pPr>
              <w:spacing w:line="400" w:lineRule="exact"/>
              <w:rPr>
                <w:rFonts w:hint="eastAsia" w:ascii="宋体" w:hAnsi="宋体" w:eastAsia="宋体"/>
                <w:b/>
                <w:szCs w:val="21"/>
                <w:lang w:eastAsia="zh-CN"/>
              </w:rPr>
            </w:pPr>
            <w:r>
              <w:rPr>
                <w:rFonts w:hint="eastAsia" w:ascii="宋体" w:hAnsi="宋体"/>
                <w:b/>
                <w:szCs w:val="21"/>
              </w:rPr>
              <w:t xml:space="preserve">□ </w:t>
            </w:r>
            <w:r>
              <w:rPr>
                <w:rFonts w:hint="eastAsia" w:ascii="宋体" w:hAnsi="宋体"/>
                <w:szCs w:val="21"/>
              </w:rPr>
              <w:t>在投标人单位担任</w:t>
            </w:r>
            <w:r>
              <w:rPr>
                <w:rFonts w:ascii="宋体" w:hAnsi="宋体"/>
                <w:szCs w:val="21"/>
                <w:u w:val="single"/>
              </w:rPr>
              <w:t xml:space="preserve">          </w:t>
            </w:r>
            <w:r>
              <w:rPr>
                <w:rFonts w:hint="eastAsia" w:ascii="宋体" w:hAnsi="宋体"/>
                <w:szCs w:val="21"/>
              </w:rPr>
              <w:t>及</w:t>
            </w:r>
            <w:r>
              <w:rPr>
                <w:rFonts w:ascii="宋体" w:hAnsi="宋体"/>
                <w:szCs w:val="21"/>
              </w:rPr>
              <w:t>以上职务</w:t>
            </w:r>
            <w:r>
              <w:rPr>
                <w:rFonts w:hint="eastAsia" w:ascii="宋体" w:hAnsi="宋体"/>
                <w:szCs w:val="21"/>
                <w:lang w:eastAsia="zh-CN"/>
              </w:rPr>
              <w:t>。</w:t>
            </w:r>
          </w:p>
          <w:p w14:paraId="0827DE4E">
            <w:pPr>
              <w:spacing w:line="400" w:lineRule="exact"/>
              <w:ind w:left="422" w:hanging="422" w:hangingChars="200"/>
              <w:rPr>
                <w:rFonts w:ascii="宋体" w:hAnsi="宋体" w:cs="宋体"/>
                <w:szCs w:val="21"/>
              </w:rPr>
            </w:pPr>
            <w:r>
              <w:rPr>
                <w:rFonts w:hint="eastAsia" w:ascii="宋体" w:hAnsi="宋体"/>
                <w:b/>
                <w:szCs w:val="21"/>
              </w:rPr>
              <w:t>□</w:t>
            </w:r>
            <w:r>
              <w:rPr>
                <w:rFonts w:ascii="宋体" w:hAnsi="宋体"/>
                <w:szCs w:val="21"/>
              </w:rPr>
              <w:t xml:space="preserve"> </w:t>
            </w:r>
            <w:r>
              <w:rPr>
                <w:rFonts w:hint="eastAsia"/>
              </w:rPr>
              <w:t>投标截止日所在月上个月或上上个月起之前</w:t>
            </w:r>
            <w:bookmarkStart w:id="120" w:name="_Hlk97819749"/>
            <w:r>
              <w:rPr>
                <w:rFonts w:hint="eastAsia"/>
              </w:rPr>
              <w:t>在其</w:t>
            </w:r>
            <w:r>
              <w:rPr>
                <w:rFonts w:hint="eastAsia" w:ascii="宋体" w:hAnsi="宋体" w:cs="宋体"/>
                <w:szCs w:val="21"/>
              </w:rPr>
              <w:t>投标单位连续6个月参</w:t>
            </w:r>
          </w:p>
          <w:p w14:paraId="253A3EC4">
            <w:pPr>
              <w:spacing w:line="400" w:lineRule="exact"/>
              <w:ind w:left="422" w:hanging="422" w:hangingChars="200"/>
              <w:rPr>
                <w:rFonts w:hint="eastAsia" w:ascii="宋体" w:hAnsi="宋体" w:eastAsia="宋体"/>
                <w:szCs w:val="21"/>
                <w:lang w:eastAsia="zh-CN"/>
              </w:rPr>
            </w:pPr>
            <w:r>
              <w:rPr>
                <w:rFonts w:hint="eastAsia" w:ascii="宋体" w:hAnsi="宋体"/>
                <w:b/>
                <w:szCs w:val="21"/>
              </w:rPr>
              <w:t xml:space="preserve"> </w:t>
            </w:r>
            <w:r>
              <w:rPr>
                <w:rFonts w:ascii="宋体" w:hAnsi="宋体"/>
                <w:b/>
                <w:szCs w:val="21"/>
              </w:rPr>
              <w:t xml:space="preserve">  </w:t>
            </w:r>
            <w:r>
              <w:rPr>
                <w:rFonts w:hint="eastAsia" w:ascii="宋体" w:hAnsi="宋体" w:cs="宋体"/>
                <w:szCs w:val="21"/>
              </w:rPr>
              <w:t>加社保</w:t>
            </w:r>
            <w:bookmarkEnd w:id="120"/>
            <w:r>
              <w:rPr>
                <w:rFonts w:hint="eastAsia" w:ascii="宋体" w:hAnsi="宋体"/>
                <w:szCs w:val="21"/>
                <w:lang w:eastAsia="zh-CN"/>
              </w:rPr>
              <w:t>。</w:t>
            </w:r>
          </w:p>
          <w:p w14:paraId="3B603E9D">
            <w:pPr>
              <w:pStyle w:val="299"/>
              <w:adjustRightInd w:val="0"/>
              <w:snapToGrid w:val="0"/>
              <w:spacing w:line="400" w:lineRule="exact"/>
              <w:rPr>
                <w:rFonts w:ascii="宋体" w:hAnsi="宋体"/>
                <w:szCs w:val="21"/>
                <w:u w:val="single"/>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p>
          <w:p w14:paraId="2C1CE988">
            <w:pPr>
              <w:spacing w:line="400" w:lineRule="exact"/>
              <w:jc w:val="left"/>
              <w:rPr>
                <w:rFonts w:ascii="宋体" w:hAnsi="宋体"/>
                <w:szCs w:val="21"/>
              </w:rPr>
            </w:pPr>
            <w:r>
              <w:rPr>
                <w:rFonts w:hint="eastAsia" w:ascii="宋体" w:hAnsi="宋体"/>
                <w:b/>
                <w:szCs w:val="21"/>
              </w:rPr>
              <w:t>□</w:t>
            </w:r>
            <w:r>
              <w:rPr>
                <w:rFonts w:ascii="宋体" w:hAnsi="宋体"/>
                <w:szCs w:val="21"/>
              </w:rPr>
              <w:t xml:space="preserve"> 联合体应满足下列要求：</w:t>
            </w:r>
            <w:r>
              <w:rPr>
                <w:rFonts w:ascii="宋体" w:hAnsi="宋体"/>
                <w:szCs w:val="21"/>
                <w:u w:val="single"/>
              </w:rPr>
              <w:t xml:space="preserve">                  </w:t>
            </w:r>
          </w:p>
        </w:tc>
      </w:tr>
      <w:tr w14:paraId="71F1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70" w:type="dxa"/>
            <w:vAlign w:val="center"/>
          </w:tcPr>
          <w:p w14:paraId="3622EC8B">
            <w:pPr>
              <w:spacing w:line="400" w:lineRule="exact"/>
              <w:jc w:val="center"/>
              <w:rPr>
                <w:rFonts w:ascii="宋体" w:hAnsi="宋体"/>
                <w:szCs w:val="21"/>
                <w:u w:val="single"/>
              </w:rPr>
            </w:pPr>
            <w:r>
              <w:rPr>
                <w:rFonts w:hint="eastAsia" w:ascii="宋体" w:hAnsi="宋体"/>
                <w:szCs w:val="21"/>
              </w:rPr>
              <w:t>……</w:t>
            </w:r>
          </w:p>
        </w:tc>
        <w:tc>
          <w:tcPr>
            <w:tcW w:w="868" w:type="dxa"/>
            <w:vAlign w:val="center"/>
          </w:tcPr>
          <w:p w14:paraId="3DE09494">
            <w:pPr>
              <w:spacing w:line="400" w:lineRule="exact"/>
              <w:jc w:val="center"/>
              <w:rPr>
                <w:rFonts w:ascii="宋体" w:hAnsi="宋体"/>
                <w:szCs w:val="21"/>
              </w:rPr>
            </w:pPr>
            <w:r>
              <w:rPr>
                <w:rFonts w:hint="eastAsia" w:ascii="宋体" w:hAnsi="宋体"/>
                <w:szCs w:val="21"/>
              </w:rPr>
              <w:t>……</w:t>
            </w:r>
          </w:p>
        </w:tc>
        <w:tc>
          <w:tcPr>
            <w:tcW w:w="7088" w:type="dxa"/>
            <w:vAlign w:val="center"/>
          </w:tcPr>
          <w:p w14:paraId="7ECCA8A0">
            <w:pPr>
              <w:spacing w:line="400" w:lineRule="exact"/>
              <w:jc w:val="center"/>
              <w:rPr>
                <w:rFonts w:ascii="宋体" w:hAnsi="宋体"/>
                <w:szCs w:val="21"/>
              </w:rPr>
            </w:pPr>
            <w:r>
              <w:rPr>
                <w:rFonts w:hint="eastAsia" w:ascii="宋体" w:hAnsi="宋体"/>
                <w:szCs w:val="21"/>
              </w:rPr>
              <w:t>……</w:t>
            </w:r>
          </w:p>
        </w:tc>
      </w:tr>
    </w:tbl>
    <w:p w14:paraId="4EB45487">
      <w:pPr>
        <w:pStyle w:val="299"/>
        <w:jc w:val="center"/>
        <w:rPr>
          <w:rFonts w:ascii="黑体" w:hAnsi="黑体" w:eastAsia="黑体"/>
          <w:bCs/>
          <w:sz w:val="24"/>
        </w:rPr>
      </w:pPr>
    </w:p>
    <w:p w14:paraId="51A50F89">
      <w:pPr>
        <w:pStyle w:val="299"/>
        <w:jc w:val="center"/>
        <w:rPr>
          <w:rFonts w:ascii="黑体" w:hAnsi="黑体" w:eastAsia="黑体"/>
          <w:bCs/>
          <w:sz w:val="24"/>
        </w:rPr>
      </w:pPr>
    </w:p>
    <w:p w14:paraId="049F3FD4">
      <w:pPr>
        <w:pStyle w:val="299"/>
        <w:jc w:val="center"/>
        <w:rPr>
          <w:rFonts w:ascii="黑体" w:hAnsi="黑体" w:eastAsia="黑体"/>
          <w:bCs/>
          <w:sz w:val="24"/>
        </w:rPr>
      </w:pPr>
    </w:p>
    <w:p w14:paraId="2D49401F">
      <w:pPr>
        <w:pStyle w:val="299"/>
        <w:jc w:val="center"/>
        <w:rPr>
          <w:rFonts w:ascii="黑体" w:hAnsi="黑体" w:eastAsia="黑体"/>
          <w:bCs/>
          <w:sz w:val="24"/>
        </w:rPr>
      </w:pPr>
    </w:p>
    <w:p w14:paraId="238B4239">
      <w:pPr>
        <w:pStyle w:val="299"/>
        <w:jc w:val="center"/>
        <w:rPr>
          <w:rFonts w:ascii="黑体" w:hAnsi="黑体" w:eastAsia="黑体"/>
          <w:bCs/>
          <w:sz w:val="24"/>
        </w:rPr>
      </w:pPr>
    </w:p>
    <w:p w14:paraId="15841016">
      <w:pPr>
        <w:pStyle w:val="299"/>
        <w:jc w:val="center"/>
        <w:rPr>
          <w:rFonts w:ascii="黑体" w:hAnsi="黑体" w:eastAsia="黑体"/>
          <w:bCs/>
          <w:sz w:val="24"/>
        </w:rPr>
      </w:pPr>
    </w:p>
    <w:p w14:paraId="7B6A0449">
      <w:pPr>
        <w:jc w:val="center"/>
        <w:rPr>
          <w:rFonts w:ascii="黑体" w:hAnsi="黑体" w:eastAsia="黑体"/>
          <w:bCs/>
          <w:sz w:val="24"/>
        </w:rPr>
      </w:pPr>
      <w:r>
        <w:rPr>
          <w:rFonts w:ascii="黑体" w:hAnsi="黑体" w:eastAsia="黑体"/>
          <w:bCs/>
          <w:sz w:val="24"/>
        </w:rPr>
        <w:br w:type="page"/>
      </w:r>
    </w:p>
    <w:p w14:paraId="289E7C00">
      <w:pPr>
        <w:pStyle w:val="4"/>
        <w:spacing w:before="0" w:beforeLines="0" w:after="0" w:afterLines="0" w:line="500" w:lineRule="exact"/>
        <w:jc w:val="center"/>
        <w:rPr>
          <w:rFonts w:ascii="黑体" w:hAnsi="黑体" w:eastAsia="黑体"/>
          <w:b w:val="0"/>
          <w:sz w:val="24"/>
        </w:rPr>
      </w:pPr>
      <w:bookmarkStart w:id="121" w:name="_Toc74230758"/>
      <w:r>
        <w:rPr>
          <w:rFonts w:hint="eastAsia" w:ascii="黑体" w:hAnsi="黑体" w:eastAsia="黑体"/>
          <w:bCs w:val="0"/>
          <w:sz w:val="24"/>
        </w:rPr>
        <w:t xml:space="preserve">□ </w:t>
      </w:r>
      <w:r>
        <w:rPr>
          <w:rFonts w:hint="eastAsia" w:ascii="黑体" w:hAnsi="黑体" w:eastAsia="黑体"/>
          <w:b w:val="0"/>
          <w:sz w:val="24"/>
        </w:rPr>
        <w:t>设计项目负责人</w:t>
      </w:r>
      <w:bookmarkEnd w:id="121"/>
    </w:p>
    <w:p w14:paraId="5ED5F3EB"/>
    <w:tbl>
      <w:tblPr>
        <w:tblStyle w:val="49"/>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54"/>
        <w:gridCol w:w="6805"/>
      </w:tblGrid>
      <w:tr w14:paraId="0739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1" w:type="dxa"/>
            <w:vAlign w:val="center"/>
          </w:tcPr>
          <w:p w14:paraId="1BB2EAE9">
            <w:pPr>
              <w:spacing w:line="400" w:lineRule="exact"/>
              <w:jc w:val="center"/>
              <w:rPr>
                <w:rFonts w:ascii="宋体" w:hAnsi="宋体"/>
                <w:bCs/>
                <w:szCs w:val="21"/>
              </w:rPr>
            </w:pPr>
            <w:r>
              <w:rPr>
                <w:rFonts w:hint="eastAsia" w:ascii="宋体" w:hAnsi="宋体"/>
                <w:bCs/>
                <w:szCs w:val="21"/>
              </w:rPr>
              <w:t>标段</w:t>
            </w:r>
          </w:p>
        </w:tc>
        <w:tc>
          <w:tcPr>
            <w:tcW w:w="954" w:type="dxa"/>
            <w:vAlign w:val="center"/>
          </w:tcPr>
          <w:p w14:paraId="7287446B">
            <w:pPr>
              <w:spacing w:line="400" w:lineRule="exact"/>
              <w:jc w:val="center"/>
              <w:rPr>
                <w:rFonts w:ascii="宋体" w:hAnsi="宋体"/>
                <w:bCs/>
                <w:szCs w:val="21"/>
              </w:rPr>
            </w:pPr>
            <w:r>
              <w:rPr>
                <w:rFonts w:hint="eastAsia" w:ascii="宋体" w:hAnsi="宋体"/>
                <w:bCs/>
                <w:szCs w:val="21"/>
              </w:rPr>
              <w:t>数量</w:t>
            </w:r>
          </w:p>
        </w:tc>
        <w:tc>
          <w:tcPr>
            <w:tcW w:w="6805" w:type="dxa"/>
            <w:vAlign w:val="center"/>
          </w:tcPr>
          <w:p w14:paraId="270DEFB1">
            <w:pPr>
              <w:spacing w:line="400" w:lineRule="exact"/>
              <w:jc w:val="center"/>
              <w:rPr>
                <w:rFonts w:ascii="宋体" w:hAnsi="宋体"/>
                <w:bCs/>
                <w:szCs w:val="21"/>
              </w:rPr>
            </w:pPr>
            <w:r>
              <w:rPr>
                <w:rFonts w:hint="eastAsia" w:ascii="宋体" w:hAnsi="宋体"/>
                <w:bCs/>
                <w:szCs w:val="21"/>
              </w:rPr>
              <w:t>资格要求</w:t>
            </w:r>
          </w:p>
        </w:tc>
      </w:tr>
      <w:tr w14:paraId="3456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3" w:hRule="atLeast"/>
          <w:jc w:val="center"/>
        </w:trPr>
        <w:tc>
          <w:tcPr>
            <w:tcW w:w="991" w:type="dxa"/>
            <w:vAlign w:val="center"/>
          </w:tcPr>
          <w:p w14:paraId="0F0B3B1B">
            <w:pPr>
              <w:spacing w:line="400" w:lineRule="exact"/>
              <w:jc w:val="center"/>
              <w:rPr>
                <w:rFonts w:ascii="宋体" w:hAnsi="宋体"/>
                <w:szCs w:val="21"/>
                <w:u w:val="single"/>
              </w:rPr>
            </w:pPr>
          </w:p>
        </w:tc>
        <w:tc>
          <w:tcPr>
            <w:tcW w:w="954" w:type="dxa"/>
            <w:vAlign w:val="center"/>
          </w:tcPr>
          <w:p w14:paraId="3B98860E">
            <w:pPr>
              <w:spacing w:line="400" w:lineRule="exact"/>
              <w:jc w:val="center"/>
              <w:rPr>
                <w:rFonts w:ascii="宋体" w:hAnsi="宋体"/>
                <w:szCs w:val="21"/>
              </w:rPr>
            </w:pPr>
          </w:p>
        </w:tc>
        <w:tc>
          <w:tcPr>
            <w:tcW w:w="6805" w:type="dxa"/>
            <w:vAlign w:val="center"/>
          </w:tcPr>
          <w:p w14:paraId="2168D7C4">
            <w:pPr>
              <w:spacing w:line="400" w:lineRule="exact"/>
              <w:rPr>
                <w:rFonts w:hint="eastAsia" w:ascii="宋体" w:hAnsi="宋体"/>
                <w:szCs w:val="21"/>
              </w:rPr>
            </w:pPr>
            <w:r>
              <w:rPr>
                <w:rFonts w:hint="eastAsia" w:ascii="宋体" w:hAnsi="宋体"/>
                <w:b/>
                <w:bCs/>
                <w:szCs w:val="21"/>
              </w:rPr>
              <w:t>□</w:t>
            </w:r>
            <w:r>
              <w:rPr>
                <w:rFonts w:hint="eastAsia" w:ascii="宋体" w:hAnsi="宋体"/>
                <w:szCs w:val="21"/>
              </w:rPr>
              <w:t xml:space="preserve"> 具有</w:t>
            </w:r>
            <w:r>
              <w:rPr>
                <w:rFonts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工程师；□高级工程师）及以上技术职称。</w:t>
            </w:r>
          </w:p>
          <w:p w14:paraId="2557A897">
            <w:pPr>
              <w:widowControl/>
              <w:spacing w:line="400" w:lineRule="exact"/>
              <w:ind w:left="420" w:leftChars="100" w:hanging="210" w:hangingChars="100"/>
              <w:jc w:val="left"/>
              <w:rPr>
                <w:rFonts w:hint="eastAsia" w:ascii="宋体" w:hAnsi="宋体"/>
                <w:szCs w:val="21"/>
              </w:rPr>
            </w:pPr>
            <w:r>
              <w:rPr>
                <w:rFonts w:hint="eastAsia" w:ascii="宋体" w:hAnsi="宋体"/>
                <w:szCs w:val="21"/>
              </w:rPr>
              <w:t>注：“□工程师；□高级工程师”为单选项</w:t>
            </w:r>
          </w:p>
          <w:p w14:paraId="58704BDC">
            <w:pPr>
              <w:spacing w:line="400" w:lineRule="exact"/>
              <w:rPr>
                <w:rFonts w:hint="eastAsia" w:ascii="宋体" w:hAnsi="宋体"/>
                <w:kern w:val="0"/>
                <w:szCs w:val="21"/>
              </w:rPr>
            </w:pPr>
            <w:r>
              <w:rPr>
                <w:rFonts w:hint="eastAsia" w:ascii="宋体" w:hAnsi="宋体"/>
                <w:b/>
                <w:bCs/>
                <w:szCs w:val="21"/>
              </w:rPr>
              <w:t>□</w:t>
            </w:r>
            <w:r>
              <w:rPr>
                <w:rFonts w:hint="eastAsia" w:ascii="宋体" w:hAnsi="宋体"/>
                <w:szCs w:val="21"/>
              </w:rPr>
              <w:t xml:space="preserve"> 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6EA38372">
            <w:pPr>
              <w:tabs>
                <w:tab w:val="left" w:pos="4213"/>
                <w:tab w:val="center" w:pos="4973"/>
              </w:tabs>
              <w:adjustRightInd w:val="0"/>
              <w:snapToGrid w:val="0"/>
              <w:spacing w:line="400" w:lineRule="exact"/>
              <w:ind w:firstLine="210" w:firstLineChars="100"/>
              <w:rPr>
                <w:rFonts w:hint="eastAsia" w:ascii="宋体" w:hAnsi="宋体"/>
                <w:kern w:val="0"/>
                <w:szCs w:val="21"/>
              </w:rPr>
            </w:pPr>
            <w:r>
              <w:rPr>
                <w:rFonts w:hint="eastAsia" w:ascii="宋体" w:hAnsi="宋体" w:cs="宋体"/>
                <w:kern w:val="2"/>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56EA3B55">
            <w:pPr>
              <w:spacing w:line="400" w:lineRule="exact"/>
              <w:ind w:left="422" w:hanging="422" w:hangingChars="200"/>
              <w:rPr>
                <w:rFonts w:ascii="宋体" w:hAnsi="宋体" w:cs="宋体"/>
                <w:szCs w:val="21"/>
              </w:rPr>
            </w:pPr>
            <w:r>
              <w:rPr>
                <w:rFonts w:hint="eastAsia" w:ascii="宋体" w:hAnsi="宋体"/>
                <w:b/>
                <w:bCs/>
                <w:szCs w:val="21"/>
              </w:rPr>
              <w:t>□</w:t>
            </w:r>
            <w:r>
              <w:rPr>
                <w:rFonts w:hint="eastAsia" w:ascii="宋体" w:hAnsi="宋体"/>
                <w:szCs w:val="21"/>
              </w:rPr>
              <w:t xml:space="preserve"> </w:t>
            </w:r>
            <w:r>
              <w:rPr>
                <w:rFonts w:hint="eastAsia"/>
              </w:rPr>
              <w:t>投标截止日所在月上个月或上上个月起之前在其</w:t>
            </w:r>
            <w:r>
              <w:rPr>
                <w:rFonts w:hint="eastAsia" w:ascii="宋体" w:hAnsi="宋体" w:cs="宋体"/>
                <w:szCs w:val="21"/>
              </w:rPr>
              <w:t>投标单位连续6个</w:t>
            </w:r>
          </w:p>
          <w:p w14:paraId="49CCC545">
            <w:pPr>
              <w:spacing w:line="400" w:lineRule="exact"/>
              <w:ind w:left="601" w:leftChars="86" w:hanging="420" w:hangingChars="200"/>
              <w:rPr>
                <w:rFonts w:ascii="宋体" w:hAnsi="宋体"/>
                <w:szCs w:val="21"/>
              </w:rPr>
            </w:pPr>
            <w:r>
              <w:rPr>
                <w:rFonts w:hint="eastAsia" w:ascii="宋体" w:hAnsi="宋体" w:cs="宋体"/>
                <w:szCs w:val="21"/>
              </w:rPr>
              <w:t xml:space="preserve"> 月参加社保</w:t>
            </w:r>
            <w:r>
              <w:rPr>
                <w:rFonts w:hint="eastAsia" w:ascii="宋体" w:hAnsi="宋体"/>
                <w:szCs w:val="21"/>
              </w:rPr>
              <w:t>。</w:t>
            </w:r>
          </w:p>
          <w:p w14:paraId="6855507D">
            <w:pPr>
              <w:spacing w:line="400" w:lineRule="exact"/>
              <w:ind w:left="211" w:hanging="211" w:hangingChars="100"/>
              <w:jc w:val="left"/>
              <w:rPr>
                <w:rFonts w:ascii="宋体" w:hAnsi="宋体"/>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szCs w:val="21"/>
                <w:u w:val="single"/>
              </w:rPr>
              <w:t xml:space="preserve">   </w:t>
            </w:r>
            <w:r>
              <w:rPr>
                <w:rFonts w:hint="eastAsia" w:ascii="宋体" w:hAnsi="宋体"/>
                <w:szCs w:val="21"/>
              </w:rPr>
              <w:t>段每段里程不低于</w:t>
            </w:r>
            <w:r>
              <w:rPr>
                <w:rFonts w:hint="eastAsia" w:ascii="宋体" w:hAnsi="宋体"/>
                <w:szCs w:val="21"/>
                <w:u w:val="single"/>
              </w:rPr>
              <w:t xml:space="preserve">    </w:t>
            </w:r>
            <w:r>
              <w:rPr>
                <w:rFonts w:hint="eastAsia" w:ascii="宋体" w:hAnsi="宋体"/>
                <w:szCs w:val="21"/>
              </w:rPr>
              <w:t>公里的国内（□新建；□改扩建；□新建或改扩建）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级及以上公路（□初步；□施工图；□初步或施工图）勘察设计工作中担任过项目负责人，其中至少有</w:t>
            </w:r>
            <w:r>
              <w:rPr>
                <w:rFonts w:hint="eastAsia" w:ascii="宋体" w:hAnsi="宋体"/>
                <w:szCs w:val="21"/>
                <w:u w:val="single"/>
              </w:rPr>
              <w:t xml:space="preserve">     </w:t>
            </w:r>
            <w:r>
              <w:rPr>
                <w:rFonts w:hint="eastAsia" w:ascii="宋体" w:hAnsi="宋体"/>
                <w:szCs w:val="21"/>
              </w:rPr>
              <w:t>段桥隧比不低于</w:t>
            </w:r>
            <w:r>
              <w:rPr>
                <w:rFonts w:hint="eastAsia" w:ascii="宋体" w:hAnsi="宋体"/>
                <w:szCs w:val="21"/>
                <w:u w:val="single"/>
              </w:rPr>
              <w:t xml:space="preserve">      </w:t>
            </w:r>
            <w:r>
              <w:rPr>
                <w:rFonts w:hint="eastAsia" w:ascii="宋体" w:hAnsi="宋体"/>
                <w:szCs w:val="21"/>
              </w:rPr>
              <w:t>%。</w:t>
            </w:r>
          </w:p>
          <w:p w14:paraId="02071F59">
            <w:pPr>
              <w:spacing w:line="400" w:lineRule="exact"/>
              <w:ind w:left="0" w:leftChars="0" w:firstLine="210" w:firstLineChars="100"/>
              <w:jc w:val="left"/>
            </w:pPr>
            <w:r>
              <w:rPr>
                <w:rFonts w:hint="eastAsia"/>
              </w:rPr>
              <w:t>注：“</w:t>
            </w:r>
            <w:r>
              <w:rPr>
                <w:rFonts w:hint="eastAsia" w:ascii="宋体" w:hAnsi="宋体"/>
                <w:szCs w:val="21"/>
              </w:rPr>
              <w:t>□新建；□改扩建；□新建或改扩建</w:t>
            </w:r>
            <w:r>
              <w:rPr>
                <w:rFonts w:hint="eastAsia"/>
              </w:rPr>
              <w:t>”“</w:t>
            </w:r>
            <w:r>
              <w:rPr>
                <w:rFonts w:hint="eastAsia" w:ascii="宋体" w:hAnsi="宋体"/>
                <w:szCs w:val="21"/>
              </w:rPr>
              <w:t>□初步；□施工图；□初步或施工图</w:t>
            </w:r>
            <w:r>
              <w:rPr>
                <w:rFonts w:hint="eastAsia"/>
              </w:rPr>
              <w:t>”</w:t>
            </w:r>
            <w:r>
              <w:rPr>
                <w:rFonts w:hint="eastAsia" w:ascii="宋体" w:hAnsi="宋体" w:cs="宋体"/>
              </w:rPr>
              <w:t>为单选项。</w:t>
            </w:r>
          </w:p>
          <w:p w14:paraId="1483030F">
            <w:pPr>
              <w:spacing w:line="400" w:lineRule="exact"/>
              <w:jc w:val="left"/>
              <w:rPr>
                <w:rFonts w:ascii="宋体" w:hAnsi="宋体"/>
                <w:b/>
                <w:bCs/>
                <w:szCs w:val="21"/>
                <w:u w:val="single"/>
              </w:rPr>
            </w:pPr>
            <w:r>
              <w:rPr>
                <w:rFonts w:hint="eastAsia" w:ascii="宋体" w:hAnsi="宋体"/>
                <w:b/>
                <w:bCs/>
                <w:szCs w:val="21"/>
              </w:rPr>
              <w:t xml:space="preserve">□ </w:t>
            </w:r>
            <w:r>
              <w:rPr>
                <w:rFonts w:hint="eastAsia" w:ascii="宋体" w:hAnsi="宋体"/>
                <w:szCs w:val="21"/>
              </w:rPr>
              <w:t>其他</w:t>
            </w:r>
            <w:r>
              <w:rPr>
                <w:rFonts w:hint="eastAsia" w:ascii="宋体" w:hAnsi="宋体"/>
                <w:b/>
                <w:bCs/>
                <w:szCs w:val="21"/>
              </w:rPr>
              <w:t>：</w:t>
            </w:r>
            <w:r>
              <w:rPr>
                <w:rFonts w:hint="eastAsia" w:ascii="宋体" w:hAnsi="宋体"/>
                <w:b/>
                <w:bCs/>
                <w:szCs w:val="21"/>
                <w:u w:val="single"/>
              </w:rPr>
              <w:t xml:space="preserve">              </w:t>
            </w:r>
          </w:p>
          <w:p w14:paraId="08BE0397">
            <w:pPr>
              <w:spacing w:line="400" w:lineRule="exact"/>
              <w:rPr>
                <w:rFonts w:ascii="宋体" w:hAnsi="宋体"/>
                <w:szCs w:val="21"/>
              </w:rPr>
            </w:pPr>
            <w:r>
              <w:rPr>
                <w:rFonts w:ascii="宋体" w:hAnsi="宋体"/>
                <w:b/>
                <w:bCs/>
                <w:szCs w:val="21"/>
              </w:rPr>
              <w:t>□</w:t>
            </w:r>
            <w:r>
              <w:rPr>
                <w:rFonts w:ascii="宋体" w:hAnsi="宋体"/>
                <w:szCs w:val="21"/>
              </w:rPr>
              <w:t xml:space="preserve"> 联合体应满足下列要求</w:t>
            </w:r>
            <w:r>
              <w:rPr>
                <w:rFonts w:hint="eastAsia" w:ascii="宋体" w:hAnsi="宋体"/>
                <w:szCs w:val="21"/>
              </w:rPr>
              <w:t>：</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2A63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1" w:type="dxa"/>
            <w:vAlign w:val="center"/>
          </w:tcPr>
          <w:p w14:paraId="7D8BBC6C">
            <w:pPr>
              <w:spacing w:line="400" w:lineRule="exact"/>
              <w:jc w:val="center"/>
              <w:rPr>
                <w:rFonts w:ascii="宋体" w:hAnsi="宋体"/>
                <w:szCs w:val="21"/>
              </w:rPr>
            </w:pPr>
            <w:r>
              <w:rPr>
                <w:rFonts w:ascii="宋体" w:hAnsi="宋体"/>
                <w:szCs w:val="21"/>
              </w:rPr>
              <w:t>……</w:t>
            </w:r>
          </w:p>
        </w:tc>
        <w:tc>
          <w:tcPr>
            <w:tcW w:w="954" w:type="dxa"/>
            <w:vAlign w:val="center"/>
          </w:tcPr>
          <w:p w14:paraId="6E68ADFC">
            <w:pPr>
              <w:spacing w:line="400" w:lineRule="exact"/>
              <w:jc w:val="center"/>
              <w:rPr>
                <w:rFonts w:ascii="宋体" w:hAnsi="宋体"/>
                <w:szCs w:val="21"/>
              </w:rPr>
            </w:pPr>
            <w:r>
              <w:rPr>
                <w:rFonts w:ascii="宋体" w:hAnsi="宋体"/>
                <w:szCs w:val="21"/>
              </w:rPr>
              <w:t>……</w:t>
            </w:r>
          </w:p>
        </w:tc>
        <w:tc>
          <w:tcPr>
            <w:tcW w:w="6805" w:type="dxa"/>
            <w:vAlign w:val="center"/>
          </w:tcPr>
          <w:p w14:paraId="17DBADB1">
            <w:pPr>
              <w:spacing w:line="400" w:lineRule="exact"/>
              <w:jc w:val="center"/>
              <w:rPr>
                <w:rFonts w:ascii="宋体" w:hAnsi="宋体"/>
                <w:szCs w:val="21"/>
              </w:rPr>
            </w:pPr>
            <w:r>
              <w:rPr>
                <w:rFonts w:ascii="宋体" w:hAnsi="宋体"/>
                <w:szCs w:val="21"/>
              </w:rPr>
              <w:t>……</w:t>
            </w:r>
          </w:p>
        </w:tc>
      </w:tr>
    </w:tbl>
    <w:p w14:paraId="61898918">
      <w:pPr>
        <w:pStyle w:val="299"/>
        <w:jc w:val="center"/>
        <w:rPr>
          <w:rFonts w:ascii="黑体" w:hAnsi="黑体" w:eastAsia="黑体"/>
          <w:bCs/>
          <w:sz w:val="24"/>
        </w:rPr>
      </w:pPr>
    </w:p>
    <w:p w14:paraId="7356567A">
      <w:pPr>
        <w:pStyle w:val="299"/>
        <w:jc w:val="center"/>
        <w:rPr>
          <w:rFonts w:ascii="黑体" w:hAnsi="黑体" w:eastAsia="黑体"/>
          <w:bCs/>
          <w:sz w:val="24"/>
        </w:rPr>
      </w:pPr>
    </w:p>
    <w:p w14:paraId="26FAD350">
      <w:pPr>
        <w:spacing w:before="0" w:beforeLines="0" w:after="0" w:afterLines="0"/>
        <w:jc w:val="center"/>
      </w:pPr>
      <w:r>
        <w:br w:type="page"/>
      </w:r>
    </w:p>
    <w:p w14:paraId="603788D1">
      <w:pPr>
        <w:pStyle w:val="4"/>
        <w:spacing w:before="0" w:beforeLines="0" w:after="0" w:afterLines="0" w:line="500" w:lineRule="exact"/>
        <w:jc w:val="center"/>
        <w:rPr>
          <w:rFonts w:ascii="黑体" w:hAnsi="黑体" w:eastAsia="黑体"/>
          <w:b w:val="0"/>
          <w:kern w:val="2"/>
          <w:sz w:val="24"/>
          <w:szCs w:val="24"/>
        </w:rPr>
      </w:pPr>
      <w:r>
        <w:rPr>
          <w:rFonts w:hint="eastAsia" w:ascii="黑体" w:hAnsi="黑体" w:eastAsia="黑体"/>
          <w:b w:val="0"/>
          <w:bCs/>
          <w:kern w:val="2"/>
          <w:sz w:val="24"/>
          <w:szCs w:val="24"/>
        </w:rPr>
        <w:sym w:font="Wingdings 2" w:char="00A3"/>
      </w:r>
      <w:r>
        <w:rPr>
          <w:rFonts w:hint="eastAsia" w:ascii="黑体" w:hAnsi="黑体" w:eastAsia="黑体"/>
          <w:b w:val="0"/>
          <w:bCs/>
          <w:kern w:val="2"/>
          <w:sz w:val="24"/>
          <w:szCs w:val="24"/>
        </w:rPr>
        <w:t xml:space="preserve"> </w:t>
      </w:r>
      <w:r>
        <w:rPr>
          <w:rFonts w:hint="eastAsia" w:ascii="黑体" w:hAnsi="黑体" w:eastAsia="黑体"/>
          <w:b w:val="0"/>
          <w:bCs/>
          <w:sz w:val="24"/>
        </w:rPr>
        <w:t>勘察设计技术负责人或总设计师</w:t>
      </w:r>
    </w:p>
    <w:p w14:paraId="3B9B6C06">
      <w:pPr>
        <w:rPr>
          <w:bCs/>
        </w:rPr>
      </w:pPr>
    </w:p>
    <w:tbl>
      <w:tblPr>
        <w:tblStyle w:val="4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09"/>
        <w:gridCol w:w="7207"/>
      </w:tblGrid>
      <w:tr w14:paraId="6577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Pr>
          <w:p w14:paraId="2AD7C5A6">
            <w:pPr>
              <w:spacing w:line="400" w:lineRule="exact"/>
              <w:jc w:val="center"/>
              <w:rPr>
                <w:bCs/>
                <w:szCs w:val="21"/>
              </w:rPr>
            </w:pPr>
            <w:r>
              <w:rPr>
                <w:rFonts w:hint="eastAsia"/>
                <w:bCs/>
                <w:szCs w:val="21"/>
              </w:rPr>
              <w:t>标段</w:t>
            </w:r>
          </w:p>
        </w:tc>
        <w:tc>
          <w:tcPr>
            <w:tcW w:w="709" w:type="dxa"/>
          </w:tcPr>
          <w:p w14:paraId="7CA29A9F">
            <w:pPr>
              <w:spacing w:line="400" w:lineRule="exact"/>
              <w:jc w:val="center"/>
              <w:rPr>
                <w:bCs/>
                <w:szCs w:val="21"/>
              </w:rPr>
            </w:pPr>
            <w:r>
              <w:rPr>
                <w:rFonts w:hint="eastAsia"/>
                <w:bCs/>
                <w:szCs w:val="21"/>
              </w:rPr>
              <w:t>数量</w:t>
            </w:r>
          </w:p>
        </w:tc>
        <w:tc>
          <w:tcPr>
            <w:tcW w:w="7207" w:type="dxa"/>
          </w:tcPr>
          <w:p w14:paraId="76667D6A">
            <w:pPr>
              <w:spacing w:line="400" w:lineRule="exact"/>
              <w:jc w:val="center"/>
              <w:rPr>
                <w:bCs/>
                <w:szCs w:val="21"/>
              </w:rPr>
            </w:pPr>
            <w:r>
              <w:rPr>
                <w:rFonts w:hint="eastAsia"/>
                <w:bCs/>
                <w:szCs w:val="21"/>
              </w:rPr>
              <w:t>资格要求</w:t>
            </w:r>
          </w:p>
        </w:tc>
      </w:tr>
      <w:tr w14:paraId="52D2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879" w:type="dxa"/>
            <w:vAlign w:val="center"/>
          </w:tcPr>
          <w:p w14:paraId="7ADB75F2">
            <w:pPr>
              <w:spacing w:line="400" w:lineRule="exact"/>
              <w:jc w:val="center"/>
              <w:rPr>
                <w:szCs w:val="21"/>
              </w:rPr>
            </w:pPr>
          </w:p>
        </w:tc>
        <w:tc>
          <w:tcPr>
            <w:tcW w:w="709" w:type="dxa"/>
            <w:vAlign w:val="center"/>
          </w:tcPr>
          <w:p w14:paraId="591DDAED">
            <w:pPr>
              <w:spacing w:line="400" w:lineRule="exact"/>
              <w:jc w:val="center"/>
              <w:rPr>
                <w:szCs w:val="21"/>
              </w:rPr>
            </w:pPr>
          </w:p>
        </w:tc>
        <w:tc>
          <w:tcPr>
            <w:tcW w:w="7207" w:type="dxa"/>
          </w:tcPr>
          <w:p w14:paraId="6AA62963">
            <w:pPr>
              <w:spacing w:line="400" w:lineRule="exact"/>
              <w:jc w:val="left"/>
              <w:rPr>
                <w:rFonts w:ascii="宋体" w:hAnsi="宋体"/>
                <w:szCs w:val="21"/>
              </w:rPr>
            </w:pPr>
            <w:bookmarkStart w:id="122" w:name="_Hlk100244286"/>
            <w:r>
              <w:rPr>
                <w:rFonts w:hint="eastAsia" w:ascii="宋体" w:hAnsi="宋体"/>
                <w:b/>
                <w:bCs/>
                <w:szCs w:val="21"/>
              </w:rPr>
              <w:t xml:space="preserve">□ </w:t>
            </w:r>
            <w:r>
              <w:rPr>
                <w:rFonts w:hint="eastAsia" w:ascii="宋体" w:hAnsi="宋体"/>
                <w:szCs w:val="21"/>
              </w:rPr>
              <w:t>具有</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工程师；□高级工程师）及以上技术职称；</w:t>
            </w:r>
          </w:p>
          <w:p w14:paraId="1C27D4D6">
            <w:pPr>
              <w:pStyle w:val="48"/>
              <w:spacing w:after="0" w:line="400" w:lineRule="exact"/>
              <w:ind w:left="0" w:leftChars="0" w:firstLine="210" w:firstLineChars="100"/>
              <w:rPr>
                <w:rFonts w:ascii="宋体" w:hAnsi="宋体"/>
                <w:szCs w:val="21"/>
              </w:rPr>
            </w:pPr>
            <w:r>
              <w:rPr>
                <w:rFonts w:hint="eastAsia" w:ascii="宋体" w:hAnsi="宋体"/>
                <w:szCs w:val="21"/>
              </w:rPr>
              <w:t>注：“□工程师；□高级工程师”为单选项。</w:t>
            </w:r>
          </w:p>
          <w:p w14:paraId="74C44EF0">
            <w:pPr>
              <w:spacing w:line="400" w:lineRule="exact"/>
              <w:jc w:val="left"/>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64EA22F2">
            <w:pPr>
              <w:pStyle w:val="48"/>
              <w:spacing w:after="0" w:line="400" w:lineRule="exact"/>
              <w:ind w:left="0" w:leftChars="0" w:firstLine="210" w:firstLineChars="100"/>
            </w:pPr>
            <w:r>
              <w:rPr>
                <w:rFonts w:hint="eastAsia" w:ascii="宋体" w:hAnsi="宋体"/>
                <w:kern w:val="0"/>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2B8C6ADD">
            <w:pPr>
              <w:spacing w:line="400" w:lineRule="exact"/>
              <w:ind w:left="211" w:hanging="211" w:hangingChars="100"/>
              <w:jc w:val="left"/>
              <w:rPr>
                <w:rFonts w:ascii="宋体" w:hAnsi="宋体"/>
                <w:szCs w:val="21"/>
              </w:rPr>
            </w:pPr>
            <w:r>
              <w:rPr>
                <w:rFonts w:hint="eastAsia" w:ascii="宋体" w:hAnsi="宋体"/>
                <w:b/>
                <w:bCs/>
                <w:szCs w:val="21"/>
              </w:rPr>
              <w:t xml:space="preserve">□ </w:t>
            </w:r>
            <w:r>
              <w:rPr>
                <w:rFonts w:hint="eastAsia" w:ascii="宋体" w:hAnsi="宋体"/>
                <w:szCs w:val="21"/>
              </w:rPr>
              <w:t>投标截止日所在月上个月或上上个月起之前在其投标单位连续6个月参加社保；</w:t>
            </w:r>
          </w:p>
          <w:p w14:paraId="58E30527">
            <w:pPr>
              <w:spacing w:line="400" w:lineRule="exact"/>
              <w:ind w:left="211" w:hanging="211" w:hangingChars="100"/>
              <w:jc w:val="left"/>
              <w:rPr>
                <w:rFonts w:ascii="宋体" w:hAnsi="宋体"/>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szCs w:val="21"/>
                <w:u w:val="single"/>
              </w:rPr>
              <w:t xml:space="preserve">   </w:t>
            </w:r>
            <w:r>
              <w:rPr>
                <w:rFonts w:hint="eastAsia" w:ascii="宋体" w:hAnsi="宋体"/>
                <w:szCs w:val="21"/>
              </w:rPr>
              <w:t>段每段里程不低于</w:t>
            </w:r>
            <w:r>
              <w:rPr>
                <w:rFonts w:hint="eastAsia" w:ascii="宋体" w:hAnsi="宋体"/>
                <w:szCs w:val="21"/>
                <w:u w:val="single"/>
              </w:rPr>
              <w:t xml:space="preserve">   </w:t>
            </w:r>
            <w:r>
              <w:rPr>
                <w:rFonts w:hint="eastAsia" w:ascii="宋体" w:hAnsi="宋体"/>
                <w:szCs w:val="21"/>
              </w:rPr>
              <w:t>公里的国内（□新建；</w:t>
            </w:r>
            <w:r>
              <w:rPr>
                <w:rFonts w:ascii="宋体" w:hAnsi="宋体"/>
                <w:szCs w:val="21"/>
              </w:rPr>
              <w:t>□改扩建</w:t>
            </w:r>
            <w:r>
              <w:rPr>
                <w:rFonts w:hint="eastAsia" w:ascii="宋体" w:hAnsi="宋体"/>
                <w:szCs w:val="21"/>
              </w:rPr>
              <w:t>；</w:t>
            </w:r>
            <w:r>
              <w:rPr>
                <w:rFonts w:ascii="宋体" w:hAnsi="宋体"/>
                <w:szCs w:val="21"/>
              </w:rPr>
              <w:t>□新建或改扩建）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w:t>
            </w:r>
            <w:r>
              <w:rPr>
                <w:rFonts w:ascii="宋体" w:hAnsi="宋体"/>
                <w:szCs w:val="21"/>
              </w:rPr>
              <w:t>公路</w:t>
            </w:r>
            <w:r>
              <w:rPr>
                <w:rFonts w:hint="eastAsia" w:ascii="宋体" w:hAnsi="宋体"/>
                <w:szCs w:val="21"/>
              </w:rPr>
              <w:t>及以上（□初步；</w:t>
            </w:r>
            <w:r>
              <w:rPr>
                <w:rFonts w:ascii="宋体" w:hAnsi="宋体"/>
                <w:szCs w:val="21"/>
              </w:rPr>
              <w:t>□施工图</w:t>
            </w:r>
            <w:r>
              <w:rPr>
                <w:rFonts w:hint="eastAsia" w:ascii="宋体" w:hAnsi="宋体"/>
                <w:szCs w:val="21"/>
              </w:rPr>
              <w:t>；</w:t>
            </w:r>
            <w:r>
              <w:rPr>
                <w:rFonts w:ascii="宋体" w:hAnsi="宋体"/>
                <w:szCs w:val="21"/>
              </w:rPr>
              <w:t>□初步或施工图）勘察设计工作</w:t>
            </w:r>
            <w:r>
              <w:rPr>
                <w:rFonts w:hint="eastAsia" w:ascii="宋体" w:hAnsi="宋体"/>
                <w:szCs w:val="21"/>
              </w:rPr>
              <w:t>中担任过</w:t>
            </w:r>
            <w:r>
              <w:rPr>
                <w:rFonts w:ascii="宋体" w:hAnsi="宋体"/>
                <w:szCs w:val="21"/>
              </w:rPr>
              <w:t>项目负责人或技术负责人或总设计师</w:t>
            </w:r>
            <w:r>
              <w:rPr>
                <w:rFonts w:hint="eastAsia" w:ascii="宋体" w:hAnsi="宋体"/>
                <w:szCs w:val="21"/>
              </w:rPr>
              <w:t>，</w:t>
            </w:r>
            <w:r>
              <w:rPr>
                <w:rFonts w:ascii="宋体" w:hAnsi="宋体"/>
                <w:szCs w:val="21"/>
              </w:rPr>
              <w:t>其中至少有</w:t>
            </w:r>
            <w:r>
              <w:rPr>
                <w:rFonts w:hint="eastAsia" w:ascii="宋体" w:hAnsi="宋体"/>
                <w:szCs w:val="21"/>
                <w:u w:val="single"/>
              </w:rPr>
              <w:t xml:space="preserve">   </w:t>
            </w:r>
            <w:r>
              <w:rPr>
                <w:rFonts w:hint="eastAsia" w:ascii="宋体" w:hAnsi="宋体"/>
                <w:szCs w:val="21"/>
              </w:rPr>
              <w:t>段桥隧比不低于</w:t>
            </w:r>
            <w:r>
              <w:rPr>
                <w:rFonts w:hint="eastAsia" w:ascii="宋体" w:hAnsi="宋体"/>
                <w:szCs w:val="21"/>
                <w:u w:val="single"/>
              </w:rPr>
              <w:t xml:space="preserve">    </w:t>
            </w:r>
            <w:r>
              <w:rPr>
                <w:rFonts w:ascii="宋体" w:hAnsi="宋体"/>
                <w:szCs w:val="21"/>
              </w:rPr>
              <w:t>%；</w:t>
            </w:r>
          </w:p>
          <w:p w14:paraId="424C38CA">
            <w:pPr>
              <w:spacing w:line="400" w:lineRule="exact"/>
              <w:ind w:left="0" w:leftChars="0" w:firstLine="210" w:firstLineChars="100"/>
              <w:jc w:val="left"/>
            </w:pPr>
            <w:r>
              <w:rPr>
                <w:rFonts w:hint="eastAsia"/>
              </w:rPr>
              <w:t>注：“</w:t>
            </w:r>
            <w:r>
              <w:rPr>
                <w:rFonts w:hint="eastAsia" w:ascii="宋体" w:hAnsi="宋体"/>
                <w:szCs w:val="21"/>
              </w:rPr>
              <w:t>□新建；□改扩建；□新建或改扩建</w:t>
            </w:r>
            <w:r>
              <w:rPr>
                <w:rFonts w:hint="eastAsia"/>
              </w:rPr>
              <w:t>”“</w:t>
            </w:r>
            <w:r>
              <w:rPr>
                <w:rFonts w:hint="eastAsia" w:ascii="宋体" w:hAnsi="宋体"/>
                <w:szCs w:val="21"/>
              </w:rPr>
              <w:t>□初步；□施工图；□初步或施工图</w:t>
            </w:r>
            <w:r>
              <w:rPr>
                <w:rFonts w:hint="eastAsia"/>
              </w:rPr>
              <w:t>”</w:t>
            </w:r>
            <w:r>
              <w:rPr>
                <w:rFonts w:hint="eastAsia" w:ascii="宋体" w:hAnsi="宋体" w:cs="宋体"/>
              </w:rPr>
              <w:t>为单选项。</w:t>
            </w:r>
          </w:p>
          <w:p w14:paraId="34F729E0">
            <w:pPr>
              <w:spacing w:line="400" w:lineRule="exact"/>
              <w:jc w:val="left"/>
              <w:rPr>
                <w:rFonts w:ascii="宋体" w:hAnsi="宋体"/>
                <w:b/>
                <w:bCs/>
                <w:szCs w:val="21"/>
                <w:u w:val="single"/>
              </w:rPr>
            </w:pPr>
            <w:r>
              <w:rPr>
                <w:rFonts w:hint="eastAsia" w:ascii="宋体" w:hAnsi="宋体"/>
                <w:b/>
                <w:bCs/>
                <w:szCs w:val="21"/>
              </w:rPr>
              <w:t xml:space="preserve">□ </w:t>
            </w:r>
            <w:r>
              <w:rPr>
                <w:rFonts w:hint="eastAsia" w:ascii="宋体" w:hAnsi="宋体"/>
                <w:szCs w:val="21"/>
              </w:rPr>
              <w:t>其他</w:t>
            </w:r>
            <w:r>
              <w:rPr>
                <w:rFonts w:hint="eastAsia" w:ascii="宋体" w:hAnsi="宋体"/>
                <w:b/>
                <w:bCs/>
                <w:szCs w:val="21"/>
              </w:rPr>
              <w:t>：</w:t>
            </w:r>
            <w:r>
              <w:rPr>
                <w:rFonts w:hint="eastAsia" w:ascii="宋体" w:hAnsi="宋体"/>
                <w:b/>
                <w:bCs/>
                <w:szCs w:val="21"/>
                <w:u w:val="single"/>
              </w:rPr>
              <w:t xml:space="preserve">              </w:t>
            </w:r>
          </w:p>
          <w:bookmarkEnd w:id="122"/>
          <w:p w14:paraId="59C201C4">
            <w:pPr>
              <w:spacing w:line="400" w:lineRule="exact"/>
              <w:rPr>
                <w:szCs w:val="21"/>
              </w:rPr>
            </w:pPr>
            <w:r>
              <w:rPr>
                <w:rFonts w:ascii="宋体" w:hAnsi="宋体"/>
                <w:b/>
                <w:bCs/>
                <w:szCs w:val="21"/>
              </w:rPr>
              <w:t>□</w:t>
            </w:r>
            <w:r>
              <w:rPr>
                <w:rFonts w:ascii="宋体" w:hAnsi="宋体"/>
                <w:szCs w:val="21"/>
              </w:rPr>
              <w:t xml:space="preserve"> 联合体应满足下列要求</w:t>
            </w:r>
            <w:r>
              <w:rPr>
                <w:rFonts w:hint="eastAsia" w:ascii="宋体" w:hAnsi="宋体"/>
                <w:szCs w:val="21"/>
              </w:rPr>
              <w:t>：</w:t>
            </w:r>
            <w:r>
              <w:rPr>
                <w:rFonts w:ascii="宋体" w:hAnsi="宋体"/>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tc>
      </w:tr>
      <w:tr w14:paraId="05B2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9" w:type="dxa"/>
            <w:vAlign w:val="center"/>
          </w:tcPr>
          <w:p w14:paraId="0DBDCB9B">
            <w:pPr>
              <w:spacing w:line="400" w:lineRule="exact"/>
              <w:jc w:val="center"/>
              <w:rPr>
                <w:rFonts w:ascii="宋体" w:hAnsi="宋体"/>
                <w:b/>
                <w:szCs w:val="21"/>
              </w:rPr>
            </w:pPr>
            <w:r>
              <w:rPr>
                <w:rFonts w:ascii="宋体" w:hAnsi="宋体"/>
                <w:b/>
                <w:szCs w:val="21"/>
              </w:rPr>
              <w:t>……</w:t>
            </w:r>
          </w:p>
        </w:tc>
        <w:tc>
          <w:tcPr>
            <w:tcW w:w="709" w:type="dxa"/>
            <w:vAlign w:val="center"/>
          </w:tcPr>
          <w:p w14:paraId="5EBE7472">
            <w:pPr>
              <w:spacing w:line="400" w:lineRule="exact"/>
              <w:jc w:val="center"/>
              <w:rPr>
                <w:rFonts w:ascii="宋体" w:hAnsi="宋体"/>
                <w:b/>
                <w:szCs w:val="21"/>
              </w:rPr>
            </w:pPr>
            <w:r>
              <w:rPr>
                <w:rFonts w:ascii="宋体" w:hAnsi="宋体"/>
                <w:b/>
                <w:szCs w:val="21"/>
              </w:rPr>
              <w:t>……</w:t>
            </w:r>
          </w:p>
        </w:tc>
        <w:tc>
          <w:tcPr>
            <w:tcW w:w="7207" w:type="dxa"/>
            <w:vAlign w:val="center"/>
          </w:tcPr>
          <w:p w14:paraId="32FF0E50">
            <w:pPr>
              <w:spacing w:line="400" w:lineRule="exact"/>
              <w:jc w:val="center"/>
              <w:rPr>
                <w:rFonts w:ascii="宋体" w:hAnsi="宋体"/>
                <w:b/>
                <w:szCs w:val="21"/>
              </w:rPr>
            </w:pPr>
            <w:r>
              <w:rPr>
                <w:rFonts w:ascii="宋体" w:hAnsi="宋体"/>
                <w:b/>
                <w:szCs w:val="21"/>
              </w:rPr>
              <w:t>……</w:t>
            </w:r>
          </w:p>
        </w:tc>
      </w:tr>
    </w:tbl>
    <w:p w14:paraId="008990AF">
      <w:pPr>
        <w:pStyle w:val="299"/>
        <w:jc w:val="center"/>
        <w:rPr>
          <w:rFonts w:ascii="黑体" w:hAnsi="黑体" w:eastAsia="黑体"/>
          <w:bCs/>
          <w:sz w:val="24"/>
        </w:rPr>
      </w:pPr>
    </w:p>
    <w:p w14:paraId="4BF80ACC">
      <w:pPr>
        <w:pStyle w:val="299"/>
        <w:jc w:val="center"/>
        <w:rPr>
          <w:rFonts w:ascii="黑体" w:hAnsi="黑体" w:eastAsia="黑体"/>
          <w:bCs/>
          <w:sz w:val="24"/>
        </w:rPr>
      </w:pPr>
    </w:p>
    <w:p w14:paraId="47389449">
      <w:pPr>
        <w:pStyle w:val="299"/>
        <w:jc w:val="center"/>
        <w:rPr>
          <w:rFonts w:ascii="黑体" w:hAnsi="黑体" w:eastAsia="黑体"/>
          <w:bCs/>
          <w:sz w:val="24"/>
        </w:rPr>
      </w:pPr>
      <w:r>
        <w:rPr>
          <w:rFonts w:ascii="黑体" w:hAnsi="黑体" w:eastAsia="黑体"/>
          <w:bCs/>
          <w:sz w:val="24"/>
        </w:rPr>
        <w:br w:type="page"/>
      </w:r>
    </w:p>
    <w:p w14:paraId="624DBE00">
      <w:pPr>
        <w:pStyle w:val="4"/>
        <w:spacing w:beforeLines="0" w:afterLines="0" w:line="500" w:lineRule="exact"/>
        <w:jc w:val="center"/>
      </w:pPr>
      <w:r>
        <w:rPr>
          <w:rFonts w:hint="eastAsia" w:ascii="黑体" w:hAnsi="黑体" w:eastAsia="黑体"/>
          <w:b w:val="0"/>
          <w:bCs/>
          <w:sz w:val="24"/>
        </w:rPr>
        <w:t>□ 项目经理</w:t>
      </w:r>
    </w:p>
    <w:tbl>
      <w:tblPr>
        <w:tblStyle w:val="4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68"/>
        <w:gridCol w:w="5812"/>
        <w:gridCol w:w="1276"/>
      </w:tblGrid>
      <w:tr w14:paraId="1C33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903" w:type="dxa"/>
            <w:tcBorders>
              <w:bottom w:val="single" w:color="auto" w:sz="4" w:space="0"/>
            </w:tcBorders>
            <w:vAlign w:val="center"/>
          </w:tcPr>
          <w:p w14:paraId="0EB46811">
            <w:pPr>
              <w:spacing w:line="400" w:lineRule="exact"/>
              <w:jc w:val="center"/>
              <w:rPr>
                <w:rFonts w:ascii="宋体" w:hAnsi="宋体"/>
                <w:szCs w:val="21"/>
              </w:rPr>
            </w:pPr>
            <w:r>
              <w:rPr>
                <w:rFonts w:hint="eastAsia" w:ascii="宋体" w:hAnsi="宋体"/>
                <w:szCs w:val="21"/>
              </w:rPr>
              <w:t>标段</w:t>
            </w:r>
          </w:p>
        </w:tc>
        <w:tc>
          <w:tcPr>
            <w:tcW w:w="868" w:type="dxa"/>
            <w:tcBorders>
              <w:bottom w:val="single" w:color="auto" w:sz="4" w:space="0"/>
            </w:tcBorders>
            <w:vAlign w:val="center"/>
          </w:tcPr>
          <w:p w14:paraId="0E2361D9">
            <w:pPr>
              <w:spacing w:line="400" w:lineRule="exact"/>
              <w:jc w:val="center"/>
              <w:rPr>
                <w:rFonts w:ascii="宋体" w:hAnsi="宋体"/>
                <w:szCs w:val="21"/>
              </w:rPr>
            </w:pPr>
            <w:r>
              <w:rPr>
                <w:rFonts w:hint="eastAsia" w:ascii="宋体" w:hAnsi="宋体"/>
                <w:szCs w:val="21"/>
              </w:rPr>
              <w:t>数量</w:t>
            </w:r>
          </w:p>
        </w:tc>
        <w:tc>
          <w:tcPr>
            <w:tcW w:w="5812" w:type="dxa"/>
            <w:tcBorders>
              <w:bottom w:val="single" w:color="auto" w:sz="4" w:space="0"/>
            </w:tcBorders>
            <w:vAlign w:val="center"/>
          </w:tcPr>
          <w:p w14:paraId="523D678A">
            <w:pPr>
              <w:spacing w:line="400" w:lineRule="exact"/>
              <w:jc w:val="center"/>
              <w:rPr>
                <w:rFonts w:ascii="宋体" w:hAnsi="宋体"/>
                <w:szCs w:val="21"/>
              </w:rPr>
            </w:pPr>
            <w:r>
              <w:rPr>
                <w:rFonts w:hint="eastAsia" w:ascii="宋体" w:hAnsi="宋体"/>
                <w:szCs w:val="21"/>
              </w:rPr>
              <w:t>资格要求</w:t>
            </w:r>
          </w:p>
        </w:tc>
        <w:tc>
          <w:tcPr>
            <w:tcW w:w="1276" w:type="dxa"/>
            <w:tcBorders>
              <w:bottom w:val="single" w:color="auto" w:sz="4" w:space="0"/>
            </w:tcBorders>
            <w:vAlign w:val="center"/>
          </w:tcPr>
          <w:p w14:paraId="3312F8B8">
            <w:pPr>
              <w:spacing w:line="400" w:lineRule="exact"/>
              <w:jc w:val="center"/>
              <w:rPr>
                <w:rFonts w:ascii="宋体" w:hAnsi="宋体"/>
                <w:b/>
                <w:szCs w:val="21"/>
              </w:rPr>
            </w:pPr>
            <w:r>
              <w:rPr>
                <w:rFonts w:hint="eastAsia" w:ascii="宋体" w:hAnsi="宋体"/>
                <w:szCs w:val="21"/>
              </w:rPr>
              <w:t>在岗情况</w:t>
            </w:r>
          </w:p>
        </w:tc>
      </w:tr>
      <w:tr w14:paraId="3ED9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5" w:hRule="atLeast"/>
          <w:jc w:val="center"/>
        </w:trPr>
        <w:tc>
          <w:tcPr>
            <w:tcW w:w="903" w:type="dxa"/>
            <w:vAlign w:val="center"/>
          </w:tcPr>
          <w:p w14:paraId="5814C5E6">
            <w:pPr>
              <w:spacing w:line="400" w:lineRule="exact"/>
              <w:jc w:val="center"/>
              <w:rPr>
                <w:rFonts w:ascii="宋体" w:hAnsi="宋体"/>
                <w:szCs w:val="21"/>
                <w:u w:val="single"/>
              </w:rPr>
            </w:pPr>
          </w:p>
        </w:tc>
        <w:tc>
          <w:tcPr>
            <w:tcW w:w="868" w:type="dxa"/>
            <w:vAlign w:val="center"/>
          </w:tcPr>
          <w:p w14:paraId="0CFE6F4C">
            <w:pPr>
              <w:spacing w:line="400" w:lineRule="exact"/>
              <w:jc w:val="center"/>
              <w:rPr>
                <w:rFonts w:ascii="宋体" w:hAnsi="宋体"/>
                <w:szCs w:val="21"/>
              </w:rPr>
            </w:pPr>
          </w:p>
        </w:tc>
        <w:tc>
          <w:tcPr>
            <w:tcW w:w="5812" w:type="dxa"/>
            <w:vAlign w:val="center"/>
          </w:tcPr>
          <w:p w14:paraId="3BBBED97">
            <w:pPr>
              <w:spacing w:line="400" w:lineRule="exact"/>
              <w:rPr>
                <w:rFonts w:ascii="宋体" w:hAnsi="宋体"/>
                <w:szCs w:val="21"/>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）（□工程师；□高级工程师）及以上</w:t>
            </w:r>
          </w:p>
          <w:p w14:paraId="34007A4E">
            <w:pPr>
              <w:spacing w:line="400" w:lineRule="exact"/>
              <w:ind w:firstLine="315" w:firstLineChars="150"/>
              <w:rPr>
                <w:rFonts w:hint="eastAsia" w:ascii="宋体" w:hAnsi="宋体"/>
                <w:szCs w:val="21"/>
                <w:lang w:eastAsia="zh-CN"/>
              </w:rPr>
            </w:pPr>
            <w:r>
              <w:rPr>
                <w:rFonts w:hint="eastAsia" w:ascii="宋体" w:hAnsi="宋体"/>
                <w:szCs w:val="21"/>
              </w:rPr>
              <w:t>技术职称</w:t>
            </w:r>
            <w:r>
              <w:rPr>
                <w:rFonts w:hint="eastAsia" w:ascii="宋体" w:hAnsi="宋体"/>
                <w:szCs w:val="21"/>
                <w:lang w:eastAsia="zh-CN"/>
              </w:rPr>
              <w:t>。</w:t>
            </w:r>
          </w:p>
          <w:p w14:paraId="1303B3FD">
            <w:pPr>
              <w:pStyle w:val="48"/>
              <w:spacing w:after="0" w:line="400" w:lineRule="exact"/>
              <w:ind w:left="0" w:leftChars="0" w:firstLine="210" w:firstLineChars="100"/>
              <w:rPr>
                <w:rFonts w:hint="eastAsia" w:ascii="宋体" w:hAnsi="宋体"/>
                <w:szCs w:val="21"/>
                <w:lang w:eastAsia="zh-CN"/>
              </w:rPr>
            </w:pPr>
            <w:r>
              <w:rPr>
                <w:rFonts w:hint="eastAsia" w:ascii="宋体" w:hAnsi="宋体"/>
                <w:szCs w:val="21"/>
              </w:rPr>
              <w:t>注：</w:t>
            </w:r>
            <w:r>
              <w:rPr>
                <w:rFonts w:hint="eastAsia" w:ascii="宋体" w:hAnsi="宋体"/>
                <w:szCs w:val="21"/>
                <w:lang w:eastAsia="zh-CN"/>
              </w:rPr>
              <w:t>“</w:t>
            </w:r>
            <w:r>
              <w:rPr>
                <w:rFonts w:hint="eastAsia" w:ascii="宋体" w:hAnsi="宋体"/>
                <w:szCs w:val="21"/>
              </w:rPr>
              <w:t>□工程师；□高级工程师</w:t>
            </w:r>
            <w:r>
              <w:rPr>
                <w:rFonts w:hint="eastAsia" w:ascii="宋体" w:hAnsi="宋体"/>
                <w:szCs w:val="21"/>
                <w:lang w:eastAsia="zh-CN"/>
              </w:rPr>
              <w:t>”</w:t>
            </w:r>
            <w:r>
              <w:rPr>
                <w:rFonts w:hint="eastAsia" w:ascii="宋体" w:hAnsi="宋体"/>
                <w:szCs w:val="21"/>
              </w:rPr>
              <w:t>为单选项</w:t>
            </w:r>
            <w:r>
              <w:rPr>
                <w:rFonts w:hint="eastAsia" w:ascii="宋体" w:hAnsi="宋体"/>
                <w:szCs w:val="21"/>
                <w:lang w:eastAsia="zh-CN"/>
              </w:rPr>
              <w:t>。</w:t>
            </w:r>
          </w:p>
          <w:p w14:paraId="257D0330">
            <w:pPr>
              <w:spacing w:line="400" w:lineRule="exact"/>
              <w:rPr>
                <w:rFonts w:ascii="宋体" w:hAnsi="宋体"/>
                <w:kern w:val="0"/>
                <w:szCs w:val="21"/>
              </w:rPr>
            </w:pPr>
            <w:r>
              <w:rPr>
                <w:rFonts w:hint="eastAsia" w:ascii="宋体" w:hAnsi="宋体"/>
                <w:b/>
                <w:szCs w:val="21"/>
              </w:rPr>
              <w:t>□</w:t>
            </w:r>
            <w:r>
              <w:rPr>
                <w:rFonts w:ascii="宋体" w:hAnsi="宋体"/>
                <w:szCs w:val="21"/>
              </w:rPr>
              <w:t xml:space="preserve"> 具有</w:t>
            </w:r>
            <w:r>
              <w:rPr>
                <w:rFonts w:hint="eastAsia" w:ascii="宋体" w:hAnsi="宋体"/>
                <w:kern w:val="0"/>
                <w:szCs w:val="21"/>
              </w:rPr>
              <w:t>注册建造师</w:t>
            </w:r>
            <w:r>
              <w:rPr>
                <w:rFonts w:ascii="宋体" w:hAnsi="宋体"/>
                <w:kern w:val="0"/>
                <w:szCs w:val="21"/>
                <w:u w:val="single"/>
              </w:rPr>
              <w:t xml:space="preserve">      </w:t>
            </w:r>
            <w:r>
              <w:rPr>
                <w:rFonts w:hint="eastAsia" w:ascii="宋体" w:hAnsi="宋体"/>
                <w:kern w:val="0"/>
                <w:szCs w:val="21"/>
              </w:rPr>
              <w:t>级（专业：</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）执业资格证书</w:t>
            </w:r>
          </w:p>
          <w:p w14:paraId="6D0CCB76">
            <w:pPr>
              <w:spacing w:line="400" w:lineRule="exact"/>
              <w:ind w:firstLine="315" w:firstLineChars="150"/>
              <w:rPr>
                <w:rFonts w:ascii="宋体" w:hAnsi="宋体"/>
                <w:szCs w:val="21"/>
              </w:rPr>
            </w:pPr>
            <w:r>
              <w:rPr>
                <w:rFonts w:hint="eastAsia" w:ascii="宋体" w:hAnsi="宋体"/>
                <w:szCs w:val="21"/>
              </w:rPr>
              <w:t>（注册在该投标单位）且未处于暂停执业处罚期内，未被</w:t>
            </w:r>
          </w:p>
          <w:p w14:paraId="13EF38A0">
            <w:pPr>
              <w:spacing w:line="400" w:lineRule="exact"/>
              <w:ind w:firstLine="315" w:firstLineChars="150"/>
              <w:rPr>
                <w:rFonts w:hint="eastAsia" w:ascii="宋体" w:hAnsi="宋体" w:eastAsia="宋体"/>
                <w:szCs w:val="21"/>
                <w:lang w:eastAsia="zh-CN"/>
              </w:rPr>
            </w:pPr>
            <w:r>
              <w:rPr>
                <w:rFonts w:hint="eastAsia" w:ascii="宋体" w:hAnsi="宋体"/>
                <w:szCs w:val="21"/>
              </w:rPr>
              <w:t>取消资格</w:t>
            </w:r>
            <w:r>
              <w:rPr>
                <w:rFonts w:hint="eastAsia" w:ascii="宋体" w:hAnsi="宋体"/>
                <w:szCs w:val="21"/>
                <w:lang w:eastAsia="zh-CN"/>
              </w:rPr>
              <w:t>。</w:t>
            </w:r>
          </w:p>
          <w:p w14:paraId="7345A421">
            <w:pPr>
              <w:spacing w:line="400" w:lineRule="exact"/>
              <w:rPr>
                <w:rFonts w:hint="eastAsia" w:ascii="宋体" w:hAnsi="宋体" w:eastAsia="宋体"/>
                <w:szCs w:val="21"/>
                <w:lang w:eastAsia="zh-CN"/>
              </w:rPr>
            </w:pPr>
            <w:r>
              <w:rPr>
                <w:rFonts w:hint="eastAsia" w:ascii="宋体" w:hAnsi="宋体"/>
                <w:b/>
                <w:szCs w:val="21"/>
              </w:rPr>
              <w:t>□</w:t>
            </w:r>
            <w:r>
              <w:rPr>
                <w:rFonts w:ascii="宋体" w:hAnsi="宋体"/>
                <w:b/>
                <w:szCs w:val="21"/>
              </w:rPr>
              <w:t xml:space="preserve"> </w:t>
            </w:r>
            <w:r>
              <w:rPr>
                <w:rFonts w:hint="eastAsia" w:ascii="宋体" w:hAnsi="宋体"/>
                <w:szCs w:val="21"/>
              </w:rPr>
              <w:t>持有安全生产考核合格“</w:t>
            </w:r>
            <w:r>
              <w:rPr>
                <w:rFonts w:ascii="宋体" w:hAnsi="宋体"/>
                <w:szCs w:val="21"/>
              </w:rPr>
              <w:t>B”类证书（□交安类）</w:t>
            </w:r>
            <w:r>
              <w:rPr>
                <w:rFonts w:hint="eastAsia" w:ascii="宋体" w:hAnsi="宋体"/>
                <w:szCs w:val="21"/>
                <w:lang w:eastAsia="zh-CN"/>
              </w:rPr>
              <w:t>。</w:t>
            </w:r>
          </w:p>
          <w:p w14:paraId="5DCF8C26">
            <w:pPr>
              <w:spacing w:line="40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rPr>
              <w:t>投标截止日所在月上个月或上上个月起之前在其</w:t>
            </w:r>
            <w:r>
              <w:rPr>
                <w:rFonts w:hint="eastAsia" w:ascii="宋体" w:hAnsi="宋体" w:cs="宋体"/>
                <w:szCs w:val="21"/>
              </w:rPr>
              <w:t>投标单位</w:t>
            </w:r>
          </w:p>
          <w:p w14:paraId="4A950403">
            <w:pPr>
              <w:spacing w:line="400" w:lineRule="exact"/>
              <w:rPr>
                <w:rFonts w:hint="eastAsia" w:ascii="宋体" w:hAnsi="宋体" w:eastAsia="宋体"/>
                <w:szCs w:val="21"/>
                <w:lang w:eastAsia="zh-CN"/>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连续6个月参加社保</w:t>
            </w:r>
            <w:r>
              <w:rPr>
                <w:rFonts w:hint="eastAsia" w:ascii="宋体" w:hAnsi="宋体"/>
                <w:szCs w:val="21"/>
                <w:lang w:eastAsia="zh-CN"/>
              </w:rPr>
              <w:t>。</w:t>
            </w:r>
          </w:p>
          <w:p w14:paraId="14A20744">
            <w:pPr>
              <w:pStyle w:val="299"/>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公路路基土建工程施工项目中担任过（□项目经理、□或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6E2CD03D">
            <w:pPr>
              <w:pStyle w:val="299"/>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公路特大桥的施工项目中担任过（□项目经理、□或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）职务，□其中须至少包含（</w:t>
            </w:r>
            <w:r>
              <w:rPr>
                <w:rFonts w:hint="eastAsia" w:ascii="宋体" w:hAnsi="宋体" w:cs="宋体"/>
                <w:szCs w:val="21"/>
                <w:lang w:eastAsia="zh-CN"/>
              </w:rPr>
              <w:t>□</w:t>
            </w:r>
            <w:r>
              <w:rPr>
                <w:rFonts w:hint="eastAsia" w:ascii="宋体" w:hAnsi="宋体" w:cs="宋体"/>
                <w:szCs w:val="21"/>
              </w:rPr>
              <w:t>同时包含；□包含其中之一）主跨桥梁类型：</w:t>
            </w:r>
          </w:p>
          <w:p w14:paraId="325785CB">
            <w:pPr>
              <w:pStyle w:val="299"/>
              <w:adjustRightInd w:val="0"/>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4AAEF759">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座</w:t>
            </w:r>
          </w:p>
          <w:p w14:paraId="1E496647">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座  </w:t>
            </w:r>
          </w:p>
          <w:p w14:paraId="6909787D">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座</w:t>
            </w:r>
          </w:p>
          <w:p w14:paraId="06187AC4">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座</w:t>
            </w:r>
          </w:p>
          <w:p w14:paraId="52F27D05">
            <w:pPr>
              <w:adjustRightInd w:val="0"/>
              <w:snapToGrid w:val="0"/>
              <w:spacing w:line="40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座</w:t>
            </w:r>
          </w:p>
          <w:p w14:paraId="68C8A423">
            <w:pPr>
              <w:pStyle w:val="48"/>
              <w:spacing w:after="0" w:line="400" w:lineRule="exact"/>
              <w:ind w:left="0" w:leftChars="0" w:firstLine="285" w:firstLineChars="136"/>
              <w:rPr>
                <w:rFonts w:hint="eastAsia" w:ascii="宋体" w:hAnsi="宋体" w:eastAsia="宋体" w:cs="宋体"/>
              </w:rPr>
            </w:pPr>
            <w:r>
              <w:rPr>
                <w:rFonts w:hint="eastAsia" w:ascii="宋体" w:hAnsi="宋体" w:cs="宋体"/>
                <w:lang w:val="en-US" w:eastAsia="zh-CN"/>
              </w:rPr>
              <w:t>注：</w:t>
            </w:r>
            <w:r>
              <w:rPr>
                <w:rFonts w:hint="eastAsia" w:ascii="宋体" w:hAnsi="宋体" w:eastAsia="宋体" w:cs="宋体"/>
              </w:rPr>
              <w:t>1.</w:t>
            </w:r>
            <w:r>
              <w:rPr>
                <w:rFonts w:hint="eastAsia" w:ascii="宋体" w:hAnsi="宋体" w:eastAsia="宋体" w:cs="宋体"/>
                <w:lang w:val="en-US" w:eastAsia="zh-CN"/>
              </w:rPr>
              <w:t>该桥梁</w:t>
            </w:r>
            <w:r>
              <w:rPr>
                <w:rFonts w:hint="eastAsia" w:ascii="宋体" w:hAnsi="宋体" w:eastAsia="宋体" w:cs="宋体"/>
              </w:rPr>
              <w:t>工程可为路基土建工程中包含的内容或者单独桥梁工程合同的项目。</w:t>
            </w:r>
          </w:p>
          <w:p w14:paraId="70E1233E">
            <w:pPr>
              <w:pStyle w:val="48"/>
              <w:spacing w:after="0" w:line="400" w:lineRule="exact"/>
              <w:ind w:left="0" w:leftChars="0" w:firstLine="285" w:firstLineChars="136"/>
              <w:rPr>
                <w:rFonts w:hint="eastAsia" w:ascii="宋体" w:hAnsi="宋体" w:eastAsia="宋体" w:cs="宋体"/>
              </w:rPr>
            </w:pPr>
            <w:r>
              <w:rPr>
                <w:rFonts w:hint="eastAsia" w:ascii="宋体" w:hAnsi="宋体" w:eastAsia="宋体" w:cs="宋体"/>
              </w:rPr>
              <w:t>2.</w:t>
            </w:r>
            <w:r>
              <w:rPr>
                <w:rFonts w:hint="eastAsia" w:ascii="宋体" w:hAnsi="宋体" w:eastAsia="宋体" w:cs="宋体"/>
                <w:sz w:val="21"/>
                <w:szCs w:val="24"/>
              </w:rPr>
              <w:t>主跨桥梁</w:t>
            </w:r>
            <w:r>
              <w:rPr>
                <w:rFonts w:hint="eastAsia" w:ascii="宋体" w:hAnsi="宋体" w:eastAsia="宋体" w:cs="宋体"/>
                <w:sz w:val="21"/>
                <w:szCs w:val="24"/>
                <w:lang w:val="en-US" w:eastAsia="zh-CN"/>
              </w:rPr>
              <w:t>类型</w:t>
            </w:r>
            <w:r>
              <w:rPr>
                <w:rFonts w:hint="eastAsia" w:ascii="宋体" w:hAnsi="宋体" w:eastAsia="宋体" w:cs="宋体"/>
                <w:sz w:val="21"/>
                <w:szCs w:val="24"/>
              </w:rPr>
              <w:t>，</w:t>
            </w:r>
            <w:r>
              <w:rPr>
                <w:rFonts w:hint="eastAsia" w:ascii="宋体" w:hAnsi="宋体" w:eastAsia="宋体" w:cs="宋体"/>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638363E2">
            <w:pPr>
              <w:adjustRightInd w:val="0"/>
              <w:snapToGrid w:val="0"/>
              <w:spacing w:line="400" w:lineRule="exact"/>
              <w:ind w:firstLine="210" w:firstLineChars="100"/>
              <w:rPr>
                <w:rFonts w:hint="eastAsia" w:ascii="宋体" w:hAnsi="宋体" w:eastAsia="宋体" w:cs="宋体"/>
                <w:szCs w:val="21"/>
                <w:lang w:eastAsia="zh-CN"/>
              </w:rPr>
            </w:pPr>
            <w:r>
              <w:rPr>
                <w:rFonts w:hint="eastAsia" w:ascii="宋体" w:hAnsi="宋体" w:eastAsia="宋体" w:cs="宋体"/>
              </w:rPr>
              <w:t>3.拱式桥主跨跨径，对于左右幅桥长不相</w:t>
            </w:r>
            <w:r>
              <w:rPr>
                <w:rFonts w:hint="eastAsia"/>
              </w:rPr>
              <w:t>同的桥梁，其桥梁长度以左右幅长度较长的为准；若只有单幅的，则以单幅桥梁长度数据为准</w:t>
            </w:r>
            <w:r>
              <w:rPr>
                <w:rFonts w:hint="eastAsia"/>
                <w:lang w:eastAsia="zh-CN"/>
              </w:rPr>
              <w:t>。</w:t>
            </w:r>
          </w:p>
          <w:p w14:paraId="458AFD08">
            <w:pPr>
              <w:adjustRightInd w:val="0"/>
              <w:snapToGrid w:val="0"/>
              <w:spacing w:line="400" w:lineRule="exact"/>
              <w:ind w:left="316" w:hanging="316" w:hangingChars="150"/>
              <w:rPr>
                <w:rFonts w:hint="eastAsia" w:ascii="宋体" w:hAnsi="宋体" w:cs="宋体"/>
                <w:szCs w:val="21"/>
              </w:rPr>
            </w:pPr>
            <w:r>
              <w:rPr>
                <w:rFonts w:hint="eastAsia" w:ascii="宋体" w:hAnsi="宋体" w:cs="宋体"/>
                <w:b/>
                <w:szCs w:val="21"/>
              </w:rPr>
              <w:t>□</w:t>
            </w:r>
            <w:r>
              <w:rPr>
                <w:rFonts w:hint="eastAsia" w:ascii="宋体" w:hAnsi="宋体" w:cs="宋体"/>
                <w:bCs/>
                <w:szCs w:val="21"/>
              </w:rPr>
              <w:t xml:space="preserve"> 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ascii="宋体" w:hAnsi="宋体" w:cs="宋体"/>
                <w:szCs w:val="21"/>
                <w:u w:val="single"/>
              </w:rPr>
              <w:t xml:space="preserve">    </w:t>
            </w:r>
            <w:r>
              <w:rPr>
                <w:rFonts w:hint="eastAsia" w:ascii="宋体" w:hAnsi="宋体" w:cs="宋体"/>
                <w:szCs w:val="21"/>
              </w:rPr>
              <w:t>米及以上特长隧道）施工项目中担任过（□项目经理、□或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33F771E2">
            <w:pPr>
              <w:pStyle w:val="48"/>
              <w:adjustRightInd/>
              <w:snapToGrid/>
              <w:spacing w:after="0" w:line="400" w:lineRule="exact"/>
              <w:ind w:left="0" w:leftChars="0" w:firstLine="285" w:firstLineChars="136"/>
              <w:rPr>
                <w:rStyle w:val="51"/>
                <w:rFonts w:hint="eastAsia" w:ascii="宋体" w:hAnsi="宋体" w:eastAsia="宋体" w:cs="宋体"/>
                <w:vertAlign w:val="baseline"/>
              </w:rPr>
            </w:pPr>
            <w:r>
              <w:rPr>
                <w:rFonts w:hint="eastAsia" w:ascii="宋体" w:hAnsi="宋体" w:cs="宋体"/>
                <w:lang w:val="en-US" w:eastAsia="zh-CN"/>
              </w:rPr>
              <w:t>注：</w:t>
            </w:r>
            <w:r>
              <w:rPr>
                <w:rFonts w:hint="eastAsia" w:ascii="宋体" w:hAnsi="宋体" w:eastAsia="宋体" w:cs="宋体"/>
              </w:rPr>
              <w:t>1.单洞长度，</w:t>
            </w:r>
            <w:r>
              <w:rPr>
                <w:rStyle w:val="51"/>
                <w:rFonts w:hint="eastAsia" w:ascii="宋体" w:hAnsi="宋体" w:eastAsia="宋体" w:cs="宋体"/>
                <w:vertAlign w:val="baseline"/>
              </w:rPr>
              <w:t>对于具有双洞的隧道，其承担隧道长度以左右线隧道长度较长的为准；若只有单洞的，则以承担单洞隧道长度数据为准。隧道单洞长度不含斜井、竖井、支洞。</w:t>
            </w:r>
          </w:p>
          <w:p w14:paraId="01A81B01">
            <w:pPr>
              <w:pStyle w:val="48"/>
              <w:adjustRightInd/>
              <w:snapToGrid/>
              <w:spacing w:after="0" w:line="400" w:lineRule="exact"/>
              <w:ind w:left="0" w:leftChars="0" w:firstLine="285" w:firstLineChars="136"/>
              <w:rPr>
                <w:rFonts w:hint="eastAsia" w:ascii="宋体" w:hAnsi="宋体" w:cs="宋体"/>
                <w:szCs w:val="21"/>
              </w:rPr>
            </w:pPr>
            <w:r>
              <w:rPr>
                <w:rFonts w:hint="eastAsia" w:ascii="宋体" w:hAnsi="宋体" w:eastAsia="宋体" w:cs="宋体"/>
              </w:rPr>
              <w:t>2.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70CB6D54">
            <w:pPr>
              <w:spacing w:line="400" w:lineRule="exact"/>
              <w:ind w:left="316" w:hanging="316" w:hangingChars="150"/>
              <w:rPr>
                <w:rFonts w:ascii="宋体" w:hAnsi="宋体"/>
                <w:b/>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20754C6F">
            <w:pPr>
              <w:spacing w:line="400" w:lineRule="exact"/>
              <w:ind w:left="316" w:hanging="316" w:hangingChars="150"/>
              <w:rPr>
                <w:rFonts w:ascii="宋体" w:hAnsi="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公路交通安全设施工程施工项目中担任</w:t>
            </w:r>
            <w:r>
              <w:rPr>
                <w:rFonts w:hint="eastAsia" w:ascii="宋体" w:hAnsi="宋体" w:cs="宋体"/>
                <w:szCs w:val="21"/>
              </w:rPr>
              <w:t>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49B51353">
            <w:pPr>
              <w:pStyle w:val="299"/>
              <w:adjustRightInd w:val="0"/>
              <w:snapToGrid w:val="0"/>
              <w:spacing w:line="400" w:lineRule="exact"/>
              <w:ind w:left="0" w:hanging="316" w:hangingChars="150"/>
              <w:rPr>
                <w:rFonts w:ascii="宋体" w:hAnsi="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Cs/>
                <w:szCs w:val="21"/>
              </w:rPr>
              <w:t>至少</w:t>
            </w:r>
            <w:r>
              <w:rPr>
                <w:rFonts w:ascii="宋体" w:hAnsi="宋体"/>
                <w:szCs w:val="21"/>
              </w:rPr>
              <w:t>在</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机电工程施工项目中</w:t>
            </w:r>
            <w:r>
              <w:rPr>
                <w:rFonts w:hint="eastAsia" w:ascii="宋体" w:hAnsi="宋体" w:cs="宋体"/>
                <w:szCs w:val="21"/>
              </w:rPr>
              <w:t>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60C0A729">
            <w:pPr>
              <w:adjustRightInd w:val="0"/>
              <w:snapToGrid w:val="0"/>
              <w:spacing w:line="400" w:lineRule="exact"/>
              <w:rPr>
                <w:rFonts w:ascii="宋体" w:hAnsi="宋体" w:cs="宋体"/>
                <w:szCs w:val="21"/>
              </w:rPr>
            </w:pPr>
            <w:r>
              <w:rPr>
                <w:rFonts w:hint="eastAsia" w:ascii="宋体" w:hAnsi="宋体"/>
                <w:b/>
                <w:szCs w:val="21"/>
              </w:rPr>
              <w:t>□</w:t>
            </w:r>
            <w:r>
              <w:rPr>
                <w:rFonts w:hint="eastAsia" w:ascii="宋体" w:hAnsi="宋体"/>
                <w:szCs w:val="21"/>
              </w:rPr>
              <w:t xml:space="preserve"> 至少在</w:t>
            </w:r>
            <w:r>
              <w:rPr>
                <w:rFonts w:hint="eastAsia" w:ascii="宋体" w:hAnsi="宋体"/>
                <w:szCs w:val="21"/>
                <w:u w:val="single"/>
              </w:rPr>
              <w:t xml:space="preserve">     </w:t>
            </w:r>
            <w:r>
              <w:rPr>
                <w:rFonts w:hint="eastAsia" w:ascii="宋体" w:hAnsi="宋体"/>
                <w:szCs w:val="21"/>
              </w:rPr>
              <w:t>个国内房建工程施工项目中担任过</w:t>
            </w:r>
            <w:r>
              <w:rPr>
                <w:rFonts w:hint="eastAsia" w:ascii="宋体" w:hAnsi="宋体" w:cs="宋体"/>
                <w:szCs w:val="21"/>
              </w:rPr>
              <w:t>（□项目经</w:t>
            </w:r>
          </w:p>
          <w:p w14:paraId="784CBDC8">
            <w:pPr>
              <w:spacing w:line="360" w:lineRule="atLeast"/>
              <w:rPr>
                <w:rFonts w:ascii="宋体" w:hAnsi="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5EEE0F20">
            <w:pPr>
              <w:spacing w:line="400" w:lineRule="exact"/>
              <w:rPr>
                <w:rFonts w:ascii="宋体" w:hAnsi="宋体"/>
                <w:szCs w:val="21"/>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r>
              <w:rPr>
                <w:rFonts w:ascii="宋体" w:hAnsi="宋体"/>
                <w:szCs w:val="21"/>
              </w:rPr>
              <w:t xml:space="preserve"> </w:t>
            </w:r>
          </w:p>
          <w:p w14:paraId="6245517D">
            <w:pPr>
              <w:spacing w:line="400" w:lineRule="exact"/>
              <w:rPr>
                <w:rFonts w:ascii="宋体" w:hAnsi="宋体"/>
                <w:szCs w:val="21"/>
                <w:u w:val="single"/>
              </w:rPr>
            </w:pPr>
            <w:r>
              <w:rPr>
                <w:rFonts w:hint="eastAsia" w:ascii="宋体" w:hAnsi="宋体"/>
                <w:b/>
                <w:szCs w:val="21"/>
              </w:rPr>
              <w:t>□</w:t>
            </w:r>
            <w:r>
              <w:rPr>
                <w:rFonts w:ascii="宋体" w:hAnsi="宋体"/>
                <w:szCs w:val="21"/>
              </w:rPr>
              <w:t xml:space="preserve"> 联合体应满足下列要求： </w:t>
            </w:r>
            <w:r>
              <w:rPr>
                <w:rFonts w:ascii="宋体" w:hAnsi="宋体"/>
                <w:szCs w:val="21"/>
                <w:u w:val="single"/>
              </w:rPr>
              <w:t xml:space="preserve">                 </w:t>
            </w:r>
          </w:p>
          <w:p w14:paraId="6524ECF4">
            <w:pPr>
              <w:spacing w:line="400" w:lineRule="exact"/>
              <w:rPr>
                <w:rFonts w:ascii="宋体" w:hAnsi="宋体"/>
                <w:szCs w:val="21"/>
                <w:u w:val="single"/>
              </w:rPr>
            </w:pPr>
          </w:p>
        </w:tc>
        <w:tc>
          <w:tcPr>
            <w:tcW w:w="1276" w:type="dxa"/>
            <w:vAlign w:val="center"/>
          </w:tcPr>
          <w:p w14:paraId="62CFBAC3">
            <w:pPr>
              <w:spacing w:line="400" w:lineRule="exact"/>
              <w:jc w:val="left"/>
              <w:rPr>
                <w:rFonts w:ascii="宋体" w:hAnsi="宋体"/>
                <w:szCs w:val="21"/>
              </w:rPr>
            </w:pPr>
            <w:r>
              <w:rPr>
                <w:rFonts w:hint="eastAsia" w:ascii="宋体" w:hAnsi="宋体"/>
                <w:szCs w:val="21"/>
              </w:rPr>
              <w:t>无在岗项目（指目前未在其他项目上任职，或虽在其他项目上任职但本项目中标后能够从该项目撤离）</w:t>
            </w:r>
          </w:p>
        </w:tc>
      </w:tr>
      <w:tr w14:paraId="0EC5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03" w:type="dxa"/>
            <w:vAlign w:val="center"/>
          </w:tcPr>
          <w:p w14:paraId="769FD012">
            <w:pPr>
              <w:spacing w:line="400" w:lineRule="exact"/>
              <w:jc w:val="center"/>
              <w:rPr>
                <w:rFonts w:ascii="宋体" w:hAnsi="宋体"/>
                <w:szCs w:val="21"/>
                <w:u w:val="single"/>
              </w:rPr>
            </w:pPr>
            <w:r>
              <w:rPr>
                <w:rFonts w:hint="eastAsia" w:ascii="宋体" w:hAnsi="宋体"/>
                <w:szCs w:val="21"/>
              </w:rPr>
              <w:t>……</w:t>
            </w:r>
          </w:p>
        </w:tc>
        <w:tc>
          <w:tcPr>
            <w:tcW w:w="868" w:type="dxa"/>
            <w:vAlign w:val="center"/>
          </w:tcPr>
          <w:p w14:paraId="0F12D07E">
            <w:pPr>
              <w:spacing w:line="400" w:lineRule="exact"/>
              <w:jc w:val="center"/>
              <w:rPr>
                <w:rFonts w:ascii="宋体" w:hAnsi="宋体"/>
                <w:szCs w:val="21"/>
              </w:rPr>
            </w:pPr>
            <w:r>
              <w:rPr>
                <w:rFonts w:hint="eastAsia" w:ascii="宋体" w:hAnsi="宋体"/>
                <w:szCs w:val="21"/>
              </w:rPr>
              <w:t>……</w:t>
            </w:r>
          </w:p>
        </w:tc>
        <w:tc>
          <w:tcPr>
            <w:tcW w:w="5812" w:type="dxa"/>
            <w:vAlign w:val="center"/>
          </w:tcPr>
          <w:p w14:paraId="09583B84">
            <w:pPr>
              <w:spacing w:line="400" w:lineRule="exact"/>
              <w:jc w:val="left"/>
              <w:rPr>
                <w:rFonts w:ascii="宋体" w:hAnsi="宋体"/>
                <w:szCs w:val="21"/>
              </w:rPr>
            </w:pPr>
            <w:r>
              <w:rPr>
                <w:rFonts w:hint="eastAsia" w:ascii="宋体" w:hAnsi="宋体"/>
                <w:szCs w:val="21"/>
              </w:rPr>
              <w:t>……</w:t>
            </w:r>
          </w:p>
        </w:tc>
        <w:tc>
          <w:tcPr>
            <w:tcW w:w="1276" w:type="dxa"/>
            <w:vAlign w:val="center"/>
          </w:tcPr>
          <w:p w14:paraId="7DB5F393">
            <w:pPr>
              <w:spacing w:line="400" w:lineRule="exact"/>
              <w:jc w:val="left"/>
              <w:rPr>
                <w:rFonts w:ascii="宋体" w:hAnsi="宋体"/>
                <w:szCs w:val="21"/>
              </w:rPr>
            </w:pPr>
            <w:r>
              <w:rPr>
                <w:rFonts w:hint="eastAsia" w:ascii="宋体" w:hAnsi="宋体"/>
                <w:szCs w:val="21"/>
              </w:rPr>
              <w:t>……</w:t>
            </w:r>
          </w:p>
        </w:tc>
      </w:tr>
    </w:tbl>
    <w:p w14:paraId="27AC64E0">
      <w:pPr>
        <w:numPr>
          <w:ilvl w:val="0"/>
          <w:numId w:val="0"/>
        </w:numPr>
        <w:adjustRightInd w:val="0"/>
        <w:snapToGrid w:val="0"/>
        <w:spacing w:line="360" w:lineRule="auto"/>
        <w:ind w:firstLine="0" w:firstLineChars="0"/>
        <w:jc w:val="both"/>
        <w:rPr>
          <w:rFonts w:hint="eastAsia" w:ascii="宋体" w:hAnsi="宋体" w:cs="宋体"/>
          <w:b w:val="0"/>
          <w:bCs w:val="0"/>
          <w:sz w:val="21"/>
          <w:szCs w:val="24"/>
        </w:rPr>
      </w:pPr>
      <w:bookmarkStart w:id="123" w:name="_Toc519844464"/>
      <w:r>
        <w:rPr>
          <w:rFonts w:hint="eastAsia" w:ascii="宋体" w:hAnsi="宋体" w:cs="宋体"/>
          <w:b w:val="0"/>
          <w:bCs w:val="0"/>
          <w:sz w:val="21"/>
          <w:szCs w:val="24"/>
        </w:rPr>
        <w:t>注：1.涉及“□新建；□改扩建；□新建或改扩建”为单选项</w:t>
      </w:r>
    </w:p>
    <w:p w14:paraId="7F6A32EB">
      <w:pPr>
        <w:numPr>
          <w:ilvl w:val="0"/>
          <w:numId w:val="0"/>
        </w:numPr>
        <w:adjustRightInd w:val="0"/>
        <w:snapToGrid w:val="0"/>
        <w:spacing w:line="360" w:lineRule="auto"/>
        <w:ind w:firstLine="420" w:firstLineChars="200"/>
        <w:jc w:val="center"/>
        <w:rPr>
          <w:rFonts w:hint="eastAsia" w:ascii="宋体" w:hAnsi="宋体" w:cs="宋体"/>
          <w:b w:val="0"/>
          <w:bCs w:val="0"/>
          <w:sz w:val="21"/>
          <w:szCs w:val="24"/>
        </w:rPr>
      </w:pPr>
      <w:r>
        <w:rPr>
          <w:rFonts w:hint="eastAsia" w:ascii="宋体" w:hAnsi="宋体" w:cs="宋体"/>
          <w:b w:val="0"/>
          <w:bCs w:val="0"/>
          <w:sz w:val="21"/>
          <w:szCs w:val="24"/>
        </w:rPr>
        <w:t>2.如项目经理仍在其他项目上任职，则投标人在投标函中应承诺上述人员能够从该项目撤离。</w:t>
      </w:r>
    </w:p>
    <w:p w14:paraId="41387A50">
      <w:pPr>
        <w:numPr>
          <w:ilvl w:val="0"/>
          <w:numId w:val="0"/>
        </w:numPr>
        <w:adjustRightInd w:val="0"/>
        <w:snapToGrid w:val="0"/>
        <w:spacing w:line="360" w:lineRule="auto"/>
        <w:ind w:firstLine="420" w:firstLineChars="200"/>
        <w:jc w:val="center"/>
        <w:rPr>
          <w:rFonts w:hint="eastAsia" w:ascii="宋体" w:hAnsi="宋体" w:cs="宋体"/>
          <w:b w:val="0"/>
          <w:bCs w:val="0"/>
          <w:sz w:val="21"/>
          <w:szCs w:val="24"/>
        </w:rPr>
      </w:pPr>
      <w:r>
        <w:rPr>
          <w:rFonts w:hint="eastAsia" w:ascii="宋体" w:hAnsi="宋体" w:cs="宋体"/>
          <w:b w:val="0"/>
          <w:bCs w:val="0"/>
          <w:sz w:val="21"/>
          <w:szCs w:val="24"/>
        </w:rPr>
        <w:t>3.路基土建工程指须至少包含“路基工程、桥涵工程”或“路基工程、隧道工程”的项目。</w:t>
      </w:r>
    </w:p>
    <w:p w14:paraId="539A7843">
      <w:pPr>
        <w:numPr>
          <w:ilvl w:val="0"/>
          <w:numId w:val="0"/>
        </w:numPr>
        <w:adjustRightInd w:val="0"/>
        <w:snapToGrid w:val="0"/>
        <w:spacing w:line="360" w:lineRule="auto"/>
        <w:ind w:firstLine="420" w:firstLineChars="200"/>
        <w:jc w:val="both"/>
        <w:rPr>
          <w:rFonts w:hint="eastAsia" w:ascii="宋体" w:hAnsi="宋体" w:cs="宋体"/>
          <w:b w:val="0"/>
          <w:bCs w:val="0"/>
          <w:sz w:val="21"/>
          <w:szCs w:val="24"/>
        </w:rPr>
      </w:pPr>
      <w:r>
        <w:rPr>
          <w:rFonts w:hint="eastAsia" w:ascii="宋体" w:hAnsi="宋体" w:cs="宋体"/>
          <w:b w:val="0"/>
          <w:bCs w:val="0"/>
          <w:sz w:val="21"/>
          <w:szCs w:val="24"/>
        </w:rPr>
        <w:t>4.本表涉及“□项目经理、□或项目副经理、□或项目总工”选择项由招标人对主要人员业绩经验担任的相应职务进行要求，可为单选或多选。</w:t>
      </w:r>
    </w:p>
    <w:p w14:paraId="210F5AA7">
      <w:pPr>
        <w:adjustRightInd w:val="0"/>
        <w:snapToGrid w:val="0"/>
        <w:jc w:val="center"/>
        <w:rPr>
          <w:rFonts w:ascii="黑体" w:hAnsi="黑体" w:eastAsia="黑体"/>
          <w:b/>
          <w:sz w:val="24"/>
        </w:rPr>
      </w:pPr>
    </w:p>
    <w:p w14:paraId="1C4D7FB4">
      <w:pPr>
        <w:rPr>
          <w:rFonts w:ascii="黑体" w:hAnsi="黑体" w:eastAsia="黑体"/>
          <w:b/>
          <w:sz w:val="24"/>
        </w:rPr>
      </w:pPr>
      <w:r>
        <w:rPr>
          <w:rFonts w:hint="eastAsia" w:ascii="黑体" w:hAnsi="黑体" w:eastAsia="黑体"/>
          <w:b/>
          <w:sz w:val="24"/>
        </w:rPr>
        <w:br w:type="page"/>
      </w:r>
    </w:p>
    <w:p w14:paraId="09F4A33B">
      <w:pPr>
        <w:pStyle w:val="4"/>
        <w:spacing w:beforeLines="0" w:afterLines="0" w:line="500" w:lineRule="exact"/>
        <w:jc w:val="center"/>
        <w:rPr>
          <w:rFonts w:ascii="宋体" w:hAnsi="宋体"/>
          <w:szCs w:val="21"/>
        </w:rPr>
      </w:pPr>
      <w:r>
        <w:rPr>
          <w:rFonts w:hint="eastAsia" w:ascii="黑体" w:hAnsi="黑体" w:eastAsia="黑体"/>
          <w:b w:val="0"/>
          <w:sz w:val="24"/>
        </w:rPr>
        <w:t xml:space="preserve">□ </w:t>
      </w:r>
      <w:r>
        <w:rPr>
          <w:rFonts w:hint="eastAsia" w:ascii="黑体" w:hAnsi="黑体" w:eastAsia="黑体"/>
          <w:b w:val="0"/>
          <w:bCs/>
          <w:sz w:val="24"/>
        </w:rPr>
        <w:t>项目总工</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81"/>
        <w:gridCol w:w="5782"/>
        <w:gridCol w:w="1295"/>
      </w:tblGrid>
      <w:tr w14:paraId="4247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939" w:type="dxa"/>
            <w:vAlign w:val="center"/>
          </w:tcPr>
          <w:p w14:paraId="0CA272AF">
            <w:pPr>
              <w:spacing w:line="400" w:lineRule="exact"/>
              <w:jc w:val="center"/>
              <w:rPr>
                <w:rFonts w:ascii="宋体" w:hAnsi="宋体"/>
                <w:szCs w:val="21"/>
              </w:rPr>
            </w:pPr>
            <w:r>
              <w:rPr>
                <w:rFonts w:hint="eastAsia" w:ascii="宋体" w:hAnsi="宋体"/>
                <w:szCs w:val="21"/>
              </w:rPr>
              <w:t>标段</w:t>
            </w:r>
          </w:p>
        </w:tc>
        <w:tc>
          <w:tcPr>
            <w:tcW w:w="881" w:type="dxa"/>
            <w:vAlign w:val="center"/>
          </w:tcPr>
          <w:p w14:paraId="384A0822">
            <w:pPr>
              <w:spacing w:line="400" w:lineRule="exact"/>
              <w:jc w:val="center"/>
              <w:rPr>
                <w:rFonts w:ascii="宋体" w:hAnsi="宋体"/>
                <w:szCs w:val="21"/>
              </w:rPr>
            </w:pPr>
            <w:r>
              <w:rPr>
                <w:rFonts w:hint="eastAsia" w:ascii="宋体" w:hAnsi="宋体"/>
                <w:szCs w:val="21"/>
              </w:rPr>
              <w:t>数量</w:t>
            </w:r>
          </w:p>
        </w:tc>
        <w:tc>
          <w:tcPr>
            <w:tcW w:w="5782" w:type="dxa"/>
            <w:vAlign w:val="center"/>
          </w:tcPr>
          <w:p w14:paraId="68D413BC">
            <w:pPr>
              <w:spacing w:line="400" w:lineRule="exact"/>
              <w:jc w:val="center"/>
              <w:rPr>
                <w:rFonts w:ascii="宋体" w:hAnsi="宋体"/>
                <w:szCs w:val="21"/>
              </w:rPr>
            </w:pPr>
            <w:r>
              <w:rPr>
                <w:rFonts w:hint="eastAsia" w:ascii="宋体" w:hAnsi="宋体"/>
                <w:szCs w:val="21"/>
              </w:rPr>
              <w:t>资格要求</w:t>
            </w:r>
          </w:p>
        </w:tc>
        <w:tc>
          <w:tcPr>
            <w:tcW w:w="1295" w:type="dxa"/>
            <w:vAlign w:val="center"/>
          </w:tcPr>
          <w:p w14:paraId="03C7E761">
            <w:pPr>
              <w:spacing w:line="400" w:lineRule="exact"/>
              <w:jc w:val="center"/>
              <w:rPr>
                <w:rFonts w:ascii="宋体" w:hAnsi="宋体"/>
                <w:szCs w:val="21"/>
              </w:rPr>
            </w:pPr>
            <w:r>
              <w:rPr>
                <w:rFonts w:hint="eastAsia" w:ascii="宋体" w:hAnsi="宋体"/>
                <w:szCs w:val="21"/>
              </w:rPr>
              <w:t>在岗情况</w:t>
            </w:r>
          </w:p>
        </w:tc>
      </w:tr>
      <w:tr w14:paraId="5AA1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trPr>
        <w:tc>
          <w:tcPr>
            <w:tcW w:w="939" w:type="dxa"/>
            <w:vAlign w:val="center"/>
          </w:tcPr>
          <w:p w14:paraId="20A8176B">
            <w:pPr>
              <w:spacing w:line="400" w:lineRule="exact"/>
              <w:rPr>
                <w:rFonts w:ascii="宋体" w:hAnsi="宋体"/>
                <w:szCs w:val="21"/>
              </w:rPr>
            </w:pPr>
          </w:p>
        </w:tc>
        <w:tc>
          <w:tcPr>
            <w:tcW w:w="881" w:type="dxa"/>
            <w:vAlign w:val="center"/>
          </w:tcPr>
          <w:p w14:paraId="59D26594">
            <w:pPr>
              <w:spacing w:line="400" w:lineRule="exact"/>
              <w:jc w:val="center"/>
              <w:rPr>
                <w:rFonts w:ascii="宋体" w:hAnsi="宋体"/>
                <w:szCs w:val="21"/>
              </w:rPr>
            </w:pPr>
          </w:p>
        </w:tc>
        <w:tc>
          <w:tcPr>
            <w:tcW w:w="5782" w:type="dxa"/>
            <w:vAlign w:val="center"/>
          </w:tcPr>
          <w:p w14:paraId="19BDDB9C">
            <w:pPr>
              <w:spacing w:line="400" w:lineRule="exact"/>
              <w:ind w:left="316" w:hanging="316" w:hangingChars="150"/>
              <w:rPr>
                <w:rFonts w:hint="eastAsia" w:ascii="宋体" w:hAnsi="宋体"/>
                <w:szCs w:val="21"/>
                <w:lang w:eastAsia="zh-CN"/>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）（□工程师；□高级工程师）及以上技术职称</w:t>
            </w:r>
            <w:r>
              <w:rPr>
                <w:rFonts w:hint="eastAsia" w:ascii="宋体" w:hAnsi="宋体"/>
                <w:szCs w:val="21"/>
                <w:lang w:eastAsia="zh-CN"/>
              </w:rPr>
              <w:t>。</w:t>
            </w:r>
          </w:p>
          <w:p w14:paraId="67B665BE">
            <w:pPr>
              <w:pStyle w:val="48"/>
              <w:spacing w:after="0" w:line="400" w:lineRule="exact"/>
              <w:ind w:left="0" w:leftChars="0" w:firstLine="210" w:firstLineChars="100"/>
              <w:rPr>
                <w:rFonts w:hint="eastAsia" w:ascii="宋体" w:hAnsi="宋体"/>
                <w:szCs w:val="21"/>
                <w:lang w:eastAsia="zh-CN"/>
              </w:rPr>
            </w:pPr>
            <w:r>
              <w:rPr>
                <w:rFonts w:hint="eastAsia"/>
              </w:rPr>
              <w:t>注：</w:t>
            </w:r>
            <w:r>
              <w:rPr>
                <w:rFonts w:hint="eastAsia" w:ascii="宋体" w:hAnsi="宋体"/>
                <w:lang w:eastAsia="zh-CN"/>
              </w:rPr>
              <w:t>“</w:t>
            </w:r>
            <w:r>
              <w:rPr>
                <w:rFonts w:hint="eastAsia" w:ascii="宋体" w:hAnsi="宋体"/>
                <w:szCs w:val="21"/>
              </w:rPr>
              <w:t>□工程师；□高级工程师</w:t>
            </w:r>
            <w:r>
              <w:rPr>
                <w:rFonts w:hint="eastAsia" w:ascii="宋体" w:hAnsi="宋体"/>
                <w:lang w:eastAsia="zh-CN"/>
              </w:rPr>
              <w:t>”</w:t>
            </w:r>
            <w:r>
              <w:rPr>
                <w:rFonts w:hint="eastAsia" w:ascii="宋体" w:hAnsi="宋体"/>
              </w:rPr>
              <w:t>为单选项。</w:t>
            </w:r>
          </w:p>
          <w:p w14:paraId="7C762E94">
            <w:pPr>
              <w:spacing w:line="40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rPr>
              <w:t>投标截止日所在月上个月或上上个月起之前在其</w:t>
            </w:r>
            <w:r>
              <w:rPr>
                <w:rFonts w:hint="eastAsia" w:ascii="宋体" w:hAnsi="宋体" w:cs="宋体"/>
                <w:szCs w:val="21"/>
              </w:rPr>
              <w:t>投标单</w:t>
            </w:r>
          </w:p>
          <w:p w14:paraId="6A2563B2">
            <w:pPr>
              <w:spacing w:line="400" w:lineRule="exact"/>
              <w:ind w:firstLine="315" w:firstLineChars="150"/>
              <w:rPr>
                <w:rFonts w:hint="eastAsia" w:ascii="宋体" w:hAnsi="宋体" w:eastAsia="宋体"/>
                <w:szCs w:val="21"/>
                <w:lang w:eastAsia="zh-CN"/>
              </w:rPr>
            </w:pPr>
            <w:r>
              <w:rPr>
                <w:rFonts w:hint="eastAsia" w:ascii="宋体" w:hAnsi="宋体" w:cs="宋体"/>
                <w:szCs w:val="21"/>
              </w:rPr>
              <w:t>位连续6个月参加社保</w:t>
            </w:r>
            <w:r>
              <w:rPr>
                <w:rFonts w:hint="eastAsia" w:ascii="宋体" w:hAnsi="宋体"/>
                <w:szCs w:val="21"/>
                <w:lang w:eastAsia="zh-CN"/>
              </w:rPr>
              <w:t>。</w:t>
            </w:r>
          </w:p>
          <w:p w14:paraId="701635DC">
            <w:pPr>
              <w:pStyle w:val="299"/>
              <w:adjustRightInd w:val="0"/>
              <w:snapToGrid w:val="0"/>
              <w:spacing w:line="38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w:t>
            </w:r>
            <w:r>
              <w:rPr>
                <w:rFonts w:hint="eastAsia" w:ascii="宋体" w:hAnsi="宋体" w:cs="宋体"/>
                <w:szCs w:val="21"/>
                <w:lang w:eastAsia="zh-CN"/>
              </w:rPr>
              <w:t>□</w:t>
            </w:r>
            <w:r>
              <w:rPr>
                <w:rFonts w:hint="eastAsia" w:ascii="宋体" w:hAnsi="宋体" w:cs="宋体"/>
                <w:szCs w:val="21"/>
              </w:rPr>
              <w:t>改扩建；□新建或改扩建）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公路路基土建工程施工项目中担任过（□项目总工、□或</w:t>
            </w:r>
            <w:r>
              <w:rPr>
                <w:rFonts w:ascii="宋体" w:hAnsi="宋体"/>
                <w:szCs w:val="21"/>
              </w:rPr>
              <w:t>项目副总工</w:t>
            </w:r>
            <w:r>
              <w:rPr>
                <w:rFonts w:hint="eastAsia" w:ascii="宋体" w:hAnsi="宋体" w:cs="宋体"/>
                <w:szCs w:val="21"/>
              </w:rPr>
              <w:t>）职务。</w:t>
            </w:r>
          </w:p>
          <w:p w14:paraId="239113DC">
            <w:pPr>
              <w:pStyle w:val="299"/>
              <w:adjustRightInd w:val="0"/>
              <w:snapToGrid w:val="0"/>
              <w:spacing w:line="38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座国内（□新建；□改扩建；□新建或改</w:t>
            </w:r>
            <w:r>
              <w:rPr>
                <w:rFonts w:hint="eastAsia" w:ascii="宋体" w:hAnsi="宋体" w:cs="宋体"/>
                <w:szCs w:val="21"/>
                <w:lang w:val="en-US" w:eastAsia="zh-CN"/>
              </w:rPr>
              <w:t>扩</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公路特大桥的施工项目中担任过（□项目总工、□或</w:t>
            </w:r>
            <w:r>
              <w:rPr>
                <w:rFonts w:ascii="宋体" w:hAnsi="宋体"/>
                <w:szCs w:val="21"/>
              </w:rPr>
              <w:t>项目副总工</w:t>
            </w:r>
            <w:r>
              <w:rPr>
                <w:rFonts w:hint="eastAsia" w:ascii="宋体" w:hAnsi="宋体" w:cs="宋体"/>
                <w:szCs w:val="21"/>
              </w:rPr>
              <w:t>）职务，□其中须至少包含（□同时包含；□包含其中之一）主跨桥梁类型：</w:t>
            </w:r>
          </w:p>
          <w:p w14:paraId="61644E57">
            <w:pPr>
              <w:pStyle w:val="299"/>
              <w:adjustRightInd w:val="0"/>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609170A3">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50779247">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r>
              <w:rPr>
                <w:rFonts w:ascii="宋体" w:hAnsi="宋体" w:cs="宋体"/>
                <w:szCs w:val="21"/>
              </w:rPr>
              <w:t xml:space="preserve">  </w:t>
            </w:r>
          </w:p>
          <w:p w14:paraId="650E4BA8">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25E3BD2D">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20671789">
            <w:pPr>
              <w:adjustRightInd w:val="0"/>
              <w:snapToGrid w:val="0"/>
              <w:spacing w:line="40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481C033C">
            <w:pPr>
              <w:pStyle w:val="48"/>
              <w:spacing w:after="0" w:line="400" w:lineRule="exact"/>
              <w:ind w:left="0" w:leftChars="0" w:firstLine="210" w:firstLineChars="100"/>
              <w:rPr>
                <w:rFonts w:hint="eastAsia" w:ascii="宋体" w:hAnsi="宋体" w:eastAsia="宋体" w:cs="宋体"/>
              </w:rPr>
            </w:pPr>
            <w:r>
              <w:rPr>
                <w:rFonts w:hint="eastAsia" w:ascii="宋体" w:hAnsi="宋体" w:cs="宋体"/>
                <w:lang w:val="en-US" w:eastAsia="zh-CN"/>
              </w:rPr>
              <w:t>注：</w:t>
            </w:r>
            <w:r>
              <w:rPr>
                <w:rFonts w:hint="eastAsia" w:ascii="宋体" w:hAnsi="宋体" w:eastAsia="宋体" w:cs="宋体"/>
              </w:rPr>
              <w:t>1.</w:t>
            </w:r>
            <w:r>
              <w:rPr>
                <w:rFonts w:hint="eastAsia" w:ascii="宋体" w:hAnsi="宋体" w:eastAsia="宋体" w:cs="宋体"/>
                <w:lang w:val="en-US" w:eastAsia="zh-CN"/>
              </w:rPr>
              <w:t>该桥梁</w:t>
            </w:r>
            <w:r>
              <w:rPr>
                <w:rFonts w:hint="eastAsia" w:ascii="宋体" w:hAnsi="宋体" w:eastAsia="宋体" w:cs="宋体"/>
              </w:rPr>
              <w:t>工程可为路基土建工程中包含的内容或者单独桥梁工程合同的项目。</w:t>
            </w:r>
          </w:p>
          <w:p w14:paraId="755B8993">
            <w:pPr>
              <w:pStyle w:val="48"/>
              <w:spacing w:after="0" w:line="400" w:lineRule="exact"/>
              <w:ind w:left="0" w:leftChars="0" w:firstLine="291" w:firstLineChars="139"/>
              <w:rPr>
                <w:rFonts w:hint="eastAsia" w:ascii="宋体" w:hAnsi="宋体" w:eastAsia="宋体" w:cs="宋体"/>
              </w:rPr>
            </w:pPr>
            <w:r>
              <w:rPr>
                <w:rFonts w:hint="eastAsia" w:ascii="宋体" w:hAnsi="宋体" w:eastAsia="宋体" w:cs="宋体"/>
              </w:rPr>
              <w:t>2.</w:t>
            </w:r>
            <w:r>
              <w:rPr>
                <w:rFonts w:hint="eastAsia" w:ascii="宋体" w:hAnsi="宋体" w:eastAsia="宋体" w:cs="宋体"/>
                <w:sz w:val="21"/>
                <w:szCs w:val="24"/>
              </w:rPr>
              <w:t>主跨桥梁</w:t>
            </w:r>
            <w:r>
              <w:rPr>
                <w:rFonts w:hint="eastAsia" w:ascii="宋体" w:hAnsi="宋体" w:eastAsia="宋体" w:cs="宋体"/>
                <w:sz w:val="21"/>
                <w:szCs w:val="24"/>
                <w:lang w:val="en-US" w:eastAsia="zh-CN"/>
              </w:rPr>
              <w:t>类型</w:t>
            </w:r>
            <w:r>
              <w:rPr>
                <w:rFonts w:hint="eastAsia" w:ascii="宋体" w:hAnsi="宋体" w:eastAsia="宋体" w:cs="宋体"/>
                <w:sz w:val="21"/>
                <w:szCs w:val="24"/>
              </w:rPr>
              <w:t>，</w:t>
            </w:r>
            <w:r>
              <w:rPr>
                <w:rFonts w:hint="eastAsia" w:ascii="宋体" w:hAnsi="宋体" w:eastAsia="宋体" w:cs="宋体"/>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6FBD272D">
            <w:pPr>
              <w:pStyle w:val="48"/>
              <w:spacing w:after="0" w:line="400" w:lineRule="exact"/>
              <w:ind w:left="0" w:leftChars="0" w:firstLine="291" w:firstLineChars="139"/>
              <w:rPr>
                <w:rFonts w:hint="eastAsia" w:ascii="宋体" w:hAnsi="宋体" w:eastAsia="宋体" w:cs="宋体"/>
              </w:rPr>
            </w:pPr>
            <w:r>
              <w:rPr>
                <w:rFonts w:hint="eastAsia" w:ascii="宋体" w:hAnsi="宋体" w:eastAsia="宋体" w:cs="宋体"/>
              </w:rPr>
              <w:t>3.拱式桥主跨跨径，对于左右幅桥长不相同的桥梁，其桥梁长度以左右幅长度较长的为准；若只有单幅的，则以单幅桥梁长度数据为准。</w:t>
            </w:r>
          </w:p>
          <w:p w14:paraId="5035EA0B">
            <w:pPr>
              <w:adjustRightInd w:val="0"/>
              <w:snapToGrid w:val="0"/>
              <w:spacing w:line="400" w:lineRule="exact"/>
              <w:ind w:left="316" w:hanging="316" w:hangingChars="15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座国内（□新建；□改扩建；□新建或改</w:t>
            </w:r>
            <w:r>
              <w:rPr>
                <w:rFonts w:ascii="宋体" w:hAnsi="宋体" w:cs="宋体"/>
                <w:szCs w:val="21"/>
              </w:rPr>
              <w:t>扩</w:t>
            </w:r>
          </w:p>
          <w:p w14:paraId="140EB296">
            <w:pPr>
              <w:pStyle w:val="299"/>
              <w:adjustRightInd w:val="0"/>
              <w:snapToGrid w:val="0"/>
              <w:spacing w:line="400" w:lineRule="exact"/>
              <w:ind w:left="315" w:leftChars="150"/>
              <w:rPr>
                <w:rFonts w:ascii="宋体" w:hAnsi="宋体" w:cs="宋体"/>
                <w:szCs w:val="21"/>
              </w:rPr>
            </w:pPr>
            <w:r>
              <w:rPr>
                <w:rFonts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级及以上公路（□中隧道及以上；□长隧道及以上；□特长隧道；□单洞长度</w:t>
            </w:r>
            <w:r>
              <w:rPr>
                <w:rFonts w:ascii="宋体" w:hAnsi="宋体" w:cs="宋体"/>
                <w:szCs w:val="21"/>
                <w:u w:val="single"/>
              </w:rPr>
              <w:t xml:space="preserve">     </w:t>
            </w:r>
            <w:r>
              <w:rPr>
                <w:rFonts w:hint="eastAsia" w:ascii="宋体" w:hAnsi="宋体" w:cs="宋体"/>
                <w:szCs w:val="21"/>
              </w:rPr>
              <w:t>米及以上特长隧道）施工项目中担任过（□项目总工、□或</w:t>
            </w:r>
            <w:r>
              <w:rPr>
                <w:rFonts w:ascii="宋体" w:hAnsi="宋体"/>
                <w:szCs w:val="21"/>
              </w:rPr>
              <w:t>项目副总工</w:t>
            </w:r>
            <w:r>
              <w:rPr>
                <w:rFonts w:hint="eastAsia" w:ascii="宋体" w:hAnsi="宋体" w:cs="宋体"/>
                <w:szCs w:val="21"/>
              </w:rPr>
              <w:t>）职务。</w:t>
            </w:r>
          </w:p>
          <w:p w14:paraId="5E5ED2CB">
            <w:pPr>
              <w:pStyle w:val="48"/>
              <w:spacing w:after="0" w:line="400" w:lineRule="exact"/>
              <w:ind w:left="0" w:leftChars="0" w:firstLine="210" w:firstLineChars="100"/>
              <w:rPr>
                <w:rStyle w:val="51"/>
                <w:rFonts w:hint="eastAsia" w:ascii="宋体" w:hAnsi="宋体" w:eastAsia="宋体" w:cs="宋体"/>
                <w:vertAlign w:val="baseline"/>
              </w:rPr>
            </w:pPr>
            <w:r>
              <w:rPr>
                <w:rFonts w:hint="eastAsia" w:ascii="宋体" w:hAnsi="宋体" w:cs="宋体"/>
                <w:lang w:val="en-US" w:eastAsia="zh-CN"/>
              </w:rPr>
              <w:t>注：</w:t>
            </w:r>
            <w:r>
              <w:rPr>
                <w:rFonts w:hint="eastAsia" w:ascii="宋体" w:hAnsi="宋体" w:eastAsia="宋体" w:cs="宋体"/>
              </w:rPr>
              <w:t>1.单洞长度，</w:t>
            </w:r>
            <w:r>
              <w:rPr>
                <w:rStyle w:val="51"/>
                <w:rFonts w:hint="eastAsia" w:ascii="宋体" w:hAnsi="宋体" w:eastAsia="宋体" w:cs="宋体"/>
                <w:vertAlign w:val="baseline"/>
              </w:rPr>
              <w:t>对于具有双洞的隧道，其承担隧道长度以左右线隧道长度较长的为准；若只有单洞的，则以承担单洞隧道长度数据为准。隧道单洞长度不含斜井、竖井、支洞。</w:t>
            </w:r>
          </w:p>
          <w:p w14:paraId="26F1CC1E">
            <w:pPr>
              <w:pStyle w:val="48"/>
              <w:spacing w:after="0" w:line="400" w:lineRule="exact"/>
              <w:ind w:left="0" w:leftChars="0" w:firstLine="291" w:firstLineChars="139"/>
            </w:pPr>
            <w:r>
              <w:rPr>
                <w:rFonts w:hint="eastAsia" w:ascii="宋体" w:hAnsi="宋体" w:eastAsia="宋体" w:cs="宋体"/>
              </w:rPr>
              <w:t>2.该隧道工程可为路基土建工程中包含的内容或者单独隧道工程合同的项目。根据项目具体情况，若存在特殊隧道或特长隧道或特别复杂的隧道，需要增加特殊要</w:t>
            </w:r>
            <w:r>
              <w:rPr>
                <w:rFonts w:hint="eastAsia"/>
              </w:rPr>
              <w:t>求时，可对隧道形式或隧道单洞长度进行要求，但不得设置过高的要求。</w:t>
            </w:r>
          </w:p>
          <w:p w14:paraId="4EDAC9E0">
            <w:pPr>
              <w:spacing w:line="38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w:t>
            </w:r>
          </w:p>
          <w:p w14:paraId="591BB991">
            <w:pPr>
              <w:pStyle w:val="299"/>
              <w:adjustRightInd w:val="0"/>
              <w:snapToGrid w:val="0"/>
              <w:spacing w:line="3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公路路面工程施工项目中担任过（□</w:t>
            </w:r>
          </w:p>
          <w:p w14:paraId="2A42BC24">
            <w:pPr>
              <w:spacing w:line="3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项目总工、□或</w:t>
            </w:r>
            <w:r>
              <w:rPr>
                <w:rFonts w:ascii="宋体" w:hAnsi="宋体"/>
                <w:szCs w:val="21"/>
              </w:rPr>
              <w:t>项目副总工</w:t>
            </w:r>
            <w:r>
              <w:rPr>
                <w:rFonts w:hint="eastAsia" w:ascii="宋体" w:hAnsi="宋体" w:cs="宋体"/>
                <w:szCs w:val="21"/>
              </w:rPr>
              <w:t>）职务。</w:t>
            </w:r>
          </w:p>
          <w:p w14:paraId="6CF710FC">
            <w:pPr>
              <w:spacing w:line="38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w:t>
            </w:r>
          </w:p>
          <w:p w14:paraId="6FB91565">
            <w:pPr>
              <w:spacing w:line="380" w:lineRule="exact"/>
              <w:ind w:left="210" w:hanging="210" w:hangingChars="100"/>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公路交通安全设施工程施工项目中担</w:t>
            </w:r>
          </w:p>
          <w:p w14:paraId="569B9BA4">
            <w:pPr>
              <w:pStyle w:val="299"/>
              <w:adjustRightInd w:val="0"/>
              <w:snapToGrid w:val="0"/>
              <w:spacing w:line="380" w:lineRule="exact"/>
              <w:rPr>
                <w:rFonts w:ascii="宋体" w:hAnsi="宋体"/>
                <w:szCs w:val="21"/>
              </w:rPr>
            </w:pPr>
            <w:r>
              <w:rPr>
                <w:rFonts w:hint="eastAsia" w:ascii="宋体" w:hAnsi="宋体" w:cs="宋体"/>
                <w:szCs w:val="21"/>
              </w:rPr>
              <w:t xml:space="preserve">   </w:t>
            </w:r>
            <w:r>
              <w:rPr>
                <w:rFonts w:hint="eastAsia" w:ascii="宋体" w:hAnsi="宋体"/>
                <w:szCs w:val="21"/>
              </w:rPr>
              <w:t>任</w:t>
            </w:r>
            <w:r>
              <w:rPr>
                <w:rFonts w:hint="eastAsia" w:ascii="宋体" w:hAnsi="宋体" w:cs="宋体"/>
                <w:szCs w:val="21"/>
              </w:rPr>
              <w:t>过（□项目总工、</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项目副总工</w:t>
            </w:r>
            <w:r>
              <w:rPr>
                <w:rFonts w:hint="eastAsia" w:ascii="宋体" w:hAnsi="宋体" w:cs="宋体"/>
                <w:szCs w:val="21"/>
              </w:rPr>
              <w:t>）</w:t>
            </w:r>
            <w:r>
              <w:rPr>
                <w:rFonts w:hint="eastAsia" w:ascii="宋体" w:hAnsi="宋体"/>
                <w:szCs w:val="21"/>
              </w:rPr>
              <w:t>职务。</w:t>
            </w:r>
          </w:p>
          <w:p w14:paraId="3236DE33">
            <w:pPr>
              <w:spacing w:line="38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w:t>
            </w:r>
          </w:p>
          <w:p w14:paraId="5D62681F">
            <w:pPr>
              <w:adjustRightInd w:val="0"/>
              <w:snapToGrid w:val="0"/>
              <w:spacing w:line="380" w:lineRule="exact"/>
              <w:ind w:left="315" w:hanging="315" w:hangingChars="150"/>
              <w:rPr>
                <w:rFonts w:ascii="宋体" w:hAnsi="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建）</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机电工程施工项目中</w:t>
            </w:r>
            <w:r>
              <w:rPr>
                <w:rFonts w:hint="eastAsia" w:ascii="宋体" w:hAnsi="宋体" w:cs="宋体"/>
                <w:szCs w:val="21"/>
              </w:rPr>
              <w:t>担任过（</w:t>
            </w:r>
            <w:r>
              <w:rPr>
                <w:rFonts w:hint="eastAsia" w:ascii="宋体" w:hAnsi="宋体" w:cs="宋体"/>
                <w:szCs w:val="21"/>
              </w:rPr>
              <w:sym w:font="Wingdings 2" w:char="00A3"/>
            </w:r>
            <w:r>
              <w:rPr>
                <w:rFonts w:hint="eastAsia" w:ascii="宋体" w:hAnsi="宋体" w:cs="宋体"/>
                <w:szCs w:val="21"/>
              </w:rPr>
              <w:t>项目总工、</w:t>
            </w:r>
            <w:r>
              <w:rPr>
                <w:rFonts w:hint="eastAsia" w:ascii="宋体" w:hAnsi="宋体" w:cs="宋体"/>
                <w:szCs w:val="21"/>
              </w:rPr>
              <w:sym w:font="Wingdings 2" w:char="00A3"/>
            </w:r>
            <w:r>
              <w:rPr>
                <w:rFonts w:hint="eastAsia" w:ascii="宋体" w:hAnsi="宋体" w:cs="宋体"/>
                <w:szCs w:val="21"/>
              </w:rPr>
              <w:t>或</w:t>
            </w:r>
            <w:r>
              <w:rPr>
                <w:rFonts w:ascii="宋体" w:hAnsi="宋体"/>
                <w:szCs w:val="21"/>
              </w:rPr>
              <w:t>项目副总工</w:t>
            </w:r>
            <w:r>
              <w:rPr>
                <w:rFonts w:hint="eastAsia" w:ascii="宋体" w:hAnsi="宋体" w:cs="宋体"/>
                <w:szCs w:val="21"/>
              </w:rPr>
              <w:t>）</w:t>
            </w:r>
            <w:r>
              <w:rPr>
                <w:rFonts w:hint="eastAsia" w:ascii="宋体" w:hAnsi="宋体"/>
                <w:szCs w:val="21"/>
              </w:rPr>
              <w:t>职务。</w:t>
            </w:r>
          </w:p>
          <w:p w14:paraId="031F87AF">
            <w:pPr>
              <w:adjustRightInd w:val="0"/>
              <w:snapToGrid w:val="0"/>
              <w:spacing w:line="380" w:lineRule="exact"/>
              <w:ind w:left="211" w:hanging="211" w:hangingChars="100"/>
              <w:rPr>
                <w:rFonts w:ascii="宋体" w:hAnsi="宋体"/>
                <w:bCs/>
                <w:szCs w:val="21"/>
              </w:rPr>
            </w:pPr>
            <w:r>
              <w:rPr>
                <w:rFonts w:hint="eastAsia" w:ascii="宋体" w:hAnsi="宋体"/>
                <w:b/>
                <w:szCs w:val="21"/>
              </w:rPr>
              <w:t>□</w:t>
            </w:r>
            <w:r>
              <w:rPr>
                <w:rFonts w:hint="eastAsia" w:ascii="宋体" w:hAnsi="宋体"/>
                <w:bCs/>
                <w:szCs w:val="21"/>
              </w:rPr>
              <w:t xml:space="preserve"> 至少在</w:t>
            </w:r>
            <w:r>
              <w:rPr>
                <w:rFonts w:hint="eastAsia" w:ascii="宋体" w:hAnsi="宋体"/>
                <w:bCs/>
                <w:szCs w:val="21"/>
                <w:u w:val="single"/>
              </w:rPr>
              <w:t xml:space="preserve">   </w:t>
            </w:r>
            <w:r>
              <w:rPr>
                <w:rFonts w:hint="eastAsia" w:ascii="宋体" w:hAnsi="宋体"/>
                <w:bCs/>
                <w:szCs w:val="21"/>
              </w:rPr>
              <w:t>个国内房建工程施工项目中担任过（□项目总</w:t>
            </w:r>
          </w:p>
          <w:p w14:paraId="10277412">
            <w:pPr>
              <w:adjustRightInd w:val="0"/>
              <w:snapToGrid w:val="0"/>
              <w:spacing w:line="380" w:lineRule="exact"/>
              <w:ind w:left="210" w:hanging="210" w:hangingChars="100"/>
              <w:rPr>
                <w:rFonts w:ascii="宋体" w:hAnsi="宋体"/>
                <w:szCs w:val="21"/>
              </w:rPr>
            </w:pPr>
            <w:r>
              <w:rPr>
                <w:rFonts w:hint="eastAsia" w:ascii="宋体" w:hAnsi="宋体"/>
                <w:bCs/>
                <w:szCs w:val="21"/>
              </w:rPr>
              <w:t xml:space="preserve">   工；□或项目副总工）</w:t>
            </w:r>
            <w:r>
              <w:rPr>
                <w:rFonts w:hint="eastAsia" w:ascii="宋体" w:hAnsi="宋体" w:cs="宋体"/>
                <w:kern w:val="0"/>
                <w:sz w:val="24"/>
              </w:rPr>
              <w:t xml:space="preserve"> </w:t>
            </w:r>
            <w:r>
              <w:rPr>
                <w:rFonts w:hint="eastAsia" w:ascii="宋体" w:hAnsi="宋体"/>
                <w:bCs/>
                <w:szCs w:val="21"/>
              </w:rPr>
              <w:t>职务。</w:t>
            </w:r>
          </w:p>
          <w:p w14:paraId="48149782">
            <w:pPr>
              <w:spacing w:line="400" w:lineRule="exact"/>
              <w:rPr>
                <w:rFonts w:ascii="宋体" w:hAnsi="宋体"/>
                <w:szCs w:val="21"/>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p>
          <w:p w14:paraId="71C227B9">
            <w:pPr>
              <w:spacing w:line="400" w:lineRule="exact"/>
              <w:rPr>
                <w:rFonts w:ascii="宋体" w:hAnsi="宋体"/>
                <w:szCs w:val="21"/>
              </w:rPr>
            </w:pPr>
            <w:bookmarkStart w:id="124" w:name="_Toc27059486"/>
            <w:bookmarkStart w:id="125" w:name="_Toc27059757"/>
            <w:bookmarkStart w:id="126" w:name="_Toc27059667"/>
            <w:bookmarkStart w:id="127" w:name="_Toc27059859"/>
            <w:bookmarkStart w:id="128" w:name="_Toc27060655"/>
            <w:r>
              <w:rPr>
                <w:rFonts w:hint="eastAsia" w:ascii="宋体" w:hAnsi="宋体"/>
                <w:b/>
                <w:szCs w:val="21"/>
              </w:rPr>
              <w:t>□</w:t>
            </w:r>
            <w:r>
              <w:rPr>
                <w:rFonts w:ascii="宋体" w:hAnsi="宋体"/>
                <w:szCs w:val="21"/>
              </w:rPr>
              <w:t xml:space="preserve"> 联合体应满足下列要求：</w:t>
            </w:r>
            <w:bookmarkEnd w:id="124"/>
            <w:bookmarkEnd w:id="125"/>
            <w:bookmarkEnd w:id="126"/>
            <w:bookmarkEnd w:id="127"/>
            <w:bookmarkEnd w:id="128"/>
            <w:r>
              <w:rPr>
                <w:rFonts w:ascii="宋体" w:hAnsi="宋体"/>
                <w:szCs w:val="21"/>
              </w:rPr>
              <w:t xml:space="preserve"> </w:t>
            </w:r>
            <w:r>
              <w:rPr>
                <w:rFonts w:ascii="宋体" w:hAnsi="宋体"/>
                <w:szCs w:val="21"/>
                <w:u w:val="single"/>
              </w:rPr>
              <w:t xml:space="preserve">                </w:t>
            </w:r>
            <w:r>
              <w:rPr>
                <w:rFonts w:ascii="宋体" w:hAnsi="宋体"/>
                <w:szCs w:val="21"/>
              </w:rPr>
              <w:t xml:space="preserve"> </w:t>
            </w:r>
          </w:p>
          <w:p w14:paraId="78530813">
            <w:pPr>
              <w:spacing w:line="400" w:lineRule="exact"/>
              <w:rPr>
                <w:rFonts w:ascii="宋体" w:hAnsi="宋体"/>
                <w:szCs w:val="21"/>
              </w:rPr>
            </w:pPr>
          </w:p>
        </w:tc>
        <w:tc>
          <w:tcPr>
            <w:tcW w:w="1295" w:type="dxa"/>
            <w:vAlign w:val="center"/>
          </w:tcPr>
          <w:p w14:paraId="2CAADE62">
            <w:pPr>
              <w:spacing w:line="400" w:lineRule="exact"/>
              <w:jc w:val="center"/>
              <w:rPr>
                <w:rFonts w:ascii="宋体" w:hAnsi="宋体"/>
                <w:szCs w:val="21"/>
              </w:rPr>
            </w:pPr>
            <w:bookmarkStart w:id="129" w:name="_Toc27059668"/>
            <w:bookmarkStart w:id="130" w:name="_Toc27059487"/>
            <w:bookmarkStart w:id="131" w:name="_Toc27059860"/>
            <w:bookmarkStart w:id="132" w:name="_Toc27060656"/>
            <w:bookmarkStart w:id="133" w:name="_Toc27059758"/>
            <w:r>
              <w:rPr>
                <w:rFonts w:hint="eastAsia" w:ascii="宋体" w:hAnsi="宋体"/>
                <w:szCs w:val="21"/>
              </w:rPr>
              <w:t>无在岗项目（指目前未在其他项目上任职，或虽在其他项目上任职但本项目中标后能够从该项目撤离）</w:t>
            </w:r>
            <w:bookmarkEnd w:id="129"/>
            <w:bookmarkEnd w:id="130"/>
            <w:bookmarkEnd w:id="131"/>
            <w:bookmarkEnd w:id="132"/>
            <w:bookmarkEnd w:id="133"/>
          </w:p>
        </w:tc>
      </w:tr>
      <w:tr w14:paraId="1980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9" w:type="dxa"/>
            <w:vAlign w:val="center"/>
          </w:tcPr>
          <w:p w14:paraId="04F48165">
            <w:pPr>
              <w:spacing w:line="400" w:lineRule="exact"/>
              <w:jc w:val="center"/>
              <w:rPr>
                <w:rFonts w:ascii="宋体" w:hAnsi="宋体"/>
                <w:szCs w:val="21"/>
              </w:rPr>
            </w:pPr>
            <w:bookmarkStart w:id="134" w:name="_Toc27059861"/>
            <w:bookmarkStart w:id="135" w:name="_Toc27059488"/>
            <w:bookmarkStart w:id="136" w:name="_Toc27059759"/>
            <w:bookmarkStart w:id="137" w:name="_Toc27060657"/>
            <w:bookmarkStart w:id="138" w:name="_Toc27059669"/>
            <w:r>
              <w:rPr>
                <w:rFonts w:hint="eastAsia" w:ascii="宋体" w:hAnsi="宋体"/>
                <w:szCs w:val="21"/>
              </w:rPr>
              <w:t>…</w:t>
            </w:r>
            <w:bookmarkEnd w:id="134"/>
            <w:bookmarkEnd w:id="135"/>
            <w:bookmarkEnd w:id="136"/>
            <w:bookmarkEnd w:id="137"/>
            <w:bookmarkEnd w:id="138"/>
            <w:r>
              <w:rPr>
                <w:rFonts w:hint="eastAsia" w:ascii="宋体" w:hAnsi="宋体"/>
                <w:szCs w:val="21"/>
              </w:rPr>
              <w:t>…</w:t>
            </w:r>
          </w:p>
        </w:tc>
        <w:tc>
          <w:tcPr>
            <w:tcW w:w="881" w:type="dxa"/>
            <w:vAlign w:val="center"/>
          </w:tcPr>
          <w:p w14:paraId="07A97BD7">
            <w:pPr>
              <w:spacing w:line="400" w:lineRule="exact"/>
              <w:jc w:val="center"/>
              <w:rPr>
                <w:rFonts w:ascii="宋体" w:hAnsi="宋体"/>
                <w:szCs w:val="21"/>
              </w:rPr>
            </w:pPr>
            <w:r>
              <w:rPr>
                <w:rFonts w:hint="eastAsia" w:ascii="宋体" w:hAnsi="宋体"/>
                <w:szCs w:val="21"/>
              </w:rPr>
              <w:t>……</w:t>
            </w:r>
          </w:p>
        </w:tc>
        <w:tc>
          <w:tcPr>
            <w:tcW w:w="5782" w:type="dxa"/>
            <w:vAlign w:val="center"/>
          </w:tcPr>
          <w:p w14:paraId="42437E86">
            <w:pPr>
              <w:spacing w:line="400" w:lineRule="exact"/>
              <w:rPr>
                <w:rFonts w:ascii="宋体" w:hAnsi="宋体"/>
                <w:szCs w:val="21"/>
              </w:rPr>
            </w:pPr>
            <w:bookmarkStart w:id="139" w:name="_Toc27059489"/>
            <w:bookmarkStart w:id="140" w:name="_Toc27059670"/>
            <w:bookmarkStart w:id="141" w:name="_Toc27060658"/>
            <w:bookmarkStart w:id="142" w:name="_Toc27059760"/>
            <w:bookmarkStart w:id="143" w:name="_Toc27059862"/>
            <w:r>
              <w:rPr>
                <w:rFonts w:hint="eastAsia" w:ascii="宋体" w:hAnsi="宋体"/>
                <w:szCs w:val="21"/>
              </w:rPr>
              <w:t>……</w:t>
            </w:r>
            <w:bookmarkEnd w:id="139"/>
            <w:bookmarkEnd w:id="140"/>
            <w:bookmarkEnd w:id="141"/>
            <w:bookmarkEnd w:id="142"/>
            <w:bookmarkEnd w:id="143"/>
          </w:p>
        </w:tc>
        <w:tc>
          <w:tcPr>
            <w:tcW w:w="1295" w:type="dxa"/>
            <w:vAlign w:val="center"/>
          </w:tcPr>
          <w:p w14:paraId="4E101CF0">
            <w:pPr>
              <w:spacing w:line="400" w:lineRule="exact"/>
              <w:rPr>
                <w:rFonts w:ascii="宋体" w:hAnsi="宋体"/>
                <w:szCs w:val="21"/>
              </w:rPr>
            </w:pPr>
            <w:r>
              <w:rPr>
                <w:rFonts w:hint="eastAsia" w:ascii="宋体" w:hAnsi="宋体"/>
                <w:szCs w:val="21"/>
              </w:rPr>
              <w:t>……</w:t>
            </w:r>
          </w:p>
        </w:tc>
      </w:tr>
    </w:tbl>
    <w:p w14:paraId="3CC3B65B">
      <w:pPr>
        <w:pStyle w:val="48"/>
        <w:spacing w:after="0" w:line="360" w:lineRule="auto"/>
        <w:ind w:left="0" w:leftChars="0" w:firstLine="0" w:firstLineChars="0"/>
      </w:pPr>
      <w:r>
        <w:rPr>
          <w:rFonts w:hint="eastAsia" w:ascii="宋体" w:hAnsi="宋体" w:eastAsia="宋体" w:cs="宋体"/>
          <w:szCs w:val="21"/>
        </w:rPr>
        <w:t>注</w:t>
      </w:r>
      <w:r>
        <w:rPr>
          <w:rFonts w:hint="eastAsia" w:ascii="宋体" w:hAnsi="宋体" w:eastAsia="宋体" w:cs="宋体"/>
          <w:sz w:val="24"/>
          <w:szCs w:val="21"/>
        </w:rPr>
        <w:t>：</w:t>
      </w:r>
      <w:r>
        <w:rPr>
          <w:rFonts w:ascii="宋体" w:hAnsi="宋体" w:cs="宋体"/>
          <w:szCs w:val="21"/>
        </w:rPr>
        <w:t>1.</w:t>
      </w:r>
      <w:r>
        <w:rPr>
          <w:rFonts w:hint="eastAsia" w:ascii="宋体" w:hAnsi="宋体" w:cs="宋体"/>
          <w:szCs w:val="21"/>
        </w:rPr>
        <w:t>如项目总工仍在其他项目上任职，则投标人在投标函中应承诺上述人员能够从该项目撤离。</w:t>
      </w:r>
    </w:p>
    <w:p w14:paraId="02004BE1">
      <w:pPr>
        <w:pStyle w:val="48"/>
        <w:spacing w:after="0" w:line="360" w:lineRule="auto"/>
        <w:ind w:left="0" w:leftChars="0" w:firstLine="420" w:firstLineChars="200"/>
        <w:rPr>
          <w:rFonts w:ascii="宋体" w:hAnsi="宋体"/>
        </w:rPr>
      </w:pPr>
      <w:r>
        <w:rPr>
          <w:rFonts w:hint="eastAsia" w:ascii="宋体" w:hAnsi="宋体" w:cs="宋体"/>
          <w:szCs w:val="21"/>
        </w:rPr>
        <w:t>2.涉及“</w:t>
      </w:r>
      <w:r>
        <w:rPr>
          <w:rFonts w:hint="eastAsia" w:ascii="宋体" w:hAnsi="宋体" w:cs="宋体"/>
          <w:szCs w:val="21"/>
        </w:rPr>
        <w:sym w:font="Wingdings 2" w:char="00A3"/>
      </w:r>
      <w:r>
        <w:rPr>
          <w:rFonts w:hint="eastAsia" w:ascii="宋体" w:hAnsi="宋体" w:cs="宋体"/>
          <w:szCs w:val="21"/>
        </w:rPr>
        <w:t>新建；□改扩建；□新建或改扩建”</w:t>
      </w:r>
      <w:r>
        <w:rPr>
          <w:rFonts w:hint="eastAsia" w:ascii="宋体" w:hAnsi="宋体"/>
        </w:rPr>
        <w:t>为单选项。</w:t>
      </w:r>
    </w:p>
    <w:p w14:paraId="33602D00">
      <w:pPr>
        <w:pStyle w:val="48"/>
        <w:spacing w:after="0" w:line="360" w:lineRule="auto"/>
        <w:ind w:left="0" w:leftChars="0" w:firstLine="420" w:firstLineChars="200"/>
        <w:rPr>
          <w:rFonts w:hint="eastAsia" w:ascii="宋体" w:hAnsi="宋体" w:cs="宋体"/>
          <w:szCs w:val="21"/>
          <w:lang w:eastAsia="zh-CN"/>
        </w:rPr>
      </w:pPr>
      <w:r>
        <w:rPr>
          <w:rFonts w:ascii="宋体" w:hAnsi="宋体" w:cs="宋体"/>
          <w:szCs w:val="21"/>
        </w:rPr>
        <w:t>3.</w:t>
      </w:r>
      <w:r>
        <w:rPr>
          <w:rFonts w:hint="eastAsia" w:ascii="宋体" w:hAnsi="宋体" w:cs="宋体"/>
          <w:szCs w:val="21"/>
        </w:rPr>
        <w:t>路基土建工程指须至少包含“路基工程、桥涵工程”或“路基工程、隧道工程”的项目</w:t>
      </w:r>
      <w:r>
        <w:rPr>
          <w:rFonts w:hint="eastAsia" w:ascii="宋体" w:hAnsi="宋体" w:cs="宋体"/>
          <w:szCs w:val="21"/>
          <w:lang w:eastAsia="zh-CN"/>
        </w:rPr>
        <w:t>。</w:t>
      </w:r>
    </w:p>
    <w:p w14:paraId="23072E2D">
      <w:pPr>
        <w:pStyle w:val="48"/>
        <w:spacing w:after="0" w:line="360" w:lineRule="auto"/>
        <w:ind w:left="0" w:leftChars="0" w:firstLine="420" w:firstLineChars="200"/>
        <w:rPr>
          <w:rFonts w:ascii="宋体" w:hAnsi="宋体"/>
          <w:sz w:val="24"/>
        </w:rPr>
      </w:pPr>
      <w:r>
        <w:rPr>
          <w:rFonts w:hint="eastAsia" w:ascii="宋体" w:hAnsi="宋体" w:cs="宋体"/>
          <w:szCs w:val="21"/>
        </w:rPr>
        <w:t>4.本表涉及“□项目总工、</w:t>
      </w:r>
      <w:r>
        <w:rPr>
          <w:rFonts w:hint="eastAsia" w:ascii="宋体" w:hAnsi="宋体" w:cs="宋体"/>
          <w:szCs w:val="21"/>
        </w:rPr>
        <w:sym w:font="Wingdings 2" w:char="00A3"/>
      </w:r>
      <w:r>
        <w:rPr>
          <w:rFonts w:hint="eastAsia" w:ascii="宋体" w:hAnsi="宋体" w:cs="宋体"/>
          <w:szCs w:val="21"/>
        </w:rPr>
        <w:t>或</w:t>
      </w:r>
      <w:r>
        <w:rPr>
          <w:rFonts w:ascii="宋体" w:hAnsi="宋体" w:cs="宋体"/>
          <w:szCs w:val="21"/>
        </w:rPr>
        <w:t>项目副总工</w:t>
      </w:r>
      <w:r>
        <w:rPr>
          <w:rFonts w:hint="eastAsia" w:ascii="宋体" w:hAnsi="宋体" w:cs="宋体"/>
          <w:szCs w:val="21"/>
        </w:rPr>
        <w:t>”选择项由招标人对主要人员业绩经验担任的相应职务进行要求，可为单选或多选。</w:t>
      </w:r>
    </w:p>
    <w:p w14:paraId="491D55A8">
      <w:pPr>
        <w:spacing w:line="360" w:lineRule="auto"/>
        <w:jc w:val="both"/>
        <w:rPr>
          <w:rFonts w:hint="eastAsia" w:ascii="宋体" w:hAnsi="宋体" w:eastAsia="黑体"/>
          <w:sz w:val="28"/>
          <w:lang w:val="en-US" w:eastAsia="zh-CN"/>
        </w:rPr>
      </w:pPr>
      <w:r>
        <w:rPr>
          <w:rFonts w:hint="eastAsia" w:ascii="宋体" w:hAnsi="宋体" w:eastAsia="黑体"/>
          <w:sz w:val="28"/>
          <w:lang w:val="en-US" w:eastAsia="zh-CN"/>
        </w:rPr>
        <w:t xml:space="preserve"> </w:t>
      </w:r>
    </w:p>
    <w:p w14:paraId="3DE4BB4A">
      <w:pPr>
        <w:pStyle w:val="3"/>
        <w:jc w:val="center"/>
        <w:rPr>
          <w:rFonts w:ascii="宋体" w:hAnsi="宋体" w:eastAsia="黑体"/>
          <w:b/>
          <w:bCs/>
          <w:kern w:val="0"/>
          <w:sz w:val="28"/>
          <w:szCs w:val="32"/>
        </w:rPr>
      </w:pPr>
      <w:r>
        <w:rPr>
          <w:rFonts w:ascii="宋体" w:hAnsi="宋体" w:eastAsia="黑体"/>
          <w:sz w:val="28"/>
        </w:rPr>
        <w:br w:type="page"/>
      </w:r>
      <w:r>
        <w:rPr>
          <w:rFonts w:hint="eastAsia" w:ascii="宋体" w:hAnsi="宋体" w:eastAsia="黑体"/>
          <w:sz w:val="28"/>
          <w:lang w:eastAsia="zh-CN"/>
        </w:rPr>
        <w:t>□</w:t>
      </w:r>
      <w:r>
        <w:rPr>
          <w:rStyle w:val="350"/>
          <w:rFonts w:hint="eastAsia" w:ascii="宋体" w:hAnsi="宋体" w:eastAsia="黑体" w:cs="Times New Roman"/>
          <w:b/>
          <w:bCs/>
          <w:kern w:val="0"/>
          <w:sz w:val="28"/>
          <w:szCs w:val="32"/>
        </w:rPr>
        <w:t>附录6  资格审查条件（其他管理和技术人员最低要求）</w:t>
      </w:r>
    </w:p>
    <w:p w14:paraId="4D820E4B">
      <w:pPr>
        <w:spacing w:line="360" w:lineRule="auto"/>
        <w:jc w:val="center"/>
        <w:rPr>
          <w:rFonts w:ascii="黑体" w:hAnsi="黑体" w:eastAsia="黑体"/>
          <w:bCs/>
          <w:sz w:val="24"/>
        </w:rPr>
      </w:pPr>
      <w:r>
        <w:rPr>
          <w:rFonts w:hint="eastAsia" w:ascii="黑体" w:hAnsi="黑体" w:eastAsia="黑体"/>
          <w:bCs/>
          <w:sz w:val="24"/>
        </w:rPr>
        <w:t>□ 桥梁专业分项负责人</w:t>
      </w:r>
    </w:p>
    <w:tbl>
      <w:tblPr>
        <w:tblStyle w:val="4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012"/>
        <w:gridCol w:w="6757"/>
      </w:tblGrid>
      <w:tr w14:paraId="094F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6" w:type="dxa"/>
            <w:vAlign w:val="center"/>
          </w:tcPr>
          <w:p w14:paraId="14725B4B">
            <w:pPr>
              <w:spacing w:line="400" w:lineRule="exact"/>
              <w:jc w:val="center"/>
              <w:rPr>
                <w:rFonts w:ascii="宋体" w:hAnsi="宋体"/>
                <w:bCs/>
                <w:szCs w:val="21"/>
              </w:rPr>
            </w:pPr>
            <w:r>
              <w:rPr>
                <w:rFonts w:hint="eastAsia" w:ascii="宋体" w:hAnsi="宋体"/>
                <w:bCs/>
                <w:szCs w:val="21"/>
              </w:rPr>
              <w:t>标段</w:t>
            </w:r>
          </w:p>
        </w:tc>
        <w:tc>
          <w:tcPr>
            <w:tcW w:w="1012" w:type="dxa"/>
            <w:vAlign w:val="center"/>
          </w:tcPr>
          <w:p w14:paraId="16E72AF4">
            <w:pPr>
              <w:spacing w:line="400" w:lineRule="exact"/>
              <w:jc w:val="center"/>
              <w:rPr>
                <w:rFonts w:ascii="宋体" w:hAnsi="宋体"/>
                <w:bCs/>
                <w:szCs w:val="21"/>
              </w:rPr>
            </w:pPr>
            <w:r>
              <w:rPr>
                <w:rFonts w:hint="eastAsia" w:ascii="宋体" w:hAnsi="宋体"/>
                <w:bCs/>
                <w:szCs w:val="21"/>
              </w:rPr>
              <w:t>数量</w:t>
            </w:r>
          </w:p>
        </w:tc>
        <w:tc>
          <w:tcPr>
            <w:tcW w:w="6757" w:type="dxa"/>
            <w:vAlign w:val="center"/>
          </w:tcPr>
          <w:p w14:paraId="5EB94110">
            <w:pPr>
              <w:spacing w:line="400" w:lineRule="exact"/>
              <w:jc w:val="center"/>
              <w:rPr>
                <w:rFonts w:ascii="宋体" w:hAnsi="宋体"/>
                <w:bCs/>
                <w:szCs w:val="21"/>
              </w:rPr>
            </w:pPr>
            <w:r>
              <w:rPr>
                <w:rFonts w:hint="eastAsia" w:ascii="宋体" w:hAnsi="宋体"/>
                <w:bCs/>
                <w:szCs w:val="21"/>
              </w:rPr>
              <w:t>资格要求</w:t>
            </w:r>
          </w:p>
        </w:tc>
      </w:tr>
      <w:tr w14:paraId="06A1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4" w:hRule="atLeast"/>
          <w:jc w:val="center"/>
        </w:trPr>
        <w:tc>
          <w:tcPr>
            <w:tcW w:w="986" w:type="dxa"/>
            <w:vAlign w:val="center"/>
          </w:tcPr>
          <w:p w14:paraId="508FB8F0">
            <w:pPr>
              <w:spacing w:line="400" w:lineRule="exact"/>
              <w:jc w:val="center"/>
              <w:rPr>
                <w:rFonts w:ascii="宋体" w:hAnsi="宋体"/>
                <w:bCs/>
                <w:szCs w:val="21"/>
                <w:u w:val="single"/>
              </w:rPr>
            </w:pPr>
          </w:p>
        </w:tc>
        <w:tc>
          <w:tcPr>
            <w:tcW w:w="1012" w:type="dxa"/>
            <w:vAlign w:val="center"/>
          </w:tcPr>
          <w:p w14:paraId="212D76FE">
            <w:pPr>
              <w:spacing w:line="400" w:lineRule="exact"/>
              <w:jc w:val="center"/>
              <w:rPr>
                <w:rFonts w:ascii="宋体" w:hAnsi="宋体"/>
                <w:bCs/>
                <w:szCs w:val="21"/>
              </w:rPr>
            </w:pPr>
          </w:p>
        </w:tc>
        <w:tc>
          <w:tcPr>
            <w:tcW w:w="6757" w:type="dxa"/>
            <w:vAlign w:val="center"/>
          </w:tcPr>
          <w:p w14:paraId="592E65E2">
            <w:pPr>
              <w:pStyle w:val="48"/>
              <w:ind w:left="0" w:leftChars="0" w:firstLine="0" w:firstLineChars="0"/>
              <w:rPr>
                <w:rFonts w:ascii="宋体" w:hAnsi="宋体"/>
                <w:szCs w:val="21"/>
              </w:rPr>
            </w:pPr>
            <w:r>
              <w:rPr>
                <w:rFonts w:hint="eastAsia" w:ascii="宋体" w:hAnsi="宋体"/>
                <w:b/>
                <w:bCs/>
                <w:szCs w:val="21"/>
              </w:rPr>
              <w:t xml:space="preserve">□ </w:t>
            </w:r>
            <w:r>
              <w:rPr>
                <w:rFonts w:hint="eastAsia" w:ascii="宋体" w:hAnsi="宋体"/>
                <w:szCs w:val="21"/>
              </w:rPr>
              <w:t>具有</w:t>
            </w:r>
            <w:r>
              <w:rPr>
                <w:rFonts w:hint="eastAsia"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w:t>
            </w:r>
          </w:p>
          <w:p w14:paraId="7BE456BF">
            <w:pPr>
              <w:spacing w:line="400" w:lineRule="exact"/>
              <w:jc w:val="left"/>
              <w:rPr>
                <w:rFonts w:ascii="宋体" w:hAnsi="宋体"/>
                <w:szCs w:val="21"/>
              </w:rPr>
            </w:pPr>
            <w:r>
              <w:rPr>
                <w:rFonts w:hint="eastAsia" w:ascii="宋体" w:hAnsi="宋体"/>
                <w:szCs w:val="21"/>
              </w:rPr>
              <w:t xml:space="preserve">   职称；</w:t>
            </w:r>
          </w:p>
          <w:p w14:paraId="593746BC">
            <w:pPr>
              <w:pStyle w:val="48"/>
              <w:spacing w:after="0" w:line="400" w:lineRule="exact"/>
              <w:ind w:left="0" w:leftChars="0" w:firstLine="210" w:firstLineChars="100"/>
              <w:rPr>
                <w:rFonts w:ascii="宋体" w:hAnsi="宋体"/>
                <w:szCs w:val="21"/>
              </w:rPr>
            </w:pPr>
            <w:r>
              <w:rPr>
                <w:rFonts w:hint="eastAsia" w:ascii="宋体" w:hAnsi="宋体"/>
                <w:szCs w:val="21"/>
              </w:rPr>
              <w:t>注：“□工程师；□高级工程师”为单选项。</w:t>
            </w:r>
          </w:p>
          <w:p w14:paraId="41CD39F0">
            <w:pPr>
              <w:spacing w:line="400" w:lineRule="exact"/>
              <w:jc w:val="left"/>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3F5FC681">
            <w:pPr>
              <w:pStyle w:val="48"/>
              <w:spacing w:after="0" w:line="400" w:lineRule="exact"/>
              <w:ind w:left="0" w:leftChars="0" w:firstLine="210" w:firstLineChars="100"/>
            </w:pPr>
            <w:r>
              <w:rPr>
                <w:rFonts w:hint="eastAsia" w:ascii="宋体" w:hAnsi="宋体"/>
                <w:kern w:val="0"/>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108BE09C">
            <w:pPr>
              <w:spacing w:line="400" w:lineRule="exact"/>
              <w:jc w:val="left"/>
              <w:rPr>
                <w:rFonts w:ascii="宋体" w:hAnsi="宋体"/>
                <w:szCs w:val="21"/>
              </w:rPr>
            </w:pPr>
            <w:r>
              <w:rPr>
                <w:rFonts w:hint="eastAsia" w:ascii="宋体" w:hAnsi="宋体"/>
                <w:b/>
                <w:bCs/>
                <w:szCs w:val="21"/>
              </w:rPr>
              <w:t xml:space="preserve">□ </w:t>
            </w:r>
            <w:r>
              <w:rPr>
                <w:rFonts w:hint="eastAsia" w:ascii="宋体" w:hAnsi="宋体"/>
                <w:szCs w:val="21"/>
              </w:rPr>
              <w:t>投标截止日所在月上个月或上上个月起之前在其投标单位连续6个</w:t>
            </w:r>
          </w:p>
          <w:p w14:paraId="61B3500E">
            <w:pPr>
              <w:spacing w:line="400" w:lineRule="exact"/>
              <w:jc w:val="left"/>
              <w:rPr>
                <w:rFonts w:ascii="宋体" w:hAnsi="宋体"/>
                <w:bCs/>
                <w:szCs w:val="21"/>
              </w:rPr>
            </w:pPr>
            <w:r>
              <w:rPr>
                <w:rFonts w:hint="eastAsia" w:ascii="宋体" w:hAnsi="宋体"/>
                <w:szCs w:val="21"/>
              </w:rPr>
              <w:t xml:space="preserve">   月参加社保</w:t>
            </w:r>
            <w:r>
              <w:rPr>
                <w:rFonts w:hint="eastAsia" w:ascii="宋体" w:hAnsi="宋体"/>
                <w:bCs/>
                <w:szCs w:val="21"/>
              </w:rPr>
              <w:t>；</w:t>
            </w:r>
          </w:p>
          <w:p w14:paraId="3E0D5BF2">
            <w:pPr>
              <w:spacing w:line="400" w:lineRule="exact"/>
              <w:jc w:val="left"/>
              <w:rPr>
                <w:rFonts w:ascii="宋体" w:hAnsi="宋体"/>
                <w:bCs/>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bCs/>
                <w:szCs w:val="21"/>
                <w:u w:val="single"/>
              </w:rPr>
              <w:t xml:space="preserve">   </w:t>
            </w:r>
            <w:r>
              <w:rPr>
                <w:rFonts w:hint="eastAsia" w:ascii="宋体" w:hAnsi="宋体"/>
                <w:bCs/>
                <w:szCs w:val="21"/>
              </w:rPr>
              <w:t>座国内（□新建；□改扩建；□新建或改扩建）单跨跨径</w:t>
            </w:r>
          </w:p>
          <w:p w14:paraId="71C08D3B">
            <w:pPr>
              <w:spacing w:line="400" w:lineRule="exact"/>
              <w:jc w:val="left"/>
              <w:rPr>
                <w:rFonts w:ascii="宋体" w:hAnsi="宋体"/>
                <w:bCs/>
                <w:szCs w:val="21"/>
              </w:rPr>
            </w:pPr>
            <w:r>
              <w:rPr>
                <w:rFonts w:hint="eastAsia" w:ascii="宋体" w:hAnsi="宋体"/>
                <w:bCs/>
                <w:szCs w:val="21"/>
              </w:rPr>
              <w:t xml:space="preserve">   大于</w:t>
            </w:r>
            <w:r>
              <w:rPr>
                <w:rFonts w:hint="eastAsia" w:ascii="宋体" w:hAnsi="宋体"/>
                <w:bCs/>
                <w:szCs w:val="21"/>
                <w:u w:val="single"/>
              </w:rPr>
              <w:t xml:space="preserve">    </w:t>
            </w:r>
            <w:r>
              <w:rPr>
                <w:rFonts w:hint="eastAsia" w:ascii="宋体" w:hAnsi="宋体"/>
                <w:bCs/>
                <w:szCs w:val="21"/>
              </w:rPr>
              <w:t>米的</w:t>
            </w:r>
            <w:r>
              <w:rPr>
                <w:rFonts w:hint="eastAsia" w:ascii="宋体" w:hAnsi="宋体"/>
                <w:bCs/>
                <w:szCs w:val="21"/>
                <w:u w:val="single"/>
              </w:rPr>
              <w:t xml:space="preserve">    </w:t>
            </w:r>
            <w:r>
              <w:rPr>
                <w:rFonts w:hint="eastAsia" w:ascii="宋体" w:hAnsi="宋体"/>
                <w:bCs/>
                <w:szCs w:val="21"/>
              </w:rPr>
              <w:t>（桥梁类型）的（□初步；</w:t>
            </w:r>
            <w:r>
              <w:rPr>
                <w:rFonts w:ascii="宋体" w:hAnsi="宋体"/>
                <w:bCs/>
                <w:szCs w:val="21"/>
              </w:rPr>
              <w:t>□施工图</w:t>
            </w:r>
            <w:r>
              <w:rPr>
                <w:rFonts w:hint="eastAsia" w:ascii="宋体" w:hAnsi="宋体"/>
                <w:bCs/>
                <w:szCs w:val="21"/>
              </w:rPr>
              <w:t>；</w:t>
            </w:r>
            <w:r>
              <w:rPr>
                <w:rFonts w:ascii="宋体" w:hAnsi="宋体"/>
                <w:bCs/>
                <w:szCs w:val="21"/>
              </w:rPr>
              <w:t>□初步或</w:t>
            </w:r>
          </w:p>
          <w:p w14:paraId="0F2BD77F">
            <w:pPr>
              <w:spacing w:line="400" w:lineRule="exact"/>
              <w:jc w:val="left"/>
              <w:rPr>
                <w:rFonts w:ascii="宋体" w:hAnsi="宋体"/>
                <w:bCs/>
                <w:szCs w:val="21"/>
              </w:rPr>
            </w:pPr>
            <w:r>
              <w:rPr>
                <w:rFonts w:hint="eastAsia" w:ascii="宋体" w:hAnsi="宋体"/>
                <w:bCs/>
                <w:szCs w:val="21"/>
              </w:rPr>
              <w:t xml:space="preserve">   </w:t>
            </w:r>
            <w:r>
              <w:rPr>
                <w:rFonts w:ascii="宋体" w:hAnsi="宋体"/>
                <w:bCs/>
                <w:szCs w:val="21"/>
              </w:rPr>
              <w:t>施工图）勘察设计</w:t>
            </w:r>
            <w:r>
              <w:rPr>
                <w:rFonts w:hint="eastAsia" w:ascii="宋体" w:hAnsi="宋体"/>
                <w:bCs/>
                <w:szCs w:val="21"/>
              </w:rPr>
              <w:t>中担任过</w:t>
            </w:r>
            <w:r>
              <w:rPr>
                <w:rFonts w:ascii="宋体" w:hAnsi="宋体"/>
                <w:bCs/>
                <w:szCs w:val="21"/>
              </w:rPr>
              <w:t>桥梁专业分项负责人。</w:t>
            </w:r>
          </w:p>
          <w:p w14:paraId="52DDC85E">
            <w:pPr>
              <w:pStyle w:val="48"/>
              <w:spacing w:after="0" w:line="400" w:lineRule="exact"/>
              <w:ind w:left="0" w:leftChars="0"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注：1.“</w:t>
            </w:r>
            <w:r>
              <w:rPr>
                <w:rFonts w:hint="eastAsia" w:asciiTheme="minorEastAsia" w:hAnsiTheme="minorEastAsia" w:eastAsiaTheme="minorEastAsia" w:cstheme="minorEastAsia"/>
                <w:szCs w:val="21"/>
              </w:rPr>
              <w:t>□新建；□改扩建；□新建或改扩建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□初步；□施工图；□初步或施工图</w:t>
            </w:r>
            <w:r>
              <w:rPr>
                <w:rFonts w:hint="eastAsia" w:asciiTheme="minorEastAsia" w:hAnsiTheme="minorEastAsia" w:eastAsiaTheme="minorEastAsia" w:cstheme="minorEastAsia"/>
              </w:rPr>
              <w:t>”为单选项。</w:t>
            </w:r>
          </w:p>
          <w:p w14:paraId="55BFAAC6">
            <w:pPr>
              <w:pStyle w:val="48"/>
              <w:spacing w:after="0" w:line="400" w:lineRule="exact"/>
              <w:ind w:left="0" w:leftChars="0"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2.桥梁类型应为具有较大跨径的悬索桥、斜拉桥等特殊性结构桥梁，非一般性连续刚构桥梁。</w:t>
            </w:r>
          </w:p>
          <w:p w14:paraId="2783A2F1">
            <w:pPr>
              <w:spacing w:line="400" w:lineRule="exact"/>
              <w:jc w:val="left"/>
              <w:rPr>
                <w:rFonts w:ascii="宋体" w:hAnsi="宋体"/>
                <w:bCs/>
                <w:szCs w:val="21"/>
              </w:rPr>
            </w:pPr>
            <w:r>
              <w:rPr>
                <w:rFonts w:hint="eastAsia" w:ascii="宋体" w:hAnsi="宋体" w:cs="宋体"/>
                <w:b/>
                <w:szCs w:val="21"/>
              </w:rPr>
              <w:t>□</w:t>
            </w:r>
            <w:r>
              <w:rPr>
                <w:rFonts w:ascii="宋体" w:hAnsi="宋体" w:cs="宋体"/>
                <w:szCs w:val="21"/>
              </w:rPr>
              <w:t xml:space="preserve"> 联合体应满足下列要求： </w:t>
            </w:r>
            <w:r>
              <w:rPr>
                <w:rFonts w:ascii="宋体" w:hAnsi="宋体" w:cs="宋体"/>
                <w:szCs w:val="21"/>
                <w:u w:val="single"/>
              </w:rPr>
              <w:t xml:space="preserve">                 </w:t>
            </w:r>
          </w:p>
        </w:tc>
      </w:tr>
      <w:tr w14:paraId="4566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86" w:type="dxa"/>
            <w:shd w:val="clear" w:color="auto" w:fill="auto"/>
            <w:vAlign w:val="center"/>
          </w:tcPr>
          <w:p w14:paraId="5A739C33">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1012" w:type="dxa"/>
            <w:shd w:val="clear" w:color="auto" w:fill="auto"/>
            <w:vAlign w:val="center"/>
          </w:tcPr>
          <w:p w14:paraId="2CFD9663">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6757" w:type="dxa"/>
            <w:shd w:val="clear" w:color="auto" w:fill="auto"/>
            <w:vAlign w:val="center"/>
          </w:tcPr>
          <w:p w14:paraId="0390B659">
            <w:pPr>
              <w:spacing w:line="400" w:lineRule="exact"/>
              <w:jc w:val="center"/>
              <w:rPr>
                <w:rFonts w:hint="eastAsia" w:ascii="宋体" w:hAnsi="宋体" w:eastAsia="宋体" w:cs="Times New Roman"/>
                <w:bCs/>
                <w:kern w:val="2"/>
                <w:sz w:val="21"/>
                <w:szCs w:val="21"/>
                <w:lang w:val="en-US" w:eastAsia="zh-CN" w:bidi="ar-SA"/>
              </w:rPr>
            </w:pPr>
            <w:r>
              <w:rPr>
                <w:rFonts w:ascii="宋体" w:hAnsi="宋体"/>
                <w:bCs/>
                <w:szCs w:val="21"/>
              </w:rPr>
              <w:t>……</w:t>
            </w:r>
          </w:p>
        </w:tc>
      </w:tr>
    </w:tbl>
    <w:p w14:paraId="20F9383B">
      <w:pPr>
        <w:rPr>
          <w:rFonts w:ascii="黑体" w:hAnsi="黑体" w:eastAsia="黑体"/>
          <w:bCs/>
          <w:sz w:val="24"/>
        </w:rPr>
      </w:pPr>
    </w:p>
    <w:p w14:paraId="3B2C02BE">
      <w:pPr>
        <w:spacing w:line="360" w:lineRule="auto"/>
        <w:rPr>
          <w:rFonts w:ascii="黑体" w:hAnsi="黑体" w:eastAsia="黑体"/>
          <w:bCs/>
          <w:sz w:val="24"/>
        </w:rPr>
      </w:pPr>
      <w:r>
        <w:rPr>
          <w:rFonts w:hint="eastAsia" w:ascii="宋体" w:hAnsi="宋体" w:cs="宋体"/>
        </w:rPr>
        <w:t>注：本表仅适用于特别复杂的特大桥梁和特长隧道项目主体工程以及其他有特殊要求的工程。对各专业分项负责人的最低要求，</w:t>
      </w:r>
      <w:r>
        <w:rPr>
          <w:rFonts w:hint="eastAsia"/>
        </w:rPr>
        <w:t>由招标人在满足国家相关法律法规前提下，根据招标项目具体特点和实际情况确定，但不得设置过高的资格条件。</w:t>
      </w:r>
      <w:r>
        <w:rPr>
          <w:rFonts w:hint="eastAsia" w:ascii="黑体" w:hAnsi="黑体" w:eastAsia="黑体"/>
          <w:bCs/>
          <w:sz w:val="24"/>
        </w:rPr>
        <w:br w:type="page"/>
      </w:r>
    </w:p>
    <w:p w14:paraId="3B41B14E">
      <w:pPr>
        <w:spacing w:line="360" w:lineRule="auto"/>
        <w:jc w:val="center"/>
        <w:rPr>
          <w:rFonts w:ascii="黑体" w:hAnsi="黑体" w:eastAsia="黑体"/>
          <w:bCs/>
          <w:sz w:val="24"/>
        </w:rPr>
      </w:pPr>
      <w:r>
        <w:rPr>
          <w:rFonts w:hint="eastAsia" w:ascii="黑体" w:hAnsi="黑体" w:eastAsia="黑体"/>
          <w:bCs/>
          <w:sz w:val="24"/>
        </w:rPr>
        <w:t>□ 隧道专业分项负责人</w:t>
      </w:r>
    </w:p>
    <w:tbl>
      <w:tblPr>
        <w:tblStyle w:val="4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6"/>
        <w:gridCol w:w="6911"/>
      </w:tblGrid>
      <w:tr w14:paraId="1392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9" w:type="dxa"/>
            <w:vAlign w:val="center"/>
          </w:tcPr>
          <w:p w14:paraId="6D4645AB">
            <w:pPr>
              <w:spacing w:line="400" w:lineRule="exact"/>
              <w:jc w:val="center"/>
              <w:rPr>
                <w:rFonts w:ascii="宋体" w:hAnsi="宋体"/>
                <w:bCs/>
                <w:szCs w:val="21"/>
              </w:rPr>
            </w:pPr>
            <w:r>
              <w:rPr>
                <w:rFonts w:hint="eastAsia" w:ascii="宋体" w:hAnsi="宋体"/>
                <w:bCs/>
                <w:szCs w:val="21"/>
              </w:rPr>
              <w:t>标段</w:t>
            </w:r>
          </w:p>
        </w:tc>
        <w:tc>
          <w:tcPr>
            <w:tcW w:w="966" w:type="dxa"/>
            <w:vAlign w:val="center"/>
          </w:tcPr>
          <w:p w14:paraId="5278FEDB">
            <w:pPr>
              <w:spacing w:line="400" w:lineRule="exact"/>
              <w:jc w:val="center"/>
              <w:rPr>
                <w:rFonts w:ascii="宋体" w:hAnsi="宋体"/>
                <w:bCs/>
                <w:szCs w:val="21"/>
              </w:rPr>
            </w:pPr>
            <w:r>
              <w:rPr>
                <w:rFonts w:hint="eastAsia" w:ascii="宋体" w:hAnsi="宋体"/>
                <w:bCs/>
                <w:szCs w:val="21"/>
              </w:rPr>
              <w:t>数量</w:t>
            </w:r>
          </w:p>
        </w:tc>
        <w:tc>
          <w:tcPr>
            <w:tcW w:w="6911" w:type="dxa"/>
            <w:vAlign w:val="center"/>
          </w:tcPr>
          <w:p w14:paraId="45E6C351">
            <w:pPr>
              <w:spacing w:line="400" w:lineRule="exact"/>
              <w:jc w:val="center"/>
              <w:rPr>
                <w:rFonts w:ascii="宋体" w:hAnsi="宋体"/>
                <w:bCs/>
                <w:szCs w:val="21"/>
              </w:rPr>
            </w:pPr>
            <w:r>
              <w:rPr>
                <w:rFonts w:hint="eastAsia" w:ascii="宋体" w:hAnsi="宋体"/>
                <w:bCs/>
                <w:szCs w:val="21"/>
              </w:rPr>
              <w:t>资格要求</w:t>
            </w:r>
          </w:p>
        </w:tc>
      </w:tr>
      <w:tr w14:paraId="6094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4" w:hRule="atLeast"/>
          <w:jc w:val="center"/>
        </w:trPr>
        <w:tc>
          <w:tcPr>
            <w:tcW w:w="959" w:type="dxa"/>
            <w:vAlign w:val="center"/>
          </w:tcPr>
          <w:p w14:paraId="6D0D1D7D">
            <w:pPr>
              <w:spacing w:line="400" w:lineRule="exact"/>
              <w:jc w:val="center"/>
              <w:rPr>
                <w:rFonts w:ascii="宋体" w:hAnsi="宋体"/>
                <w:bCs/>
                <w:szCs w:val="21"/>
                <w:u w:val="single"/>
              </w:rPr>
            </w:pPr>
          </w:p>
        </w:tc>
        <w:tc>
          <w:tcPr>
            <w:tcW w:w="966" w:type="dxa"/>
            <w:vAlign w:val="center"/>
          </w:tcPr>
          <w:p w14:paraId="7D706D27">
            <w:pPr>
              <w:spacing w:line="400" w:lineRule="exact"/>
              <w:jc w:val="center"/>
              <w:rPr>
                <w:rFonts w:ascii="宋体" w:hAnsi="宋体"/>
                <w:bCs/>
                <w:szCs w:val="21"/>
              </w:rPr>
            </w:pPr>
          </w:p>
        </w:tc>
        <w:tc>
          <w:tcPr>
            <w:tcW w:w="6911" w:type="dxa"/>
            <w:vAlign w:val="center"/>
          </w:tcPr>
          <w:p w14:paraId="07A39DE4">
            <w:pPr>
              <w:pStyle w:val="48"/>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ascii="宋体" w:hAnsi="宋体"/>
                <w:szCs w:val="21"/>
              </w:rPr>
            </w:pPr>
            <w:r>
              <w:rPr>
                <w:rFonts w:hint="eastAsia" w:ascii="宋体" w:hAnsi="宋体"/>
                <w:b/>
                <w:bCs/>
                <w:szCs w:val="21"/>
              </w:rPr>
              <w:t xml:space="preserve">□ </w:t>
            </w:r>
            <w:r>
              <w:rPr>
                <w:rFonts w:hint="eastAsia" w:ascii="宋体" w:hAnsi="宋体"/>
                <w:szCs w:val="21"/>
              </w:rPr>
              <w:t>具有</w:t>
            </w:r>
            <w:r>
              <w:rPr>
                <w:rFonts w:hint="eastAsia" w:ascii="宋体" w:hAnsi="宋体"/>
                <w:szCs w:val="21"/>
                <w:u w:val="single"/>
              </w:rPr>
              <w:t xml:space="preserve">        </w:t>
            </w:r>
            <w:r>
              <w:rPr>
                <w:rFonts w:hint="eastAsia" w:ascii="宋体" w:hAnsi="宋体"/>
                <w:szCs w:val="21"/>
              </w:rPr>
              <w:t>（专业）（</w:t>
            </w:r>
            <w:r>
              <w:rPr>
                <w:rFonts w:hint="eastAsia" w:ascii="宋体" w:hAnsi="宋体" w:cs="宋体"/>
                <w:szCs w:val="21"/>
              </w:rPr>
              <w:t>□</w:t>
            </w:r>
            <w:r>
              <w:rPr>
                <w:rFonts w:hint="eastAsia" w:ascii="宋体" w:hAnsi="宋体"/>
                <w:szCs w:val="21"/>
              </w:rPr>
              <w:t>工程师；□高级工程师）及以上技术职称；</w:t>
            </w:r>
          </w:p>
          <w:p w14:paraId="1116700F">
            <w:pPr>
              <w:pStyle w:val="48"/>
              <w:keepNext w:val="0"/>
              <w:keepLines w:val="0"/>
              <w:pageBreakBefore w:val="0"/>
              <w:widowControl w:val="0"/>
              <w:kinsoku/>
              <w:wordWrap/>
              <w:overflowPunct/>
              <w:topLinePunct w:val="0"/>
              <w:autoSpaceDE/>
              <w:autoSpaceDN/>
              <w:bidi w:val="0"/>
              <w:adjustRightInd/>
              <w:snapToGrid/>
              <w:spacing w:after="0" w:line="400" w:lineRule="exact"/>
              <w:ind w:left="0" w:leftChars="0" w:firstLine="210" w:firstLineChars="100"/>
              <w:textAlignment w:val="auto"/>
              <w:rPr>
                <w:rFonts w:ascii="宋体" w:hAnsi="宋体"/>
                <w:szCs w:val="21"/>
              </w:rPr>
            </w:pPr>
            <w:r>
              <w:rPr>
                <w:rFonts w:hint="eastAsia" w:ascii="宋体" w:hAnsi="宋体"/>
                <w:szCs w:val="21"/>
              </w:rPr>
              <w:t>注：“□工程师；□高级工程师”为单选项。</w:t>
            </w:r>
          </w:p>
          <w:p w14:paraId="3FF36A4A">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4C6349A3">
            <w:pPr>
              <w:pStyle w:val="48"/>
              <w:keepNext w:val="0"/>
              <w:keepLines w:val="0"/>
              <w:pageBreakBefore w:val="0"/>
              <w:widowControl w:val="0"/>
              <w:kinsoku/>
              <w:wordWrap/>
              <w:overflowPunct/>
              <w:topLinePunct w:val="0"/>
              <w:autoSpaceDE/>
              <w:autoSpaceDN/>
              <w:bidi w:val="0"/>
              <w:adjustRightInd/>
              <w:snapToGrid/>
              <w:spacing w:after="0" w:line="400" w:lineRule="exact"/>
              <w:ind w:left="0" w:leftChars="0" w:firstLine="210" w:firstLineChars="100"/>
              <w:textAlignment w:val="auto"/>
            </w:pPr>
            <w:r>
              <w:rPr>
                <w:rFonts w:hint="eastAsia" w:ascii="宋体" w:hAnsi="宋体"/>
                <w:kern w:val="0"/>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2A5DC2B8">
            <w:pPr>
              <w:pStyle w:val="48"/>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ascii="宋体" w:hAnsi="宋体"/>
                <w:bCs/>
                <w:szCs w:val="21"/>
              </w:rPr>
            </w:pPr>
            <w:r>
              <w:rPr>
                <w:rFonts w:hint="eastAsia" w:ascii="宋体" w:hAnsi="宋体"/>
                <w:b/>
                <w:szCs w:val="21"/>
              </w:rPr>
              <w:t>□</w:t>
            </w:r>
            <w:r>
              <w:rPr>
                <w:rFonts w:hint="eastAsia" w:ascii="宋体" w:hAnsi="宋体"/>
                <w:bCs/>
                <w:szCs w:val="21"/>
              </w:rPr>
              <w:t xml:space="preserve"> 投标截止日所在月上个月或上上个月起之前在其投标单位连续6个月</w:t>
            </w:r>
          </w:p>
          <w:p w14:paraId="2DA8B0AB">
            <w:pPr>
              <w:keepNext w:val="0"/>
              <w:keepLines w:val="0"/>
              <w:pageBreakBefore w:val="0"/>
              <w:widowControl w:val="0"/>
              <w:kinsoku/>
              <w:wordWrap/>
              <w:overflowPunct/>
              <w:topLinePunct w:val="0"/>
              <w:autoSpaceDE/>
              <w:autoSpaceDN/>
              <w:bidi w:val="0"/>
              <w:adjustRightInd/>
              <w:snapToGrid/>
              <w:spacing w:line="400" w:lineRule="exact"/>
              <w:ind w:left="0" w:hanging="210" w:hangingChars="100"/>
              <w:jc w:val="left"/>
              <w:textAlignment w:val="auto"/>
              <w:rPr>
                <w:rFonts w:ascii="宋体" w:hAnsi="宋体"/>
                <w:bCs/>
                <w:szCs w:val="21"/>
              </w:rPr>
            </w:pPr>
            <w:r>
              <w:rPr>
                <w:rFonts w:hint="eastAsia" w:ascii="宋体" w:hAnsi="宋体"/>
                <w:bCs/>
                <w:szCs w:val="21"/>
              </w:rPr>
              <w:t xml:space="preserve">   参加社保；</w:t>
            </w:r>
          </w:p>
          <w:p w14:paraId="210BC957">
            <w:pPr>
              <w:keepNext w:val="0"/>
              <w:keepLines w:val="0"/>
              <w:pageBreakBefore w:val="0"/>
              <w:widowControl w:val="0"/>
              <w:kinsoku/>
              <w:wordWrap/>
              <w:overflowPunct/>
              <w:topLinePunct w:val="0"/>
              <w:autoSpaceDE/>
              <w:autoSpaceDN/>
              <w:bidi w:val="0"/>
              <w:adjustRightInd/>
              <w:snapToGrid/>
              <w:spacing w:line="400" w:lineRule="exact"/>
              <w:ind w:left="0" w:hanging="211" w:hangingChars="100"/>
              <w:jc w:val="left"/>
              <w:textAlignment w:val="auto"/>
              <w:rPr>
                <w:rFonts w:ascii="宋体" w:hAnsi="宋体"/>
                <w:szCs w:val="21"/>
              </w:rPr>
            </w:pPr>
            <w:r>
              <w:rPr>
                <w:rFonts w:hint="eastAsia" w:ascii="宋体" w:hAnsi="宋体"/>
                <w:b/>
                <w:szCs w:val="21"/>
              </w:rPr>
              <w:sym w:font="Wingdings 2" w:char="00A3"/>
            </w:r>
            <w:r>
              <w:rPr>
                <w:rFonts w:hint="eastAsia" w:ascii="宋体" w:hAnsi="宋体"/>
                <w:bCs/>
                <w:szCs w:val="21"/>
              </w:rPr>
              <w:t xml:space="preserve"> 至少在</w:t>
            </w:r>
            <w:r>
              <w:rPr>
                <w:rFonts w:hint="eastAsia" w:ascii="宋体" w:hAnsi="宋体"/>
                <w:bCs/>
                <w:szCs w:val="21"/>
                <w:u w:val="single"/>
              </w:rPr>
              <w:t xml:space="preserve">    </w:t>
            </w:r>
            <w:r>
              <w:rPr>
                <w:rFonts w:hint="eastAsia" w:ascii="宋体" w:hAnsi="宋体"/>
                <w:bCs/>
                <w:szCs w:val="21"/>
              </w:rPr>
              <w:t>座国内（□新建；□改扩建；□新建或改扩建）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w:t>
            </w:r>
          </w:p>
          <w:p w14:paraId="649CBF73">
            <w:pPr>
              <w:keepNext w:val="0"/>
              <w:keepLines w:val="0"/>
              <w:pageBreakBefore w:val="0"/>
              <w:widowControl w:val="0"/>
              <w:kinsoku/>
              <w:wordWrap/>
              <w:overflowPunct/>
              <w:topLinePunct w:val="0"/>
              <w:autoSpaceDE/>
              <w:autoSpaceDN/>
              <w:bidi w:val="0"/>
              <w:adjustRightInd/>
              <w:snapToGrid/>
              <w:spacing w:line="400" w:lineRule="exact"/>
              <w:ind w:left="0" w:hanging="210" w:hangingChars="100"/>
              <w:jc w:val="left"/>
              <w:textAlignment w:val="auto"/>
              <w:rPr>
                <w:rFonts w:ascii="宋体" w:hAnsi="宋体"/>
                <w:bCs/>
                <w:szCs w:val="21"/>
              </w:rPr>
            </w:pPr>
            <w:r>
              <w:rPr>
                <w:rFonts w:hint="eastAsia" w:ascii="宋体" w:hAnsi="宋体"/>
                <w:szCs w:val="21"/>
              </w:rPr>
              <w:t xml:space="preserve">   以上</w:t>
            </w:r>
            <w:r>
              <w:rPr>
                <w:rFonts w:hint="eastAsia" w:ascii="宋体" w:hAnsi="宋体"/>
                <w:bCs/>
                <w:szCs w:val="21"/>
              </w:rPr>
              <w:t>公路隧道长度不低于</w:t>
            </w:r>
            <w:r>
              <w:rPr>
                <w:rFonts w:hint="eastAsia" w:ascii="宋体" w:hAnsi="宋体"/>
                <w:bCs/>
                <w:szCs w:val="21"/>
                <w:u w:val="single"/>
              </w:rPr>
              <w:t xml:space="preserve">    </w:t>
            </w:r>
            <w:r>
              <w:rPr>
                <w:rFonts w:hint="eastAsia" w:ascii="宋体" w:hAnsi="宋体"/>
                <w:bCs/>
                <w:szCs w:val="21"/>
              </w:rPr>
              <w:t>米的（□初步；□施工图；□初步或施</w:t>
            </w:r>
          </w:p>
          <w:p w14:paraId="00EF6613">
            <w:pPr>
              <w:keepNext w:val="0"/>
              <w:keepLines w:val="0"/>
              <w:pageBreakBefore w:val="0"/>
              <w:widowControl w:val="0"/>
              <w:kinsoku/>
              <w:wordWrap/>
              <w:overflowPunct/>
              <w:topLinePunct w:val="0"/>
              <w:autoSpaceDE/>
              <w:autoSpaceDN/>
              <w:bidi w:val="0"/>
              <w:adjustRightInd/>
              <w:snapToGrid/>
              <w:spacing w:line="400" w:lineRule="exact"/>
              <w:ind w:left="0" w:hanging="210" w:hangingChars="100"/>
              <w:jc w:val="left"/>
              <w:textAlignment w:val="auto"/>
              <w:rPr>
                <w:rFonts w:ascii="宋体" w:hAnsi="宋体"/>
                <w:bCs/>
                <w:szCs w:val="21"/>
              </w:rPr>
            </w:pPr>
            <w:r>
              <w:rPr>
                <w:rFonts w:hint="eastAsia" w:ascii="宋体" w:hAnsi="宋体"/>
                <w:bCs/>
                <w:szCs w:val="21"/>
              </w:rPr>
              <w:t xml:space="preserve">   工图）勘察设计中担任过隧道专业分项负责人。</w:t>
            </w:r>
          </w:p>
          <w:p w14:paraId="3E2237A7">
            <w:pPr>
              <w:pStyle w:val="48"/>
              <w:keepNext w:val="0"/>
              <w:keepLines w:val="0"/>
              <w:pageBreakBefore w:val="0"/>
              <w:widowControl w:val="0"/>
              <w:kinsoku/>
              <w:wordWrap/>
              <w:overflowPunct/>
              <w:topLinePunct w:val="0"/>
              <w:autoSpaceDE/>
              <w:autoSpaceDN/>
              <w:bidi w:val="0"/>
              <w:adjustRightInd/>
              <w:snapToGrid/>
              <w:spacing w:after="0" w:line="400" w:lineRule="exact"/>
              <w:ind w:left="0" w:leftChars="0" w:firstLine="210" w:firstLineChars="100"/>
              <w:textAlignment w:val="auto"/>
            </w:pPr>
            <w:r>
              <w:rPr>
                <w:rFonts w:hint="eastAsia" w:ascii="宋体" w:hAnsi="宋体"/>
                <w:kern w:val="0"/>
                <w:szCs w:val="21"/>
              </w:rPr>
              <w:t>注：1.“□新建；□改扩建；□新建或改扩建”“□初步；□施工图；□初步或施工图”</w:t>
            </w:r>
            <w:r>
              <w:rPr>
                <w:rFonts w:hint="eastAsia" w:ascii="宋体" w:hAnsi="宋体" w:cs="Times New Roman"/>
                <w:kern w:val="0"/>
                <w:szCs w:val="21"/>
              </w:rPr>
              <w:t>为单选项。</w:t>
            </w:r>
          </w:p>
          <w:p w14:paraId="68C9AAF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pPr>
            <w:r>
              <w:rPr>
                <w:rFonts w:hint="eastAsia" w:ascii="宋体" w:hAnsi="宋体" w:cs="Times New Roman"/>
                <w:kern w:val="0"/>
                <w:szCs w:val="21"/>
              </w:rPr>
              <w:t>2.对于具有双洞的隧道，其承担隧道长度以左右线隧道长度较长的为准；若只有单洞的，则以承担单洞隧道长度数据为准。隧道单洞长度不含</w:t>
            </w:r>
            <w:r>
              <w:rPr>
                <w:rFonts w:hint="eastAsia" w:ascii="宋体" w:hAnsi="宋体"/>
                <w:kern w:val="0"/>
                <w:szCs w:val="21"/>
              </w:rPr>
              <w:t>斜井、竖井、支洞。</w:t>
            </w:r>
          </w:p>
          <w:p w14:paraId="25C4877B">
            <w:pPr>
              <w:keepNext w:val="0"/>
              <w:keepLines w:val="0"/>
              <w:pageBreakBefore w:val="0"/>
              <w:widowControl w:val="0"/>
              <w:kinsoku/>
              <w:wordWrap/>
              <w:overflowPunct/>
              <w:topLinePunct w:val="0"/>
              <w:autoSpaceDE/>
              <w:autoSpaceDN/>
              <w:bidi w:val="0"/>
              <w:adjustRightInd/>
              <w:snapToGrid/>
              <w:spacing w:line="400" w:lineRule="exact"/>
              <w:ind w:left="0" w:hanging="211" w:hangingChars="100"/>
              <w:jc w:val="left"/>
              <w:textAlignment w:val="auto"/>
              <w:rPr>
                <w:rFonts w:ascii="宋体" w:hAnsi="宋体"/>
                <w:bCs/>
                <w:szCs w:val="21"/>
              </w:rPr>
            </w:pPr>
            <w:r>
              <w:rPr>
                <w:rFonts w:hint="eastAsia" w:ascii="宋体" w:hAnsi="宋体" w:cs="宋体"/>
                <w:b/>
                <w:szCs w:val="21"/>
              </w:rPr>
              <w:t>□</w:t>
            </w:r>
            <w:r>
              <w:rPr>
                <w:rFonts w:ascii="宋体" w:hAnsi="宋体" w:cs="宋体"/>
                <w:szCs w:val="21"/>
              </w:rPr>
              <w:t xml:space="preserve"> 联合体应满足下列要求：</w:t>
            </w:r>
            <w:r>
              <w:rPr>
                <w:rFonts w:ascii="宋体" w:hAnsi="宋体" w:cs="宋体"/>
                <w:szCs w:val="21"/>
                <w:u w:val="single"/>
              </w:rPr>
              <w:t xml:space="preserve">                 </w:t>
            </w:r>
          </w:p>
        </w:tc>
      </w:tr>
      <w:tr w14:paraId="1963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59" w:type="dxa"/>
            <w:shd w:val="clear" w:color="auto" w:fill="auto"/>
            <w:vAlign w:val="center"/>
          </w:tcPr>
          <w:p w14:paraId="2358630C">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966" w:type="dxa"/>
            <w:shd w:val="clear" w:color="auto" w:fill="auto"/>
            <w:vAlign w:val="center"/>
          </w:tcPr>
          <w:p w14:paraId="56C9F993">
            <w:pPr>
              <w:spacing w:line="400" w:lineRule="exact"/>
              <w:jc w:val="center"/>
              <w:rPr>
                <w:rFonts w:ascii="宋体" w:hAnsi="宋体" w:eastAsia="宋体" w:cs="Times New Roman"/>
                <w:bCs/>
                <w:kern w:val="2"/>
                <w:sz w:val="21"/>
                <w:szCs w:val="21"/>
                <w:lang w:val="en-US" w:eastAsia="zh-CN" w:bidi="ar-SA"/>
              </w:rPr>
            </w:pPr>
            <w:r>
              <w:rPr>
                <w:rFonts w:ascii="宋体" w:hAnsi="宋体"/>
                <w:bCs/>
                <w:szCs w:val="21"/>
              </w:rPr>
              <w:t>……</w:t>
            </w:r>
          </w:p>
        </w:tc>
        <w:tc>
          <w:tcPr>
            <w:tcW w:w="6911" w:type="dxa"/>
            <w:shd w:val="clear" w:color="auto" w:fill="auto"/>
            <w:vAlign w:val="center"/>
          </w:tcPr>
          <w:p w14:paraId="52AF33EE">
            <w:pPr>
              <w:spacing w:line="400" w:lineRule="exact"/>
              <w:jc w:val="center"/>
              <w:rPr>
                <w:rFonts w:hint="eastAsia" w:ascii="宋体" w:hAnsi="宋体" w:eastAsia="宋体" w:cs="Times New Roman"/>
                <w:bCs/>
                <w:kern w:val="2"/>
                <w:sz w:val="21"/>
                <w:szCs w:val="21"/>
                <w:lang w:val="en-US" w:eastAsia="zh-CN" w:bidi="ar-SA"/>
              </w:rPr>
            </w:pPr>
            <w:r>
              <w:rPr>
                <w:rFonts w:ascii="宋体" w:hAnsi="宋体"/>
                <w:bCs/>
                <w:szCs w:val="21"/>
              </w:rPr>
              <w:t>……</w:t>
            </w:r>
          </w:p>
        </w:tc>
      </w:tr>
    </w:tbl>
    <w:p w14:paraId="20B4C246">
      <w:pPr>
        <w:tabs>
          <w:tab w:val="left" w:pos="567"/>
        </w:tabs>
        <w:spacing w:before="240" w:after="240"/>
        <w:rPr>
          <w:rFonts w:hint="eastAsia" w:ascii="宋体" w:hAnsi="宋体" w:eastAsia="宋体" w:cs="宋体"/>
          <w:szCs w:val="24"/>
          <w:lang w:eastAsia="zh-CN"/>
        </w:rPr>
        <w:sectPr>
          <w:headerReference r:id="rId8" w:type="default"/>
          <w:footnotePr>
            <w:numFmt w:val="decimalEnclosedCircleChinese"/>
            <w:numRestart w:val="eachPage"/>
          </w:footnotePr>
          <w:type w:val="continuous"/>
          <w:pgSz w:w="11900" w:h="16840"/>
          <w:pgMar w:top="1418" w:right="1418" w:bottom="1418" w:left="1701" w:header="885" w:footer="839" w:gutter="0"/>
          <w:cols w:space="720" w:num="1"/>
          <w:docGrid w:linePitch="312" w:charSpace="0"/>
        </w:sectPr>
      </w:pPr>
      <w:r>
        <w:rPr>
          <w:rFonts w:hint="eastAsia" w:ascii="宋体" w:hAnsi="宋体" w:cs="宋体"/>
        </w:rPr>
        <w:t>注：本表仅适用于特别复杂的特大桥梁和特长隧道项目主体工程以及其他有特殊要求的工程。对各专业分项负责人的最低要求，由招标人在满足国家相关法律法规前提下，根据招标项目具体特点和实际情况确定，但不得设置过高的资格条件</w:t>
      </w:r>
      <w:r>
        <w:rPr>
          <w:rFonts w:hint="eastAsia" w:ascii="宋体" w:hAnsi="宋体" w:cs="宋体"/>
          <w:lang w:eastAsia="zh-CN"/>
        </w:rPr>
        <w:t>。</w:t>
      </w:r>
    </w:p>
    <w:p w14:paraId="0B6D6C6C">
      <w:pPr>
        <w:pStyle w:val="299"/>
        <w:jc w:val="both"/>
        <w:rPr>
          <w:rFonts w:hint="eastAsia" w:ascii="黑体" w:hAnsi="黑体" w:eastAsia="黑体"/>
          <w:b/>
          <w:sz w:val="24"/>
        </w:rPr>
      </w:pPr>
    </w:p>
    <w:p w14:paraId="6CDF003A">
      <w:pPr>
        <w:pStyle w:val="299"/>
        <w:jc w:val="center"/>
        <w:rPr>
          <w:rFonts w:ascii="黑体" w:hAnsi="黑体" w:eastAsia="黑体"/>
          <w:bCs/>
          <w:sz w:val="24"/>
        </w:rPr>
      </w:pPr>
      <w:r>
        <w:rPr>
          <w:rFonts w:hint="eastAsia" w:ascii="黑体" w:hAnsi="黑体" w:eastAsia="黑体"/>
          <w:b/>
          <w:sz w:val="24"/>
        </w:rPr>
        <w:t>□</w:t>
      </w:r>
      <w:r>
        <w:rPr>
          <w:rFonts w:ascii="黑体" w:hAnsi="黑体" w:eastAsia="黑体"/>
          <w:bCs/>
          <w:sz w:val="24"/>
        </w:rPr>
        <w:t xml:space="preserve"> </w:t>
      </w:r>
      <w:r>
        <w:rPr>
          <w:rFonts w:hint="eastAsia" w:ascii="黑体" w:hAnsi="黑体" w:eastAsia="黑体"/>
          <w:bCs/>
          <w:sz w:val="24"/>
        </w:rPr>
        <w:t>其他勘察设计管理和技术人员</w:t>
      </w:r>
    </w:p>
    <w:p w14:paraId="1C9F899F">
      <w:pPr>
        <w:pStyle w:val="299"/>
        <w:jc w:val="center"/>
        <w:rPr>
          <w:rFonts w:ascii="黑体" w:hAnsi="黑体" w:eastAsia="黑体"/>
          <w:bCs/>
          <w:sz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659"/>
        <w:gridCol w:w="1371"/>
        <w:gridCol w:w="4675"/>
      </w:tblGrid>
      <w:tr w14:paraId="7D25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5F8C5913">
            <w:pPr>
              <w:spacing w:line="480" w:lineRule="exact"/>
              <w:jc w:val="center"/>
              <w:rPr>
                <w:rFonts w:ascii="宋体" w:hAnsi="宋体"/>
                <w:szCs w:val="21"/>
              </w:rPr>
            </w:pPr>
            <w:r>
              <w:rPr>
                <w:rFonts w:hint="eastAsia" w:ascii="宋体" w:hAnsi="宋体"/>
                <w:szCs w:val="21"/>
              </w:rPr>
              <w:t>标段</w:t>
            </w:r>
          </w:p>
        </w:tc>
        <w:tc>
          <w:tcPr>
            <w:tcW w:w="1659" w:type="dxa"/>
            <w:vAlign w:val="center"/>
          </w:tcPr>
          <w:p w14:paraId="619880C0">
            <w:pPr>
              <w:spacing w:line="480" w:lineRule="exact"/>
              <w:jc w:val="center"/>
              <w:rPr>
                <w:rFonts w:ascii="宋体" w:hAnsi="宋体"/>
                <w:szCs w:val="21"/>
              </w:rPr>
            </w:pPr>
            <w:r>
              <w:rPr>
                <w:rFonts w:hint="eastAsia" w:ascii="宋体" w:hAnsi="宋体"/>
                <w:szCs w:val="21"/>
              </w:rPr>
              <w:t>人员</w:t>
            </w:r>
          </w:p>
        </w:tc>
        <w:tc>
          <w:tcPr>
            <w:tcW w:w="1371" w:type="dxa"/>
            <w:vAlign w:val="center"/>
          </w:tcPr>
          <w:p w14:paraId="694D781B">
            <w:pPr>
              <w:spacing w:line="480" w:lineRule="exact"/>
              <w:jc w:val="center"/>
              <w:rPr>
                <w:rFonts w:ascii="宋体" w:hAnsi="宋体"/>
                <w:szCs w:val="21"/>
              </w:rPr>
            </w:pPr>
            <w:r>
              <w:rPr>
                <w:rFonts w:hint="eastAsia" w:ascii="宋体" w:hAnsi="宋体"/>
                <w:szCs w:val="21"/>
              </w:rPr>
              <w:t>数量</w:t>
            </w:r>
          </w:p>
        </w:tc>
        <w:tc>
          <w:tcPr>
            <w:tcW w:w="4675" w:type="dxa"/>
            <w:vAlign w:val="center"/>
          </w:tcPr>
          <w:p w14:paraId="061970B6">
            <w:pPr>
              <w:spacing w:line="480" w:lineRule="exact"/>
              <w:jc w:val="center"/>
              <w:rPr>
                <w:rFonts w:ascii="宋体" w:hAnsi="宋体"/>
                <w:szCs w:val="21"/>
              </w:rPr>
            </w:pPr>
            <w:r>
              <w:rPr>
                <w:rFonts w:hint="eastAsia" w:ascii="宋体" w:hAnsi="宋体"/>
                <w:szCs w:val="21"/>
              </w:rPr>
              <w:t>资格要求</w:t>
            </w:r>
          </w:p>
        </w:tc>
      </w:tr>
      <w:tr w14:paraId="38AC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2D39CF11">
            <w:pPr>
              <w:spacing w:line="480" w:lineRule="exact"/>
              <w:jc w:val="center"/>
              <w:rPr>
                <w:rFonts w:ascii="宋体" w:hAnsi="宋体"/>
                <w:szCs w:val="21"/>
              </w:rPr>
            </w:pPr>
          </w:p>
        </w:tc>
        <w:tc>
          <w:tcPr>
            <w:tcW w:w="1659" w:type="dxa"/>
            <w:vAlign w:val="center"/>
          </w:tcPr>
          <w:p w14:paraId="0A11127A">
            <w:pPr>
              <w:spacing w:line="480" w:lineRule="exact"/>
              <w:jc w:val="center"/>
              <w:rPr>
                <w:rFonts w:ascii="宋体" w:hAnsi="宋体"/>
                <w:szCs w:val="21"/>
              </w:rPr>
            </w:pPr>
          </w:p>
        </w:tc>
        <w:tc>
          <w:tcPr>
            <w:tcW w:w="1371" w:type="dxa"/>
            <w:vAlign w:val="center"/>
          </w:tcPr>
          <w:p w14:paraId="0B480D36">
            <w:pPr>
              <w:spacing w:line="480" w:lineRule="exact"/>
              <w:jc w:val="center"/>
              <w:rPr>
                <w:rFonts w:ascii="宋体" w:hAnsi="宋体"/>
                <w:szCs w:val="21"/>
              </w:rPr>
            </w:pPr>
          </w:p>
        </w:tc>
        <w:tc>
          <w:tcPr>
            <w:tcW w:w="4675" w:type="dxa"/>
            <w:vAlign w:val="center"/>
          </w:tcPr>
          <w:p w14:paraId="0B2B8E55">
            <w:pPr>
              <w:spacing w:line="480" w:lineRule="exact"/>
              <w:jc w:val="center"/>
              <w:rPr>
                <w:rFonts w:ascii="宋体" w:hAnsi="宋体"/>
                <w:szCs w:val="21"/>
              </w:rPr>
            </w:pPr>
          </w:p>
        </w:tc>
      </w:tr>
      <w:tr w14:paraId="025B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6FF4813B">
            <w:pPr>
              <w:spacing w:line="480" w:lineRule="exact"/>
              <w:jc w:val="center"/>
              <w:rPr>
                <w:rFonts w:ascii="宋体" w:hAnsi="宋体"/>
                <w:szCs w:val="21"/>
              </w:rPr>
            </w:pPr>
          </w:p>
        </w:tc>
        <w:tc>
          <w:tcPr>
            <w:tcW w:w="1659" w:type="dxa"/>
            <w:vAlign w:val="center"/>
          </w:tcPr>
          <w:p w14:paraId="26C96465">
            <w:pPr>
              <w:spacing w:line="480" w:lineRule="exact"/>
              <w:jc w:val="center"/>
              <w:rPr>
                <w:rFonts w:ascii="宋体" w:hAnsi="宋体"/>
                <w:szCs w:val="21"/>
              </w:rPr>
            </w:pPr>
          </w:p>
        </w:tc>
        <w:tc>
          <w:tcPr>
            <w:tcW w:w="1371" w:type="dxa"/>
            <w:vAlign w:val="center"/>
          </w:tcPr>
          <w:p w14:paraId="15F58B92">
            <w:pPr>
              <w:spacing w:line="480" w:lineRule="exact"/>
              <w:jc w:val="center"/>
              <w:rPr>
                <w:rFonts w:ascii="宋体" w:hAnsi="宋体"/>
                <w:szCs w:val="21"/>
              </w:rPr>
            </w:pPr>
          </w:p>
        </w:tc>
        <w:tc>
          <w:tcPr>
            <w:tcW w:w="4675" w:type="dxa"/>
            <w:vAlign w:val="center"/>
          </w:tcPr>
          <w:p w14:paraId="01C24279">
            <w:pPr>
              <w:spacing w:line="480" w:lineRule="exact"/>
              <w:jc w:val="center"/>
              <w:rPr>
                <w:rFonts w:ascii="宋体" w:hAnsi="宋体"/>
                <w:szCs w:val="21"/>
              </w:rPr>
            </w:pPr>
          </w:p>
        </w:tc>
      </w:tr>
      <w:tr w14:paraId="5B96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10C1DFCD">
            <w:pPr>
              <w:spacing w:line="480" w:lineRule="exact"/>
              <w:jc w:val="center"/>
              <w:rPr>
                <w:rFonts w:ascii="宋体" w:hAnsi="宋体"/>
                <w:szCs w:val="21"/>
              </w:rPr>
            </w:pPr>
          </w:p>
        </w:tc>
        <w:tc>
          <w:tcPr>
            <w:tcW w:w="1659" w:type="dxa"/>
            <w:vAlign w:val="center"/>
          </w:tcPr>
          <w:p w14:paraId="0F0B3603">
            <w:pPr>
              <w:spacing w:line="480" w:lineRule="exact"/>
              <w:jc w:val="center"/>
              <w:rPr>
                <w:rFonts w:ascii="宋体" w:hAnsi="宋体"/>
                <w:szCs w:val="21"/>
              </w:rPr>
            </w:pPr>
          </w:p>
        </w:tc>
        <w:tc>
          <w:tcPr>
            <w:tcW w:w="1371" w:type="dxa"/>
            <w:vAlign w:val="center"/>
          </w:tcPr>
          <w:p w14:paraId="3258677F">
            <w:pPr>
              <w:spacing w:line="480" w:lineRule="exact"/>
              <w:jc w:val="center"/>
              <w:rPr>
                <w:rFonts w:ascii="宋体" w:hAnsi="宋体"/>
                <w:szCs w:val="21"/>
              </w:rPr>
            </w:pPr>
          </w:p>
        </w:tc>
        <w:tc>
          <w:tcPr>
            <w:tcW w:w="4675" w:type="dxa"/>
            <w:vAlign w:val="center"/>
          </w:tcPr>
          <w:p w14:paraId="1C2E3CA3">
            <w:pPr>
              <w:spacing w:line="480" w:lineRule="exact"/>
              <w:jc w:val="center"/>
              <w:rPr>
                <w:rFonts w:ascii="宋体" w:hAnsi="宋体"/>
                <w:szCs w:val="21"/>
              </w:rPr>
            </w:pPr>
          </w:p>
        </w:tc>
      </w:tr>
      <w:tr w14:paraId="3B63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3325377F">
            <w:pPr>
              <w:spacing w:line="480" w:lineRule="exact"/>
              <w:jc w:val="center"/>
              <w:rPr>
                <w:rFonts w:ascii="宋体" w:hAnsi="宋体"/>
                <w:szCs w:val="21"/>
              </w:rPr>
            </w:pPr>
          </w:p>
        </w:tc>
        <w:tc>
          <w:tcPr>
            <w:tcW w:w="1659" w:type="dxa"/>
            <w:vAlign w:val="center"/>
          </w:tcPr>
          <w:p w14:paraId="59EFA098">
            <w:pPr>
              <w:spacing w:line="480" w:lineRule="exact"/>
              <w:jc w:val="center"/>
              <w:rPr>
                <w:rFonts w:ascii="宋体" w:hAnsi="宋体"/>
                <w:szCs w:val="21"/>
              </w:rPr>
            </w:pPr>
          </w:p>
        </w:tc>
        <w:tc>
          <w:tcPr>
            <w:tcW w:w="1371" w:type="dxa"/>
            <w:vAlign w:val="center"/>
          </w:tcPr>
          <w:p w14:paraId="6C04D62D">
            <w:pPr>
              <w:spacing w:line="480" w:lineRule="exact"/>
              <w:jc w:val="center"/>
              <w:rPr>
                <w:rFonts w:ascii="宋体" w:hAnsi="宋体"/>
                <w:szCs w:val="21"/>
              </w:rPr>
            </w:pPr>
          </w:p>
        </w:tc>
        <w:tc>
          <w:tcPr>
            <w:tcW w:w="4675" w:type="dxa"/>
            <w:vAlign w:val="center"/>
          </w:tcPr>
          <w:p w14:paraId="645E6789">
            <w:pPr>
              <w:spacing w:line="480" w:lineRule="exact"/>
              <w:jc w:val="center"/>
              <w:rPr>
                <w:rFonts w:ascii="宋体" w:hAnsi="宋体"/>
                <w:szCs w:val="21"/>
              </w:rPr>
            </w:pPr>
          </w:p>
        </w:tc>
      </w:tr>
      <w:tr w14:paraId="662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1076" w:type="dxa"/>
            <w:vAlign w:val="center"/>
          </w:tcPr>
          <w:p w14:paraId="4C4D1080">
            <w:pPr>
              <w:spacing w:line="480" w:lineRule="exact"/>
              <w:jc w:val="center"/>
              <w:rPr>
                <w:rFonts w:ascii="宋体" w:hAnsi="宋体"/>
                <w:szCs w:val="21"/>
              </w:rPr>
            </w:pPr>
          </w:p>
        </w:tc>
        <w:tc>
          <w:tcPr>
            <w:tcW w:w="1659" w:type="dxa"/>
            <w:vAlign w:val="center"/>
          </w:tcPr>
          <w:p w14:paraId="7823D729">
            <w:pPr>
              <w:spacing w:line="480" w:lineRule="exact"/>
              <w:jc w:val="center"/>
              <w:rPr>
                <w:rFonts w:ascii="宋体" w:hAnsi="宋体"/>
                <w:szCs w:val="21"/>
              </w:rPr>
            </w:pPr>
          </w:p>
        </w:tc>
        <w:tc>
          <w:tcPr>
            <w:tcW w:w="1371" w:type="dxa"/>
            <w:vAlign w:val="center"/>
          </w:tcPr>
          <w:p w14:paraId="7D234A27">
            <w:pPr>
              <w:spacing w:line="480" w:lineRule="exact"/>
              <w:jc w:val="center"/>
              <w:rPr>
                <w:rFonts w:ascii="宋体" w:hAnsi="宋体"/>
                <w:szCs w:val="21"/>
              </w:rPr>
            </w:pPr>
          </w:p>
        </w:tc>
        <w:tc>
          <w:tcPr>
            <w:tcW w:w="4675" w:type="dxa"/>
            <w:vAlign w:val="center"/>
          </w:tcPr>
          <w:p w14:paraId="3971A5C5">
            <w:pPr>
              <w:spacing w:line="480" w:lineRule="exact"/>
              <w:jc w:val="center"/>
              <w:rPr>
                <w:rFonts w:ascii="宋体" w:hAnsi="宋体"/>
                <w:szCs w:val="21"/>
              </w:rPr>
            </w:pPr>
          </w:p>
        </w:tc>
      </w:tr>
      <w:tr w14:paraId="13BB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291D53A0">
            <w:pPr>
              <w:spacing w:line="480" w:lineRule="exact"/>
              <w:jc w:val="center"/>
              <w:rPr>
                <w:rFonts w:ascii="宋体" w:hAnsi="宋体"/>
                <w:szCs w:val="21"/>
              </w:rPr>
            </w:pPr>
          </w:p>
        </w:tc>
        <w:tc>
          <w:tcPr>
            <w:tcW w:w="1659" w:type="dxa"/>
            <w:vAlign w:val="center"/>
          </w:tcPr>
          <w:p w14:paraId="549E7281">
            <w:pPr>
              <w:spacing w:line="480" w:lineRule="exact"/>
              <w:jc w:val="center"/>
              <w:rPr>
                <w:rFonts w:ascii="宋体" w:hAnsi="宋体"/>
                <w:szCs w:val="21"/>
              </w:rPr>
            </w:pPr>
          </w:p>
        </w:tc>
        <w:tc>
          <w:tcPr>
            <w:tcW w:w="1371" w:type="dxa"/>
            <w:vAlign w:val="center"/>
          </w:tcPr>
          <w:p w14:paraId="0B656BF9">
            <w:pPr>
              <w:spacing w:line="480" w:lineRule="exact"/>
              <w:jc w:val="center"/>
              <w:rPr>
                <w:rFonts w:ascii="宋体" w:hAnsi="宋体"/>
                <w:szCs w:val="21"/>
              </w:rPr>
            </w:pPr>
          </w:p>
        </w:tc>
        <w:tc>
          <w:tcPr>
            <w:tcW w:w="4675" w:type="dxa"/>
            <w:vAlign w:val="center"/>
          </w:tcPr>
          <w:p w14:paraId="3935229A">
            <w:pPr>
              <w:spacing w:line="480" w:lineRule="exact"/>
              <w:jc w:val="center"/>
              <w:rPr>
                <w:rFonts w:ascii="宋体" w:hAnsi="宋体"/>
                <w:szCs w:val="21"/>
              </w:rPr>
            </w:pPr>
          </w:p>
        </w:tc>
      </w:tr>
      <w:tr w14:paraId="7961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0A5AF8DD">
            <w:pPr>
              <w:spacing w:line="480" w:lineRule="exact"/>
              <w:jc w:val="center"/>
              <w:rPr>
                <w:rFonts w:ascii="宋体" w:hAnsi="宋体"/>
                <w:szCs w:val="21"/>
              </w:rPr>
            </w:pPr>
          </w:p>
        </w:tc>
        <w:tc>
          <w:tcPr>
            <w:tcW w:w="1659" w:type="dxa"/>
            <w:vAlign w:val="center"/>
          </w:tcPr>
          <w:p w14:paraId="7F507FF6">
            <w:pPr>
              <w:spacing w:line="480" w:lineRule="exact"/>
              <w:jc w:val="center"/>
              <w:rPr>
                <w:rFonts w:ascii="宋体" w:hAnsi="宋体"/>
                <w:szCs w:val="21"/>
              </w:rPr>
            </w:pPr>
          </w:p>
        </w:tc>
        <w:tc>
          <w:tcPr>
            <w:tcW w:w="1371" w:type="dxa"/>
            <w:vAlign w:val="center"/>
          </w:tcPr>
          <w:p w14:paraId="56BC3AF7">
            <w:pPr>
              <w:spacing w:line="480" w:lineRule="exact"/>
              <w:jc w:val="center"/>
              <w:rPr>
                <w:rFonts w:ascii="宋体" w:hAnsi="宋体"/>
                <w:szCs w:val="21"/>
              </w:rPr>
            </w:pPr>
          </w:p>
        </w:tc>
        <w:tc>
          <w:tcPr>
            <w:tcW w:w="4675" w:type="dxa"/>
            <w:vAlign w:val="center"/>
          </w:tcPr>
          <w:p w14:paraId="44CA4378">
            <w:pPr>
              <w:spacing w:line="480" w:lineRule="exact"/>
              <w:jc w:val="center"/>
              <w:rPr>
                <w:rFonts w:ascii="宋体" w:hAnsi="宋体"/>
                <w:szCs w:val="21"/>
              </w:rPr>
            </w:pPr>
          </w:p>
        </w:tc>
      </w:tr>
      <w:tr w14:paraId="7F21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6C4888D3">
            <w:pPr>
              <w:spacing w:line="480" w:lineRule="exact"/>
              <w:jc w:val="center"/>
              <w:rPr>
                <w:rFonts w:ascii="宋体" w:hAnsi="宋体"/>
                <w:szCs w:val="21"/>
              </w:rPr>
            </w:pPr>
          </w:p>
        </w:tc>
        <w:tc>
          <w:tcPr>
            <w:tcW w:w="1659" w:type="dxa"/>
            <w:vAlign w:val="center"/>
          </w:tcPr>
          <w:p w14:paraId="4AD5AEF1">
            <w:pPr>
              <w:spacing w:line="480" w:lineRule="exact"/>
              <w:jc w:val="center"/>
              <w:rPr>
                <w:rFonts w:ascii="宋体" w:hAnsi="宋体"/>
                <w:szCs w:val="21"/>
              </w:rPr>
            </w:pPr>
          </w:p>
        </w:tc>
        <w:tc>
          <w:tcPr>
            <w:tcW w:w="1371" w:type="dxa"/>
            <w:vAlign w:val="center"/>
          </w:tcPr>
          <w:p w14:paraId="0BAB1B2F">
            <w:pPr>
              <w:spacing w:line="480" w:lineRule="exact"/>
              <w:jc w:val="center"/>
              <w:rPr>
                <w:rFonts w:ascii="宋体" w:hAnsi="宋体"/>
                <w:szCs w:val="21"/>
              </w:rPr>
            </w:pPr>
          </w:p>
        </w:tc>
        <w:tc>
          <w:tcPr>
            <w:tcW w:w="4675" w:type="dxa"/>
            <w:vAlign w:val="center"/>
          </w:tcPr>
          <w:p w14:paraId="4C22C60A">
            <w:pPr>
              <w:spacing w:line="480" w:lineRule="exact"/>
              <w:jc w:val="center"/>
              <w:rPr>
                <w:rFonts w:ascii="宋体" w:hAnsi="宋体"/>
                <w:szCs w:val="21"/>
              </w:rPr>
            </w:pPr>
          </w:p>
        </w:tc>
      </w:tr>
    </w:tbl>
    <w:p w14:paraId="128C23C6">
      <w:pPr>
        <w:spacing w:line="360" w:lineRule="auto"/>
        <w:jc w:val="center"/>
        <w:rPr>
          <w:rFonts w:ascii="宋体" w:hAnsi="宋体"/>
          <w:sz w:val="24"/>
        </w:rPr>
      </w:pPr>
    </w:p>
    <w:p w14:paraId="32DE5B02">
      <w:pPr>
        <w:spacing w:line="480" w:lineRule="exact"/>
        <w:rPr>
          <w:rFonts w:ascii="宋体" w:hAnsi="宋体"/>
          <w:sz w:val="24"/>
        </w:rPr>
      </w:pPr>
      <w:r>
        <w:rPr>
          <w:rFonts w:ascii="宋体" w:hAnsi="宋体"/>
          <w:sz w:val="24"/>
        </w:rPr>
        <w:br w:type="page"/>
      </w:r>
    </w:p>
    <w:p w14:paraId="16CE9511">
      <w:pPr>
        <w:pStyle w:val="299"/>
        <w:jc w:val="center"/>
        <w:rPr>
          <w:rFonts w:ascii="黑体" w:hAnsi="黑体" w:eastAsia="黑体"/>
          <w:bCs/>
          <w:sz w:val="24"/>
        </w:rPr>
      </w:pPr>
      <w:r>
        <w:rPr>
          <w:rFonts w:hint="eastAsia" w:ascii="黑体" w:hAnsi="黑体" w:eastAsia="黑体"/>
          <w:b/>
          <w:sz w:val="24"/>
        </w:rPr>
        <w:t>□</w:t>
      </w:r>
      <w:r>
        <w:rPr>
          <w:rFonts w:ascii="黑体" w:hAnsi="黑体" w:eastAsia="黑体"/>
          <w:bCs/>
          <w:sz w:val="24"/>
        </w:rPr>
        <w:t xml:space="preserve"> </w:t>
      </w:r>
      <w:r>
        <w:rPr>
          <w:rFonts w:hint="eastAsia" w:ascii="黑体" w:hAnsi="黑体" w:eastAsia="黑体"/>
          <w:bCs/>
          <w:sz w:val="24"/>
        </w:rPr>
        <w:t>其他施工管理和技术人员</w:t>
      </w:r>
    </w:p>
    <w:p w14:paraId="6F3A0F58">
      <w:pPr>
        <w:pStyle w:val="299"/>
        <w:jc w:val="center"/>
        <w:rPr>
          <w:rFonts w:ascii="黑体" w:hAnsi="黑体" w:eastAsia="黑体"/>
          <w:bCs/>
          <w:sz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659"/>
        <w:gridCol w:w="1371"/>
        <w:gridCol w:w="4675"/>
      </w:tblGrid>
      <w:tr w14:paraId="1213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1746E186">
            <w:pPr>
              <w:spacing w:line="480" w:lineRule="exact"/>
              <w:jc w:val="center"/>
              <w:rPr>
                <w:rFonts w:ascii="宋体" w:hAnsi="宋体"/>
                <w:szCs w:val="21"/>
              </w:rPr>
            </w:pPr>
            <w:r>
              <w:rPr>
                <w:rFonts w:hint="eastAsia" w:ascii="宋体" w:hAnsi="宋体"/>
                <w:szCs w:val="21"/>
              </w:rPr>
              <w:t>标段</w:t>
            </w:r>
          </w:p>
        </w:tc>
        <w:tc>
          <w:tcPr>
            <w:tcW w:w="1659" w:type="dxa"/>
            <w:vAlign w:val="center"/>
          </w:tcPr>
          <w:p w14:paraId="2CE970EF">
            <w:pPr>
              <w:spacing w:line="480" w:lineRule="exact"/>
              <w:jc w:val="center"/>
              <w:rPr>
                <w:rFonts w:ascii="宋体" w:hAnsi="宋体"/>
                <w:szCs w:val="21"/>
              </w:rPr>
            </w:pPr>
            <w:r>
              <w:rPr>
                <w:rFonts w:hint="eastAsia" w:ascii="宋体" w:hAnsi="宋体"/>
                <w:szCs w:val="21"/>
              </w:rPr>
              <w:t>人员</w:t>
            </w:r>
          </w:p>
        </w:tc>
        <w:tc>
          <w:tcPr>
            <w:tcW w:w="1371" w:type="dxa"/>
            <w:vAlign w:val="center"/>
          </w:tcPr>
          <w:p w14:paraId="7B1B7A2D">
            <w:pPr>
              <w:spacing w:line="480" w:lineRule="exact"/>
              <w:jc w:val="center"/>
              <w:rPr>
                <w:rFonts w:ascii="宋体" w:hAnsi="宋体"/>
                <w:szCs w:val="21"/>
              </w:rPr>
            </w:pPr>
            <w:r>
              <w:rPr>
                <w:rFonts w:hint="eastAsia" w:ascii="宋体" w:hAnsi="宋体"/>
                <w:szCs w:val="21"/>
              </w:rPr>
              <w:t>数量</w:t>
            </w:r>
          </w:p>
        </w:tc>
        <w:tc>
          <w:tcPr>
            <w:tcW w:w="4675" w:type="dxa"/>
            <w:vAlign w:val="center"/>
          </w:tcPr>
          <w:p w14:paraId="2045F8CC">
            <w:pPr>
              <w:spacing w:line="480" w:lineRule="exact"/>
              <w:jc w:val="center"/>
              <w:rPr>
                <w:rFonts w:ascii="宋体" w:hAnsi="宋体"/>
                <w:szCs w:val="21"/>
              </w:rPr>
            </w:pPr>
            <w:r>
              <w:rPr>
                <w:rFonts w:hint="eastAsia" w:ascii="宋体" w:hAnsi="宋体"/>
                <w:szCs w:val="21"/>
              </w:rPr>
              <w:t>资格要求</w:t>
            </w:r>
          </w:p>
        </w:tc>
      </w:tr>
      <w:tr w14:paraId="674E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062F0D21">
            <w:pPr>
              <w:spacing w:line="480" w:lineRule="exact"/>
              <w:jc w:val="center"/>
              <w:rPr>
                <w:rFonts w:ascii="宋体" w:hAnsi="宋体"/>
                <w:szCs w:val="21"/>
              </w:rPr>
            </w:pPr>
          </w:p>
        </w:tc>
        <w:tc>
          <w:tcPr>
            <w:tcW w:w="1659" w:type="dxa"/>
            <w:vAlign w:val="center"/>
          </w:tcPr>
          <w:p w14:paraId="25BFC791">
            <w:pPr>
              <w:spacing w:line="480" w:lineRule="exact"/>
              <w:jc w:val="center"/>
              <w:rPr>
                <w:rFonts w:ascii="宋体" w:hAnsi="宋体"/>
                <w:szCs w:val="21"/>
              </w:rPr>
            </w:pPr>
          </w:p>
        </w:tc>
        <w:tc>
          <w:tcPr>
            <w:tcW w:w="1371" w:type="dxa"/>
            <w:vAlign w:val="center"/>
          </w:tcPr>
          <w:p w14:paraId="6B4B9556">
            <w:pPr>
              <w:spacing w:line="480" w:lineRule="exact"/>
              <w:jc w:val="center"/>
              <w:rPr>
                <w:rFonts w:ascii="宋体" w:hAnsi="宋体"/>
                <w:szCs w:val="21"/>
              </w:rPr>
            </w:pPr>
          </w:p>
        </w:tc>
        <w:tc>
          <w:tcPr>
            <w:tcW w:w="4675" w:type="dxa"/>
            <w:vAlign w:val="center"/>
          </w:tcPr>
          <w:p w14:paraId="39620EF6">
            <w:pPr>
              <w:spacing w:line="480" w:lineRule="exact"/>
              <w:jc w:val="center"/>
              <w:rPr>
                <w:rFonts w:ascii="宋体" w:hAnsi="宋体"/>
                <w:szCs w:val="21"/>
              </w:rPr>
            </w:pPr>
          </w:p>
        </w:tc>
      </w:tr>
      <w:tr w14:paraId="755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076" w:type="dxa"/>
            <w:vAlign w:val="center"/>
          </w:tcPr>
          <w:p w14:paraId="607D79B1">
            <w:pPr>
              <w:spacing w:line="480" w:lineRule="exact"/>
              <w:jc w:val="center"/>
              <w:rPr>
                <w:rFonts w:ascii="宋体" w:hAnsi="宋体"/>
                <w:szCs w:val="21"/>
              </w:rPr>
            </w:pPr>
          </w:p>
        </w:tc>
        <w:tc>
          <w:tcPr>
            <w:tcW w:w="1659" w:type="dxa"/>
            <w:vAlign w:val="center"/>
          </w:tcPr>
          <w:p w14:paraId="79965AD7">
            <w:pPr>
              <w:spacing w:line="480" w:lineRule="exact"/>
              <w:jc w:val="center"/>
              <w:rPr>
                <w:rFonts w:ascii="宋体" w:hAnsi="宋体"/>
                <w:szCs w:val="21"/>
              </w:rPr>
            </w:pPr>
          </w:p>
        </w:tc>
        <w:tc>
          <w:tcPr>
            <w:tcW w:w="1371" w:type="dxa"/>
            <w:vAlign w:val="center"/>
          </w:tcPr>
          <w:p w14:paraId="5E97FBB9">
            <w:pPr>
              <w:spacing w:line="480" w:lineRule="exact"/>
              <w:jc w:val="center"/>
              <w:rPr>
                <w:rFonts w:ascii="宋体" w:hAnsi="宋体"/>
                <w:szCs w:val="21"/>
              </w:rPr>
            </w:pPr>
          </w:p>
        </w:tc>
        <w:tc>
          <w:tcPr>
            <w:tcW w:w="4675" w:type="dxa"/>
            <w:vAlign w:val="center"/>
          </w:tcPr>
          <w:p w14:paraId="3A233B83">
            <w:pPr>
              <w:spacing w:line="480" w:lineRule="exact"/>
              <w:jc w:val="center"/>
              <w:rPr>
                <w:rFonts w:ascii="宋体" w:hAnsi="宋体"/>
                <w:szCs w:val="21"/>
              </w:rPr>
            </w:pPr>
          </w:p>
        </w:tc>
      </w:tr>
      <w:tr w14:paraId="54C3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6E80EDB2">
            <w:pPr>
              <w:spacing w:line="480" w:lineRule="exact"/>
              <w:jc w:val="center"/>
              <w:rPr>
                <w:rFonts w:ascii="宋体" w:hAnsi="宋体"/>
                <w:szCs w:val="21"/>
              </w:rPr>
            </w:pPr>
          </w:p>
        </w:tc>
        <w:tc>
          <w:tcPr>
            <w:tcW w:w="1659" w:type="dxa"/>
            <w:vAlign w:val="center"/>
          </w:tcPr>
          <w:p w14:paraId="71BFA1F5">
            <w:pPr>
              <w:spacing w:line="480" w:lineRule="exact"/>
              <w:jc w:val="center"/>
              <w:rPr>
                <w:rFonts w:ascii="宋体" w:hAnsi="宋体"/>
                <w:szCs w:val="21"/>
              </w:rPr>
            </w:pPr>
          </w:p>
        </w:tc>
        <w:tc>
          <w:tcPr>
            <w:tcW w:w="1371" w:type="dxa"/>
            <w:vAlign w:val="center"/>
          </w:tcPr>
          <w:p w14:paraId="72AFAB3A">
            <w:pPr>
              <w:spacing w:line="480" w:lineRule="exact"/>
              <w:jc w:val="center"/>
              <w:rPr>
                <w:rFonts w:ascii="宋体" w:hAnsi="宋体"/>
                <w:szCs w:val="21"/>
              </w:rPr>
            </w:pPr>
          </w:p>
        </w:tc>
        <w:tc>
          <w:tcPr>
            <w:tcW w:w="4675" w:type="dxa"/>
            <w:vAlign w:val="center"/>
          </w:tcPr>
          <w:p w14:paraId="366D63A0">
            <w:pPr>
              <w:spacing w:line="480" w:lineRule="exact"/>
              <w:jc w:val="center"/>
              <w:rPr>
                <w:rFonts w:ascii="宋体" w:hAnsi="宋体"/>
                <w:szCs w:val="21"/>
              </w:rPr>
            </w:pPr>
          </w:p>
        </w:tc>
      </w:tr>
      <w:tr w14:paraId="22CD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4E6833E7">
            <w:pPr>
              <w:spacing w:line="480" w:lineRule="exact"/>
              <w:jc w:val="center"/>
              <w:rPr>
                <w:rFonts w:ascii="宋体" w:hAnsi="宋体"/>
                <w:szCs w:val="21"/>
              </w:rPr>
            </w:pPr>
          </w:p>
        </w:tc>
        <w:tc>
          <w:tcPr>
            <w:tcW w:w="1659" w:type="dxa"/>
            <w:vAlign w:val="center"/>
          </w:tcPr>
          <w:p w14:paraId="39559EEA">
            <w:pPr>
              <w:spacing w:line="480" w:lineRule="exact"/>
              <w:jc w:val="center"/>
              <w:rPr>
                <w:rFonts w:ascii="宋体" w:hAnsi="宋体"/>
                <w:szCs w:val="21"/>
              </w:rPr>
            </w:pPr>
          </w:p>
        </w:tc>
        <w:tc>
          <w:tcPr>
            <w:tcW w:w="1371" w:type="dxa"/>
            <w:vAlign w:val="center"/>
          </w:tcPr>
          <w:p w14:paraId="1F8D183C">
            <w:pPr>
              <w:spacing w:line="480" w:lineRule="exact"/>
              <w:jc w:val="center"/>
              <w:rPr>
                <w:rFonts w:ascii="宋体" w:hAnsi="宋体"/>
                <w:szCs w:val="21"/>
              </w:rPr>
            </w:pPr>
          </w:p>
        </w:tc>
        <w:tc>
          <w:tcPr>
            <w:tcW w:w="4675" w:type="dxa"/>
            <w:vAlign w:val="center"/>
          </w:tcPr>
          <w:p w14:paraId="706D0AD6">
            <w:pPr>
              <w:spacing w:line="480" w:lineRule="exact"/>
              <w:jc w:val="center"/>
              <w:rPr>
                <w:rFonts w:ascii="宋体" w:hAnsi="宋体"/>
                <w:szCs w:val="21"/>
              </w:rPr>
            </w:pPr>
          </w:p>
        </w:tc>
      </w:tr>
      <w:tr w14:paraId="7E06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6" w:type="dxa"/>
            <w:vAlign w:val="center"/>
          </w:tcPr>
          <w:p w14:paraId="02772A0B">
            <w:pPr>
              <w:spacing w:line="480" w:lineRule="exact"/>
              <w:jc w:val="center"/>
              <w:rPr>
                <w:rFonts w:ascii="宋体" w:hAnsi="宋体"/>
                <w:szCs w:val="21"/>
              </w:rPr>
            </w:pPr>
          </w:p>
        </w:tc>
        <w:tc>
          <w:tcPr>
            <w:tcW w:w="1659" w:type="dxa"/>
            <w:vAlign w:val="center"/>
          </w:tcPr>
          <w:p w14:paraId="56935444">
            <w:pPr>
              <w:spacing w:line="480" w:lineRule="exact"/>
              <w:jc w:val="center"/>
              <w:rPr>
                <w:rFonts w:ascii="宋体" w:hAnsi="宋体"/>
                <w:szCs w:val="21"/>
              </w:rPr>
            </w:pPr>
          </w:p>
        </w:tc>
        <w:tc>
          <w:tcPr>
            <w:tcW w:w="1371" w:type="dxa"/>
            <w:vAlign w:val="center"/>
          </w:tcPr>
          <w:p w14:paraId="1D02567A">
            <w:pPr>
              <w:spacing w:line="480" w:lineRule="exact"/>
              <w:jc w:val="center"/>
              <w:rPr>
                <w:rFonts w:ascii="宋体" w:hAnsi="宋体"/>
                <w:szCs w:val="21"/>
              </w:rPr>
            </w:pPr>
          </w:p>
        </w:tc>
        <w:tc>
          <w:tcPr>
            <w:tcW w:w="4675" w:type="dxa"/>
            <w:vAlign w:val="center"/>
          </w:tcPr>
          <w:p w14:paraId="682FF68E">
            <w:pPr>
              <w:spacing w:line="480" w:lineRule="exact"/>
              <w:jc w:val="center"/>
              <w:rPr>
                <w:rFonts w:ascii="宋体" w:hAnsi="宋体"/>
                <w:szCs w:val="21"/>
              </w:rPr>
            </w:pPr>
          </w:p>
        </w:tc>
      </w:tr>
      <w:tr w14:paraId="018E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634E61E7">
            <w:pPr>
              <w:spacing w:line="480" w:lineRule="exact"/>
              <w:jc w:val="center"/>
              <w:rPr>
                <w:rFonts w:ascii="宋体" w:hAnsi="宋体"/>
                <w:szCs w:val="21"/>
              </w:rPr>
            </w:pPr>
          </w:p>
        </w:tc>
        <w:tc>
          <w:tcPr>
            <w:tcW w:w="1659" w:type="dxa"/>
            <w:vAlign w:val="center"/>
          </w:tcPr>
          <w:p w14:paraId="1358A22C">
            <w:pPr>
              <w:spacing w:line="480" w:lineRule="exact"/>
              <w:jc w:val="center"/>
              <w:rPr>
                <w:rFonts w:ascii="宋体" w:hAnsi="宋体"/>
                <w:szCs w:val="21"/>
              </w:rPr>
            </w:pPr>
          </w:p>
        </w:tc>
        <w:tc>
          <w:tcPr>
            <w:tcW w:w="1371" w:type="dxa"/>
            <w:vAlign w:val="center"/>
          </w:tcPr>
          <w:p w14:paraId="752EEFE2">
            <w:pPr>
              <w:spacing w:line="480" w:lineRule="exact"/>
              <w:jc w:val="center"/>
              <w:rPr>
                <w:rFonts w:ascii="宋体" w:hAnsi="宋体"/>
                <w:szCs w:val="21"/>
              </w:rPr>
            </w:pPr>
          </w:p>
        </w:tc>
        <w:tc>
          <w:tcPr>
            <w:tcW w:w="4675" w:type="dxa"/>
            <w:vAlign w:val="center"/>
          </w:tcPr>
          <w:p w14:paraId="301B778C">
            <w:pPr>
              <w:spacing w:line="480" w:lineRule="exact"/>
              <w:jc w:val="center"/>
              <w:rPr>
                <w:rFonts w:ascii="宋体" w:hAnsi="宋体"/>
                <w:szCs w:val="21"/>
              </w:rPr>
            </w:pPr>
          </w:p>
        </w:tc>
      </w:tr>
      <w:tr w14:paraId="39AE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3AE2C813">
            <w:pPr>
              <w:spacing w:line="480" w:lineRule="exact"/>
              <w:jc w:val="center"/>
              <w:rPr>
                <w:rFonts w:ascii="宋体" w:hAnsi="宋体"/>
                <w:szCs w:val="21"/>
              </w:rPr>
            </w:pPr>
          </w:p>
        </w:tc>
        <w:tc>
          <w:tcPr>
            <w:tcW w:w="1659" w:type="dxa"/>
            <w:vAlign w:val="center"/>
          </w:tcPr>
          <w:p w14:paraId="48CA51F8">
            <w:pPr>
              <w:spacing w:line="480" w:lineRule="exact"/>
              <w:jc w:val="center"/>
              <w:rPr>
                <w:rFonts w:ascii="宋体" w:hAnsi="宋体"/>
                <w:szCs w:val="21"/>
              </w:rPr>
            </w:pPr>
          </w:p>
        </w:tc>
        <w:tc>
          <w:tcPr>
            <w:tcW w:w="1371" w:type="dxa"/>
            <w:vAlign w:val="center"/>
          </w:tcPr>
          <w:p w14:paraId="30C8FBC2">
            <w:pPr>
              <w:spacing w:line="480" w:lineRule="exact"/>
              <w:jc w:val="center"/>
              <w:rPr>
                <w:rFonts w:ascii="宋体" w:hAnsi="宋体"/>
                <w:szCs w:val="21"/>
              </w:rPr>
            </w:pPr>
          </w:p>
        </w:tc>
        <w:tc>
          <w:tcPr>
            <w:tcW w:w="4675" w:type="dxa"/>
            <w:vAlign w:val="center"/>
          </w:tcPr>
          <w:p w14:paraId="2F0B6859">
            <w:pPr>
              <w:spacing w:line="480" w:lineRule="exact"/>
              <w:jc w:val="center"/>
              <w:rPr>
                <w:rFonts w:ascii="宋体" w:hAnsi="宋体"/>
                <w:szCs w:val="21"/>
              </w:rPr>
            </w:pPr>
          </w:p>
        </w:tc>
      </w:tr>
      <w:tr w14:paraId="1E12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7BEBC9CF">
            <w:pPr>
              <w:spacing w:line="480" w:lineRule="exact"/>
              <w:jc w:val="center"/>
              <w:rPr>
                <w:rFonts w:ascii="宋体" w:hAnsi="宋体"/>
                <w:szCs w:val="21"/>
              </w:rPr>
            </w:pPr>
          </w:p>
        </w:tc>
        <w:tc>
          <w:tcPr>
            <w:tcW w:w="1659" w:type="dxa"/>
            <w:vAlign w:val="center"/>
          </w:tcPr>
          <w:p w14:paraId="4DBEC73B">
            <w:pPr>
              <w:spacing w:line="480" w:lineRule="exact"/>
              <w:jc w:val="center"/>
              <w:rPr>
                <w:rFonts w:ascii="宋体" w:hAnsi="宋体"/>
                <w:szCs w:val="21"/>
              </w:rPr>
            </w:pPr>
          </w:p>
        </w:tc>
        <w:tc>
          <w:tcPr>
            <w:tcW w:w="1371" w:type="dxa"/>
            <w:vAlign w:val="center"/>
          </w:tcPr>
          <w:p w14:paraId="541FFD9E">
            <w:pPr>
              <w:spacing w:line="480" w:lineRule="exact"/>
              <w:jc w:val="center"/>
              <w:rPr>
                <w:rFonts w:ascii="宋体" w:hAnsi="宋体"/>
                <w:szCs w:val="21"/>
              </w:rPr>
            </w:pPr>
          </w:p>
        </w:tc>
        <w:tc>
          <w:tcPr>
            <w:tcW w:w="4675" w:type="dxa"/>
            <w:vAlign w:val="center"/>
          </w:tcPr>
          <w:p w14:paraId="226F1558">
            <w:pPr>
              <w:spacing w:line="480" w:lineRule="exact"/>
              <w:jc w:val="center"/>
              <w:rPr>
                <w:rFonts w:ascii="宋体" w:hAnsi="宋体"/>
                <w:szCs w:val="21"/>
              </w:rPr>
            </w:pPr>
          </w:p>
        </w:tc>
      </w:tr>
    </w:tbl>
    <w:p w14:paraId="264ACCA7">
      <w:pPr>
        <w:spacing w:line="480" w:lineRule="exact"/>
        <w:rPr>
          <w:rFonts w:ascii="宋体" w:hAnsi="宋体"/>
          <w:sz w:val="24"/>
        </w:rPr>
      </w:pPr>
    </w:p>
    <w:p w14:paraId="2F4CFD45">
      <w:pPr>
        <w:spacing w:line="480" w:lineRule="exact"/>
        <w:rPr>
          <w:rFonts w:ascii="宋体" w:hAnsi="宋体"/>
          <w:sz w:val="24"/>
        </w:rPr>
      </w:pPr>
    </w:p>
    <w:p w14:paraId="294BD7DD">
      <w:pPr>
        <w:spacing w:line="480" w:lineRule="exact"/>
        <w:rPr>
          <w:rFonts w:ascii="宋体" w:hAnsi="宋体"/>
          <w:sz w:val="24"/>
        </w:rPr>
      </w:pPr>
    </w:p>
    <w:p w14:paraId="2ECA6DA8">
      <w:pPr>
        <w:spacing w:line="480" w:lineRule="exact"/>
        <w:rPr>
          <w:rFonts w:ascii="宋体" w:hAnsi="宋体"/>
          <w:sz w:val="24"/>
        </w:rPr>
      </w:pPr>
    </w:p>
    <w:p w14:paraId="68F5233C">
      <w:pPr>
        <w:spacing w:line="480" w:lineRule="exact"/>
        <w:rPr>
          <w:rFonts w:ascii="宋体" w:hAnsi="宋体"/>
          <w:sz w:val="24"/>
        </w:rPr>
      </w:pPr>
    </w:p>
    <w:p w14:paraId="020AAC15">
      <w:pPr>
        <w:spacing w:line="480" w:lineRule="exact"/>
        <w:rPr>
          <w:rFonts w:ascii="宋体" w:hAnsi="宋体"/>
          <w:sz w:val="24"/>
        </w:rPr>
      </w:pPr>
    </w:p>
    <w:p w14:paraId="2A9E5897">
      <w:pPr>
        <w:spacing w:line="480" w:lineRule="exact"/>
        <w:rPr>
          <w:rFonts w:ascii="宋体" w:hAnsi="宋体"/>
          <w:sz w:val="24"/>
        </w:rPr>
      </w:pPr>
    </w:p>
    <w:p w14:paraId="3F497351">
      <w:pPr>
        <w:spacing w:line="480" w:lineRule="exact"/>
        <w:rPr>
          <w:rFonts w:ascii="宋体" w:hAnsi="宋体"/>
          <w:sz w:val="24"/>
        </w:rPr>
      </w:pPr>
    </w:p>
    <w:p w14:paraId="642466FD">
      <w:pPr>
        <w:spacing w:line="480" w:lineRule="exact"/>
        <w:rPr>
          <w:rFonts w:ascii="宋体" w:hAnsi="宋体"/>
          <w:sz w:val="24"/>
        </w:rPr>
      </w:pPr>
    </w:p>
    <w:p w14:paraId="134C7130">
      <w:pPr>
        <w:spacing w:line="480" w:lineRule="exact"/>
        <w:rPr>
          <w:rFonts w:ascii="宋体" w:hAnsi="宋体"/>
          <w:sz w:val="24"/>
        </w:rPr>
      </w:pPr>
    </w:p>
    <w:p w14:paraId="540096F9">
      <w:pPr>
        <w:spacing w:line="360" w:lineRule="auto"/>
        <w:jc w:val="center"/>
        <w:rPr>
          <w:rFonts w:ascii="宋体" w:hAnsi="宋体" w:eastAsia="黑体"/>
          <w:b/>
          <w:bCs/>
          <w:kern w:val="0"/>
          <w:sz w:val="28"/>
          <w:szCs w:val="32"/>
        </w:rPr>
      </w:pPr>
      <w:r>
        <w:rPr>
          <w:rFonts w:ascii="宋体" w:hAnsi="宋体" w:eastAsia="黑体"/>
          <w:b/>
          <w:bCs/>
          <w:kern w:val="0"/>
          <w:sz w:val="28"/>
          <w:szCs w:val="32"/>
        </w:rPr>
        <w:br w:type="page"/>
      </w:r>
    </w:p>
    <w:p w14:paraId="69C8B4D9">
      <w:pPr>
        <w:pStyle w:val="3"/>
        <w:jc w:val="center"/>
        <w:rPr>
          <w:rFonts w:ascii="宋体" w:hAnsi="宋体"/>
        </w:rPr>
      </w:pPr>
      <w:r>
        <w:rPr>
          <w:rFonts w:hint="eastAsia"/>
          <w:lang w:eastAsia="zh-CN"/>
        </w:rPr>
        <w:t>□</w:t>
      </w:r>
      <w:r>
        <w:rPr>
          <w:rFonts w:hint="eastAsia" w:ascii="宋体" w:hAnsi="宋体" w:eastAsia="黑体"/>
          <w:b/>
          <w:bCs/>
          <w:kern w:val="0"/>
          <w:sz w:val="28"/>
          <w:szCs w:val="32"/>
        </w:rPr>
        <w:t>附录7  资格审查条件（</w:t>
      </w:r>
      <w:r>
        <w:rPr>
          <w:rFonts w:ascii="宋体" w:hAnsi="宋体" w:eastAsia="黑体"/>
          <w:b/>
          <w:bCs/>
          <w:kern w:val="0"/>
          <w:sz w:val="28"/>
          <w:szCs w:val="32"/>
        </w:rPr>
        <w:t>主要施工机械</w:t>
      </w:r>
      <w:r>
        <w:rPr>
          <w:rFonts w:hint="eastAsia" w:ascii="宋体" w:hAnsi="宋体" w:eastAsia="黑体"/>
          <w:b/>
          <w:bCs/>
          <w:kern w:val="0"/>
          <w:sz w:val="28"/>
          <w:szCs w:val="32"/>
        </w:rPr>
        <w:t>和</w:t>
      </w:r>
      <w:r>
        <w:rPr>
          <w:rFonts w:ascii="宋体" w:hAnsi="宋体" w:eastAsia="黑体"/>
          <w:b/>
          <w:bCs/>
          <w:kern w:val="0"/>
          <w:sz w:val="28"/>
          <w:szCs w:val="32"/>
        </w:rPr>
        <w:t>主要材料试验、测量、质检仪器设备</w:t>
      </w:r>
      <w:r>
        <w:rPr>
          <w:rFonts w:hint="eastAsia" w:ascii="宋体" w:hAnsi="宋体" w:eastAsia="黑体"/>
          <w:b/>
          <w:bCs/>
          <w:kern w:val="0"/>
          <w:sz w:val="28"/>
          <w:szCs w:val="32"/>
        </w:rPr>
        <w:t>最低要求）</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2976"/>
        <w:gridCol w:w="993"/>
        <w:gridCol w:w="2123"/>
      </w:tblGrid>
      <w:tr w14:paraId="425F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129" w:type="dxa"/>
            <w:vAlign w:val="center"/>
          </w:tcPr>
          <w:p w14:paraId="0124F41A">
            <w:pPr>
              <w:spacing w:line="480" w:lineRule="exact"/>
              <w:jc w:val="center"/>
              <w:rPr>
                <w:rFonts w:ascii="宋体" w:hAnsi="宋体"/>
                <w:szCs w:val="21"/>
              </w:rPr>
            </w:pPr>
            <w:r>
              <w:rPr>
                <w:rFonts w:hint="eastAsia" w:ascii="宋体" w:hAnsi="宋体"/>
                <w:szCs w:val="21"/>
              </w:rPr>
              <w:t>标段</w:t>
            </w:r>
          </w:p>
        </w:tc>
        <w:tc>
          <w:tcPr>
            <w:tcW w:w="1560" w:type="dxa"/>
            <w:vAlign w:val="center"/>
          </w:tcPr>
          <w:p w14:paraId="0F3ACA6A">
            <w:pPr>
              <w:spacing w:line="480" w:lineRule="exact"/>
              <w:jc w:val="center"/>
              <w:rPr>
                <w:rFonts w:ascii="宋体" w:hAnsi="宋体"/>
                <w:szCs w:val="21"/>
              </w:rPr>
            </w:pPr>
            <w:r>
              <w:rPr>
                <w:rFonts w:hint="eastAsia" w:ascii="宋体" w:hAnsi="宋体"/>
                <w:szCs w:val="21"/>
              </w:rPr>
              <w:t>设备名称</w:t>
            </w:r>
          </w:p>
        </w:tc>
        <w:tc>
          <w:tcPr>
            <w:tcW w:w="2976" w:type="dxa"/>
            <w:vAlign w:val="center"/>
          </w:tcPr>
          <w:p w14:paraId="3D7C1DA8">
            <w:pPr>
              <w:spacing w:line="480" w:lineRule="exact"/>
              <w:jc w:val="center"/>
              <w:rPr>
                <w:rFonts w:ascii="宋体" w:hAnsi="宋体"/>
                <w:szCs w:val="21"/>
              </w:rPr>
            </w:pPr>
            <w:r>
              <w:rPr>
                <w:rFonts w:hint="eastAsia" w:ascii="宋体" w:hAnsi="宋体"/>
                <w:szCs w:val="21"/>
              </w:rPr>
              <w:t>规格、功率及容量</w:t>
            </w:r>
          </w:p>
        </w:tc>
        <w:tc>
          <w:tcPr>
            <w:tcW w:w="993" w:type="dxa"/>
            <w:vAlign w:val="center"/>
          </w:tcPr>
          <w:p w14:paraId="21DE1AA0">
            <w:pPr>
              <w:spacing w:line="480" w:lineRule="exact"/>
              <w:jc w:val="center"/>
              <w:rPr>
                <w:rFonts w:ascii="宋体" w:hAnsi="宋体"/>
                <w:szCs w:val="21"/>
              </w:rPr>
            </w:pPr>
            <w:r>
              <w:rPr>
                <w:rFonts w:hint="eastAsia" w:ascii="宋体" w:hAnsi="宋体"/>
                <w:szCs w:val="21"/>
              </w:rPr>
              <w:t>单位</w:t>
            </w:r>
          </w:p>
        </w:tc>
        <w:tc>
          <w:tcPr>
            <w:tcW w:w="2123" w:type="dxa"/>
            <w:vAlign w:val="center"/>
          </w:tcPr>
          <w:p w14:paraId="2A561774">
            <w:pPr>
              <w:spacing w:line="480" w:lineRule="exact"/>
              <w:jc w:val="center"/>
              <w:rPr>
                <w:rFonts w:ascii="宋体" w:hAnsi="宋体"/>
                <w:szCs w:val="21"/>
              </w:rPr>
            </w:pPr>
            <w:r>
              <w:rPr>
                <w:rFonts w:hint="eastAsia" w:ascii="宋体" w:hAnsi="宋体"/>
                <w:szCs w:val="21"/>
              </w:rPr>
              <w:t>最低数量要求</w:t>
            </w:r>
          </w:p>
        </w:tc>
      </w:tr>
      <w:tr w14:paraId="37D0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14:paraId="04C1DA0B">
            <w:pPr>
              <w:spacing w:line="480" w:lineRule="exact"/>
              <w:jc w:val="center"/>
              <w:rPr>
                <w:rFonts w:ascii="宋体" w:hAnsi="宋体"/>
                <w:szCs w:val="21"/>
              </w:rPr>
            </w:pPr>
          </w:p>
        </w:tc>
        <w:tc>
          <w:tcPr>
            <w:tcW w:w="1560" w:type="dxa"/>
            <w:vAlign w:val="center"/>
          </w:tcPr>
          <w:p w14:paraId="5F2ABFF3">
            <w:pPr>
              <w:spacing w:line="480" w:lineRule="exact"/>
              <w:jc w:val="center"/>
              <w:rPr>
                <w:rFonts w:ascii="宋体" w:hAnsi="宋体"/>
                <w:szCs w:val="21"/>
              </w:rPr>
            </w:pPr>
          </w:p>
        </w:tc>
        <w:tc>
          <w:tcPr>
            <w:tcW w:w="2976" w:type="dxa"/>
            <w:vAlign w:val="center"/>
          </w:tcPr>
          <w:p w14:paraId="7B0875F3">
            <w:pPr>
              <w:spacing w:line="480" w:lineRule="exact"/>
              <w:jc w:val="center"/>
              <w:rPr>
                <w:rFonts w:ascii="宋体" w:hAnsi="宋体"/>
                <w:szCs w:val="21"/>
              </w:rPr>
            </w:pPr>
          </w:p>
        </w:tc>
        <w:tc>
          <w:tcPr>
            <w:tcW w:w="993" w:type="dxa"/>
            <w:vAlign w:val="center"/>
          </w:tcPr>
          <w:p w14:paraId="6975EB67">
            <w:pPr>
              <w:spacing w:line="480" w:lineRule="exact"/>
              <w:jc w:val="center"/>
              <w:rPr>
                <w:rFonts w:ascii="宋体" w:hAnsi="宋体"/>
                <w:szCs w:val="21"/>
              </w:rPr>
            </w:pPr>
          </w:p>
        </w:tc>
        <w:tc>
          <w:tcPr>
            <w:tcW w:w="2123" w:type="dxa"/>
            <w:vAlign w:val="center"/>
          </w:tcPr>
          <w:p w14:paraId="09A750DE">
            <w:pPr>
              <w:spacing w:line="480" w:lineRule="exact"/>
              <w:jc w:val="center"/>
              <w:rPr>
                <w:rFonts w:ascii="宋体" w:hAnsi="宋体"/>
                <w:szCs w:val="21"/>
              </w:rPr>
            </w:pPr>
          </w:p>
        </w:tc>
      </w:tr>
      <w:tr w14:paraId="4CB4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14:paraId="2104E3E8">
            <w:pPr>
              <w:spacing w:line="480" w:lineRule="exact"/>
              <w:jc w:val="center"/>
              <w:rPr>
                <w:rFonts w:ascii="宋体" w:hAnsi="宋体"/>
                <w:szCs w:val="21"/>
              </w:rPr>
            </w:pPr>
          </w:p>
        </w:tc>
        <w:tc>
          <w:tcPr>
            <w:tcW w:w="1560" w:type="dxa"/>
            <w:vAlign w:val="center"/>
          </w:tcPr>
          <w:p w14:paraId="16D0BCDA">
            <w:pPr>
              <w:spacing w:line="480" w:lineRule="exact"/>
              <w:jc w:val="center"/>
              <w:rPr>
                <w:rFonts w:ascii="宋体" w:hAnsi="宋体"/>
                <w:szCs w:val="21"/>
              </w:rPr>
            </w:pPr>
          </w:p>
        </w:tc>
        <w:tc>
          <w:tcPr>
            <w:tcW w:w="2976" w:type="dxa"/>
            <w:vAlign w:val="center"/>
          </w:tcPr>
          <w:p w14:paraId="796C584A">
            <w:pPr>
              <w:spacing w:line="480" w:lineRule="exact"/>
              <w:jc w:val="center"/>
              <w:rPr>
                <w:rFonts w:ascii="宋体" w:hAnsi="宋体"/>
                <w:szCs w:val="21"/>
              </w:rPr>
            </w:pPr>
          </w:p>
        </w:tc>
        <w:tc>
          <w:tcPr>
            <w:tcW w:w="993" w:type="dxa"/>
            <w:vAlign w:val="center"/>
          </w:tcPr>
          <w:p w14:paraId="24F8374C">
            <w:pPr>
              <w:spacing w:line="480" w:lineRule="exact"/>
              <w:jc w:val="center"/>
              <w:rPr>
                <w:rFonts w:ascii="宋体" w:hAnsi="宋体"/>
                <w:szCs w:val="21"/>
              </w:rPr>
            </w:pPr>
          </w:p>
        </w:tc>
        <w:tc>
          <w:tcPr>
            <w:tcW w:w="2123" w:type="dxa"/>
            <w:vAlign w:val="center"/>
          </w:tcPr>
          <w:p w14:paraId="3749A9E3">
            <w:pPr>
              <w:spacing w:line="480" w:lineRule="exact"/>
              <w:jc w:val="center"/>
              <w:rPr>
                <w:rFonts w:ascii="宋体" w:hAnsi="宋体"/>
                <w:szCs w:val="21"/>
              </w:rPr>
            </w:pPr>
          </w:p>
        </w:tc>
      </w:tr>
      <w:tr w14:paraId="07DA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14:paraId="7CD7282F">
            <w:pPr>
              <w:spacing w:line="480" w:lineRule="exact"/>
              <w:jc w:val="center"/>
              <w:rPr>
                <w:rFonts w:ascii="宋体" w:hAnsi="宋体"/>
                <w:szCs w:val="21"/>
              </w:rPr>
            </w:pPr>
          </w:p>
        </w:tc>
        <w:tc>
          <w:tcPr>
            <w:tcW w:w="1560" w:type="dxa"/>
            <w:vAlign w:val="center"/>
          </w:tcPr>
          <w:p w14:paraId="6381B80B">
            <w:pPr>
              <w:spacing w:line="480" w:lineRule="exact"/>
              <w:jc w:val="center"/>
              <w:rPr>
                <w:rFonts w:ascii="宋体" w:hAnsi="宋体"/>
                <w:szCs w:val="21"/>
              </w:rPr>
            </w:pPr>
          </w:p>
        </w:tc>
        <w:tc>
          <w:tcPr>
            <w:tcW w:w="2976" w:type="dxa"/>
            <w:vAlign w:val="center"/>
          </w:tcPr>
          <w:p w14:paraId="382E2447">
            <w:pPr>
              <w:spacing w:line="480" w:lineRule="exact"/>
              <w:jc w:val="center"/>
              <w:rPr>
                <w:rFonts w:ascii="宋体" w:hAnsi="宋体"/>
                <w:szCs w:val="21"/>
              </w:rPr>
            </w:pPr>
          </w:p>
        </w:tc>
        <w:tc>
          <w:tcPr>
            <w:tcW w:w="993" w:type="dxa"/>
            <w:vAlign w:val="center"/>
          </w:tcPr>
          <w:p w14:paraId="724E72E0">
            <w:pPr>
              <w:spacing w:line="480" w:lineRule="exact"/>
              <w:jc w:val="center"/>
              <w:rPr>
                <w:rFonts w:ascii="宋体" w:hAnsi="宋体"/>
                <w:szCs w:val="21"/>
              </w:rPr>
            </w:pPr>
          </w:p>
        </w:tc>
        <w:tc>
          <w:tcPr>
            <w:tcW w:w="2123" w:type="dxa"/>
            <w:vAlign w:val="center"/>
          </w:tcPr>
          <w:p w14:paraId="23067588">
            <w:pPr>
              <w:spacing w:line="480" w:lineRule="exact"/>
              <w:jc w:val="center"/>
              <w:rPr>
                <w:rFonts w:ascii="宋体" w:hAnsi="宋体"/>
                <w:szCs w:val="21"/>
              </w:rPr>
            </w:pPr>
          </w:p>
        </w:tc>
      </w:tr>
      <w:tr w14:paraId="120E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vAlign w:val="center"/>
          </w:tcPr>
          <w:p w14:paraId="5B51C719">
            <w:pPr>
              <w:spacing w:line="480" w:lineRule="exact"/>
              <w:jc w:val="center"/>
              <w:rPr>
                <w:rFonts w:ascii="宋体" w:hAnsi="宋体"/>
                <w:szCs w:val="21"/>
              </w:rPr>
            </w:pPr>
          </w:p>
        </w:tc>
        <w:tc>
          <w:tcPr>
            <w:tcW w:w="1560" w:type="dxa"/>
            <w:vAlign w:val="center"/>
          </w:tcPr>
          <w:p w14:paraId="057E3CBD">
            <w:pPr>
              <w:spacing w:line="480" w:lineRule="exact"/>
              <w:jc w:val="center"/>
              <w:rPr>
                <w:rFonts w:ascii="宋体" w:hAnsi="宋体"/>
                <w:szCs w:val="21"/>
              </w:rPr>
            </w:pPr>
          </w:p>
        </w:tc>
        <w:tc>
          <w:tcPr>
            <w:tcW w:w="2976" w:type="dxa"/>
            <w:vAlign w:val="center"/>
          </w:tcPr>
          <w:p w14:paraId="77BDFD1A">
            <w:pPr>
              <w:spacing w:line="480" w:lineRule="exact"/>
              <w:jc w:val="center"/>
              <w:rPr>
                <w:rFonts w:ascii="宋体" w:hAnsi="宋体"/>
                <w:szCs w:val="21"/>
              </w:rPr>
            </w:pPr>
          </w:p>
        </w:tc>
        <w:tc>
          <w:tcPr>
            <w:tcW w:w="993" w:type="dxa"/>
            <w:vAlign w:val="center"/>
          </w:tcPr>
          <w:p w14:paraId="3B0D00F1">
            <w:pPr>
              <w:spacing w:line="480" w:lineRule="exact"/>
              <w:jc w:val="center"/>
              <w:rPr>
                <w:rFonts w:ascii="宋体" w:hAnsi="宋体"/>
                <w:szCs w:val="21"/>
              </w:rPr>
            </w:pPr>
          </w:p>
        </w:tc>
        <w:tc>
          <w:tcPr>
            <w:tcW w:w="2123" w:type="dxa"/>
            <w:vAlign w:val="center"/>
          </w:tcPr>
          <w:p w14:paraId="4FFEF8F3">
            <w:pPr>
              <w:spacing w:line="480" w:lineRule="exact"/>
              <w:jc w:val="center"/>
              <w:rPr>
                <w:rFonts w:ascii="宋体" w:hAnsi="宋体"/>
                <w:szCs w:val="21"/>
              </w:rPr>
            </w:pPr>
          </w:p>
        </w:tc>
      </w:tr>
      <w:tr w14:paraId="41F6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9" w:type="dxa"/>
            <w:vAlign w:val="center"/>
          </w:tcPr>
          <w:p w14:paraId="0C47C848">
            <w:pPr>
              <w:spacing w:line="480" w:lineRule="exact"/>
              <w:jc w:val="center"/>
              <w:rPr>
                <w:rFonts w:ascii="宋体" w:hAnsi="宋体"/>
                <w:szCs w:val="21"/>
              </w:rPr>
            </w:pPr>
          </w:p>
        </w:tc>
        <w:tc>
          <w:tcPr>
            <w:tcW w:w="1560" w:type="dxa"/>
            <w:vAlign w:val="center"/>
          </w:tcPr>
          <w:p w14:paraId="521953E7">
            <w:pPr>
              <w:spacing w:line="480" w:lineRule="exact"/>
              <w:jc w:val="center"/>
              <w:rPr>
                <w:rFonts w:ascii="宋体" w:hAnsi="宋体"/>
                <w:szCs w:val="21"/>
              </w:rPr>
            </w:pPr>
          </w:p>
        </w:tc>
        <w:tc>
          <w:tcPr>
            <w:tcW w:w="2976" w:type="dxa"/>
            <w:vAlign w:val="center"/>
          </w:tcPr>
          <w:p w14:paraId="6F479F9B">
            <w:pPr>
              <w:spacing w:line="480" w:lineRule="exact"/>
              <w:jc w:val="center"/>
              <w:rPr>
                <w:rFonts w:ascii="宋体" w:hAnsi="宋体"/>
                <w:szCs w:val="21"/>
              </w:rPr>
            </w:pPr>
          </w:p>
        </w:tc>
        <w:tc>
          <w:tcPr>
            <w:tcW w:w="993" w:type="dxa"/>
            <w:vAlign w:val="center"/>
          </w:tcPr>
          <w:p w14:paraId="32CBDB0C">
            <w:pPr>
              <w:spacing w:line="480" w:lineRule="exact"/>
              <w:jc w:val="center"/>
              <w:rPr>
                <w:rFonts w:ascii="宋体" w:hAnsi="宋体"/>
                <w:szCs w:val="21"/>
              </w:rPr>
            </w:pPr>
          </w:p>
        </w:tc>
        <w:tc>
          <w:tcPr>
            <w:tcW w:w="2123" w:type="dxa"/>
            <w:vAlign w:val="center"/>
          </w:tcPr>
          <w:p w14:paraId="4BF9B16F">
            <w:pPr>
              <w:spacing w:line="480" w:lineRule="exact"/>
              <w:jc w:val="center"/>
              <w:rPr>
                <w:rFonts w:ascii="宋体" w:hAnsi="宋体"/>
                <w:szCs w:val="21"/>
              </w:rPr>
            </w:pPr>
          </w:p>
        </w:tc>
      </w:tr>
      <w:tr w14:paraId="7144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tcBorders>
              <w:bottom w:val="single" w:color="auto" w:sz="4" w:space="0"/>
            </w:tcBorders>
            <w:vAlign w:val="center"/>
          </w:tcPr>
          <w:p w14:paraId="0D6163A2">
            <w:pPr>
              <w:spacing w:line="480" w:lineRule="exact"/>
              <w:jc w:val="center"/>
              <w:rPr>
                <w:rFonts w:ascii="宋体" w:hAnsi="宋体"/>
                <w:szCs w:val="21"/>
              </w:rPr>
            </w:pPr>
          </w:p>
        </w:tc>
        <w:tc>
          <w:tcPr>
            <w:tcW w:w="1560" w:type="dxa"/>
            <w:tcBorders>
              <w:bottom w:val="single" w:color="auto" w:sz="4" w:space="0"/>
            </w:tcBorders>
            <w:vAlign w:val="center"/>
          </w:tcPr>
          <w:p w14:paraId="4327158E">
            <w:pPr>
              <w:spacing w:line="480" w:lineRule="exact"/>
              <w:jc w:val="center"/>
              <w:rPr>
                <w:rFonts w:ascii="宋体" w:hAnsi="宋体"/>
                <w:szCs w:val="21"/>
              </w:rPr>
            </w:pPr>
          </w:p>
        </w:tc>
        <w:tc>
          <w:tcPr>
            <w:tcW w:w="2976" w:type="dxa"/>
            <w:tcBorders>
              <w:bottom w:val="single" w:color="auto" w:sz="4" w:space="0"/>
            </w:tcBorders>
            <w:vAlign w:val="center"/>
          </w:tcPr>
          <w:p w14:paraId="68729EEB">
            <w:pPr>
              <w:spacing w:line="480" w:lineRule="exact"/>
              <w:jc w:val="center"/>
              <w:rPr>
                <w:rFonts w:ascii="宋体" w:hAnsi="宋体"/>
                <w:szCs w:val="21"/>
              </w:rPr>
            </w:pPr>
          </w:p>
        </w:tc>
        <w:tc>
          <w:tcPr>
            <w:tcW w:w="993" w:type="dxa"/>
            <w:tcBorders>
              <w:bottom w:val="single" w:color="auto" w:sz="4" w:space="0"/>
            </w:tcBorders>
            <w:vAlign w:val="center"/>
          </w:tcPr>
          <w:p w14:paraId="6C0A8430">
            <w:pPr>
              <w:spacing w:line="480" w:lineRule="exact"/>
              <w:jc w:val="center"/>
              <w:rPr>
                <w:rFonts w:ascii="宋体" w:hAnsi="宋体"/>
                <w:szCs w:val="21"/>
              </w:rPr>
            </w:pPr>
          </w:p>
        </w:tc>
        <w:tc>
          <w:tcPr>
            <w:tcW w:w="2123" w:type="dxa"/>
            <w:tcBorders>
              <w:bottom w:val="single" w:color="auto" w:sz="4" w:space="0"/>
            </w:tcBorders>
            <w:vAlign w:val="center"/>
          </w:tcPr>
          <w:p w14:paraId="64C2EBA2">
            <w:pPr>
              <w:spacing w:line="480" w:lineRule="exact"/>
              <w:jc w:val="center"/>
              <w:rPr>
                <w:rFonts w:ascii="宋体" w:hAnsi="宋体"/>
                <w:szCs w:val="21"/>
              </w:rPr>
            </w:pPr>
          </w:p>
        </w:tc>
      </w:tr>
      <w:tr w14:paraId="3432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129" w:type="dxa"/>
            <w:tcBorders>
              <w:top w:val="single" w:color="auto" w:sz="4" w:space="0"/>
              <w:left w:val="single" w:color="auto" w:sz="4" w:space="0"/>
              <w:bottom w:val="single" w:color="auto" w:sz="4" w:space="0"/>
              <w:right w:val="single" w:color="auto" w:sz="4" w:space="0"/>
            </w:tcBorders>
            <w:vAlign w:val="center"/>
          </w:tcPr>
          <w:p w14:paraId="3D7CAB3E">
            <w:pPr>
              <w:spacing w:line="480" w:lineRule="exact"/>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AB893A2">
            <w:pPr>
              <w:spacing w:line="48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A2611BD">
            <w:pPr>
              <w:spacing w:line="480" w:lineRule="exact"/>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DD9CBB3">
            <w:pPr>
              <w:spacing w:line="480" w:lineRule="exact"/>
              <w:jc w:val="center"/>
              <w:rPr>
                <w:rFonts w:ascii="宋体" w:hAnsi="宋体"/>
                <w:szCs w:val="21"/>
              </w:rPr>
            </w:pPr>
          </w:p>
        </w:tc>
        <w:tc>
          <w:tcPr>
            <w:tcW w:w="2123" w:type="dxa"/>
            <w:tcBorders>
              <w:top w:val="single" w:color="auto" w:sz="4" w:space="0"/>
              <w:left w:val="single" w:color="auto" w:sz="4" w:space="0"/>
              <w:bottom w:val="single" w:color="auto" w:sz="4" w:space="0"/>
              <w:right w:val="single" w:color="auto" w:sz="4" w:space="0"/>
            </w:tcBorders>
            <w:vAlign w:val="center"/>
          </w:tcPr>
          <w:p w14:paraId="6E689585">
            <w:pPr>
              <w:spacing w:line="480" w:lineRule="exact"/>
              <w:jc w:val="center"/>
              <w:rPr>
                <w:rFonts w:ascii="宋体" w:hAnsi="宋体"/>
                <w:szCs w:val="21"/>
              </w:rPr>
            </w:pPr>
          </w:p>
        </w:tc>
      </w:tr>
      <w:tr w14:paraId="5099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9" w:type="dxa"/>
            <w:tcBorders>
              <w:top w:val="single" w:color="auto" w:sz="4" w:space="0"/>
              <w:left w:val="single" w:color="auto" w:sz="4" w:space="0"/>
              <w:bottom w:val="single" w:color="auto" w:sz="4" w:space="0"/>
              <w:right w:val="single" w:color="auto" w:sz="4" w:space="0"/>
            </w:tcBorders>
            <w:vAlign w:val="center"/>
          </w:tcPr>
          <w:p w14:paraId="103B5C1A">
            <w:pPr>
              <w:spacing w:line="480" w:lineRule="exact"/>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E284749">
            <w:pPr>
              <w:spacing w:line="48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0FCB59D4">
            <w:pPr>
              <w:spacing w:line="480" w:lineRule="exact"/>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2362B96C">
            <w:pPr>
              <w:spacing w:line="480" w:lineRule="exact"/>
              <w:jc w:val="center"/>
              <w:rPr>
                <w:rFonts w:ascii="宋体" w:hAnsi="宋体"/>
                <w:szCs w:val="21"/>
              </w:rPr>
            </w:pPr>
          </w:p>
        </w:tc>
        <w:tc>
          <w:tcPr>
            <w:tcW w:w="2123" w:type="dxa"/>
            <w:tcBorders>
              <w:top w:val="single" w:color="auto" w:sz="4" w:space="0"/>
              <w:left w:val="single" w:color="auto" w:sz="4" w:space="0"/>
              <w:bottom w:val="single" w:color="auto" w:sz="4" w:space="0"/>
              <w:right w:val="single" w:color="auto" w:sz="4" w:space="0"/>
            </w:tcBorders>
            <w:vAlign w:val="center"/>
          </w:tcPr>
          <w:p w14:paraId="1D92B573">
            <w:pPr>
              <w:spacing w:line="480" w:lineRule="exact"/>
              <w:jc w:val="center"/>
              <w:rPr>
                <w:rFonts w:ascii="宋体" w:hAnsi="宋体"/>
                <w:szCs w:val="21"/>
              </w:rPr>
            </w:pPr>
          </w:p>
        </w:tc>
      </w:tr>
    </w:tbl>
    <w:p w14:paraId="41B75CFD">
      <w:pPr>
        <w:tabs>
          <w:tab w:val="left" w:pos="585"/>
        </w:tabs>
        <w:spacing w:line="480" w:lineRule="exact"/>
        <w:rPr>
          <w:rFonts w:ascii="宋体" w:hAnsi="宋体"/>
          <w:sz w:val="24"/>
        </w:rPr>
      </w:pPr>
      <w:r>
        <w:rPr>
          <w:rFonts w:hint="eastAsia"/>
        </w:rPr>
        <w:t>注：本表仅适用于特别复杂的特大桥和特长隧道项目主体工程以及其他有特殊要求的工程。对主要机械设备和试验检测设备的最低要求，由招标人在满足国家相关法律法规前提下，根据招标项目具体特点和实际情况确定。</w:t>
      </w:r>
    </w:p>
    <w:p w14:paraId="6BE0D4FA">
      <w:pPr>
        <w:spacing w:line="480" w:lineRule="exact"/>
        <w:rPr>
          <w:rFonts w:ascii="宋体" w:hAnsi="宋体"/>
          <w:sz w:val="24"/>
        </w:rPr>
      </w:pPr>
    </w:p>
    <w:p w14:paraId="24BD55DD">
      <w:pPr>
        <w:spacing w:line="480" w:lineRule="exact"/>
        <w:rPr>
          <w:rFonts w:ascii="宋体" w:hAnsi="宋体"/>
          <w:sz w:val="24"/>
        </w:rPr>
      </w:pPr>
    </w:p>
    <w:p w14:paraId="26C6E6CD">
      <w:pPr>
        <w:spacing w:line="480" w:lineRule="exact"/>
        <w:rPr>
          <w:rFonts w:ascii="宋体" w:hAnsi="宋体"/>
          <w:sz w:val="24"/>
        </w:rPr>
      </w:pPr>
    </w:p>
    <w:p w14:paraId="64587F11">
      <w:pPr>
        <w:spacing w:line="480" w:lineRule="exact"/>
        <w:rPr>
          <w:rFonts w:ascii="宋体" w:hAnsi="宋体"/>
          <w:sz w:val="24"/>
        </w:rPr>
      </w:pPr>
    </w:p>
    <w:p w14:paraId="42246792">
      <w:pPr>
        <w:spacing w:line="480" w:lineRule="exact"/>
        <w:rPr>
          <w:rFonts w:ascii="宋体" w:hAnsi="宋体"/>
          <w:sz w:val="24"/>
        </w:rPr>
      </w:pPr>
    </w:p>
    <w:p w14:paraId="66F541CF">
      <w:pPr>
        <w:spacing w:line="480" w:lineRule="exact"/>
        <w:rPr>
          <w:rFonts w:ascii="宋体" w:hAnsi="宋体"/>
          <w:sz w:val="24"/>
        </w:rPr>
      </w:pPr>
    </w:p>
    <w:p w14:paraId="7764713F">
      <w:pPr>
        <w:spacing w:line="480" w:lineRule="exact"/>
        <w:rPr>
          <w:rFonts w:ascii="宋体" w:hAnsi="宋体"/>
          <w:sz w:val="24"/>
        </w:rPr>
      </w:pPr>
    </w:p>
    <w:p w14:paraId="2716DD25">
      <w:pPr>
        <w:spacing w:line="480" w:lineRule="exact"/>
        <w:rPr>
          <w:rFonts w:ascii="宋体" w:hAnsi="宋体"/>
          <w:sz w:val="24"/>
        </w:rPr>
      </w:pPr>
    </w:p>
    <w:p w14:paraId="5271F02B">
      <w:pPr>
        <w:spacing w:line="480" w:lineRule="exact"/>
        <w:rPr>
          <w:rFonts w:ascii="宋体" w:hAnsi="宋体"/>
          <w:sz w:val="24"/>
        </w:rPr>
      </w:pPr>
    </w:p>
    <w:p w14:paraId="1A2C55FA">
      <w:pPr>
        <w:spacing w:line="480" w:lineRule="exact"/>
        <w:rPr>
          <w:rFonts w:ascii="宋体" w:hAnsi="宋体"/>
          <w:sz w:val="24"/>
        </w:rPr>
      </w:pPr>
    </w:p>
    <w:p w14:paraId="15C43917">
      <w:pPr>
        <w:spacing w:line="240" w:lineRule="auto"/>
        <w:rPr>
          <w:rFonts w:ascii="黑体" w:hAnsi="黑体" w:eastAsia="黑体"/>
          <w:sz w:val="28"/>
          <w:szCs w:val="28"/>
        </w:rPr>
      </w:pPr>
      <w:bookmarkStart w:id="144" w:name="_Toc27059490"/>
      <w:bookmarkStart w:id="145" w:name="_Toc27060659"/>
      <w:bookmarkStart w:id="146" w:name="_Toc27059761"/>
      <w:bookmarkStart w:id="147" w:name="_Toc234832870"/>
      <w:bookmarkStart w:id="148" w:name="_Toc27059863"/>
      <w:bookmarkStart w:id="149" w:name="_Toc501257060"/>
      <w:bookmarkStart w:id="150" w:name="_Toc27059671"/>
      <w:r>
        <w:rPr>
          <w:rFonts w:ascii="黑体" w:hAnsi="黑体" w:eastAsia="黑体"/>
          <w:sz w:val="28"/>
          <w:szCs w:val="28"/>
        </w:rPr>
        <w:br w:type="page"/>
      </w:r>
    </w:p>
    <w:p w14:paraId="71D41377">
      <w:pPr>
        <w:pStyle w:val="3"/>
        <w:rPr>
          <w:rStyle w:val="350"/>
          <w:rFonts w:hint="eastAsia" w:ascii="Times New Roman" w:hAnsi="Times New Roman" w:cs="Times New Roman"/>
          <w:b/>
          <w:bCs/>
        </w:rPr>
      </w:pPr>
      <w:r>
        <w:rPr>
          <w:rStyle w:val="350"/>
          <w:rFonts w:hint="eastAsia" w:ascii="Times New Roman" w:hAnsi="Times New Roman" w:cs="Times New Roman"/>
          <w:b/>
          <w:bCs/>
        </w:rPr>
        <w:t>□</w:t>
      </w:r>
      <w:r>
        <w:rPr>
          <w:rFonts w:hint="eastAsia"/>
        </w:rPr>
        <w:t xml:space="preserve"> </w:t>
      </w:r>
      <w:r>
        <w:rPr>
          <w:rStyle w:val="350"/>
          <w:rFonts w:hint="eastAsia" w:ascii="Times New Roman" w:hAnsi="Times New Roman" w:cs="Times New Roman"/>
          <w:b/>
          <w:bCs/>
        </w:rPr>
        <w:t>附录8 资格审查条件（关键机电设备主要技术性能指标最低要求）</w:t>
      </w:r>
    </w:p>
    <w:p w14:paraId="31D8519A">
      <w:pPr>
        <w:jc w:val="center"/>
        <w:rPr>
          <w:rFonts w:hint="eastAsia" w:ascii="宋体" w:hAnsi="宋体" w:eastAsia="宋体" w:cs="宋体"/>
          <w:b/>
          <w:bCs/>
          <w:kern w:val="0"/>
          <w:szCs w:val="21"/>
        </w:rPr>
      </w:pPr>
    </w:p>
    <w:tbl>
      <w:tblPr>
        <w:tblStyle w:val="50"/>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68"/>
        <w:gridCol w:w="5615"/>
      </w:tblGrid>
      <w:tr w14:paraId="6169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60" w:type="dxa"/>
            <w:vMerge w:val="restart"/>
            <w:vAlign w:val="center"/>
          </w:tcPr>
          <w:p w14:paraId="7C22D0B0">
            <w:pPr>
              <w:jc w:val="center"/>
              <w:rPr>
                <w:rFonts w:hint="eastAsia" w:ascii="宋体" w:hAnsi="宋体" w:eastAsia="宋体" w:cs="宋体"/>
                <w:szCs w:val="21"/>
              </w:rPr>
            </w:pPr>
            <w:r>
              <w:rPr>
                <w:rFonts w:hint="eastAsia" w:ascii="宋体" w:hAnsi="宋体" w:eastAsia="宋体" w:cs="宋体"/>
                <w:szCs w:val="21"/>
              </w:rPr>
              <w:t>序号</w:t>
            </w:r>
          </w:p>
        </w:tc>
        <w:tc>
          <w:tcPr>
            <w:tcW w:w="2068" w:type="dxa"/>
            <w:vMerge w:val="restart"/>
            <w:vAlign w:val="center"/>
          </w:tcPr>
          <w:p w14:paraId="1A85754C">
            <w:pPr>
              <w:jc w:val="center"/>
              <w:rPr>
                <w:rFonts w:hint="eastAsia" w:ascii="宋体" w:hAnsi="宋体" w:eastAsia="宋体" w:cs="宋体"/>
                <w:szCs w:val="21"/>
              </w:rPr>
            </w:pPr>
            <w:r>
              <w:rPr>
                <w:rFonts w:hint="eastAsia" w:ascii="宋体" w:hAnsi="宋体" w:eastAsia="宋体" w:cs="宋体"/>
                <w:szCs w:val="21"/>
              </w:rPr>
              <w:t>设备名称</w:t>
            </w:r>
          </w:p>
        </w:tc>
        <w:tc>
          <w:tcPr>
            <w:tcW w:w="5615" w:type="dxa"/>
            <w:vMerge w:val="restart"/>
            <w:vAlign w:val="center"/>
          </w:tcPr>
          <w:p w14:paraId="5BEEE07D">
            <w:pPr>
              <w:jc w:val="center"/>
              <w:rPr>
                <w:rFonts w:hint="eastAsia" w:ascii="宋体" w:hAnsi="宋体" w:eastAsia="宋体" w:cs="宋体"/>
                <w:szCs w:val="21"/>
              </w:rPr>
            </w:pPr>
            <w:r>
              <w:rPr>
                <w:rFonts w:hint="eastAsia" w:ascii="宋体" w:hAnsi="宋体" w:eastAsia="宋体" w:cs="宋体"/>
                <w:szCs w:val="21"/>
              </w:rPr>
              <w:t>主要技术性能指标最低要求</w:t>
            </w:r>
          </w:p>
        </w:tc>
      </w:tr>
      <w:tr w14:paraId="3EDB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vMerge w:val="continue"/>
            <w:vAlign w:val="center"/>
          </w:tcPr>
          <w:p w14:paraId="167EA2FC">
            <w:pPr>
              <w:spacing w:line="400" w:lineRule="exact"/>
              <w:jc w:val="center"/>
              <w:rPr>
                <w:rFonts w:hint="eastAsia" w:ascii="宋体" w:hAnsi="宋体" w:eastAsia="宋体" w:cs="宋体"/>
                <w:szCs w:val="21"/>
              </w:rPr>
            </w:pPr>
          </w:p>
        </w:tc>
        <w:tc>
          <w:tcPr>
            <w:tcW w:w="2068" w:type="dxa"/>
            <w:vMerge w:val="continue"/>
            <w:vAlign w:val="center"/>
          </w:tcPr>
          <w:p w14:paraId="0810F59A">
            <w:pPr>
              <w:spacing w:line="400" w:lineRule="exact"/>
              <w:jc w:val="center"/>
              <w:rPr>
                <w:rFonts w:hint="eastAsia" w:ascii="宋体" w:hAnsi="宋体" w:eastAsia="宋体" w:cs="宋体"/>
                <w:szCs w:val="21"/>
              </w:rPr>
            </w:pPr>
          </w:p>
        </w:tc>
        <w:tc>
          <w:tcPr>
            <w:tcW w:w="5615" w:type="dxa"/>
            <w:vMerge w:val="continue"/>
            <w:vAlign w:val="center"/>
          </w:tcPr>
          <w:p w14:paraId="3AD046DF">
            <w:pPr>
              <w:spacing w:line="400" w:lineRule="exact"/>
              <w:jc w:val="center"/>
              <w:rPr>
                <w:rFonts w:hint="eastAsia" w:ascii="宋体" w:hAnsi="宋体" w:eastAsia="宋体" w:cs="宋体"/>
                <w:szCs w:val="21"/>
              </w:rPr>
            </w:pPr>
          </w:p>
        </w:tc>
      </w:tr>
      <w:tr w14:paraId="5AEA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Align w:val="center"/>
          </w:tcPr>
          <w:p w14:paraId="4EA404FF">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7683" w:type="dxa"/>
            <w:gridSpan w:val="2"/>
            <w:vAlign w:val="center"/>
          </w:tcPr>
          <w:p w14:paraId="70A59A91">
            <w:pPr>
              <w:spacing w:line="400" w:lineRule="exact"/>
              <w:rPr>
                <w:rFonts w:hint="eastAsia" w:ascii="宋体" w:hAnsi="宋体" w:eastAsia="宋体" w:cs="宋体"/>
                <w:szCs w:val="21"/>
              </w:rPr>
            </w:pPr>
            <w:r>
              <w:rPr>
                <w:rFonts w:hint="eastAsia" w:ascii="宋体" w:hAnsi="宋体" w:eastAsia="宋体" w:cs="宋体"/>
                <w:szCs w:val="21"/>
              </w:rPr>
              <w:t>××系统</w:t>
            </w:r>
          </w:p>
        </w:tc>
      </w:tr>
      <w:tr w14:paraId="5EF7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231A16E9">
            <w:pPr>
              <w:spacing w:line="400" w:lineRule="exact"/>
              <w:jc w:val="center"/>
              <w:rPr>
                <w:rFonts w:hint="eastAsia" w:ascii="宋体" w:hAnsi="宋体" w:eastAsia="宋体" w:cs="宋体"/>
                <w:szCs w:val="21"/>
              </w:rPr>
            </w:pPr>
            <w:r>
              <w:rPr>
                <w:rFonts w:hint="eastAsia" w:ascii="宋体" w:hAnsi="宋体" w:eastAsia="宋体" w:cs="宋体"/>
              </w:rPr>
              <w:t>1</w:t>
            </w:r>
          </w:p>
        </w:tc>
        <w:tc>
          <w:tcPr>
            <w:tcW w:w="2068" w:type="dxa"/>
            <w:vMerge w:val="restart"/>
            <w:vAlign w:val="center"/>
          </w:tcPr>
          <w:p w14:paraId="7BF42825">
            <w:pPr>
              <w:spacing w:line="400" w:lineRule="exact"/>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rPr>
              <w:t>设备</w:t>
            </w:r>
          </w:p>
        </w:tc>
        <w:tc>
          <w:tcPr>
            <w:tcW w:w="5615" w:type="dxa"/>
            <w:vAlign w:val="center"/>
          </w:tcPr>
          <w:p w14:paraId="7FE102B8">
            <w:pPr>
              <w:spacing w:line="400" w:lineRule="exac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rPr>
              <w:t>）</w:t>
            </w:r>
            <w:r>
              <w:rPr>
                <w:rFonts w:hint="eastAsia" w:ascii="宋体" w:hAnsi="宋体" w:eastAsia="宋体" w:cs="宋体"/>
                <w:szCs w:val="21"/>
              </w:rPr>
              <w:t>××</w:t>
            </w:r>
            <w:r>
              <w:rPr>
                <w:rFonts w:hint="eastAsia" w:ascii="宋体" w:hAnsi="宋体" w:eastAsia="宋体" w:cs="宋体"/>
              </w:rPr>
              <w:t xml:space="preserve">指标  </w:t>
            </w:r>
          </w:p>
        </w:tc>
      </w:tr>
      <w:tr w14:paraId="64AE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719A38C0">
            <w:pPr>
              <w:spacing w:line="400" w:lineRule="exact"/>
              <w:jc w:val="center"/>
              <w:rPr>
                <w:rFonts w:hint="eastAsia" w:ascii="宋体" w:hAnsi="宋体" w:eastAsia="宋体" w:cs="宋体"/>
                <w:szCs w:val="21"/>
              </w:rPr>
            </w:pPr>
          </w:p>
        </w:tc>
        <w:tc>
          <w:tcPr>
            <w:tcW w:w="2068" w:type="dxa"/>
            <w:vMerge w:val="continue"/>
            <w:vAlign w:val="center"/>
          </w:tcPr>
          <w:p w14:paraId="07B6CFDE">
            <w:pPr>
              <w:spacing w:line="400" w:lineRule="exact"/>
              <w:jc w:val="center"/>
              <w:rPr>
                <w:rFonts w:hint="eastAsia" w:ascii="宋体" w:hAnsi="宋体" w:eastAsia="宋体" w:cs="宋体"/>
                <w:szCs w:val="21"/>
              </w:rPr>
            </w:pPr>
          </w:p>
        </w:tc>
        <w:tc>
          <w:tcPr>
            <w:tcW w:w="5615" w:type="dxa"/>
            <w:vAlign w:val="center"/>
          </w:tcPr>
          <w:p w14:paraId="207E6211">
            <w:pPr>
              <w:spacing w:line="400" w:lineRule="exact"/>
              <w:rPr>
                <w:rFonts w:hint="eastAsia" w:ascii="宋体" w:hAnsi="宋体" w:eastAsia="宋体" w:cs="宋体"/>
                <w:szCs w:val="21"/>
              </w:rPr>
            </w:pPr>
            <w:r>
              <w:rPr>
                <w:rFonts w:hint="eastAsia" w:ascii="宋体" w:hAnsi="宋体" w:eastAsia="宋体" w:cs="宋体"/>
              </w:rPr>
              <w:t>（2）</w:t>
            </w:r>
          </w:p>
        </w:tc>
      </w:tr>
      <w:tr w14:paraId="1384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06577A30">
            <w:pPr>
              <w:spacing w:line="400" w:lineRule="exact"/>
              <w:jc w:val="center"/>
              <w:rPr>
                <w:rFonts w:hint="eastAsia" w:ascii="宋体" w:hAnsi="宋体" w:eastAsia="宋体" w:cs="宋体"/>
                <w:szCs w:val="21"/>
              </w:rPr>
            </w:pPr>
          </w:p>
        </w:tc>
        <w:tc>
          <w:tcPr>
            <w:tcW w:w="2068" w:type="dxa"/>
            <w:vMerge w:val="continue"/>
            <w:vAlign w:val="center"/>
          </w:tcPr>
          <w:p w14:paraId="60ACA308">
            <w:pPr>
              <w:spacing w:line="400" w:lineRule="exact"/>
              <w:jc w:val="center"/>
              <w:rPr>
                <w:rFonts w:hint="eastAsia" w:ascii="宋体" w:hAnsi="宋体" w:eastAsia="宋体" w:cs="宋体"/>
                <w:szCs w:val="21"/>
              </w:rPr>
            </w:pPr>
          </w:p>
        </w:tc>
        <w:tc>
          <w:tcPr>
            <w:tcW w:w="5615" w:type="dxa"/>
            <w:vAlign w:val="center"/>
          </w:tcPr>
          <w:p w14:paraId="2FE2D294">
            <w:pPr>
              <w:spacing w:line="400" w:lineRule="exact"/>
              <w:rPr>
                <w:rFonts w:hint="eastAsia" w:ascii="宋体" w:hAnsi="宋体" w:eastAsia="宋体" w:cs="宋体"/>
                <w:szCs w:val="21"/>
              </w:rPr>
            </w:pPr>
            <w:r>
              <w:rPr>
                <w:rFonts w:hint="eastAsia" w:ascii="宋体" w:hAnsi="宋体" w:eastAsia="宋体" w:cs="宋体"/>
              </w:rPr>
              <w:t>…</w:t>
            </w:r>
          </w:p>
        </w:tc>
      </w:tr>
      <w:tr w14:paraId="3E68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789F9B86">
            <w:pPr>
              <w:spacing w:line="400" w:lineRule="exact"/>
              <w:jc w:val="center"/>
              <w:rPr>
                <w:rFonts w:hint="eastAsia" w:ascii="宋体" w:hAnsi="宋体" w:eastAsia="宋体" w:cs="宋体"/>
                <w:szCs w:val="21"/>
              </w:rPr>
            </w:pPr>
          </w:p>
        </w:tc>
        <w:tc>
          <w:tcPr>
            <w:tcW w:w="2068" w:type="dxa"/>
            <w:vMerge w:val="continue"/>
            <w:vAlign w:val="center"/>
          </w:tcPr>
          <w:p w14:paraId="28B25B54">
            <w:pPr>
              <w:spacing w:line="400" w:lineRule="exact"/>
              <w:jc w:val="center"/>
              <w:rPr>
                <w:rFonts w:hint="eastAsia" w:ascii="宋体" w:hAnsi="宋体" w:eastAsia="宋体" w:cs="宋体"/>
                <w:szCs w:val="21"/>
              </w:rPr>
            </w:pPr>
          </w:p>
        </w:tc>
        <w:tc>
          <w:tcPr>
            <w:tcW w:w="5615" w:type="dxa"/>
            <w:vAlign w:val="center"/>
          </w:tcPr>
          <w:p w14:paraId="1AF527C3">
            <w:pPr>
              <w:spacing w:line="400" w:lineRule="exact"/>
              <w:rPr>
                <w:rFonts w:hint="eastAsia" w:ascii="宋体" w:hAnsi="宋体" w:eastAsia="宋体" w:cs="宋体"/>
                <w:szCs w:val="21"/>
              </w:rPr>
            </w:pPr>
            <w:r>
              <w:rPr>
                <w:rFonts w:hint="eastAsia" w:ascii="宋体" w:hAnsi="宋体" w:eastAsia="宋体" w:cs="宋体"/>
              </w:rPr>
              <w:t>…</w:t>
            </w:r>
          </w:p>
        </w:tc>
      </w:tr>
      <w:tr w14:paraId="3864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184FC530">
            <w:pPr>
              <w:spacing w:line="400" w:lineRule="exact"/>
              <w:jc w:val="center"/>
              <w:rPr>
                <w:rFonts w:hint="eastAsia" w:ascii="宋体" w:hAnsi="宋体" w:eastAsia="宋体" w:cs="宋体"/>
                <w:szCs w:val="21"/>
              </w:rPr>
            </w:pPr>
            <w:r>
              <w:rPr>
                <w:rFonts w:hint="eastAsia" w:ascii="宋体" w:hAnsi="宋体" w:eastAsia="宋体" w:cs="宋体"/>
              </w:rPr>
              <w:t>2</w:t>
            </w:r>
          </w:p>
        </w:tc>
        <w:tc>
          <w:tcPr>
            <w:tcW w:w="2068" w:type="dxa"/>
            <w:vMerge w:val="restart"/>
            <w:vAlign w:val="center"/>
          </w:tcPr>
          <w:p w14:paraId="759777AB">
            <w:pPr>
              <w:spacing w:line="400" w:lineRule="exact"/>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rPr>
              <w:t>设备</w:t>
            </w:r>
          </w:p>
        </w:tc>
        <w:tc>
          <w:tcPr>
            <w:tcW w:w="5615" w:type="dxa"/>
            <w:vAlign w:val="center"/>
          </w:tcPr>
          <w:p w14:paraId="4442C420">
            <w:pPr>
              <w:spacing w:line="400" w:lineRule="exact"/>
              <w:rPr>
                <w:rFonts w:hint="eastAsia" w:ascii="宋体" w:hAnsi="宋体" w:eastAsia="宋体" w:cs="宋体"/>
                <w:szCs w:val="21"/>
              </w:rPr>
            </w:pPr>
            <w:r>
              <w:rPr>
                <w:rFonts w:hint="eastAsia" w:ascii="宋体" w:hAnsi="宋体" w:eastAsia="宋体" w:cs="宋体"/>
              </w:rPr>
              <w:t>（1）</w:t>
            </w:r>
          </w:p>
        </w:tc>
      </w:tr>
      <w:tr w14:paraId="24BF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09CCDF92">
            <w:pPr>
              <w:spacing w:line="400" w:lineRule="exact"/>
              <w:jc w:val="center"/>
              <w:rPr>
                <w:rFonts w:hint="eastAsia" w:ascii="宋体" w:hAnsi="宋体" w:eastAsia="宋体" w:cs="宋体"/>
                <w:szCs w:val="21"/>
              </w:rPr>
            </w:pPr>
          </w:p>
        </w:tc>
        <w:tc>
          <w:tcPr>
            <w:tcW w:w="2068" w:type="dxa"/>
            <w:vMerge w:val="continue"/>
            <w:vAlign w:val="center"/>
          </w:tcPr>
          <w:p w14:paraId="3425DF6B">
            <w:pPr>
              <w:spacing w:line="400" w:lineRule="exact"/>
              <w:jc w:val="center"/>
              <w:rPr>
                <w:rFonts w:hint="eastAsia" w:ascii="宋体" w:hAnsi="宋体" w:eastAsia="宋体" w:cs="宋体"/>
                <w:szCs w:val="21"/>
              </w:rPr>
            </w:pPr>
          </w:p>
        </w:tc>
        <w:tc>
          <w:tcPr>
            <w:tcW w:w="5615" w:type="dxa"/>
            <w:vAlign w:val="center"/>
          </w:tcPr>
          <w:p w14:paraId="21C30149">
            <w:pPr>
              <w:spacing w:line="400" w:lineRule="exact"/>
              <w:rPr>
                <w:rFonts w:hint="eastAsia" w:ascii="宋体" w:hAnsi="宋体" w:eastAsia="宋体" w:cs="宋体"/>
                <w:szCs w:val="21"/>
              </w:rPr>
            </w:pPr>
            <w:r>
              <w:rPr>
                <w:rFonts w:hint="eastAsia" w:ascii="宋体" w:hAnsi="宋体" w:eastAsia="宋体" w:cs="宋体"/>
              </w:rPr>
              <w:t>（2）</w:t>
            </w:r>
          </w:p>
        </w:tc>
      </w:tr>
      <w:tr w14:paraId="2473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369C759C">
            <w:pPr>
              <w:spacing w:line="400" w:lineRule="exact"/>
              <w:jc w:val="center"/>
              <w:rPr>
                <w:rFonts w:hint="eastAsia" w:ascii="宋体" w:hAnsi="宋体" w:eastAsia="宋体" w:cs="宋体"/>
                <w:szCs w:val="21"/>
              </w:rPr>
            </w:pPr>
          </w:p>
        </w:tc>
        <w:tc>
          <w:tcPr>
            <w:tcW w:w="2068" w:type="dxa"/>
            <w:vMerge w:val="continue"/>
            <w:vAlign w:val="center"/>
          </w:tcPr>
          <w:p w14:paraId="2DAC279A">
            <w:pPr>
              <w:spacing w:line="400" w:lineRule="exact"/>
              <w:jc w:val="center"/>
              <w:rPr>
                <w:rFonts w:hint="eastAsia" w:ascii="宋体" w:hAnsi="宋体" w:eastAsia="宋体" w:cs="宋体"/>
                <w:szCs w:val="21"/>
              </w:rPr>
            </w:pPr>
          </w:p>
        </w:tc>
        <w:tc>
          <w:tcPr>
            <w:tcW w:w="5615" w:type="dxa"/>
            <w:vAlign w:val="center"/>
          </w:tcPr>
          <w:p w14:paraId="3F35D76E">
            <w:pPr>
              <w:spacing w:line="400" w:lineRule="exact"/>
              <w:rPr>
                <w:rFonts w:hint="eastAsia" w:ascii="宋体" w:hAnsi="宋体" w:eastAsia="宋体" w:cs="宋体"/>
                <w:szCs w:val="21"/>
              </w:rPr>
            </w:pPr>
            <w:r>
              <w:rPr>
                <w:rFonts w:hint="eastAsia" w:ascii="宋体" w:hAnsi="宋体" w:eastAsia="宋体" w:cs="宋体"/>
              </w:rPr>
              <w:t>…</w:t>
            </w:r>
          </w:p>
        </w:tc>
      </w:tr>
      <w:tr w14:paraId="7192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26BACF7B">
            <w:pPr>
              <w:spacing w:line="400" w:lineRule="exact"/>
              <w:jc w:val="center"/>
              <w:rPr>
                <w:rFonts w:hint="eastAsia" w:ascii="宋体" w:hAnsi="宋体" w:eastAsia="宋体" w:cs="宋体"/>
                <w:szCs w:val="21"/>
              </w:rPr>
            </w:pPr>
          </w:p>
        </w:tc>
        <w:tc>
          <w:tcPr>
            <w:tcW w:w="2068" w:type="dxa"/>
            <w:vMerge w:val="continue"/>
            <w:vAlign w:val="center"/>
          </w:tcPr>
          <w:p w14:paraId="199D441E">
            <w:pPr>
              <w:spacing w:line="400" w:lineRule="exact"/>
              <w:jc w:val="center"/>
              <w:rPr>
                <w:rFonts w:hint="eastAsia" w:ascii="宋体" w:hAnsi="宋体" w:eastAsia="宋体" w:cs="宋体"/>
                <w:szCs w:val="21"/>
              </w:rPr>
            </w:pPr>
          </w:p>
        </w:tc>
        <w:tc>
          <w:tcPr>
            <w:tcW w:w="5615" w:type="dxa"/>
            <w:vAlign w:val="center"/>
          </w:tcPr>
          <w:p w14:paraId="029CD33C">
            <w:pPr>
              <w:spacing w:line="400" w:lineRule="exact"/>
              <w:rPr>
                <w:rFonts w:hint="eastAsia" w:ascii="宋体" w:hAnsi="宋体" w:eastAsia="宋体" w:cs="宋体"/>
              </w:rPr>
            </w:pPr>
            <w:r>
              <w:rPr>
                <w:rFonts w:hint="eastAsia" w:ascii="宋体" w:hAnsi="宋体" w:eastAsia="宋体" w:cs="宋体"/>
              </w:rPr>
              <w:t>…</w:t>
            </w:r>
          </w:p>
        </w:tc>
      </w:tr>
      <w:tr w14:paraId="162F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6207DD1D">
            <w:pPr>
              <w:spacing w:line="400" w:lineRule="exact"/>
              <w:jc w:val="center"/>
              <w:rPr>
                <w:rFonts w:hint="eastAsia" w:ascii="宋体" w:hAnsi="宋体" w:eastAsia="宋体" w:cs="宋体"/>
                <w:szCs w:val="21"/>
              </w:rPr>
            </w:pPr>
            <w:r>
              <w:rPr>
                <w:rFonts w:hint="eastAsia" w:ascii="宋体" w:hAnsi="宋体" w:eastAsia="宋体" w:cs="宋体"/>
              </w:rPr>
              <w:t>…</w:t>
            </w:r>
          </w:p>
        </w:tc>
        <w:tc>
          <w:tcPr>
            <w:tcW w:w="2068" w:type="dxa"/>
            <w:vAlign w:val="center"/>
          </w:tcPr>
          <w:p w14:paraId="6645A523">
            <w:pPr>
              <w:spacing w:line="400" w:lineRule="exact"/>
              <w:jc w:val="center"/>
              <w:rPr>
                <w:rFonts w:hint="eastAsia" w:ascii="宋体" w:hAnsi="宋体" w:eastAsia="宋体" w:cs="宋体"/>
                <w:szCs w:val="21"/>
              </w:rPr>
            </w:pPr>
            <w:r>
              <w:rPr>
                <w:rFonts w:hint="eastAsia" w:ascii="宋体" w:hAnsi="宋体" w:eastAsia="宋体" w:cs="宋体"/>
              </w:rPr>
              <w:t>…</w:t>
            </w:r>
          </w:p>
        </w:tc>
        <w:tc>
          <w:tcPr>
            <w:tcW w:w="5615" w:type="dxa"/>
            <w:vAlign w:val="center"/>
          </w:tcPr>
          <w:p w14:paraId="23A11473">
            <w:pPr>
              <w:spacing w:line="400" w:lineRule="exact"/>
              <w:rPr>
                <w:rFonts w:hint="eastAsia" w:ascii="宋体" w:hAnsi="宋体" w:eastAsia="宋体" w:cs="宋体"/>
              </w:rPr>
            </w:pPr>
            <w:r>
              <w:rPr>
                <w:rFonts w:hint="eastAsia" w:ascii="宋体" w:hAnsi="宋体" w:eastAsia="宋体" w:cs="宋体"/>
              </w:rPr>
              <w:t>…</w:t>
            </w:r>
          </w:p>
        </w:tc>
      </w:tr>
      <w:tr w14:paraId="1402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71774057">
            <w:pPr>
              <w:spacing w:line="400" w:lineRule="exact"/>
              <w:jc w:val="center"/>
              <w:rPr>
                <w:rFonts w:hint="eastAsia" w:ascii="宋体" w:hAnsi="宋体" w:eastAsia="宋体" w:cs="宋体"/>
                <w:szCs w:val="21"/>
              </w:rPr>
            </w:pPr>
            <w:r>
              <w:rPr>
                <w:rFonts w:hint="eastAsia" w:ascii="宋体" w:hAnsi="宋体" w:eastAsia="宋体" w:cs="宋体"/>
              </w:rPr>
              <w:t>…</w:t>
            </w:r>
          </w:p>
        </w:tc>
        <w:tc>
          <w:tcPr>
            <w:tcW w:w="2068" w:type="dxa"/>
            <w:vAlign w:val="center"/>
          </w:tcPr>
          <w:p w14:paraId="625E02CA">
            <w:pPr>
              <w:spacing w:line="400" w:lineRule="exact"/>
              <w:jc w:val="center"/>
              <w:rPr>
                <w:rFonts w:hint="eastAsia" w:ascii="宋体" w:hAnsi="宋体" w:eastAsia="宋体" w:cs="宋体"/>
                <w:szCs w:val="21"/>
              </w:rPr>
            </w:pPr>
            <w:r>
              <w:rPr>
                <w:rFonts w:hint="eastAsia" w:ascii="宋体" w:hAnsi="宋体" w:eastAsia="宋体" w:cs="宋体"/>
              </w:rPr>
              <w:t>…</w:t>
            </w:r>
          </w:p>
        </w:tc>
        <w:tc>
          <w:tcPr>
            <w:tcW w:w="5615" w:type="dxa"/>
            <w:vAlign w:val="center"/>
          </w:tcPr>
          <w:p w14:paraId="1B2A65E1">
            <w:pPr>
              <w:spacing w:line="400" w:lineRule="exact"/>
              <w:rPr>
                <w:rFonts w:hint="eastAsia" w:ascii="宋体" w:hAnsi="宋体" w:eastAsia="宋体" w:cs="宋体"/>
              </w:rPr>
            </w:pPr>
            <w:r>
              <w:rPr>
                <w:rFonts w:hint="eastAsia" w:ascii="宋体" w:hAnsi="宋体" w:eastAsia="宋体" w:cs="宋体"/>
              </w:rPr>
              <w:t>…</w:t>
            </w:r>
          </w:p>
        </w:tc>
      </w:tr>
      <w:tr w14:paraId="7B44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7BEF3358">
            <w:pPr>
              <w:spacing w:line="400" w:lineRule="exact"/>
              <w:jc w:val="center"/>
              <w:rPr>
                <w:rFonts w:hint="eastAsia" w:ascii="宋体" w:hAnsi="宋体" w:eastAsia="宋体" w:cs="宋体"/>
                <w:szCs w:val="21"/>
              </w:rPr>
            </w:pPr>
            <w:r>
              <w:rPr>
                <w:rFonts w:hint="eastAsia" w:ascii="宋体" w:hAnsi="宋体" w:eastAsia="宋体" w:cs="宋体"/>
                <w:szCs w:val="21"/>
              </w:rPr>
              <w:t>二</w:t>
            </w:r>
          </w:p>
        </w:tc>
        <w:tc>
          <w:tcPr>
            <w:tcW w:w="7683" w:type="dxa"/>
            <w:gridSpan w:val="2"/>
            <w:vAlign w:val="center"/>
          </w:tcPr>
          <w:p w14:paraId="102FCFC6">
            <w:pPr>
              <w:spacing w:line="400" w:lineRule="exact"/>
              <w:rPr>
                <w:rFonts w:hint="eastAsia" w:ascii="宋体" w:hAnsi="宋体" w:eastAsia="宋体" w:cs="宋体"/>
              </w:rPr>
            </w:pPr>
            <w:r>
              <w:rPr>
                <w:rFonts w:hint="eastAsia" w:ascii="宋体" w:hAnsi="宋体" w:eastAsia="宋体" w:cs="宋体"/>
                <w:szCs w:val="21"/>
              </w:rPr>
              <w:t>××系统</w:t>
            </w:r>
          </w:p>
        </w:tc>
      </w:tr>
      <w:tr w14:paraId="757A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3EE36FB3">
            <w:pPr>
              <w:spacing w:line="400" w:lineRule="exact"/>
              <w:jc w:val="center"/>
              <w:rPr>
                <w:rFonts w:hint="eastAsia" w:ascii="宋体" w:hAnsi="宋体" w:eastAsia="宋体" w:cs="宋体"/>
                <w:szCs w:val="21"/>
              </w:rPr>
            </w:pPr>
            <w:r>
              <w:rPr>
                <w:rFonts w:hint="eastAsia" w:ascii="宋体" w:hAnsi="宋体" w:eastAsia="宋体" w:cs="宋体"/>
              </w:rPr>
              <w:t>1</w:t>
            </w:r>
          </w:p>
        </w:tc>
        <w:tc>
          <w:tcPr>
            <w:tcW w:w="2068" w:type="dxa"/>
            <w:vMerge w:val="restart"/>
            <w:vAlign w:val="center"/>
          </w:tcPr>
          <w:p w14:paraId="71501A0F">
            <w:pPr>
              <w:spacing w:line="400" w:lineRule="exact"/>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rPr>
              <w:t>设备</w:t>
            </w:r>
          </w:p>
        </w:tc>
        <w:tc>
          <w:tcPr>
            <w:tcW w:w="5615" w:type="dxa"/>
            <w:vAlign w:val="center"/>
          </w:tcPr>
          <w:p w14:paraId="1414AE76">
            <w:pPr>
              <w:spacing w:line="400" w:lineRule="exact"/>
              <w:rPr>
                <w:rFonts w:hint="eastAsia" w:ascii="宋体" w:hAnsi="宋体" w:eastAsia="宋体" w:cs="宋体"/>
              </w:rPr>
            </w:pPr>
            <w:r>
              <w:rPr>
                <w:rFonts w:hint="eastAsia" w:ascii="宋体" w:hAnsi="宋体" w:eastAsia="宋体" w:cs="宋体"/>
                <w:szCs w:val="21"/>
              </w:rPr>
              <w:t>（1</w:t>
            </w:r>
            <w:r>
              <w:rPr>
                <w:rFonts w:hint="eastAsia" w:ascii="宋体" w:hAnsi="宋体" w:eastAsia="宋体" w:cs="宋体"/>
              </w:rPr>
              <w:t xml:space="preserve">）   </w:t>
            </w:r>
          </w:p>
        </w:tc>
      </w:tr>
      <w:tr w14:paraId="12FA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15D48223">
            <w:pPr>
              <w:spacing w:line="400" w:lineRule="exact"/>
              <w:jc w:val="center"/>
              <w:rPr>
                <w:rFonts w:hint="eastAsia" w:ascii="宋体" w:hAnsi="宋体" w:eastAsia="宋体" w:cs="宋体"/>
                <w:szCs w:val="21"/>
              </w:rPr>
            </w:pPr>
          </w:p>
        </w:tc>
        <w:tc>
          <w:tcPr>
            <w:tcW w:w="2068" w:type="dxa"/>
            <w:vMerge w:val="continue"/>
            <w:vAlign w:val="center"/>
          </w:tcPr>
          <w:p w14:paraId="50B21071">
            <w:pPr>
              <w:spacing w:line="400" w:lineRule="exact"/>
              <w:jc w:val="center"/>
              <w:rPr>
                <w:rFonts w:hint="eastAsia" w:ascii="宋体" w:hAnsi="宋体" w:eastAsia="宋体" w:cs="宋体"/>
                <w:szCs w:val="21"/>
              </w:rPr>
            </w:pPr>
          </w:p>
        </w:tc>
        <w:tc>
          <w:tcPr>
            <w:tcW w:w="5615" w:type="dxa"/>
            <w:vAlign w:val="center"/>
          </w:tcPr>
          <w:p w14:paraId="313F2F7E">
            <w:pPr>
              <w:spacing w:line="400" w:lineRule="exact"/>
              <w:rPr>
                <w:rFonts w:hint="eastAsia" w:ascii="宋体" w:hAnsi="宋体" w:eastAsia="宋体" w:cs="宋体"/>
              </w:rPr>
            </w:pPr>
            <w:r>
              <w:rPr>
                <w:rFonts w:hint="eastAsia" w:ascii="宋体" w:hAnsi="宋体" w:eastAsia="宋体" w:cs="宋体"/>
              </w:rPr>
              <w:t>（2）</w:t>
            </w:r>
          </w:p>
        </w:tc>
      </w:tr>
      <w:tr w14:paraId="17AC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5FACA556">
            <w:pPr>
              <w:spacing w:line="400" w:lineRule="exact"/>
              <w:jc w:val="center"/>
              <w:rPr>
                <w:rFonts w:hint="eastAsia" w:ascii="宋体" w:hAnsi="宋体" w:eastAsia="宋体" w:cs="宋体"/>
                <w:szCs w:val="21"/>
              </w:rPr>
            </w:pPr>
          </w:p>
        </w:tc>
        <w:tc>
          <w:tcPr>
            <w:tcW w:w="2068" w:type="dxa"/>
            <w:vMerge w:val="continue"/>
            <w:vAlign w:val="center"/>
          </w:tcPr>
          <w:p w14:paraId="1A59271F">
            <w:pPr>
              <w:spacing w:line="400" w:lineRule="exact"/>
              <w:jc w:val="center"/>
              <w:rPr>
                <w:rFonts w:hint="eastAsia" w:ascii="宋体" w:hAnsi="宋体" w:eastAsia="宋体" w:cs="宋体"/>
                <w:szCs w:val="21"/>
              </w:rPr>
            </w:pPr>
          </w:p>
        </w:tc>
        <w:tc>
          <w:tcPr>
            <w:tcW w:w="5615" w:type="dxa"/>
            <w:vAlign w:val="center"/>
          </w:tcPr>
          <w:p w14:paraId="099EC3B2">
            <w:pPr>
              <w:spacing w:line="400" w:lineRule="exact"/>
              <w:rPr>
                <w:rFonts w:hint="eastAsia" w:ascii="宋体" w:hAnsi="宋体" w:eastAsia="宋体" w:cs="宋体"/>
              </w:rPr>
            </w:pPr>
            <w:r>
              <w:rPr>
                <w:rFonts w:hint="eastAsia" w:ascii="宋体" w:hAnsi="宋体" w:eastAsia="宋体" w:cs="宋体"/>
              </w:rPr>
              <w:t>…</w:t>
            </w:r>
          </w:p>
        </w:tc>
      </w:tr>
      <w:tr w14:paraId="7736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2E816F3B">
            <w:pPr>
              <w:spacing w:line="400" w:lineRule="exact"/>
              <w:jc w:val="center"/>
              <w:rPr>
                <w:rFonts w:hint="eastAsia" w:ascii="宋体" w:hAnsi="宋体" w:eastAsia="宋体" w:cs="宋体"/>
                <w:szCs w:val="21"/>
              </w:rPr>
            </w:pPr>
          </w:p>
        </w:tc>
        <w:tc>
          <w:tcPr>
            <w:tcW w:w="2068" w:type="dxa"/>
            <w:vMerge w:val="continue"/>
            <w:vAlign w:val="center"/>
          </w:tcPr>
          <w:p w14:paraId="357FD47F">
            <w:pPr>
              <w:spacing w:line="400" w:lineRule="exact"/>
              <w:jc w:val="center"/>
              <w:rPr>
                <w:rFonts w:hint="eastAsia" w:ascii="宋体" w:hAnsi="宋体" w:eastAsia="宋体" w:cs="宋体"/>
                <w:szCs w:val="21"/>
              </w:rPr>
            </w:pPr>
          </w:p>
        </w:tc>
        <w:tc>
          <w:tcPr>
            <w:tcW w:w="5615" w:type="dxa"/>
            <w:vAlign w:val="center"/>
          </w:tcPr>
          <w:p w14:paraId="510CC1D7">
            <w:pPr>
              <w:spacing w:line="400" w:lineRule="exact"/>
              <w:rPr>
                <w:rFonts w:hint="eastAsia" w:ascii="宋体" w:hAnsi="宋体" w:eastAsia="宋体" w:cs="宋体"/>
              </w:rPr>
            </w:pPr>
            <w:r>
              <w:rPr>
                <w:rFonts w:hint="eastAsia" w:ascii="宋体" w:hAnsi="宋体" w:eastAsia="宋体" w:cs="宋体"/>
              </w:rPr>
              <w:t>…</w:t>
            </w:r>
          </w:p>
        </w:tc>
      </w:tr>
      <w:tr w14:paraId="4763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2826D970">
            <w:pPr>
              <w:spacing w:line="400" w:lineRule="exact"/>
              <w:jc w:val="center"/>
              <w:rPr>
                <w:rFonts w:hint="eastAsia" w:ascii="宋体" w:hAnsi="宋体" w:eastAsia="宋体" w:cs="宋体"/>
                <w:szCs w:val="21"/>
              </w:rPr>
            </w:pPr>
            <w:r>
              <w:rPr>
                <w:rFonts w:hint="eastAsia" w:ascii="宋体" w:hAnsi="宋体" w:eastAsia="宋体" w:cs="宋体"/>
              </w:rPr>
              <w:t>2</w:t>
            </w:r>
          </w:p>
        </w:tc>
        <w:tc>
          <w:tcPr>
            <w:tcW w:w="2068" w:type="dxa"/>
            <w:vMerge w:val="restart"/>
            <w:vAlign w:val="center"/>
          </w:tcPr>
          <w:p w14:paraId="622C9702">
            <w:pPr>
              <w:spacing w:line="400" w:lineRule="exact"/>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rPr>
              <w:t>设备</w:t>
            </w:r>
          </w:p>
        </w:tc>
        <w:tc>
          <w:tcPr>
            <w:tcW w:w="5615" w:type="dxa"/>
            <w:vAlign w:val="center"/>
          </w:tcPr>
          <w:p w14:paraId="0F55D142">
            <w:pPr>
              <w:spacing w:line="400" w:lineRule="exact"/>
              <w:rPr>
                <w:rFonts w:hint="eastAsia" w:ascii="宋体" w:hAnsi="宋体" w:eastAsia="宋体" w:cs="宋体"/>
              </w:rPr>
            </w:pPr>
            <w:r>
              <w:rPr>
                <w:rFonts w:hint="eastAsia" w:ascii="宋体" w:hAnsi="宋体" w:eastAsia="宋体" w:cs="宋体"/>
              </w:rPr>
              <w:t>（1）</w:t>
            </w:r>
          </w:p>
        </w:tc>
      </w:tr>
      <w:tr w14:paraId="1570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3478025D">
            <w:pPr>
              <w:spacing w:line="400" w:lineRule="exact"/>
              <w:jc w:val="center"/>
              <w:rPr>
                <w:rFonts w:hint="eastAsia" w:ascii="宋体" w:hAnsi="宋体" w:eastAsia="宋体" w:cs="宋体"/>
                <w:szCs w:val="21"/>
              </w:rPr>
            </w:pPr>
          </w:p>
        </w:tc>
        <w:tc>
          <w:tcPr>
            <w:tcW w:w="2068" w:type="dxa"/>
            <w:vMerge w:val="continue"/>
            <w:vAlign w:val="center"/>
          </w:tcPr>
          <w:p w14:paraId="456D1F63">
            <w:pPr>
              <w:spacing w:line="400" w:lineRule="exact"/>
              <w:jc w:val="center"/>
              <w:rPr>
                <w:rFonts w:hint="eastAsia" w:ascii="宋体" w:hAnsi="宋体" w:eastAsia="宋体" w:cs="宋体"/>
                <w:szCs w:val="21"/>
              </w:rPr>
            </w:pPr>
          </w:p>
        </w:tc>
        <w:tc>
          <w:tcPr>
            <w:tcW w:w="5615" w:type="dxa"/>
            <w:vAlign w:val="center"/>
          </w:tcPr>
          <w:p w14:paraId="0388ED20">
            <w:pPr>
              <w:spacing w:line="400" w:lineRule="exact"/>
              <w:rPr>
                <w:rFonts w:hint="eastAsia" w:ascii="宋体" w:hAnsi="宋体" w:eastAsia="宋体" w:cs="宋体"/>
              </w:rPr>
            </w:pPr>
            <w:r>
              <w:rPr>
                <w:rFonts w:hint="eastAsia" w:ascii="宋体" w:hAnsi="宋体" w:eastAsia="宋体" w:cs="宋体"/>
              </w:rPr>
              <w:t>（2）</w:t>
            </w:r>
          </w:p>
        </w:tc>
      </w:tr>
      <w:tr w14:paraId="1FBD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52550BC0">
            <w:pPr>
              <w:spacing w:line="400" w:lineRule="exact"/>
              <w:jc w:val="center"/>
              <w:rPr>
                <w:rFonts w:hint="eastAsia" w:ascii="宋体" w:hAnsi="宋体" w:eastAsia="宋体" w:cs="宋体"/>
                <w:szCs w:val="21"/>
              </w:rPr>
            </w:pPr>
          </w:p>
        </w:tc>
        <w:tc>
          <w:tcPr>
            <w:tcW w:w="2068" w:type="dxa"/>
            <w:vMerge w:val="continue"/>
            <w:vAlign w:val="center"/>
          </w:tcPr>
          <w:p w14:paraId="7FF86C57">
            <w:pPr>
              <w:spacing w:line="400" w:lineRule="exact"/>
              <w:jc w:val="center"/>
              <w:rPr>
                <w:rFonts w:hint="eastAsia" w:ascii="宋体" w:hAnsi="宋体" w:eastAsia="宋体" w:cs="宋体"/>
                <w:szCs w:val="21"/>
              </w:rPr>
            </w:pPr>
          </w:p>
        </w:tc>
        <w:tc>
          <w:tcPr>
            <w:tcW w:w="5615" w:type="dxa"/>
            <w:vAlign w:val="center"/>
          </w:tcPr>
          <w:p w14:paraId="3D749579">
            <w:pPr>
              <w:spacing w:line="400" w:lineRule="exact"/>
              <w:rPr>
                <w:rFonts w:hint="eastAsia" w:ascii="宋体" w:hAnsi="宋体" w:eastAsia="宋体" w:cs="宋体"/>
              </w:rPr>
            </w:pPr>
            <w:r>
              <w:rPr>
                <w:rFonts w:hint="eastAsia" w:ascii="宋体" w:hAnsi="宋体" w:eastAsia="宋体" w:cs="宋体"/>
              </w:rPr>
              <w:t>…</w:t>
            </w:r>
          </w:p>
        </w:tc>
      </w:tr>
      <w:tr w14:paraId="152C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6CC5B424">
            <w:pPr>
              <w:spacing w:line="400" w:lineRule="exact"/>
              <w:jc w:val="center"/>
              <w:rPr>
                <w:rFonts w:hint="eastAsia" w:ascii="宋体" w:hAnsi="宋体" w:eastAsia="宋体" w:cs="宋体"/>
                <w:szCs w:val="21"/>
              </w:rPr>
            </w:pPr>
          </w:p>
        </w:tc>
        <w:tc>
          <w:tcPr>
            <w:tcW w:w="2068" w:type="dxa"/>
            <w:vMerge w:val="continue"/>
            <w:vAlign w:val="center"/>
          </w:tcPr>
          <w:p w14:paraId="5EF3BBF2">
            <w:pPr>
              <w:spacing w:line="400" w:lineRule="exact"/>
              <w:jc w:val="center"/>
              <w:rPr>
                <w:rFonts w:hint="eastAsia" w:ascii="宋体" w:hAnsi="宋体" w:eastAsia="宋体" w:cs="宋体"/>
                <w:szCs w:val="21"/>
              </w:rPr>
            </w:pPr>
          </w:p>
        </w:tc>
        <w:tc>
          <w:tcPr>
            <w:tcW w:w="5615" w:type="dxa"/>
            <w:vAlign w:val="center"/>
          </w:tcPr>
          <w:p w14:paraId="2ED0D3A4">
            <w:pPr>
              <w:spacing w:line="400" w:lineRule="exact"/>
              <w:rPr>
                <w:rFonts w:hint="eastAsia" w:ascii="宋体" w:hAnsi="宋体" w:eastAsia="宋体" w:cs="宋体"/>
              </w:rPr>
            </w:pPr>
            <w:r>
              <w:rPr>
                <w:rFonts w:hint="eastAsia" w:ascii="宋体" w:hAnsi="宋体" w:eastAsia="宋体" w:cs="宋体"/>
              </w:rPr>
              <w:t>…</w:t>
            </w:r>
          </w:p>
        </w:tc>
      </w:tr>
      <w:tr w14:paraId="78FA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73955070">
            <w:pPr>
              <w:spacing w:line="400" w:lineRule="exact"/>
              <w:jc w:val="center"/>
              <w:rPr>
                <w:rFonts w:hint="eastAsia" w:ascii="宋体" w:hAnsi="宋体" w:eastAsia="宋体" w:cs="宋体"/>
                <w:szCs w:val="21"/>
              </w:rPr>
            </w:pPr>
            <w:r>
              <w:rPr>
                <w:rFonts w:hint="eastAsia" w:ascii="宋体" w:hAnsi="宋体" w:eastAsia="宋体" w:cs="宋体"/>
              </w:rPr>
              <w:t>…</w:t>
            </w:r>
          </w:p>
        </w:tc>
        <w:tc>
          <w:tcPr>
            <w:tcW w:w="2068" w:type="dxa"/>
            <w:vAlign w:val="center"/>
          </w:tcPr>
          <w:p w14:paraId="5849CA5A">
            <w:pPr>
              <w:spacing w:line="400" w:lineRule="exact"/>
              <w:jc w:val="center"/>
              <w:rPr>
                <w:rFonts w:hint="eastAsia" w:ascii="宋体" w:hAnsi="宋体" w:eastAsia="宋体" w:cs="宋体"/>
                <w:szCs w:val="21"/>
              </w:rPr>
            </w:pPr>
            <w:r>
              <w:rPr>
                <w:rFonts w:hint="eastAsia" w:ascii="宋体" w:hAnsi="宋体" w:eastAsia="宋体" w:cs="宋体"/>
              </w:rPr>
              <w:t>…</w:t>
            </w:r>
          </w:p>
        </w:tc>
        <w:tc>
          <w:tcPr>
            <w:tcW w:w="5615" w:type="dxa"/>
            <w:vAlign w:val="center"/>
          </w:tcPr>
          <w:p w14:paraId="08CE8487">
            <w:pPr>
              <w:spacing w:line="400" w:lineRule="exact"/>
              <w:rPr>
                <w:rFonts w:hint="eastAsia" w:ascii="宋体" w:hAnsi="宋体" w:eastAsia="宋体" w:cs="宋体"/>
              </w:rPr>
            </w:pPr>
            <w:r>
              <w:rPr>
                <w:rFonts w:hint="eastAsia" w:ascii="宋体" w:hAnsi="宋体" w:eastAsia="宋体" w:cs="宋体"/>
              </w:rPr>
              <w:t>…</w:t>
            </w:r>
          </w:p>
        </w:tc>
      </w:tr>
      <w:tr w14:paraId="786A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6AA64F67">
            <w:pPr>
              <w:spacing w:line="400" w:lineRule="exact"/>
              <w:jc w:val="center"/>
              <w:rPr>
                <w:rFonts w:hint="eastAsia" w:ascii="宋体" w:hAnsi="宋体" w:eastAsia="宋体" w:cs="宋体"/>
                <w:szCs w:val="21"/>
              </w:rPr>
            </w:pPr>
            <w:r>
              <w:rPr>
                <w:rFonts w:hint="eastAsia" w:ascii="宋体" w:hAnsi="宋体" w:eastAsia="宋体" w:cs="宋体"/>
              </w:rPr>
              <w:t>…</w:t>
            </w:r>
          </w:p>
        </w:tc>
        <w:tc>
          <w:tcPr>
            <w:tcW w:w="2068" w:type="dxa"/>
            <w:vAlign w:val="center"/>
          </w:tcPr>
          <w:p w14:paraId="734C98B7">
            <w:pPr>
              <w:spacing w:line="400" w:lineRule="exact"/>
              <w:jc w:val="center"/>
              <w:rPr>
                <w:rFonts w:hint="eastAsia" w:ascii="宋体" w:hAnsi="宋体" w:eastAsia="宋体" w:cs="宋体"/>
                <w:szCs w:val="21"/>
              </w:rPr>
            </w:pPr>
            <w:r>
              <w:rPr>
                <w:rFonts w:hint="eastAsia" w:ascii="宋体" w:hAnsi="宋体" w:eastAsia="宋体" w:cs="宋体"/>
              </w:rPr>
              <w:t>…</w:t>
            </w:r>
          </w:p>
        </w:tc>
        <w:tc>
          <w:tcPr>
            <w:tcW w:w="5615" w:type="dxa"/>
            <w:vAlign w:val="center"/>
          </w:tcPr>
          <w:p w14:paraId="3B7E89D2">
            <w:pPr>
              <w:spacing w:line="400" w:lineRule="exact"/>
              <w:rPr>
                <w:rFonts w:hint="eastAsia" w:ascii="宋体" w:hAnsi="宋体" w:eastAsia="宋体" w:cs="宋体"/>
              </w:rPr>
            </w:pPr>
            <w:r>
              <w:rPr>
                <w:rFonts w:hint="eastAsia" w:ascii="宋体" w:hAnsi="宋体" w:eastAsia="宋体" w:cs="宋体"/>
              </w:rPr>
              <w:t>…</w:t>
            </w:r>
          </w:p>
        </w:tc>
      </w:tr>
    </w:tbl>
    <w:p w14:paraId="2189E53D">
      <w:pPr>
        <w:pStyle w:val="26"/>
        <w:jc w:val="left"/>
        <w:rPr>
          <w:rFonts w:hAnsi="宋体"/>
        </w:rPr>
      </w:pPr>
    </w:p>
    <w:p w14:paraId="3A0803BA">
      <w:pPr>
        <w:spacing w:line="360" w:lineRule="auto"/>
        <w:ind w:left="0" w:leftChars="0" w:firstLine="0" w:firstLineChars="0"/>
        <w:rPr>
          <w:rFonts w:asciiTheme="minorEastAsia" w:hAnsiTheme="minorEastAsia" w:eastAsiaTheme="minorEastAsia"/>
        </w:rPr>
      </w:pPr>
      <w:r>
        <w:rPr>
          <w:rFonts w:ascii="宋体" w:hAnsi="宋体"/>
          <w:szCs w:val="21"/>
        </w:rPr>
        <w:t>注</w:t>
      </w:r>
      <w:r>
        <w:rPr>
          <w:rFonts w:hint="eastAsia" w:ascii="宋体" w:hAnsi="宋体"/>
          <w:szCs w:val="21"/>
        </w:rPr>
        <w:t>：1.</w:t>
      </w:r>
      <w:r>
        <w:rPr>
          <w:rFonts w:hint="eastAsia" w:asciiTheme="minorEastAsia" w:hAnsiTheme="minorEastAsia" w:eastAsiaTheme="minorEastAsia"/>
        </w:rPr>
        <w:t>如本表“主要</w:t>
      </w:r>
      <w:r>
        <w:rPr>
          <w:rFonts w:hint="eastAsia" w:asciiTheme="minorEastAsia" w:hAnsiTheme="minorEastAsia" w:eastAsiaTheme="minorEastAsia"/>
          <w:szCs w:val="21"/>
        </w:rPr>
        <w:t>技术</w:t>
      </w:r>
      <w:r>
        <w:rPr>
          <w:rFonts w:hint="eastAsia" w:asciiTheme="minorEastAsia" w:hAnsiTheme="minorEastAsia" w:eastAsiaTheme="minorEastAsia"/>
        </w:rPr>
        <w:t>性能指标</w:t>
      </w:r>
      <w:r>
        <w:rPr>
          <w:rFonts w:hint="eastAsia" w:asciiTheme="minorEastAsia" w:hAnsiTheme="minorEastAsia" w:eastAsiaTheme="minorEastAsia"/>
          <w:szCs w:val="21"/>
        </w:rPr>
        <w:t>最低</w:t>
      </w:r>
      <w:r>
        <w:rPr>
          <w:rFonts w:hint="eastAsia" w:asciiTheme="minorEastAsia" w:hAnsiTheme="minorEastAsia" w:eastAsiaTheme="minorEastAsia"/>
        </w:rPr>
        <w:t>要求”与技术规范不一致，以本表中主要性能指标要求为准。</w:t>
      </w:r>
    </w:p>
    <w:p w14:paraId="5E5D1A20">
      <w:pPr>
        <w:spacing w:line="360" w:lineRule="auto"/>
        <w:ind w:left="0" w:leftChars="0" w:firstLine="420" w:firstLineChars="200"/>
        <w:rPr>
          <w:rFonts w:ascii="宋体" w:hAnsi="宋体"/>
          <w:szCs w:val="21"/>
        </w:rPr>
      </w:pPr>
      <w:r>
        <w:rPr>
          <w:rFonts w:ascii="宋体" w:hAnsi="宋体"/>
          <w:szCs w:val="21"/>
        </w:rPr>
        <w:t>2.标范围包含机电工程时，招标人根据项目施工图设计及技术规范要求，可对关键机电工程设备提出具体技术指标要求。</w:t>
      </w:r>
    </w:p>
    <w:p w14:paraId="4F68BF7A">
      <w:pPr>
        <w:spacing w:line="360" w:lineRule="auto"/>
        <w:ind w:left="0" w:leftChars="0" w:firstLine="420" w:firstLineChars="200"/>
        <w:rPr>
          <w:rFonts w:ascii="宋体" w:hAnsi="宋体"/>
          <w:szCs w:val="21"/>
        </w:rPr>
      </w:pPr>
      <w:r>
        <w:rPr>
          <w:rFonts w:ascii="宋体" w:hAnsi="宋体"/>
          <w:szCs w:val="21"/>
        </w:rPr>
        <w:t>3.</w:t>
      </w:r>
      <w:r>
        <w:rPr>
          <w:rFonts w:hint="eastAsia" w:ascii="宋体" w:hAnsi="宋体"/>
          <w:szCs w:val="21"/>
        </w:rPr>
        <w:t>招标人对关键机电设备的技术指标要求，从三大系统（通信、监控、收费），或者隧道机电（监控、通风、供配电、照明、消防、其他）等方面分系统描述。例如“通信系统”、“监控系统”、“隧道监控系统”、…。</w:t>
      </w:r>
    </w:p>
    <w:p w14:paraId="4927ADCD">
      <w:pPr>
        <w:spacing w:line="360" w:lineRule="auto"/>
        <w:ind w:left="0" w:leftChars="0" w:firstLine="420" w:firstLineChars="200"/>
        <w:rPr>
          <w:rFonts w:ascii="宋体" w:hAnsi="宋体"/>
          <w:szCs w:val="21"/>
        </w:rPr>
      </w:pPr>
      <w:r>
        <w:rPr>
          <w:rFonts w:ascii="宋体" w:hAnsi="宋体"/>
          <w:szCs w:val="21"/>
        </w:rPr>
        <w:t>4.</w:t>
      </w:r>
      <w:r>
        <w:rPr>
          <w:rFonts w:hint="eastAsia" w:ascii="宋体" w:hAnsi="宋体"/>
          <w:szCs w:val="21"/>
        </w:rPr>
        <w:t>招标人对关键机电设备技术指标要求，此栏列明需要提出要求的具体“设备名称”，例如“高清智能球机”“高清车辆识别一体机”……。</w:t>
      </w:r>
    </w:p>
    <w:p w14:paraId="5F074438">
      <w:pPr>
        <w:spacing w:line="240" w:lineRule="auto"/>
        <w:ind w:firstLine="420" w:firstLineChars="200"/>
        <w:rPr>
          <w:rFonts w:ascii="黑体" w:hAnsi="黑体" w:eastAsia="黑体"/>
          <w:sz w:val="28"/>
          <w:szCs w:val="28"/>
        </w:rPr>
      </w:pPr>
      <w:r>
        <w:rPr>
          <w:rFonts w:ascii="宋体" w:hAnsi="宋体"/>
          <w:szCs w:val="21"/>
        </w:rPr>
        <w:t>5.逐一列出各项技术指标，主要技术性能指标可为具体的参数或是功能性的要求或是使用业绩要求。</w:t>
      </w:r>
      <w:r>
        <w:rPr>
          <w:rFonts w:ascii="黑体" w:hAnsi="黑体" w:eastAsia="黑体"/>
          <w:sz w:val="28"/>
          <w:szCs w:val="28"/>
        </w:rPr>
        <w:br w:type="page"/>
      </w:r>
    </w:p>
    <w:p w14:paraId="466E9D67">
      <w:pPr>
        <w:pStyle w:val="3"/>
        <w:spacing w:before="240" w:after="240" w:line="360" w:lineRule="auto"/>
        <w:jc w:val="left"/>
        <w:rPr>
          <w:rFonts w:ascii="Arial" w:hAnsi="Arial" w:eastAsia="黑体"/>
          <w:sz w:val="28"/>
          <w:szCs w:val="32"/>
        </w:rPr>
      </w:pPr>
      <w:r>
        <w:rPr>
          <w:rFonts w:ascii="Arial" w:hAnsi="Arial" w:eastAsia="黑体"/>
          <w:sz w:val="28"/>
          <w:szCs w:val="32"/>
        </w:rPr>
        <w:t>1. 总则</w:t>
      </w:r>
      <w:bookmarkEnd w:id="144"/>
      <w:bookmarkEnd w:id="145"/>
      <w:bookmarkEnd w:id="146"/>
      <w:bookmarkEnd w:id="147"/>
      <w:bookmarkEnd w:id="148"/>
      <w:bookmarkEnd w:id="149"/>
      <w:bookmarkEnd w:id="150"/>
    </w:p>
    <w:p w14:paraId="6FE7E0C8">
      <w:pPr>
        <w:pStyle w:val="4"/>
        <w:keepNext/>
        <w:keepLines/>
        <w:pageBreakBefore w:val="0"/>
        <w:widowControl w:val="0"/>
        <w:kinsoku/>
        <w:wordWrap/>
        <w:overflowPunct/>
        <w:topLinePunct w:val="0"/>
        <w:autoSpaceDE/>
        <w:autoSpaceDN/>
        <w:bidi w:val="0"/>
        <w:adjustRightInd/>
        <w:snapToGrid/>
        <w:spacing w:before="0" w:beforeLines="0" w:after="0" w:afterLines="0" w:afterAutospacing="0" w:line="360" w:lineRule="auto"/>
        <w:jc w:val="both"/>
        <w:textAlignment w:val="auto"/>
        <w:rPr>
          <w:rFonts w:ascii="Times New Roman" w:eastAsia="黑体"/>
          <w:b w:val="0"/>
          <w:bCs w:val="0"/>
          <w:sz w:val="28"/>
          <w:szCs w:val="32"/>
        </w:rPr>
      </w:pPr>
      <w:bookmarkStart w:id="151" w:name="_Toc27059491"/>
      <w:bookmarkStart w:id="152" w:name="_Toc27059864"/>
      <w:bookmarkStart w:id="153" w:name="_Toc501257061"/>
      <w:bookmarkStart w:id="154" w:name="_Toc234832871"/>
      <w:bookmarkStart w:id="155" w:name="_Toc27059762"/>
      <w:bookmarkStart w:id="156" w:name="_Toc53685587"/>
      <w:bookmarkStart w:id="157" w:name="_Toc27060660"/>
      <w:bookmarkStart w:id="158" w:name="_Toc27059672"/>
      <w:r>
        <w:rPr>
          <w:rFonts w:ascii="Times New Roman" w:eastAsia="黑体"/>
          <w:b w:val="0"/>
          <w:bCs w:val="0"/>
          <w:sz w:val="28"/>
          <w:szCs w:val="32"/>
        </w:rPr>
        <w:t xml:space="preserve">1.1 </w:t>
      </w:r>
      <w:r>
        <w:rPr>
          <w:rFonts w:hint="default" w:ascii="Times New Roman" w:eastAsia="黑体"/>
          <w:b w:val="0"/>
          <w:bCs w:val="0"/>
          <w:sz w:val="28"/>
          <w:szCs w:val="32"/>
        </w:rPr>
        <w:t>项目概况</w:t>
      </w:r>
      <w:bookmarkEnd w:id="151"/>
      <w:bookmarkEnd w:id="152"/>
      <w:bookmarkEnd w:id="153"/>
      <w:bookmarkEnd w:id="154"/>
      <w:bookmarkEnd w:id="155"/>
      <w:bookmarkEnd w:id="156"/>
      <w:bookmarkEnd w:id="157"/>
      <w:bookmarkEnd w:id="158"/>
    </w:p>
    <w:p w14:paraId="779DB821">
      <w:pPr>
        <w:spacing w:line="360" w:lineRule="auto"/>
        <w:ind w:firstLine="480" w:firstLineChars="200"/>
        <w:rPr>
          <w:rFonts w:ascii="宋体" w:hAnsi="宋体"/>
          <w:sz w:val="24"/>
        </w:rPr>
      </w:pPr>
      <w:r>
        <w:rPr>
          <w:rFonts w:ascii="宋体" w:hAnsi="宋体"/>
          <w:sz w:val="24"/>
        </w:rPr>
        <w:t>1.1.1 根据《中华人民共和国招标投标法》《中华人民共和国招标投标法实施条例》</w:t>
      </w:r>
      <w:r>
        <w:rPr>
          <w:rFonts w:hint="eastAsia" w:ascii="宋体" w:hAnsi="宋体"/>
          <w:sz w:val="24"/>
        </w:rPr>
        <w:t>《公路工程建设项目招标投标管理办法》</w:t>
      </w:r>
      <w:r>
        <w:rPr>
          <w:rFonts w:ascii="宋体" w:hAnsi="宋体"/>
          <w:sz w:val="24"/>
        </w:rPr>
        <w:t>等有关法律、法规和规章的规定，本招标项目已具备招标条件，现对本标段</w:t>
      </w:r>
      <w:r>
        <w:rPr>
          <w:rFonts w:hint="eastAsia" w:ascii="宋体" w:hAnsi="宋体"/>
          <w:sz w:val="24"/>
        </w:rPr>
        <w:t>设计</w:t>
      </w:r>
      <w:r>
        <w:rPr>
          <w:rFonts w:ascii="宋体" w:hAnsi="宋体"/>
          <w:sz w:val="24"/>
        </w:rPr>
        <w:t>施工</w:t>
      </w:r>
      <w:r>
        <w:rPr>
          <w:rFonts w:hint="eastAsia" w:ascii="宋体" w:hAnsi="宋体"/>
          <w:sz w:val="24"/>
        </w:rPr>
        <w:t>总承包</w:t>
      </w:r>
      <w:r>
        <w:rPr>
          <w:rFonts w:ascii="宋体" w:hAnsi="宋体"/>
          <w:sz w:val="24"/>
        </w:rPr>
        <w:t>进行招标。</w:t>
      </w:r>
    </w:p>
    <w:p w14:paraId="1DCD0C4E">
      <w:pPr>
        <w:spacing w:line="360" w:lineRule="auto"/>
        <w:ind w:firstLine="480" w:firstLineChars="200"/>
        <w:rPr>
          <w:rFonts w:ascii="宋体" w:hAnsi="宋体"/>
          <w:sz w:val="24"/>
        </w:rPr>
      </w:pPr>
      <w:r>
        <w:rPr>
          <w:rFonts w:ascii="宋体" w:hAnsi="宋体"/>
          <w:sz w:val="24"/>
        </w:rPr>
        <w:t>1.1.2 本招标项目招标人：见投标人须知前附表。</w:t>
      </w:r>
    </w:p>
    <w:p w14:paraId="71C59329">
      <w:pPr>
        <w:spacing w:line="360" w:lineRule="auto"/>
        <w:ind w:firstLine="480" w:firstLineChars="200"/>
        <w:rPr>
          <w:rFonts w:ascii="宋体" w:hAnsi="宋体"/>
          <w:sz w:val="24"/>
        </w:rPr>
      </w:pPr>
      <w:r>
        <w:rPr>
          <w:rFonts w:ascii="宋体" w:hAnsi="宋体"/>
          <w:sz w:val="24"/>
        </w:rPr>
        <w:t>1.1.3 本招标代理机构：见投标人须知前附表。</w:t>
      </w:r>
    </w:p>
    <w:p w14:paraId="398816E8">
      <w:pPr>
        <w:spacing w:line="360" w:lineRule="auto"/>
        <w:ind w:firstLine="480" w:firstLineChars="200"/>
        <w:rPr>
          <w:rFonts w:ascii="宋体" w:hAnsi="宋体"/>
          <w:sz w:val="24"/>
        </w:rPr>
      </w:pPr>
      <w:r>
        <w:rPr>
          <w:rFonts w:ascii="宋体" w:hAnsi="宋体"/>
          <w:sz w:val="24"/>
        </w:rPr>
        <w:t>1.1.4 本招标项目名称：见投标人须知前附表。</w:t>
      </w:r>
    </w:p>
    <w:p w14:paraId="2C8673C8">
      <w:pPr>
        <w:spacing w:line="360" w:lineRule="auto"/>
        <w:ind w:firstLine="480" w:firstLineChars="200"/>
        <w:rPr>
          <w:rFonts w:ascii="宋体" w:hAnsi="宋体"/>
          <w:sz w:val="24"/>
        </w:rPr>
      </w:pPr>
      <w:r>
        <w:rPr>
          <w:rFonts w:ascii="宋体" w:hAnsi="宋体"/>
          <w:sz w:val="24"/>
        </w:rPr>
        <w:t>1.1.5 本</w:t>
      </w:r>
      <w:r>
        <w:rPr>
          <w:rFonts w:hint="eastAsia" w:ascii="宋体" w:hAnsi="宋体"/>
          <w:sz w:val="24"/>
        </w:rPr>
        <w:t>项目</w:t>
      </w:r>
      <w:r>
        <w:rPr>
          <w:rFonts w:ascii="宋体" w:hAnsi="宋体"/>
          <w:sz w:val="24"/>
        </w:rPr>
        <w:t>建设地点：见投标人须知前附表。</w:t>
      </w:r>
    </w:p>
    <w:p w14:paraId="284A6E83">
      <w:pPr>
        <w:pStyle w:val="4"/>
        <w:keepNext/>
        <w:keepLines/>
        <w:pageBreakBefore w:val="0"/>
        <w:widowControl w:val="0"/>
        <w:kinsoku/>
        <w:wordWrap/>
        <w:overflowPunct/>
        <w:topLinePunct w:val="0"/>
        <w:autoSpaceDE/>
        <w:autoSpaceDN/>
        <w:bidi w:val="0"/>
        <w:adjustRightInd/>
        <w:snapToGrid/>
        <w:spacing w:before="0" w:beforeLines="0" w:after="0" w:afterLines="0"/>
        <w:jc w:val="both"/>
        <w:textAlignment w:val="auto"/>
        <w:rPr>
          <w:rFonts w:ascii="Times New Roman" w:eastAsia="黑体"/>
          <w:b w:val="0"/>
          <w:bCs w:val="0"/>
          <w:sz w:val="28"/>
          <w:szCs w:val="32"/>
        </w:rPr>
      </w:pPr>
      <w:bookmarkStart w:id="159" w:name="_Toc27060661"/>
      <w:bookmarkStart w:id="160" w:name="_Toc501257062"/>
      <w:bookmarkStart w:id="161" w:name="_Toc234832872"/>
      <w:bookmarkStart w:id="162" w:name="_Toc27059492"/>
      <w:bookmarkStart w:id="163" w:name="_Toc27059763"/>
      <w:bookmarkStart w:id="164" w:name="_Toc27059673"/>
      <w:bookmarkStart w:id="165" w:name="_Toc27059865"/>
      <w:bookmarkStart w:id="166" w:name="_Toc53685588"/>
      <w:r>
        <w:rPr>
          <w:rFonts w:ascii="Times New Roman" w:eastAsia="黑体"/>
          <w:b w:val="0"/>
          <w:bCs w:val="0"/>
          <w:sz w:val="28"/>
          <w:szCs w:val="32"/>
        </w:rPr>
        <w:t xml:space="preserve">1.2 </w:t>
      </w:r>
      <w:r>
        <w:rPr>
          <w:rFonts w:hint="default" w:ascii="Times New Roman" w:eastAsia="黑体"/>
          <w:b w:val="0"/>
          <w:bCs w:val="0"/>
          <w:sz w:val="28"/>
          <w:szCs w:val="32"/>
        </w:rPr>
        <w:t>招标项目的资金来源和落实情况</w:t>
      </w:r>
      <w:bookmarkEnd w:id="159"/>
      <w:bookmarkEnd w:id="160"/>
      <w:bookmarkEnd w:id="161"/>
      <w:bookmarkEnd w:id="162"/>
      <w:bookmarkEnd w:id="163"/>
      <w:bookmarkEnd w:id="164"/>
      <w:bookmarkEnd w:id="165"/>
      <w:bookmarkEnd w:id="166"/>
      <w:r>
        <w:rPr>
          <w:rFonts w:ascii="Times New Roman" w:eastAsia="黑体"/>
          <w:b w:val="0"/>
          <w:bCs w:val="0"/>
          <w:sz w:val="28"/>
          <w:szCs w:val="32"/>
        </w:rPr>
        <w:t xml:space="preserve"> </w:t>
      </w:r>
    </w:p>
    <w:p w14:paraId="039BDFA7">
      <w:pPr>
        <w:spacing w:line="360" w:lineRule="auto"/>
        <w:ind w:firstLine="480" w:firstLineChars="200"/>
        <w:rPr>
          <w:rFonts w:ascii="宋体" w:hAnsi="宋体"/>
          <w:sz w:val="24"/>
        </w:rPr>
      </w:pPr>
      <w:r>
        <w:rPr>
          <w:rFonts w:ascii="宋体" w:hAnsi="宋体"/>
          <w:sz w:val="24"/>
        </w:rPr>
        <w:t>1.2.1 资金来源及比例：见投标人须知前附表。</w:t>
      </w:r>
    </w:p>
    <w:p w14:paraId="59A4F989">
      <w:pPr>
        <w:spacing w:line="360" w:lineRule="auto"/>
        <w:ind w:firstLine="480" w:firstLineChars="200"/>
        <w:rPr>
          <w:rFonts w:ascii="隶书" w:eastAsia="隶书"/>
          <w:sz w:val="24"/>
        </w:rPr>
      </w:pPr>
      <w:r>
        <w:rPr>
          <w:rFonts w:ascii="宋体" w:hAnsi="宋体"/>
          <w:sz w:val="24"/>
        </w:rPr>
        <w:t>1.2.2 资金落实情况：见投标人须知前附表</w:t>
      </w:r>
      <w:r>
        <w:rPr>
          <w:rFonts w:hint="eastAsia" w:ascii="隶书" w:eastAsia="隶书"/>
          <w:sz w:val="24"/>
        </w:rPr>
        <w:t>。</w:t>
      </w:r>
    </w:p>
    <w:p w14:paraId="4B0E33B7">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ascii="Times New Roman" w:eastAsia="黑体"/>
          <w:b w:val="0"/>
          <w:bCs w:val="0"/>
          <w:sz w:val="28"/>
          <w:szCs w:val="32"/>
        </w:rPr>
      </w:pPr>
      <w:bookmarkStart w:id="167" w:name="_Toc234832873"/>
      <w:bookmarkStart w:id="168" w:name="_Toc27059764"/>
      <w:bookmarkStart w:id="169" w:name="_Toc501257063"/>
      <w:bookmarkStart w:id="170" w:name="_Toc27059674"/>
      <w:bookmarkStart w:id="171" w:name="_Toc53685589"/>
      <w:bookmarkStart w:id="172" w:name="_Toc27059493"/>
      <w:bookmarkStart w:id="173" w:name="_Toc27060662"/>
      <w:bookmarkStart w:id="174" w:name="_Toc27059866"/>
      <w:r>
        <w:rPr>
          <w:rFonts w:ascii="Times New Roman" w:eastAsia="黑体"/>
          <w:b w:val="0"/>
          <w:bCs w:val="0"/>
          <w:sz w:val="28"/>
          <w:szCs w:val="32"/>
        </w:rPr>
        <w:t xml:space="preserve">1.3 </w:t>
      </w:r>
      <w:r>
        <w:rPr>
          <w:rFonts w:hint="default" w:ascii="Times New Roman" w:eastAsia="黑体"/>
          <w:b w:val="0"/>
          <w:bCs w:val="0"/>
          <w:sz w:val="28"/>
          <w:szCs w:val="32"/>
        </w:rPr>
        <w:t>招标范围、计划工期、质量要求</w:t>
      </w:r>
      <w:bookmarkEnd w:id="167"/>
      <w:r>
        <w:rPr>
          <w:rFonts w:hint="default" w:ascii="Times New Roman" w:eastAsia="黑体"/>
          <w:b w:val="0"/>
          <w:bCs w:val="0"/>
          <w:sz w:val="28"/>
          <w:szCs w:val="32"/>
        </w:rPr>
        <w:t>和安全目标</w:t>
      </w:r>
      <w:bookmarkEnd w:id="168"/>
      <w:bookmarkEnd w:id="169"/>
      <w:bookmarkEnd w:id="170"/>
      <w:bookmarkEnd w:id="171"/>
      <w:bookmarkEnd w:id="172"/>
      <w:bookmarkEnd w:id="173"/>
      <w:bookmarkEnd w:id="174"/>
    </w:p>
    <w:p w14:paraId="5A18FC53">
      <w:pPr>
        <w:spacing w:line="360" w:lineRule="auto"/>
        <w:ind w:firstLine="480" w:firstLineChars="200"/>
        <w:rPr>
          <w:rFonts w:ascii="宋体" w:hAnsi="宋体"/>
          <w:sz w:val="24"/>
        </w:rPr>
      </w:pPr>
      <w:r>
        <w:rPr>
          <w:rFonts w:ascii="宋体" w:hAnsi="宋体"/>
          <w:sz w:val="24"/>
        </w:rPr>
        <w:t>1.3.1 招标范围：见投标人须知前附表。</w:t>
      </w:r>
    </w:p>
    <w:p w14:paraId="2E0C860F">
      <w:pPr>
        <w:spacing w:line="360" w:lineRule="auto"/>
        <w:ind w:firstLine="480" w:firstLineChars="200"/>
        <w:rPr>
          <w:rFonts w:ascii="宋体" w:hAnsi="宋体"/>
          <w:sz w:val="24"/>
        </w:rPr>
      </w:pPr>
      <w:r>
        <w:rPr>
          <w:rFonts w:ascii="宋体" w:hAnsi="宋体"/>
          <w:sz w:val="24"/>
        </w:rPr>
        <w:t>1.3.2 计划工期：见投标人须知前附表。</w:t>
      </w:r>
    </w:p>
    <w:p w14:paraId="65323C7C">
      <w:pPr>
        <w:spacing w:line="360" w:lineRule="auto"/>
        <w:ind w:firstLine="480" w:firstLineChars="200"/>
        <w:rPr>
          <w:rFonts w:ascii="宋体" w:hAnsi="宋体"/>
          <w:sz w:val="24"/>
        </w:rPr>
      </w:pPr>
      <w:r>
        <w:rPr>
          <w:rFonts w:ascii="宋体" w:hAnsi="宋体"/>
          <w:sz w:val="24"/>
        </w:rPr>
        <w:t>1.3.3 质量</w:t>
      </w:r>
      <w:r>
        <w:rPr>
          <w:rFonts w:hint="eastAsia" w:ascii="宋体" w:hAnsi="宋体"/>
          <w:sz w:val="24"/>
        </w:rPr>
        <w:t>标准</w:t>
      </w:r>
      <w:r>
        <w:rPr>
          <w:rFonts w:ascii="宋体" w:hAnsi="宋体"/>
          <w:sz w:val="24"/>
        </w:rPr>
        <w:t>：见投标人须知前附表。</w:t>
      </w:r>
    </w:p>
    <w:p w14:paraId="1D56F3EF">
      <w:pPr>
        <w:spacing w:line="360" w:lineRule="auto"/>
        <w:ind w:firstLine="480" w:firstLineChars="200"/>
        <w:rPr>
          <w:rFonts w:ascii="宋体" w:hAnsi="宋体"/>
          <w:sz w:val="24"/>
        </w:rPr>
      </w:pPr>
      <w:r>
        <w:rPr>
          <w:rFonts w:ascii="宋体" w:hAnsi="宋体"/>
          <w:sz w:val="24"/>
        </w:rPr>
        <w:t xml:space="preserve">1.3.4 </w:t>
      </w:r>
      <w:r>
        <w:rPr>
          <w:rFonts w:hint="eastAsia" w:ascii="宋体" w:hAnsi="宋体"/>
          <w:sz w:val="24"/>
        </w:rPr>
        <w:t>本标段的安全目标：</w:t>
      </w:r>
      <w:r>
        <w:rPr>
          <w:rFonts w:ascii="宋体" w:hAnsi="宋体"/>
          <w:sz w:val="24"/>
        </w:rPr>
        <w:t>见</w:t>
      </w:r>
      <w:r>
        <w:rPr>
          <w:rFonts w:hint="eastAsia" w:ascii="宋体" w:hAnsi="宋体"/>
          <w:sz w:val="24"/>
        </w:rPr>
        <w:t>投标</w:t>
      </w:r>
      <w:r>
        <w:rPr>
          <w:rFonts w:ascii="宋体" w:hAnsi="宋体"/>
          <w:sz w:val="24"/>
        </w:rPr>
        <w:t>人须知前附表。</w:t>
      </w:r>
    </w:p>
    <w:p w14:paraId="05767816">
      <w:pPr>
        <w:pStyle w:val="4"/>
        <w:spacing w:before="0" w:beforeLines="-2147483648" w:after="0" w:afterLines="-2147483648" w:line="360" w:lineRule="auto"/>
        <w:jc w:val="both"/>
        <w:rPr>
          <w:rFonts w:ascii="Times New Roman" w:eastAsia="黑体"/>
          <w:b w:val="0"/>
          <w:bCs w:val="0"/>
          <w:sz w:val="28"/>
          <w:szCs w:val="32"/>
        </w:rPr>
      </w:pPr>
      <w:bookmarkStart w:id="175" w:name="_Toc27059675"/>
      <w:bookmarkStart w:id="176" w:name="_Toc53685590"/>
      <w:bookmarkStart w:id="177" w:name="_Toc234832875"/>
      <w:bookmarkStart w:id="178" w:name="_Toc501257065"/>
      <w:bookmarkStart w:id="179" w:name="_Toc27059494"/>
      <w:bookmarkStart w:id="180" w:name="_Toc27060663"/>
      <w:bookmarkStart w:id="181" w:name="_Toc27059867"/>
      <w:bookmarkStart w:id="182" w:name="_Toc27059765"/>
      <w:r>
        <w:rPr>
          <w:rFonts w:ascii="Times New Roman" w:eastAsia="黑体"/>
          <w:b w:val="0"/>
          <w:bCs w:val="0"/>
          <w:sz w:val="28"/>
          <w:szCs w:val="32"/>
        </w:rPr>
        <w:t xml:space="preserve">1.4 </w:t>
      </w:r>
      <w:r>
        <w:rPr>
          <w:rFonts w:hint="default" w:ascii="Times New Roman" w:eastAsia="黑体"/>
          <w:b w:val="0"/>
          <w:bCs w:val="0"/>
          <w:sz w:val="28"/>
          <w:szCs w:val="32"/>
        </w:rPr>
        <w:t>投标人资格要求</w:t>
      </w:r>
      <w:bookmarkEnd w:id="175"/>
      <w:bookmarkEnd w:id="176"/>
      <w:bookmarkEnd w:id="177"/>
      <w:bookmarkEnd w:id="178"/>
      <w:bookmarkEnd w:id="179"/>
      <w:bookmarkEnd w:id="180"/>
      <w:bookmarkEnd w:id="181"/>
      <w:bookmarkEnd w:id="182"/>
    </w:p>
    <w:p w14:paraId="1A1E2A87">
      <w:pPr>
        <w:topLinePunct/>
        <w:spacing w:line="360" w:lineRule="auto"/>
        <w:ind w:firstLine="480" w:firstLineChars="200"/>
        <w:rPr>
          <w:sz w:val="24"/>
        </w:rPr>
      </w:pPr>
      <w:r>
        <w:rPr>
          <w:rFonts w:ascii="宋体" w:hAnsi="宋体"/>
          <w:sz w:val="24"/>
        </w:rPr>
        <w:t>1.4.1</w:t>
      </w:r>
      <w:r>
        <w:rPr>
          <w:sz w:val="24"/>
        </w:rPr>
        <w:t xml:space="preserve"> </w:t>
      </w:r>
      <w:r>
        <w:rPr>
          <w:rFonts w:hint="eastAsia"/>
          <w:sz w:val="24"/>
        </w:rPr>
        <w:t>投标人应具备承担本招标项目的资质条件、能力和信誉。</w:t>
      </w:r>
    </w:p>
    <w:p w14:paraId="0E7B26A9">
      <w:pPr>
        <w:topLinePunct/>
        <w:spacing w:line="360" w:lineRule="auto"/>
        <w:ind w:firstLine="480" w:firstLineChars="200"/>
        <w:rPr>
          <w:rFonts w:ascii="宋体" w:hAnsi="宋体"/>
          <w:sz w:val="24"/>
        </w:rPr>
      </w:pPr>
      <w:r>
        <w:rPr>
          <w:rFonts w:ascii="宋体" w:hAnsi="宋体"/>
          <w:sz w:val="24"/>
        </w:rPr>
        <w:t>（1）资质</w:t>
      </w:r>
      <w:r>
        <w:rPr>
          <w:rFonts w:hint="eastAsia" w:ascii="宋体" w:hAnsi="宋体"/>
          <w:sz w:val="24"/>
        </w:rPr>
        <w:t>最低要求</w:t>
      </w:r>
      <w:r>
        <w:rPr>
          <w:rFonts w:ascii="宋体" w:hAnsi="宋体"/>
          <w:sz w:val="24"/>
        </w:rPr>
        <w:t>：见投标人须知前附表；</w:t>
      </w:r>
    </w:p>
    <w:p w14:paraId="013C3CBE">
      <w:pPr>
        <w:topLinePunct/>
        <w:spacing w:line="360" w:lineRule="auto"/>
        <w:ind w:firstLine="480" w:firstLineChars="200"/>
        <w:rPr>
          <w:rFonts w:ascii="宋体" w:hAnsi="宋体"/>
          <w:sz w:val="24"/>
        </w:rPr>
      </w:pPr>
      <w:r>
        <w:rPr>
          <w:rFonts w:ascii="宋体" w:hAnsi="宋体"/>
          <w:sz w:val="24"/>
        </w:rPr>
        <w:t>（2）</w:t>
      </w:r>
      <w:r>
        <w:rPr>
          <w:rFonts w:hint="eastAsia" w:ascii="宋体" w:hAnsi="宋体"/>
          <w:sz w:val="24"/>
        </w:rPr>
        <w:t>财务最低</w:t>
      </w:r>
      <w:r>
        <w:rPr>
          <w:rFonts w:ascii="宋体" w:hAnsi="宋体"/>
          <w:sz w:val="24"/>
        </w:rPr>
        <w:t>要求：见投标人须知前附表；</w:t>
      </w:r>
    </w:p>
    <w:p w14:paraId="7DF588A5">
      <w:pPr>
        <w:topLinePunct/>
        <w:spacing w:line="360" w:lineRule="auto"/>
        <w:ind w:firstLine="480" w:firstLineChars="200"/>
        <w:rPr>
          <w:rFonts w:ascii="宋体" w:hAnsi="宋体"/>
          <w:sz w:val="24"/>
        </w:rPr>
      </w:pPr>
      <w:r>
        <w:rPr>
          <w:rFonts w:ascii="宋体" w:hAnsi="宋体"/>
          <w:sz w:val="24"/>
        </w:rPr>
        <w:t>（3）业绩</w:t>
      </w:r>
      <w:r>
        <w:rPr>
          <w:rFonts w:hint="eastAsia" w:ascii="宋体" w:hAnsi="宋体"/>
          <w:sz w:val="24"/>
        </w:rPr>
        <w:t>最低</w:t>
      </w:r>
      <w:r>
        <w:rPr>
          <w:rFonts w:ascii="宋体" w:hAnsi="宋体"/>
          <w:sz w:val="24"/>
        </w:rPr>
        <w:t>要求：见投标人须知前附表；</w:t>
      </w:r>
    </w:p>
    <w:p w14:paraId="393F53DF">
      <w:pPr>
        <w:topLinePunct/>
        <w:spacing w:line="360" w:lineRule="auto"/>
        <w:ind w:firstLine="480" w:firstLineChars="200"/>
        <w:rPr>
          <w:rFonts w:ascii="宋体" w:hAnsi="宋体"/>
          <w:sz w:val="24"/>
        </w:rPr>
      </w:pPr>
      <w:r>
        <w:rPr>
          <w:rFonts w:ascii="宋体" w:hAnsi="宋体"/>
          <w:sz w:val="24"/>
        </w:rPr>
        <w:t>（4）信誉</w:t>
      </w:r>
      <w:r>
        <w:rPr>
          <w:rFonts w:hint="eastAsia" w:ascii="宋体" w:hAnsi="宋体"/>
          <w:sz w:val="24"/>
        </w:rPr>
        <w:t>最低</w:t>
      </w:r>
      <w:r>
        <w:rPr>
          <w:rFonts w:ascii="宋体" w:hAnsi="宋体"/>
          <w:sz w:val="24"/>
        </w:rPr>
        <w:t>要求：见投标人须知前附表；</w:t>
      </w:r>
    </w:p>
    <w:p w14:paraId="2C6B39AB">
      <w:pPr>
        <w:spacing w:line="360" w:lineRule="auto"/>
        <w:ind w:firstLine="360" w:firstLineChars="150"/>
        <w:rPr>
          <w:rFonts w:ascii="宋体" w:hAnsi="宋体"/>
          <w:sz w:val="24"/>
        </w:rPr>
      </w:pPr>
      <w:r>
        <w:rPr>
          <w:rFonts w:hint="eastAsia" w:ascii="宋体" w:hAnsi="宋体"/>
          <w:sz w:val="24"/>
        </w:rPr>
        <w:t>（</w:t>
      </w:r>
      <w:r>
        <w:rPr>
          <w:rFonts w:ascii="宋体" w:hAnsi="宋体"/>
          <w:sz w:val="24"/>
        </w:rPr>
        <w:t xml:space="preserve">5）主要人员最低要求：见投标人须知前附表； </w:t>
      </w:r>
    </w:p>
    <w:p w14:paraId="1AC4C99E">
      <w:pPr>
        <w:spacing w:line="360" w:lineRule="auto"/>
        <w:ind w:firstLine="360" w:firstLineChars="150"/>
        <w:rPr>
          <w:rFonts w:ascii="宋体" w:hAnsi="宋体"/>
          <w:sz w:val="24"/>
        </w:rPr>
      </w:pPr>
      <w:r>
        <w:rPr>
          <w:rFonts w:hint="eastAsia" w:ascii="宋体" w:hAnsi="宋体"/>
          <w:sz w:val="24"/>
        </w:rPr>
        <w:t>（</w:t>
      </w:r>
      <w:r>
        <w:rPr>
          <w:rFonts w:ascii="宋体" w:hAnsi="宋体"/>
          <w:sz w:val="24"/>
        </w:rPr>
        <w:t>6）其他要求：见投标人须知前附表。</w:t>
      </w:r>
    </w:p>
    <w:p w14:paraId="54C5BD7A">
      <w:pPr>
        <w:spacing w:line="360" w:lineRule="auto"/>
        <w:ind w:firstLine="360" w:firstLineChars="150"/>
        <w:rPr>
          <w:rFonts w:ascii="隶书" w:eastAsia="隶书"/>
          <w:sz w:val="24"/>
        </w:rPr>
      </w:pPr>
      <w:r>
        <w:rPr>
          <w:rFonts w:ascii="宋体" w:hAnsi="宋体"/>
          <w:sz w:val="24"/>
        </w:rPr>
        <w:t>需要提交的相关证明材料见本章第3.5款的规定</w:t>
      </w:r>
      <w:r>
        <w:rPr>
          <w:rFonts w:hint="eastAsia" w:ascii="隶书" w:eastAsia="隶书"/>
          <w:sz w:val="24"/>
        </w:rPr>
        <w:t>。</w:t>
      </w:r>
    </w:p>
    <w:p w14:paraId="41410C3D">
      <w:pPr>
        <w:spacing w:line="360" w:lineRule="auto"/>
        <w:ind w:firstLine="480" w:firstLineChars="200"/>
        <w:rPr>
          <w:rFonts w:ascii="宋体" w:hAnsi="宋体"/>
          <w:sz w:val="24"/>
        </w:rPr>
      </w:pPr>
      <w:r>
        <w:rPr>
          <w:rFonts w:ascii="宋体" w:hAnsi="宋体"/>
          <w:sz w:val="24"/>
        </w:rPr>
        <w:t>1.4.2 投标人须知前附表规定接受联合体投标的，联合体除应符合本章第1.4.1项和投标人须知前附表的要求外，还应遵守以下规定：</w:t>
      </w:r>
    </w:p>
    <w:p w14:paraId="12DF1980">
      <w:pPr>
        <w:spacing w:line="360" w:lineRule="auto"/>
        <w:ind w:firstLine="480" w:firstLineChars="200"/>
        <w:rPr>
          <w:rFonts w:ascii="宋体" w:hAnsi="宋体"/>
          <w:sz w:val="24"/>
        </w:rPr>
      </w:pPr>
      <w:r>
        <w:rPr>
          <w:rFonts w:ascii="宋体" w:hAnsi="宋体"/>
          <w:sz w:val="24"/>
        </w:rPr>
        <w:t>（1）联合体各方应按招标文件提供的格式签订联合体协议书，明确联合体牵头人和各方权利义务，并承诺就中标项目向招标人承担连带责任；</w:t>
      </w:r>
    </w:p>
    <w:p w14:paraId="4D88BE9B">
      <w:pPr>
        <w:spacing w:line="360" w:lineRule="auto"/>
        <w:ind w:firstLine="480" w:firstLineChars="200"/>
        <w:rPr>
          <w:rFonts w:ascii="宋体" w:hAnsi="宋体"/>
          <w:sz w:val="24"/>
        </w:rPr>
      </w:pPr>
      <w:r>
        <w:rPr>
          <w:rFonts w:ascii="宋体" w:hAnsi="宋体"/>
          <w:sz w:val="24"/>
        </w:rPr>
        <w:t>（2）由同一专业的单位组成的联合体，按照资质等级较低的单位确定资质等级；</w:t>
      </w:r>
    </w:p>
    <w:p w14:paraId="12D1FE69">
      <w:pPr>
        <w:spacing w:line="360" w:lineRule="auto"/>
        <w:ind w:firstLine="480" w:firstLineChars="200"/>
        <w:rPr>
          <w:rFonts w:ascii="宋体" w:hAnsi="宋体"/>
          <w:sz w:val="24"/>
        </w:rPr>
      </w:pPr>
      <w:r>
        <w:rPr>
          <w:rFonts w:ascii="宋体" w:hAnsi="宋体"/>
          <w:sz w:val="24"/>
        </w:rPr>
        <w:t>（3）联合体各方不得再以自己名义单独或参加其他联合体在同一标段中投标</w:t>
      </w:r>
      <w:r>
        <w:rPr>
          <w:rFonts w:hint="eastAsia" w:ascii="宋体" w:hAnsi="宋体"/>
          <w:sz w:val="24"/>
        </w:rPr>
        <w:t>；</w:t>
      </w:r>
    </w:p>
    <w:p w14:paraId="440A3564">
      <w:pPr>
        <w:pStyle w:val="18"/>
        <w:topLinePunct/>
        <w:spacing w:after="0" w:line="360" w:lineRule="auto"/>
        <w:ind w:firstLine="600" w:firstLineChars="2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239769FB">
      <w:pPr>
        <w:pStyle w:val="18"/>
        <w:topLinePunct/>
        <w:spacing w:after="0" w:line="360" w:lineRule="auto"/>
        <w:ind w:firstLine="600" w:firstLineChars="2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）尽管委任了联合体牵头人，但联合体各成员在投标、签订合同与履行合同过程中，仍负有连带的和各自的法律责任。</w:t>
      </w:r>
    </w:p>
    <w:p w14:paraId="70C05488">
      <w:pPr>
        <w:tabs>
          <w:tab w:val="left" w:pos="360"/>
          <w:tab w:val="left" w:pos="540"/>
        </w:tabs>
        <w:spacing w:line="360" w:lineRule="auto"/>
        <w:ind w:firstLine="480" w:firstLineChars="200"/>
        <w:rPr>
          <w:rFonts w:ascii="宋体" w:hAnsi="宋体"/>
          <w:sz w:val="24"/>
        </w:rPr>
      </w:pPr>
      <w:r>
        <w:rPr>
          <w:rFonts w:ascii="宋体" w:hAnsi="宋体"/>
          <w:sz w:val="24"/>
        </w:rPr>
        <w:t>1.4.3 投标人</w:t>
      </w:r>
      <w:r>
        <w:rPr>
          <w:rFonts w:hint="eastAsia" w:ascii="宋体" w:hAnsi="宋体"/>
          <w:sz w:val="24"/>
        </w:rPr>
        <w:t>（包括联合体各成员）</w:t>
      </w:r>
      <w:r>
        <w:rPr>
          <w:rFonts w:ascii="宋体" w:hAnsi="宋体"/>
          <w:sz w:val="24"/>
        </w:rPr>
        <w:t>不得</w:t>
      </w:r>
      <w:r>
        <w:rPr>
          <w:rFonts w:hint="eastAsia" w:ascii="宋体" w:hAnsi="宋体"/>
          <w:sz w:val="24"/>
        </w:rPr>
        <w:t>与</w:t>
      </w:r>
      <w:r>
        <w:rPr>
          <w:rFonts w:ascii="宋体" w:hAnsi="宋体"/>
          <w:sz w:val="24"/>
        </w:rPr>
        <w:t>本标段相关单位存在下列关联</w:t>
      </w:r>
      <w:r>
        <w:rPr>
          <w:rFonts w:hint="eastAsia" w:ascii="宋体" w:hAnsi="宋体"/>
          <w:sz w:val="24"/>
        </w:rPr>
        <w:t>情形</w:t>
      </w:r>
      <w:r>
        <w:rPr>
          <w:rFonts w:ascii="宋体" w:hAnsi="宋体"/>
          <w:sz w:val="24"/>
        </w:rPr>
        <w:t>：</w:t>
      </w:r>
    </w:p>
    <w:p w14:paraId="621BFD7B">
      <w:pPr>
        <w:pStyle w:val="18"/>
        <w:topLinePunct/>
        <w:spacing w:after="0" w:line="360" w:lineRule="auto"/>
        <w:ind w:firstLine="480" w:firstLineChars="200"/>
        <w:rPr>
          <w:rFonts w:ascii="宋体" w:hAnsi="宋体"/>
          <w:sz w:val="24"/>
          <w:szCs w:val="24"/>
        </w:rPr>
      </w:pPr>
      <w:r>
        <w:rPr>
          <w:rFonts w:ascii="宋体" w:hAnsi="宋体"/>
          <w:sz w:val="24"/>
          <w:szCs w:val="24"/>
        </w:rPr>
        <w:t>（1）为招标人不具有独立法人资格的附属机构（单位）；</w:t>
      </w:r>
    </w:p>
    <w:p w14:paraId="2487E909">
      <w:pPr>
        <w:pStyle w:val="18"/>
        <w:topLinePunct/>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2）与招标人存在利害关系且可能影响招标公正性；</w:t>
      </w:r>
    </w:p>
    <w:p w14:paraId="2C5B47D2">
      <w:pPr>
        <w:pStyle w:val="18"/>
        <w:topLinePunct/>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w:t>
      </w:r>
      <w:r>
        <w:rPr>
          <w:rFonts w:ascii="宋体" w:hAnsi="宋体"/>
          <w:sz w:val="24"/>
          <w:szCs w:val="24"/>
        </w:rPr>
        <w:t>本标段</w:t>
      </w:r>
      <w:r>
        <w:rPr>
          <w:rFonts w:hint="eastAsia" w:ascii="宋体" w:hAnsi="宋体"/>
          <w:sz w:val="24"/>
          <w:szCs w:val="24"/>
        </w:rPr>
        <w:t>的</w:t>
      </w:r>
      <w:r>
        <w:rPr>
          <w:rFonts w:ascii="宋体" w:hAnsi="宋体"/>
          <w:sz w:val="24"/>
          <w:szCs w:val="24"/>
        </w:rPr>
        <w:t>其</w:t>
      </w:r>
      <w:r>
        <w:rPr>
          <w:rFonts w:hint="eastAsia" w:ascii="宋体" w:hAnsi="宋体"/>
          <w:sz w:val="24"/>
          <w:szCs w:val="24"/>
        </w:rPr>
        <w:t>他投标人同为</w:t>
      </w:r>
      <w:r>
        <w:rPr>
          <w:rFonts w:ascii="宋体" w:hAnsi="宋体"/>
          <w:sz w:val="24"/>
          <w:szCs w:val="24"/>
        </w:rPr>
        <w:t>一个</w:t>
      </w:r>
      <w:r>
        <w:rPr>
          <w:rFonts w:hint="eastAsia" w:ascii="宋体" w:hAnsi="宋体"/>
          <w:sz w:val="24"/>
          <w:szCs w:val="24"/>
        </w:rPr>
        <w:t>单位</w:t>
      </w:r>
      <w:r>
        <w:rPr>
          <w:rFonts w:ascii="宋体" w:hAnsi="宋体"/>
          <w:sz w:val="24"/>
          <w:szCs w:val="24"/>
        </w:rPr>
        <w:t>负责人；</w:t>
      </w:r>
    </w:p>
    <w:p w14:paraId="32736485">
      <w:pPr>
        <w:pStyle w:val="18"/>
        <w:topLinePunct/>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与</w:t>
      </w:r>
      <w:r>
        <w:rPr>
          <w:rFonts w:ascii="宋体" w:hAnsi="宋体"/>
          <w:sz w:val="24"/>
          <w:szCs w:val="24"/>
        </w:rPr>
        <w:t>本标段</w:t>
      </w:r>
      <w:r>
        <w:rPr>
          <w:rFonts w:hint="eastAsia" w:ascii="宋体" w:hAnsi="宋体"/>
          <w:sz w:val="24"/>
          <w:szCs w:val="24"/>
        </w:rPr>
        <w:t>的</w:t>
      </w:r>
      <w:r>
        <w:rPr>
          <w:rFonts w:ascii="宋体" w:hAnsi="宋体"/>
          <w:sz w:val="24"/>
          <w:szCs w:val="24"/>
        </w:rPr>
        <w:t>其他</w:t>
      </w:r>
      <w:r>
        <w:rPr>
          <w:rFonts w:hint="eastAsia" w:ascii="宋体" w:hAnsi="宋体"/>
          <w:sz w:val="24"/>
          <w:szCs w:val="24"/>
        </w:rPr>
        <w:t>投标人存在控股、管理关系；</w:t>
      </w:r>
    </w:p>
    <w:p w14:paraId="74B22126">
      <w:pPr>
        <w:pStyle w:val="18"/>
        <w:topLinePunct/>
        <w:spacing w:after="0"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为招标项目的初步设计单位或其附属机构（单位）</w:t>
      </w:r>
      <w:r>
        <w:rPr>
          <w:rFonts w:ascii="宋体" w:hAnsi="宋体"/>
          <w:sz w:val="24"/>
          <w:szCs w:val="24"/>
        </w:rPr>
        <w:t>；</w:t>
      </w:r>
    </w:p>
    <w:p w14:paraId="46C0557F">
      <w:pPr>
        <w:pStyle w:val="18"/>
        <w:topLinePunct/>
        <w:spacing w:after="0" w:line="360" w:lineRule="auto"/>
        <w:ind w:firstLine="480" w:firstLineChars="200"/>
        <w:rPr>
          <w:rFonts w:ascii="宋体" w:hAnsi="宋体"/>
          <w:sz w:val="24"/>
          <w:szCs w:val="24"/>
        </w:rPr>
      </w:pPr>
      <w:r>
        <w:rPr>
          <w:rFonts w:ascii="宋体" w:hAnsi="宋体"/>
          <w:sz w:val="24"/>
          <w:szCs w:val="24"/>
        </w:rPr>
        <w:t>（6）为本标段的监理人；</w:t>
      </w:r>
    </w:p>
    <w:p w14:paraId="38217F00">
      <w:pPr>
        <w:pStyle w:val="18"/>
        <w:topLinePunct/>
        <w:spacing w:after="0" w:line="360" w:lineRule="auto"/>
        <w:ind w:firstLine="480" w:firstLineChars="200"/>
        <w:rPr>
          <w:rFonts w:ascii="宋体" w:hAnsi="宋体"/>
          <w:sz w:val="24"/>
          <w:szCs w:val="24"/>
        </w:rPr>
      </w:pPr>
      <w:r>
        <w:rPr>
          <w:rFonts w:ascii="宋体" w:hAnsi="宋体"/>
          <w:sz w:val="24"/>
          <w:szCs w:val="24"/>
        </w:rPr>
        <w:t>（7）为本标段的代建人；</w:t>
      </w:r>
    </w:p>
    <w:p w14:paraId="58B15AF4">
      <w:pPr>
        <w:pStyle w:val="18"/>
        <w:topLinePunct/>
        <w:spacing w:after="0" w:line="360" w:lineRule="auto"/>
        <w:ind w:firstLine="480" w:firstLineChars="200"/>
        <w:rPr>
          <w:rFonts w:ascii="宋体" w:hAnsi="宋体"/>
          <w:sz w:val="24"/>
          <w:szCs w:val="24"/>
        </w:rPr>
      </w:pPr>
      <w:r>
        <w:rPr>
          <w:rFonts w:ascii="宋体" w:hAnsi="宋体"/>
          <w:sz w:val="24"/>
          <w:szCs w:val="24"/>
        </w:rPr>
        <w:t>（8）为本标段的招标代理机构；</w:t>
      </w:r>
    </w:p>
    <w:p w14:paraId="75D1BE2D">
      <w:pPr>
        <w:pStyle w:val="18"/>
        <w:topLinePunct/>
        <w:spacing w:after="0" w:line="360" w:lineRule="auto"/>
        <w:ind w:firstLine="480" w:firstLineChars="200"/>
        <w:rPr>
          <w:rFonts w:ascii="宋体" w:hAnsi="宋体"/>
          <w:sz w:val="24"/>
          <w:szCs w:val="24"/>
        </w:rPr>
      </w:pPr>
      <w:r>
        <w:rPr>
          <w:rFonts w:ascii="宋体" w:hAnsi="宋体"/>
          <w:sz w:val="24"/>
          <w:szCs w:val="24"/>
        </w:rPr>
        <w:t>（9）与本标段的监理人或代建人或招标代理机构同为一个法定代表人；</w:t>
      </w:r>
    </w:p>
    <w:p w14:paraId="7FFDF5E6">
      <w:pPr>
        <w:pStyle w:val="18"/>
        <w:topLinePunct/>
        <w:spacing w:after="0" w:line="360" w:lineRule="auto"/>
        <w:ind w:firstLine="480" w:firstLineChars="200"/>
        <w:rPr>
          <w:rFonts w:ascii="宋体" w:hAnsi="宋体"/>
          <w:sz w:val="24"/>
          <w:szCs w:val="24"/>
        </w:rPr>
      </w:pPr>
      <w:r>
        <w:rPr>
          <w:rFonts w:ascii="宋体" w:hAnsi="宋体"/>
          <w:sz w:val="24"/>
          <w:szCs w:val="24"/>
        </w:rPr>
        <w:t>（10）与本标段的监理人或代建人或招标代理机构</w:t>
      </w:r>
      <w:r>
        <w:rPr>
          <w:rFonts w:hint="eastAsia" w:ascii="宋体" w:hAnsi="宋体"/>
          <w:sz w:val="24"/>
          <w:szCs w:val="24"/>
        </w:rPr>
        <w:t>存在</w:t>
      </w:r>
      <w:r>
        <w:rPr>
          <w:rFonts w:ascii="宋体" w:hAnsi="宋体"/>
          <w:sz w:val="24"/>
          <w:szCs w:val="24"/>
        </w:rPr>
        <w:t>控股或参股</w:t>
      </w:r>
      <w:r>
        <w:rPr>
          <w:rFonts w:hint="eastAsia" w:ascii="宋体" w:hAnsi="宋体"/>
          <w:sz w:val="24"/>
          <w:szCs w:val="24"/>
        </w:rPr>
        <w:t>关系；</w:t>
      </w:r>
    </w:p>
    <w:p w14:paraId="65DE54FD">
      <w:pPr>
        <w:pStyle w:val="18"/>
        <w:topLinePunct/>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11）</w:t>
      </w:r>
      <w:r>
        <w:rPr>
          <w:rFonts w:hint="eastAsia" w:ascii="宋体" w:hAnsi="宋体"/>
          <w:sz w:val="24"/>
          <w:szCs w:val="24"/>
        </w:rPr>
        <w:t>为本标段电子招标投标交易平台的运营机构或与该机构有控股或者管理关系且可能影响招标公正性的单位；</w:t>
      </w:r>
    </w:p>
    <w:p w14:paraId="57BD4104">
      <w:pPr>
        <w:pStyle w:val="18"/>
        <w:topLinePunct/>
        <w:spacing w:after="0" w:line="360" w:lineRule="auto"/>
        <w:ind w:firstLine="480" w:firstLineChars="200"/>
        <w:rPr>
          <w:rFonts w:ascii="宋体" w:hAnsi="宋体"/>
          <w:sz w:val="24"/>
          <w:szCs w:val="24"/>
        </w:rPr>
      </w:pPr>
      <w:r>
        <w:rPr>
          <w:rFonts w:hint="eastAsia" w:ascii="宋体" w:hAnsi="宋体"/>
          <w:sz w:val="24"/>
          <w:szCs w:val="24"/>
        </w:rPr>
        <w:t>（12）</w:t>
      </w:r>
      <w:r>
        <w:rPr>
          <w:rFonts w:ascii="宋体" w:hAnsi="宋体"/>
          <w:sz w:val="24"/>
          <w:szCs w:val="24"/>
        </w:rPr>
        <w:t>法律法规或投标人须知前附表规定的其他情形。</w:t>
      </w:r>
    </w:p>
    <w:p w14:paraId="1D216C91">
      <w:pPr>
        <w:tabs>
          <w:tab w:val="left" w:pos="360"/>
          <w:tab w:val="left" w:pos="540"/>
        </w:tabs>
        <w:spacing w:line="360" w:lineRule="auto"/>
        <w:ind w:firstLine="480" w:firstLineChars="200"/>
        <w:rPr>
          <w:rFonts w:ascii="宋体" w:hAnsi="宋体"/>
          <w:sz w:val="24"/>
        </w:rPr>
      </w:pPr>
      <w:r>
        <w:rPr>
          <w:rFonts w:ascii="宋体" w:hAnsi="宋体"/>
          <w:sz w:val="24"/>
        </w:rPr>
        <w:t xml:space="preserve">1.4.4 </w:t>
      </w:r>
      <w:r>
        <w:rPr>
          <w:rFonts w:hint="eastAsia" w:ascii="宋体" w:hAnsi="宋体"/>
          <w:sz w:val="24"/>
        </w:rPr>
        <w:t>投标人（包括联合体各成员）</w:t>
      </w:r>
      <w:r>
        <w:rPr>
          <w:rFonts w:ascii="宋体" w:hAnsi="宋体"/>
          <w:sz w:val="24"/>
        </w:rPr>
        <w:t>不得存在下列不良状况或不良信用记录：</w:t>
      </w:r>
    </w:p>
    <w:p w14:paraId="328B2148">
      <w:pPr>
        <w:pStyle w:val="18"/>
        <w:topLinePunct/>
        <w:spacing w:after="0" w:line="360" w:lineRule="auto"/>
        <w:ind w:firstLine="480" w:firstLineChars="200"/>
        <w:rPr>
          <w:rFonts w:ascii="宋体" w:hAnsi="宋体"/>
          <w:sz w:val="24"/>
          <w:szCs w:val="24"/>
        </w:rPr>
      </w:pPr>
      <w:r>
        <w:rPr>
          <w:rFonts w:ascii="宋体" w:hAnsi="宋体"/>
          <w:sz w:val="24"/>
          <w:szCs w:val="24"/>
        </w:rPr>
        <w:t>（1）被省级及以上交通运输主管部门取消招标项目所在地的投标资格且处于有效期内；</w:t>
      </w:r>
    </w:p>
    <w:p w14:paraId="401D60C5">
      <w:pPr>
        <w:pStyle w:val="18"/>
        <w:topLinePunct/>
        <w:spacing w:after="0" w:line="360" w:lineRule="auto"/>
        <w:ind w:firstLine="480" w:firstLineChars="200"/>
        <w:rPr>
          <w:rFonts w:ascii="宋体" w:hAnsi="宋体"/>
          <w:sz w:val="24"/>
          <w:szCs w:val="24"/>
        </w:rPr>
      </w:pPr>
      <w:r>
        <w:rPr>
          <w:rFonts w:ascii="宋体" w:hAnsi="宋体"/>
          <w:sz w:val="24"/>
          <w:szCs w:val="24"/>
        </w:rPr>
        <w:t>（2）被责令停业</w:t>
      </w:r>
      <w:r>
        <w:rPr>
          <w:rFonts w:hint="eastAsia" w:ascii="宋体" w:hAnsi="宋体"/>
          <w:sz w:val="24"/>
          <w:szCs w:val="24"/>
        </w:rPr>
        <w:t>，</w:t>
      </w:r>
      <w:r>
        <w:rPr>
          <w:rFonts w:ascii="宋体" w:hAnsi="宋体"/>
          <w:sz w:val="24"/>
          <w:szCs w:val="24"/>
        </w:rPr>
        <w:t>暂扣或吊销执照</w:t>
      </w:r>
      <w:r>
        <w:rPr>
          <w:rFonts w:hint="eastAsia" w:ascii="宋体" w:hAnsi="宋体"/>
          <w:sz w:val="24"/>
          <w:szCs w:val="24"/>
        </w:rPr>
        <w:t>，</w:t>
      </w:r>
      <w:r>
        <w:rPr>
          <w:rFonts w:ascii="宋体" w:hAnsi="宋体"/>
          <w:sz w:val="24"/>
          <w:szCs w:val="24"/>
        </w:rPr>
        <w:t>或吊销</w:t>
      </w:r>
      <w:r>
        <w:rPr>
          <w:rFonts w:hint="eastAsia" w:ascii="宋体" w:hAnsi="宋体"/>
          <w:sz w:val="24"/>
          <w:szCs w:val="24"/>
        </w:rPr>
        <w:t>资质</w:t>
      </w:r>
      <w:r>
        <w:rPr>
          <w:rFonts w:ascii="宋体" w:hAnsi="宋体"/>
          <w:sz w:val="24"/>
          <w:szCs w:val="24"/>
        </w:rPr>
        <w:t>证书；</w:t>
      </w:r>
    </w:p>
    <w:p w14:paraId="6CB0C6CC">
      <w:pPr>
        <w:pStyle w:val="18"/>
        <w:topLinePunct/>
        <w:spacing w:after="0" w:line="360" w:lineRule="auto"/>
        <w:ind w:firstLine="480" w:firstLineChars="200"/>
        <w:rPr>
          <w:rFonts w:ascii="宋体" w:hAnsi="宋体"/>
          <w:sz w:val="24"/>
          <w:szCs w:val="24"/>
        </w:rPr>
      </w:pPr>
      <w:r>
        <w:rPr>
          <w:rFonts w:ascii="宋体" w:hAnsi="宋体"/>
          <w:sz w:val="24"/>
          <w:szCs w:val="24"/>
        </w:rPr>
        <w:t>（3）进入清算程序，或被宣告破产，或其他丧失履约能力的情形；</w:t>
      </w:r>
    </w:p>
    <w:p w14:paraId="385608D2">
      <w:pPr>
        <w:pStyle w:val="18"/>
        <w:topLinePunct/>
        <w:spacing w:after="0" w:line="360" w:lineRule="auto"/>
        <w:ind w:firstLine="480" w:firstLineChars="200"/>
        <w:rPr>
          <w:rFonts w:ascii="宋体" w:hAnsi="宋体"/>
          <w:sz w:val="24"/>
          <w:szCs w:val="24"/>
        </w:rPr>
      </w:pPr>
      <w:r>
        <w:rPr>
          <w:rFonts w:ascii="宋体" w:hAnsi="宋体"/>
          <w:sz w:val="24"/>
          <w:szCs w:val="24"/>
        </w:rPr>
        <w:t>（4）在</w:t>
      </w:r>
      <w:r>
        <w:rPr>
          <w:rFonts w:hint="eastAsia" w:ascii="宋体" w:hAnsi="宋体"/>
          <w:sz w:val="24"/>
          <w:szCs w:val="24"/>
        </w:rPr>
        <w:t>国家</w:t>
      </w:r>
      <w:r>
        <w:rPr>
          <w:rFonts w:ascii="宋体" w:hAnsi="宋体"/>
          <w:sz w:val="24"/>
          <w:szCs w:val="24"/>
        </w:rPr>
        <w:t>企业信用信息公示系统</w:t>
      </w:r>
      <w:r>
        <w:rPr>
          <w:rFonts w:hint="eastAsia" w:ascii="宋体" w:hAnsi="宋体"/>
          <w:sz w:val="24"/>
          <w:szCs w:val="24"/>
        </w:rPr>
        <w:t>（</w:t>
      </w:r>
      <w:r>
        <w:rPr>
          <w:rFonts w:ascii="宋体" w:hAnsi="宋体"/>
          <w:sz w:val="24"/>
          <w:szCs w:val="24"/>
        </w:rPr>
        <w:t>http://www.gsxt.gov.cn/）中被列入严重违法</w:t>
      </w:r>
      <w:r>
        <w:rPr>
          <w:rFonts w:hint="eastAsia" w:ascii="宋体" w:hAnsi="宋体"/>
          <w:sz w:val="24"/>
          <w:szCs w:val="24"/>
        </w:rPr>
        <w:t>失信</w:t>
      </w:r>
      <w:r>
        <w:rPr>
          <w:rFonts w:ascii="宋体" w:hAnsi="宋体"/>
          <w:sz w:val="24"/>
          <w:szCs w:val="24"/>
        </w:rPr>
        <w:t>企业名单；</w:t>
      </w:r>
    </w:p>
    <w:p w14:paraId="250F7BF5">
      <w:pPr>
        <w:pStyle w:val="18"/>
        <w:topLinePunct/>
        <w:spacing w:after="0" w:line="360" w:lineRule="auto"/>
        <w:ind w:firstLine="480" w:firstLineChars="200"/>
        <w:rPr>
          <w:rFonts w:ascii="宋体" w:hAnsi="宋体"/>
          <w:sz w:val="24"/>
          <w:szCs w:val="24"/>
        </w:rPr>
      </w:pPr>
      <w:r>
        <w:rPr>
          <w:rFonts w:ascii="宋体" w:hAnsi="宋体"/>
          <w:sz w:val="24"/>
          <w:szCs w:val="24"/>
        </w:rPr>
        <w:t>（5）在</w:t>
      </w:r>
      <w:r>
        <w:rPr>
          <w:rFonts w:hint="eastAsia" w:ascii="宋体" w:hAnsi="宋体"/>
          <w:sz w:val="24"/>
          <w:szCs w:val="24"/>
        </w:rPr>
        <w:t>“信用中国”网站（</w:t>
      </w:r>
      <w:r>
        <w:rPr>
          <w:rFonts w:ascii="宋体" w:hAnsi="宋体"/>
          <w:sz w:val="24"/>
          <w:szCs w:val="24"/>
        </w:rPr>
        <w:t>http://www.creditchina.gov.cn/</w:t>
      </w:r>
      <w:r>
        <w:rPr>
          <w:rFonts w:hint="eastAsia" w:ascii="宋体" w:hAnsi="宋体"/>
          <w:sz w:val="24"/>
          <w:szCs w:val="24"/>
        </w:rPr>
        <w:t>）中被列入失信被执行人</w:t>
      </w:r>
      <w:r>
        <w:rPr>
          <w:rFonts w:ascii="宋体" w:hAnsi="宋体"/>
          <w:sz w:val="24"/>
          <w:szCs w:val="24"/>
        </w:rPr>
        <w:t>；</w:t>
      </w:r>
    </w:p>
    <w:p w14:paraId="6174EC10">
      <w:pPr>
        <w:spacing w:line="360" w:lineRule="auto"/>
        <w:ind w:firstLine="480" w:firstLineChars="200"/>
        <w:rPr>
          <w:rFonts w:ascii="宋体" w:hAnsi="宋体"/>
          <w:sz w:val="24"/>
        </w:rPr>
      </w:pPr>
      <w:r>
        <w:rPr>
          <w:rFonts w:ascii="宋体" w:hAnsi="宋体"/>
          <w:sz w:val="24"/>
        </w:rPr>
        <w:t>（6）投标人或其法定代表人、拟委任的</w:t>
      </w:r>
      <w:r>
        <w:rPr>
          <w:rFonts w:hint="eastAsia" w:ascii="宋体" w:hAnsi="宋体"/>
          <w:sz w:val="24"/>
        </w:rPr>
        <w:t>主要人员在近三年内被人民法院生效判决或裁定认定为行贿犯罪的；</w:t>
      </w:r>
    </w:p>
    <w:p w14:paraId="7E743227">
      <w:pPr>
        <w:pStyle w:val="18"/>
        <w:topLinePunct/>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7）法律法规或投标人须知前附表规定的其他情形。</w:t>
      </w:r>
    </w:p>
    <w:p w14:paraId="3BA206C1">
      <w:pPr>
        <w:pStyle w:val="18"/>
        <w:topLinePunct/>
        <w:spacing w:after="0" w:line="360" w:lineRule="auto"/>
        <w:ind w:firstLine="480" w:firstLineChars="200"/>
        <w:rPr>
          <w:rFonts w:ascii="宋体" w:hAnsi="宋体"/>
          <w:sz w:val="24"/>
          <w:szCs w:val="24"/>
        </w:rPr>
      </w:pPr>
      <w:r>
        <w:rPr>
          <w:rFonts w:ascii="宋体" w:hAnsi="宋体"/>
          <w:kern w:val="0"/>
          <w:sz w:val="24"/>
          <w:szCs w:val="24"/>
        </w:rPr>
        <w:t xml:space="preserve">1.4.5 </w:t>
      </w:r>
      <w:r>
        <w:rPr>
          <w:rFonts w:ascii="宋体" w:hAnsi="宋体"/>
          <w:sz w:val="24"/>
          <w:szCs w:val="24"/>
        </w:rPr>
        <w:t>勘察设计投标人</w:t>
      </w:r>
      <w:r>
        <w:rPr>
          <w:rFonts w:hint="eastAsia" w:ascii="宋体" w:hAnsi="宋体"/>
          <w:sz w:val="24"/>
          <w:szCs w:val="24"/>
        </w:rPr>
        <w:t>（包括联合体各成员）应进入交通运输部“</w:t>
      </w:r>
      <w:r>
        <w:rPr>
          <w:rFonts w:hint="eastAsia" w:ascii="宋体" w:hAnsi="宋体"/>
          <w:sz w:val="24"/>
        </w:rPr>
        <w:t>全国公路建设市场监督管理系统（https://hwdms.mot.gov.cn/BMWebSite/）</w:t>
      </w:r>
      <w:r>
        <w:rPr>
          <w:rFonts w:hint="eastAsia" w:ascii="宋体" w:hAnsi="宋体"/>
          <w:sz w:val="24"/>
          <w:szCs w:val="24"/>
        </w:rPr>
        <w:t>”中的</w:t>
      </w:r>
      <w:bookmarkStart w:id="183" w:name="_Hlk99789184"/>
      <w:r>
        <w:rPr>
          <w:rFonts w:hint="eastAsia" w:ascii="宋体" w:hAnsi="宋体"/>
          <w:sz w:val="24"/>
          <w:szCs w:val="24"/>
        </w:rPr>
        <w:t>公路工程设计资质企业</w:t>
      </w:r>
      <w:bookmarkEnd w:id="183"/>
      <w:r>
        <w:rPr>
          <w:rFonts w:hint="eastAsia" w:ascii="宋体" w:hAnsi="宋体"/>
          <w:sz w:val="24"/>
          <w:szCs w:val="24"/>
        </w:rPr>
        <w:t>名录，施工企业投标人（</w:t>
      </w:r>
      <w:r>
        <w:rPr>
          <w:rFonts w:hint="eastAsia" w:ascii="宋体" w:hAnsi="宋体"/>
          <w:sz w:val="24"/>
        </w:rPr>
        <w:t>包括联合体各成员</w:t>
      </w:r>
      <w:r>
        <w:rPr>
          <w:rFonts w:hint="eastAsia" w:ascii="宋体" w:hAnsi="宋体"/>
          <w:sz w:val="24"/>
          <w:szCs w:val="24"/>
        </w:rPr>
        <w:t>）</w:t>
      </w:r>
      <w:r>
        <w:rPr>
          <w:rFonts w:ascii="宋体" w:hAnsi="宋体"/>
          <w:sz w:val="24"/>
          <w:szCs w:val="24"/>
        </w:rPr>
        <w:t>应</w:t>
      </w:r>
      <w:r>
        <w:rPr>
          <w:rFonts w:hint="eastAsia" w:ascii="宋体" w:hAnsi="宋体"/>
          <w:sz w:val="24"/>
          <w:szCs w:val="24"/>
        </w:rPr>
        <w:t>进入交通运输部“</w:t>
      </w:r>
      <w:r>
        <w:rPr>
          <w:rFonts w:hint="eastAsia" w:ascii="宋体" w:hAnsi="宋体"/>
          <w:sz w:val="24"/>
        </w:rPr>
        <w:t>全国公路建设市场监督管理系统</w:t>
      </w:r>
      <w:r>
        <w:rPr>
          <w:rFonts w:hint="eastAsia" w:ascii="宋体" w:hAnsi="宋体"/>
          <w:kern w:val="0"/>
          <w:sz w:val="24"/>
          <w:szCs w:val="24"/>
        </w:rPr>
        <w:t>”</w:t>
      </w:r>
      <w:r>
        <w:rPr>
          <w:rFonts w:ascii="宋体" w:hAnsi="宋体"/>
          <w:kern w:val="0"/>
          <w:sz w:val="24"/>
          <w:szCs w:val="24"/>
        </w:rPr>
        <w:t>中的公路工程施工资质企业名录，</w:t>
      </w:r>
      <w:r>
        <w:rPr>
          <w:rFonts w:hint="eastAsia" w:ascii="宋体" w:hAnsi="宋体"/>
          <w:kern w:val="0"/>
          <w:sz w:val="24"/>
          <w:szCs w:val="24"/>
        </w:rPr>
        <w:t>且投标人</w:t>
      </w:r>
      <w:r>
        <w:rPr>
          <w:rFonts w:ascii="宋体" w:hAnsi="宋体"/>
          <w:kern w:val="0"/>
          <w:sz w:val="24"/>
          <w:szCs w:val="24"/>
        </w:rPr>
        <w:t>名称</w:t>
      </w:r>
      <w:r>
        <w:rPr>
          <w:rFonts w:hint="eastAsia" w:ascii="宋体" w:hAnsi="宋体"/>
          <w:kern w:val="0"/>
          <w:sz w:val="24"/>
          <w:szCs w:val="24"/>
        </w:rPr>
        <w:t>和</w:t>
      </w:r>
      <w:r>
        <w:rPr>
          <w:rFonts w:ascii="宋体" w:hAnsi="宋体"/>
          <w:kern w:val="0"/>
          <w:sz w:val="24"/>
          <w:szCs w:val="24"/>
        </w:rPr>
        <w:t>资质与</w:t>
      </w:r>
      <w:r>
        <w:rPr>
          <w:rFonts w:hint="eastAsia" w:ascii="宋体" w:hAnsi="宋体"/>
          <w:kern w:val="0"/>
          <w:sz w:val="24"/>
          <w:szCs w:val="24"/>
        </w:rPr>
        <w:t>该</w:t>
      </w:r>
      <w:r>
        <w:rPr>
          <w:rFonts w:ascii="宋体" w:hAnsi="宋体"/>
          <w:kern w:val="0"/>
          <w:sz w:val="24"/>
          <w:szCs w:val="24"/>
        </w:rPr>
        <w:t>名录中的</w:t>
      </w:r>
      <w:r>
        <w:rPr>
          <w:rFonts w:hint="eastAsia" w:ascii="宋体" w:hAnsi="宋体"/>
          <w:kern w:val="0"/>
          <w:sz w:val="24"/>
          <w:szCs w:val="24"/>
        </w:rPr>
        <w:t>相应</w:t>
      </w:r>
      <w:r>
        <w:rPr>
          <w:rFonts w:ascii="宋体" w:hAnsi="宋体"/>
          <w:kern w:val="0"/>
          <w:sz w:val="24"/>
          <w:szCs w:val="24"/>
        </w:rPr>
        <w:t>企业名称</w:t>
      </w:r>
      <w:r>
        <w:rPr>
          <w:rFonts w:hint="eastAsia" w:ascii="宋体" w:hAnsi="宋体"/>
          <w:kern w:val="0"/>
          <w:sz w:val="24"/>
          <w:szCs w:val="24"/>
        </w:rPr>
        <w:t>和</w:t>
      </w:r>
      <w:r>
        <w:rPr>
          <w:rFonts w:ascii="宋体" w:hAnsi="宋体"/>
          <w:kern w:val="0"/>
          <w:sz w:val="24"/>
          <w:szCs w:val="24"/>
        </w:rPr>
        <w:t>资质</w:t>
      </w:r>
      <w:r>
        <w:rPr>
          <w:rFonts w:hint="eastAsia" w:ascii="宋体" w:hAnsi="宋体"/>
          <w:kern w:val="0"/>
          <w:sz w:val="24"/>
          <w:szCs w:val="24"/>
        </w:rPr>
        <w:t>完全</w:t>
      </w:r>
      <w:r>
        <w:rPr>
          <w:rFonts w:ascii="宋体" w:hAnsi="宋体"/>
          <w:kern w:val="0"/>
          <w:sz w:val="24"/>
          <w:szCs w:val="24"/>
        </w:rPr>
        <w:t>一致。</w:t>
      </w:r>
      <w:r>
        <w:rPr>
          <w:rFonts w:hint="eastAsia" w:ascii="宋体" w:hAnsi="宋体"/>
          <w:kern w:val="0"/>
          <w:sz w:val="24"/>
          <w:szCs w:val="24"/>
        </w:rPr>
        <w:t>投标人不满足本项规定条件的，将被否决投标。</w:t>
      </w:r>
    </w:p>
    <w:p w14:paraId="09F65908">
      <w:pPr>
        <w:tabs>
          <w:tab w:val="left" w:pos="360"/>
          <w:tab w:val="left" w:pos="540"/>
        </w:tabs>
        <w:spacing w:line="360" w:lineRule="auto"/>
        <w:ind w:firstLine="420" w:firstLineChars="200"/>
        <w:rPr>
          <w:rFonts w:hint="default" w:ascii="宋体" w:hAnsi="宋体" w:eastAsia="宋体"/>
          <w:sz w:val="21"/>
          <w:szCs w:val="21"/>
          <w:lang w:val="en-US" w:eastAsia="zh-CN"/>
        </w:rPr>
      </w:pPr>
      <w:bookmarkStart w:id="184" w:name="_Toc27059676"/>
      <w:bookmarkStart w:id="185" w:name="_Toc234832876"/>
      <w:bookmarkStart w:id="186" w:name="_Toc27059868"/>
      <w:bookmarkStart w:id="187" w:name="_Toc501257066"/>
      <w:bookmarkStart w:id="188" w:name="_Toc53685591"/>
      <w:bookmarkStart w:id="189" w:name="_Toc27059495"/>
      <w:bookmarkStart w:id="190" w:name="_Toc27059766"/>
      <w:bookmarkStart w:id="191" w:name="_Toc27060664"/>
      <w:r>
        <w:rPr>
          <w:rFonts w:hint="eastAsia" w:ascii="宋体" w:hAnsi="宋体"/>
          <w:sz w:val="21"/>
          <w:szCs w:val="21"/>
        </w:rPr>
        <w:t>注：本项规定仅适用于根据《关于发布公路工程从业企业资质名录的通知》（厅公路字</w:t>
      </w:r>
      <w:r>
        <w:rPr>
          <w:rFonts w:ascii="宋体" w:hAnsi="宋体"/>
          <w:sz w:val="21"/>
          <w:szCs w:val="21"/>
        </w:rPr>
        <w:t>〔2011〕114</w:t>
      </w:r>
      <w:r>
        <w:rPr>
          <w:rFonts w:hint="eastAsia" w:ascii="宋体" w:hAnsi="宋体"/>
          <w:sz w:val="21"/>
          <w:szCs w:val="21"/>
        </w:rPr>
        <w:t>号）要求，招标人应通过名录对投标人资质条件进行审核的</w:t>
      </w:r>
      <w:r>
        <w:rPr>
          <w:rFonts w:hint="eastAsia" w:ascii="宋体" w:hAnsi="宋体"/>
          <w:sz w:val="21"/>
          <w:szCs w:val="21"/>
          <w:lang w:val="en-US" w:eastAsia="zh-CN"/>
        </w:rPr>
        <w:t>公路工程设计企业、</w:t>
      </w:r>
      <w:r>
        <w:rPr>
          <w:rFonts w:hint="eastAsia" w:ascii="宋体" w:hAnsi="宋体"/>
          <w:sz w:val="21"/>
          <w:szCs w:val="21"/>
        </w:rPr>
        <w:t>公路施工企业。</w:t>
      </w:r>
    </w:p>
    <w:p w14:paraId="59EEBECE">
      <w:pPr>
        <w:pStyle w:val="4"/>
        <w:spacing w:before="0" w:beforeLines="-2147483648" w:after="0" w:afterLines="-2147483648" w:line="360" w:lineRule="auto"/>
        <w:jc w:val="both"/>
        <w:rPr>
          <w:rFonts w:ascii="Times New Roman" w:eastAsia="黑体"/>
          <w:b w:val="0"/>
          <w:bCs w:val="0"/>
          <w:sz w:val="28"/>
          <w:szCs w:val="32"/>
        </w:rPr>
      </w:pPr>
      <w:r>
        <w:rPr>
          <w:rFonts w:ascii="Times New Roman" w:eastAsia="黑体"/>
          <w:b w:val="0"/>
          <w:bCs w:val="0"/>
          <w:sz w:val="28"/>
          <w:szCs w:val="32"/>
        </w:rPr>
        <w:t xml:space="preserve">1.5 </w:t>
      </w:r>
      <w:r>
        <w:rPr>
          <w:rFonts w:hint="default" w:ascii="Times New Roman" w:eastAsia="黑体"/>
          <w:b w:val="0"/>
          <w:bCs w:val="0"/>
          <w:sz w:val="28"/>
          <w:szCs w:val="32"/>
        </w:rPr>
        <w:t>费用承担</w:t>
      </w:r>
      <w:bookmarkEnd w:id="184"/>
      <w:bookmarkEnd w:id="185"/>
      <w:bookmarkEnd w:id="186"/>
      <w:bookmarkEnd w:id="187"/>
      <w:bookmarkEnd w:id="188"/>
      <w:bookmarkEnd w:id="189"/>
      <w:bookmarkEnd w:id="190"/>
      <w:bookmarkEnd w:id="191"/>
    </w:p>
    <w:p w14:paraId="6CCDB9EB">
      <w:pPr>
        <w:pStyle w:val="18"/>
        <w:topLinePunct/>
        <w:spacing w:after="0" w:line="360" w:lineRule="auto"/>
        <w:ind w:firstLine="480" w:firstLineChars="200"/>
        <w:rPr>
          <w:rFonts w:ascii="宋体" w:hAnsi="宋体"/>
          <w:kern w:val="0"/>
          <w:sz w:val="24"/>
        </w:rPr>
      </w:pPr>
      <w:r>
        <w:rPr>
          <w:rFonts w:hint="eastAsia" w:ascii="宋体" w:hAnsi="宋体"/>
          <w:kern w:val="0"/>
          <w:sz w:val="24"/>
          <w:szCs w:val="24"/>
        </w:rPr>
        <w:t>投标人准备和参加投标活动发生的费用自理。</w:t>
      </w:r>
    </w:p>
    <w:p w14:paraId="7292D9AE">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eastAsia="黑体"/>
          <w:b w:val="0"/>
          <w:bCs w:val="0"/>
          <w:sz w:val="28"/>
        </w:rPr>
      </w:pPr>
      <w:bookmarkStart w:id="192" w:name="_Toc53685592"/>
      <w:bookmarkStart w:id="193" w:name="_Toc27060665"/>
      <w:bookmarkStart w:id="194" w:name="_Toc27059496"/>
      <w:bookmarkStart w:id="195" w:name="_Toc27059869"/>
      <w:bookmarkStart w:id="196" w:name="_Toc501257067"/>
      <w:bookmarkStart w:id="197" w:name="_Toc234832877"/>
      <w:bookmarkStart w:id="198" w:name="_Toc27059767"/>
      <w:bookmarkStart w:id="199" w:name="_Toc27059677"/>
      <w:r>
        <w:rPr>
          <w:rFonts w:eastAsia="黑体"/>
          <w:b w:val="0"/>
          <w:bCs w:val="0"/>
          <w:sz w:val="28"/>
        </w:rPr>
        <w:t xml:space="preserve">1.6 </w:t>
      </w:r>
      <w:r>
        <w:rPr>
          <w:rFonts w:hint="eastAsia" w:eastAsia="黑体"/>
          <w:b w:val="0"/>
          <w:bCs w:val="0"/>
          <w:sz w:val="28"/>
        </w:rPr>
        <w:t>保密</w:t>
      </w:r>
      <w:bookmarkEnd w:id="192"/>
      <w:bookmarkEnd w:id="193"/>
      <w:bookmarkEnd w:id="194"/>
      <w:bookmarkEnd w:id="195"/>
      <w:bookmarkEnd w:id="196"/>
      <w:bookmarkEnd w:id="197"/>
      <w:bookmarkEnd w:id="198"/>
      <w:bookmarkEnd w:id="199"/>
    </w:p>
    <w:p w14:paraId="476BE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参与招标投标活动的各方应对招标文件和投标文件中的商业和技术等秘密保密，</w:t>
      </w:r>
      <w:r>
        <w:rPr>
          <w:rFonts w:ascii="宋体" w:hAnsi="宋体"/>
          <w:kern w:val="0"/>
          <w:sz w:val="24"/>
          <w:szCs w:val="20"/>
        </w:rPr>
        <w:t>否则应承担相应的法律责任。</w:t>
      </w:r>
    </w:p>
    <w:p w14:paraId="54A78548">
      <w:pPr>
        <w:pStyle w:val="4"/>
        <w:spacing w:before="0" w:beforeLines="-2147483648" w:after="0" w:afterLines="-2147483648" w:line="360" w:lineRule="auto"/>
        <w:jc w:val="both"/>
        <w:rPr>
          <w:rFonts w:eastAsia="黑体"/>
          <w:b w:val="0"/>
          <w:bCs w:val="0"/>
          <w:sz w:val="28"/>
        </w:rPr>
      </w:pPr>
      <w:bookmarkStart w:id="200" w:name="_Toc234832878"/>
      <w:bookmarkStart w:id="201" w:name="_Toc53685593"/>
      <w:bookmarkStart w:id="202" w:name="_Toc27059497"/>
      <w:bookmarkStart w:id="203" w:name="_Toc27059768"/>
      <w:bookmarkStart w:id="204" w:name="_Toc27059678"/>
      <w:bookmarkStart w:id="205" w:name="_Toc501257068"/>
      <w:bookmarkStart w:id="206" w:name="_Toc27060666"/>
      <w:bookmarkStart w:id="207" w:name="_Toc27059870"/>
      <w:r>
        <w:rPr>
          <w:rFonts w:eastAsia="黑体"/>
          <w:b w:val="0"/>
          <w:bCs w:val="0"/>
          <w:sz w:val="28"/>
        </w:rPr>
        <w:t xml:space="preserve">1.7 </w:t>
      </w:r>
      <w:r>
        <w:rPr>
          <w:rFonts w:hint="eastAsia" w:eastAsia="黑体"/>
          <w:b w:val="0"/>
          <w:bCs w:val="0"/>
          <w:sz w:val="28"/>
        </w:rPr>
        <w:t>语言文字</w:t>
      </w:r>
      <w:bookmarkEnd w:id="200"/>
      <w:bookmarkEnd w:id="201"/>
      <w:bookmarkEnd w:id="202"/>
      <w:bookmarkEnd w:id="203"/>
      <w:bookmarkEnd w:id="204"/>
      <w:bookmarkEnd w:id="205"/>
      <w:bookmarkEnd w:id="206"/>
      <w:bookmarkEnd w:id="207"/>
    </w:p>
    <w:p w14:paraId="3F075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0"/>
        </w:rPr>
      </w:pPr>
      <w:r>
        <w:rPr>
          <w:rFonts w:ascii="宋体" w:hAnsi="宋体"/>
          <w:kern w:val="0"/>
          <w:sz w:val="24"/>
          <w:szCs w:val="20"/>
        </w:rPr>
        <w:t>招标投标文件使用的语言文字为中文</w:t>
      </w:r>
      <w:r>
        <w:rPr>
          <w:rFonts w:hint="eastAsia" w:ascii="宋体" w:hAnsi="宋体"/>
          <w:kern w:val="0"/>
          <w:sz w:val="24"/>
          <w:szCs w:val="20"/>
        </w:rPr>
        <w:t>。</w:t>
      </w:r>
      <w:r>
        <w:rPr>
          <w:rFonts w:ascii="宋体" w:hAnsi="宋体"/>
          <w:kern w:val="0"/>
          <w:sz w:val="24"/>
          <w:szCs w:val="20"/>
        </w:rPr>
        <w:t>专用术语使用外文的，应附有中文注释。</w:t>
      </w:r>
    </w:p>
    <w:p w14:paraId="2D75A0A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eastAsia="黑体"/>
          <w:b w:val="0"/>
          <w:bCs w:val="0"/>
          <w:sz w:val="28"/>
        </w:rPr>
      </w:pPr>
      <w:bookmarkStart w:id="208" w:name="_Toc27059498"/>
      <w:bookmarkStart w:id="209" w:name="_Toc27059679"/>
      <w:bookmarkStart w:id="210" w:name="_Toc27059871"/>
      <w:bookmarkStart w:id="211" w:name="_Toc53685594"/>
      <w:bookmarkStart w:id="212" w:name="_Toc27060667"/>
      <w:bookmarkStart w:id="213" w:name="_Toc27059769"/>
      <w:bookmarkStart w:id="214" w:name="_Toc501257069"/>
      <w:bookmarkStart w:id="215" w:name="_Toc234832879"/>
      <w:r>
        <w:rPr>
          <w:rFonts w:eastAsia="黑体"/>
          <w:b w:val="0"/>
          <w:bCs w:val="0"/>
          <w:sz w:val="28"/>
        </w:rPr>
        <w:t xml:space="preserve">1.8 </w:t>
      </w:r>
      <w:r>
        <w:rPr>
          <w:rFonts w:hint="eastAsia" w:eastAsia="黑体"/>
          <w:b w:val="0"/>
          <w:bCs w:val="0"/>
          <w:sz w:val="28"/>
        </w:rPr>
        <w:t>计量单位</w:t>
      </w:r>
      <w:bookmarkEnd w:id="208"/>
      <w:bookmarkEnd w:id="209"/>
      <w:bookmarkEnd w:id="210"/>
      <w:bookmarkEnd w:id="211"/>
      <w:bookmarkEnd w:id="212"/>
      <w:bookmarkEnd w:id="213"/>
      <w:bookmarkEnd w:id="214"/>
      <w:bookmarkEnd w:id="215"/>
    </w:p>
    <w:p w14:paraId="5B153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所有计量均采用中华人民共和国法定计量单位。</w:t>
      </w:r>
    </w:p>
    <w:p w14:paraId="1B133B42">
      <w:pPr>
        <w:pStyle w:val="4"/>
        <w:spacing w:before="0" w:beforeLines="-2147483648" w:after="0" w:afterLines="-2147483648" w:line="360" w:lineRule="auto"/>
        <w:jc w:val="both"/>
        <w:rPr>
          <w:rFonts w:eastAsia="黑体"/>
          <w:b w:val="0"/>
          <w:bCs w:val="0"/>
          <w:sz w:val="28"/>
        </w:rPr>
      </w:pPr>
      <w:bookmarkStart w:id="216" w:name="_Toc53685595"/>
      <w:bookmarkStart w:id="217" w:name="_Toc27060668"/>
      <w:bookmarkStart w:id="218" w:name="_Toc27059499"/>
      <w:bookmarkStart w:id="219" w:name="_Toc234832880"/>
      <w:bookmarkStart w:id="220" w:name="_Toc27059872"/>
      <w:bookmarkStart w:id="221" w:name="_Toc27059680"/>
      <w:bookmarkStart w:id="222" w:name="_Toc501257070"/>
      <w:bookmarkStart w:id="223" w:name="_Toc27059770"/>
      <w:r>
        <w:rPr>
          <w:rFonts w:eastAsia="黑体"/>
          <w:b w:val="0"/>
          <w:bCs w:val="0"/>
          <w:sz w:val="28"/>
        </w:rPr>
        <w:t xml:space="preserve">1.9 </w:t>
      </w:r>
      <w:r>
        <w:rPr>
          <w:rFonts w:hint="eastAsia" w:eastAsia="黑体"/>
          <w:b w:val="0"/>
          <w:bCs w:val="0"/>
          <w:sz w:val="28"/>
        </w:rPr>
        <w:t>踏勘现场</w:t>
      </w:r>
      <w:bookmarkEnd w:id="216"/>
      <w:bookmarkEnd w:id="217"/>
      <w:bookmarkEnd w:id="218"/>
      <w:bookmarkEnd w:id="219"/>
      <w:bookmarkEnd w:id="220"/>
      <w:bookmarkEnd w:id="221"/>
      <w:bookmarkEnd w:id="222"/>
      <w:bookmarkEnd w:id="223"/>
    </w:p>
    <w:p w14:paraId="4C1FC437">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1.9.1 </w:t>
      </w:r>
      <w:r>
        <w:rPr>
          <w:rFonts w:hint="eastAsia" w:asciiTheme="minorEastAsia" w:hAnsiTheme="minorEastAsia" w:eastAsiaTheme="minorEastAsia"/>
          <w:sz w:val="24"/>
        </w:rPr>
        <w:t>第一章“招标公告”</w:t>
      </w:r>
      <w:r>
        <w:rPr>
          <w:rFonts w:asciiTheme="minorEastAsia" w:hAnsiTheme="minorEastAsia" w:eastAsiaTheme="minorEastAsia"/>
          <w:sz w:val="24"/>
        </w:rPr>
        <w:t>规定组织踏勘现场的，招标人按规定的时间、地点组织投标人踏勘项目现场。部分投标人未按时参加踏勘现场的，不影响踏勘现场的正常进行。</w:t>
      </w:r>
      <w:r>
        <w:rPr>
          <w:rFonts w:hint="eastAsia" w:asciiTheme="minorEastAsia" w:hAnsiTheme="minorEastAsia" w:eastAsiaTheme="minorEastAsia"/>
          <w:sz w:val="24"/>
        </w:rPr>
        <w:t>招标人不得组织单个或部分投标人踏勘项目现场。</w:t>
      </w:r>
    </w:p>
    <w:p w14:paraId="320655C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1.9.2 </w:t>
      </w:r>
      <w:r>
        <w:rPr>
          <w:rFonts w:hint="eastAsia" w:asciiTheme="minorEastAsia" w:hAnsiTheme="minorEastAsia" w:eastAsiaTheme="minorEastAsia"/>
          <w:sz w:val="24"/>
        </w:rPr>
        <w:t>投标人踏勘现场发生的费用自理。</w:t>
      </w:r>
    </w:p>
    <w:p w14:paraId="7316632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1.9.3 </w:t>
      </w:r>
      <w:r>
        <w:rPr>
          <w:rFonts w:hint="eastAsia" w:asciiTheme="minorEastAsia" w:hAnsiTheme="minorEastAsia" w:eastAsiaTheme="minorEastAsia"/>
          <w:sz w:val="24"/>
        </w:rPr>
        <w:t>除招标人的原因外，投标人自行负责在踏勘现场中所发生的人员伤亡和财产损失。</w:t>
      </w:r>
    </w:p>
    <w:p w14:paraId="7F8B5C76">
      <w:pPr>
        <w:spacing w:line="360" w:lineRule="auto"/>
        <w:ind w:firstLine="480" w:firstLineChars="200"/>
        <w:rPr>
          <w:rFonts w:hint="eastAsia"/>
          <w:sz w:val="24"/>
        </w:rPr>
      </w:pPr>
      <w:r>
        <w:rPr>
          <w:rFonts w:asciiTheme="minorEastAsia" w:hAnsiTheme="minorEastAsia" w:eastAsiaTheme="minorEastAsia"/>
          <w:sz w:val="24"/>
        </w:rPr>
        <w:t xml:space="preserve">1.9.4 </w:t>
      </w:r>
      <w:r>
        <w:rPr>
          <w:rFonts w:hint="eastAsia" w:asciiTheme="minorEastAsia" w:hAnsiTheme="minorEastAsia" w:eastAsiaTheme="minorEastAsia"/>
          <w:sz w:val="24"/>
        </w:rPr>
        <w:t>招标人在踏勘现场中介绍的工程场地和相关的周边环境情况，供投标人在编制投标文件时参考</w:t>
      </w:r>
      <w:r>
        <w:rPr>
          <w:rFonts w:hint="eastAsia"/>
          <w:sz w:val="24"/>
        </w:rPr>
        <w:t>，招标人不对投标人据此作出的判断和决策负责。</w:t>
      </w:r>
    </w:p>
    <w:p w14:paraId="0F99BA48">
      <w:pPr>
        <w:spacing w:line="360" w:lineRule="auto"/>
        <w:ind w:firstLine="480" w:firstLineChars="200"/>
        <w:rPr>
          <w:rFonts w:hint="eastAsia"/>
          <w:sz w:val="24"/>
        </w:rPr>
      </w:pPr>
      <w:r>
        <w:rPr>
          <w:rFonts w:hint="eastAsia" w:asciiTheme="minorEastAsia" w:hAnsiTheme="minorEastAsia" w:eastAsiaTheme="minorEastAsia"/>
          <w:sz w:val="24"/>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34F08F3C">
      <w:pPr>
        <w:pStyle w:val="4"/>
        <w:numPr>
          <w:ilvl w:val="255"/>
          <w:numId w:val="0"/>
        </w:numPr>
        <w:spacing w:before="0" w:beforeLines="-2147483648" w:after="0" w:afterLines="-2147483648" w:line="360" w:lineRule="auto"/>
        <w:jc w:val="both"/>
        <w:rPr>
          <w:rFonts w:eastAsia="黑体"/>
          <w:b w:val="0"/>
          <w:bCs w:val="0"/>
          <w:sz w:val="28"/>
        </w:rPr>
      </w:pPr>
      <w:bookmarkStart w:id="224" w:name="_Toc501257071"/>
      <w:bookmarkStart w:id="225" w:name="_Toc27059681"/>
      <w:bookmarkStart w:id="226" w:name="_Toc27059771"/>
      <w:bookmarkStart w:id="227" w:name="_Toc53685596"/>
      <w:bookmarkStart w:id="228" w:name="_Toc27059873"/>
      <w:bookmarkStart w:id="229" w:name="_Toc27059500"/>
      <w:bookmarkStart w:id="230" w:name="_Toc234832881"/>
      <w:bookmarkStart w:id="231" w:name="_Toc27060669"/>
      <w:r>
        <w:rPr>
          <w:rFonts w:eastAsia="黑体"/>
          <w:b w:val="0"/>
          <w:bCs w:val="0"/>
          <w:sz w:val="28"/>
        </w:rPr>
        <w:t xml:space="preserve">1.10 </w:t>
      </w:r>
      <w:r>
        <w:rPr>
          <w:rFonts w:hint="eastAsia" w:eastAsia="黑体"/>
          <w:b w:val="0"/>
          <w:bCs w:val="0"/>
          <w:sz w:val="28"/>
        </w:rPr>
        <w:t>投标预备会</w:t>
      </w:r>
      <w:bookmarkEnd w:id="224"/>
      <w:bookmarkEnd w:id="225"/>
      <w:bookmarkEnd w:id="226"/>
      <w:bookmarkEnd w:id="227"/>
      <w:bookmarkEnd w:id="228"/>
      <w:bookmarkEnd w:id="229"/>
      <w:bookmarkEnd w:id="230"/>
      <w:bookmarkEnd w:id="231"/>
    </w:p>
    <w:p w14:paraId="365E3B2E">
      <w:pPr>
        <w:spacing w:line="360" w:lineRule="auto"/>
        <w:ind w:firstLine="480" w:firstLineChars="200"/>
        <w:rPr>
          <w:rFonts w:ascii="宋体" w:hAnsi="宋体"/>
          <w:sz w:val="24"/>
        </w:rPr>
      </w:pPr>
      <w:r>
        <w:rPr>
          <w:rFonts w:ascii="宋体" w:hAnsi="宋体"/>
          <w:sz w:val="24"/>
        </w:rPr>
        <w:t>1.10.1</w:t>
      </w:r>
      <w:r>
        <w:rPr>
          <w:sz w:val="24"/>
        </w:rPr>
        <w:t xml:space="preserve"> </w:t>
      </w:r>
      <w:r>
        <w:rPr>
          <w:rFonts w:ascii="宋体" w:hAnsi="宋体"/>
          <w:sz w:val="24"/>
        </w:rPr>
        <w:t>第一章</w:t>
      </w:r>
      <w:r>
        <w:rPr>
          <w:rFonts w:hint="eastAsia" w:ascii="宋体" w:hAnsi="宋体"/>
          <w:sz w:val="24"/>
        </w:rPr>
        <w:t>“招标公告”</w:t>
      </w:r>
      <w:r>
        <w:rPr>
          <w:rFonts w:ascii="宋体" w:hAnsi="宋体"/>
          <w:sz w:val="24"/>
        </w:rPr>
        <w:t>规定召开投标预备会的，招标人按规定的时间和地点召开投标预备会，澄清投标人提出的问题。</w:t>
      </w:r>
    </w:p>
    <w:p w14:paraId="36D08180">
      <w:pPr>
        <w:pStyle w:val="18"/>
        <w:topLinePunct/>
        <w:spacing w:after="0" w:line="360" w:lineRule="auto"/>
        <w:ind w:firstLine="480" w:firstLineChars="200"/>
        <w:rPr>
          <w:rFonts w:ascii="宋体" w:hAnsi="宋体"/>
          <w:sz w:val="24"/>
          <w:szCs w:val="24"/>
        </w:rPr>
      </w:pPr>
      <w:r>
        <w:rPr>
          <w:rFonts w:ascii="宋体" w:hAnsi="宋体"/>
          <w:sz w:val="24"/>
          <w:szCs w:val="24"/>
        </w:rPr>
        <w:t>1.10.2 投标人应按投标人须知前附表规定的时间和形式将提出的问题送达招标人，以便招标人在会议期间澄清。</w:t>
      </w:r>
    </w:p>
    <w:p w14:paraId="6B87F45E">
      <w:pPr>
        <w:pStyle w:val="18"/>
        <w:topLinePunct/>
        <w:spacing w:after="0" w:line="360" w:lineRule="auto"/>
        <w:ind w:firstLine="480" w:firstLineChars="200"/>
        <w:rPr>
          <w:rFonts w:ascii="宋体" w:hAnsi="宋体"/>
          <w:sz w:val="24"/>
          <w:szCs w:val="24"/>
        </w:rPr>
      </w:pPr>
      <w:r>
        <w:rPr>
          <w:rFonts w:ascii="宋体" w:hAnsi="宋体"/>
          <w:sz w:val="24"/>
          <w:szCs w:val="24"/>
        </w:rPr>
        <w:t>1.10.3 投标预备会后，招标人将对投标人所提问题的澄清，以</w:t>
      </w:r>
      <w:r>
        <w:rPr>
          <w:rFonts w:hint="eastAsia" w:ascii="宋体" w:hAnsi="宋体"/>
          <w:sz w:val="24"/>
          <w:szCs w:val="24"/>
        </w:rPr>
        <w:t>本</w:t>
      </w:r>
      <w:r>
        <w:rPr>
          <w:rFonts w:ascii="宋体" w:hAnsi="宋体"/>
          <w:sz w:val="24"/>
          <w:szCs w:val="24"/>
        </w:rPr>
        <w:t>章第2.2款规定的形式</w:t>
      </w:r>
      <w:r>
        <w:rPr>
          <w:rFonts w:ascii="宋体" w:hAnsi="宋体"/>
          <w:sz w:val="24"/>
        </w:rPr>
        <w:t>和时间发出，</w:t>
      </w:r>
      <w:r>
        <w:rPr>
          <w:rFonts w:ascii="宋体" w:hAnsi="宋体"/>
          <w:sz w:val="24"/>
          <w:szCs w:val="24"/>
        </w:rPr>
        <w:t>该澄清内容为招标文件的组成部分。</w:t>
      </w:r>
    </w:p>
    <w:p w14:paraId="5BF0F736">
      <w:pPr>
        <w:pStyle w:val="4"/>
        <w:numPr>
          <w:ilvl w:val="255"/>
          <w:numId w:val="0"/>
        </w:numPr>
        <w:spacing w:before="0" w:beforeLines="-2147483648" w:after="0" w:afterLines="-2147483648" w:line="360" w:lineRule="auto"/>
        <w:jc w:val="both"/>
        <w:rPr>
          <w:rFonts w:eastAsia="黑体"/>
          <w:b w:val="0"/>
          <w:bCs w:val="0"/>
          <w:sz w:val="28"/>
        </w:rPr>
      </w:pPr>
      <w:bookmarkStart w:id="232" w:name="_Toc27060670"/>
      <w:bookmarkStart w:id="233" w:name="_Toc27059772"/>
      <w:bookmarkStart w:id="234" w:name="_Toc27059682"/>
      <w:bookmarkStart w:id="235" w:name="_Toc53685597"/>
      <w:bookmarkStart w:id="236" w:name="_Toc501257072"/>
      <w:bookmarkStart w:id="237" w:name="_Toc27059874"/>
      <w:bookmarkStart w:id="238" w:name="_Toc27059501"/>
      <w:bookmarkStart w:id="239" w:name="_Toc234832882"/>
      <w:r>
        <w:rPr>
          <w:rFonts w:eastAsia="黑体"/>
          <w:b w:val="0"/>
          <w:bCs w:val="0"/>
          <w:sz w:val="28"/>
        </w:rPr>
        <w:t xml:space="preserve">1.11 </w:t>
      </w:r>
      <w:r>
        <w:rPr>
          <w:rFonts w:hint="eastAsia" w:eastAsia="黑体"/>
          <w:b w:val="0"/>
          <w:bCs w:val="0"/>
          <w:sz w:val="28"/>
        </w:rPr>
        <w:t>分包</w:t>
      </w:r>
      <w:bookmarkEnd w:id="232"/>
      <w:bookmarkEnd w:id="233"/>
      <w:bookmarkEnd w:id="234"/>
      <w:bookmarkEnd w:id="235"/>
      <w:bookmarkEnd w:id="236"/>
      <w:bookmarkEnd w:id="237"/>
      <w:bookmarkEnd w:id="238"/>
      <w:bookmarkEnd w:id="239"/>
    </w:p>
    <w:p w14:paraId="1CB2521B">
      <w:pPr>
        <w:spacing w:line="360" w:lineRule="auto"/>
        <w:ind w:firstLine="480" w:firstLineChars="200"/>
        <w:rPr>
          <w:rFonts w:ascii="宋体" w:hAnsi="宋体"/>
          <w:sz w:val="24"/>
        </w:rPr>
      </w:pPr>
      <w:r>
        <w:rPr>
          <w:rFonts w:ascii="宋体" w:hAnsi="宋体"/>
          <w:sz w:val="24"/>
          <w:szCs w:val="24"/>
        </w:rPr>
        <w:t>1.11.1</w:t>
      </w:r>
      <w:r>
        <w:rPr>
          <w:rFonts w:hint="eastAsia" w:ascii="宋体" w:hAnsi="宋体"/>
          <w:sz w:val="24"/>
          <w:szCs w:val="24"/>
        </w:rPr>
        <w:t>投标人拟在中标后将中标项目的部分非主体、非关键性工作进行分包的，</w:t>
      </w:r>
      <w:r>
        <w:rPr>
          <w:rFonts w:ascii="宋体" w:hAnsi="宋体"/>
          <w:sz w:val="24"/>
        </w:rPr>
        <w:t>应符合以下规定：</w:t>
      </w:r>
    </w:p>
    <w:p w14:paraId="1317316E">
      <w:pPr>
        <w:spacing w:line="360" w:lineRule="auto"/>
        <w:ind w:firstLine="480" w:firstLineChars="200"/>
        <w:rPr>
          <w:rFonts w:ascii="宋体" w:hAnsi="宋体"/>
          <w:sz w:val="24"/>
        </w:rPr>
      </w:pPr>
      <w:r>
        <w:rPr>
          <w:rFonts w:ascii="宋体" w:hAnsi="宋体"/>
          <w:sz w:val="24"/>
        </w:rPr>
        <w:t>（1）分包内容要求：允许分包的工程范围仅限于非关键性工程或适合专业化队伍施工的专项工程。招标人允许分包或不允许分包的专项工程（如有）应在投标人须知前附表中载明。</w:t>
      </w:r>
    </w:p>
    <w:p w14:paraId="2190BCFA">
      <w:pPr>
        <w:spacing w:line="360" w:lineRule="auto"/>
        <w:ind w:firstLine="480" w:firstLineChars="200"/>
        <w:rPr>
          <w:rFonts w:ascii="宋体" w:hAnsi="宋体"/>
          <w:sz w:val="24"/>
        </w:rPr>
      </w:pPr>
      <w:r>
        <w:rPr>
          <w:rFonts w:ascii="宋体" w:hAnsi="宋体"/>
          <w:sz w:val="24"/>
        </w:rPr>
        <w:t>（2）接受分包的第三人资格要求：分包人的资格能力应与其分包工程的标准和规模相适应，且具备投标人须知前附表中规定的资格条件。</w:t>
      </w:r>
    </w:p>
    <w:p w14:paraId="0FE67C87">
      <w:pPr>
        <w:spacing w:line="360" w:lineRule="auto"/>
        <w:ind w:firstLine="480" w:firstLineChars="200"/>
        <w:rPr>
          <w:rFonts w:ascii="宋体" w:hAnsi="宋体"/>
          <w:sz w:val="24"/>
        </w:rPr>
      </w:pPr>
      <w:r>
        <w:rPr>
          <w:rFonts w:ascii="宋体" w:hAnsi="宋体"/>
          <w:sz w:val="24"/>
        </w:rPr>
        <w:t>（3）其他要求：投标人如有分包计划，应按第九章“投标文件格式”的要求填写“拟分包项目情况表”，明确拟分包的工程及规模，且投标人中标后的分包应满足合同条款第4.3款的相关要求。</w:t>
      </w:r>
    </w:p>
    <w:p w14:paraId="27275C96">
      <w:pPr>
        <w:pStyle w:val="18"/>
        <w:topLinePunct/>
        <w:spacing w:after="0" w:line="360" w:lineRule="auto"/>
        <w:ind w:firstLine="0" w:firstLineChars="0"/>
        <w:rPr>
          <w:rFonts w:ascii="隶书" w:eastAsia="隶书"/>
          <w:sz w:val="24"/>
          <w:szCs w:val="24"/>
        </w:rPr>
      </w:pPr>
      <w:r>
        <w:rPr>
          <w:rFonts w:hint="eastAsia" w:ascii="宋体" w:hAnsi="宋体"/>
          <w:sz w:val="24"/>
          <w:szCs w:val="24"/>
          <w:lang w:val="en-US" w:eastAsia="zh-CN"/>
        </w:rPr>
        <w:t xml:space="preserve">    </w:t>
      </w:r>
      <w:r>
        <w:rPr>
          <w:rFonts w:ascii="宋体" w:hAnsi="宋体"/>
          <w:sz w:val="24"/>
          <w:szCs w:val="24"/>
        </w:rPr>
        <w:t>1.11.2 中标人不得向他人转让中标项目，接受分包的人不得再次分包。中标人应就分包项目向招标人负责，接受分包的人就分包项目承担连带责任。</w:t>
      </w:r>
    </w:p>
    <w:p w14:paraId="73EE51A4">
      <w:pPr>
        <w:pStyle w:val="4"/>
        <w:numPr>
          <w:ilvl w:val="255"/>
          <w:numId w:val="0"/>
        </w:numPr>
        <w:spacing w:before="0" w:beforeLines="-2147483648" w:after="0" w:afterLines="-2147483648" w:line="360" w:lineRule="auto"/>
        <w:jc w:val="both"/>
        <w:rPr>
          <w:rFonts w:eastAsia="黑体"/>
          <w:b w:val="0"/>
          <w:bCs w:val="0"/>
          <w:sz w:val="28"/>
        </w:rPr>
      </w:pPr>
      <w:bookmarkStart w:id="240" w:name="_Toc234832883"/>
      <w:bookmarkStart w:id="241" w:name="_Toc27059875"/>
      <w:bookmarkStart w:id="242" w:name="_Toc27060671"/>
      <w:bookmarkStart w:id="243" w:name="_Toc53685598"/>
      <w:bookmarkStart w:id="244" w:name="_Toc27059502"/>
      <w:bookmarkStart w:id="245" w:name="_Toc27059773"/>
      <w:bookmarkStart w:id="246" w:name="_Toc501257073"/>
      <w:bookmarkStart w:id="247" w:name="_Toc27059683"/>
      <w:r>
        <w:rPr>
          <w:rFonts w:eastAsia="黑体"/>
          <w:b w:val="0"/>
          <w:bCs w:val="0"/>
          <w:sz w:val="28"/>
        </w:rPr>
        <w:t xml:space="preserve">1.12 </w:t>
      </w:r>
      <w:bookmarkEnd w:id="240"/>
      <w:r>
        <w:rPr>
          <w:rFonts w:hint="eastAsia" w:eastAsia="黑体"/>
          <w:b w:val="0"/>
          <w:bCs w:val="0"/>
          <w:sz w:val="28"/>
        </w:rPr>
        <w:t>响应和偏差</w:t>
      </w:r>
      <w:bookmarkEnd w:id="241"/>
      <w:bookmarkEnd w:id="242"/>
      <w:bookmarkEnd w:id="243"/>
      <w:bookmarkEnd w:id="244"/>
      <w:bookmarkEnd w:id="245"/>
      <w:bookmarkEnd w:id="246"/>
      <w:bookmarkEnd w:id="247"/>
    </w:p>
    <w:p w14:paraId="2A30E638">
      <w:pPr>
        <w:pStyle w:val="18"/>
        <w:topLinePunct/>
        <w:spacing w:after="0" w:line="360" w:lineRule="auto"/>
        <w:ind w:firstLine="480" w:firstLineChars="200"/>
        <w:rPr>
          <w:rFonts w:ascii="宋体" w:hAnsi="宋体"/>
          <w:sz w:val="24"/>
          <w:szCs w:val="24"/>
        </w:rPr>
      </w:pPr>
      <w:r>
        <w:rPr>
          <w:rFonts w:ascii="宋体" w:hAnsi="宋体"/>
          <w:sz w:val="24"/>
          <w:szCs w:val="24"/>
        </w:rPr>
        <w:t>1.12.1 投标文件偏离招标文件某些要求</w:t>
      </w:r>
      <w:r>
        <w:rPr>
          <w:rFonts w:hint="eastAsia" w:ascii="宋体" w:hAnsi="宋体"/>
          <w:sz w:val="24"/>
          <w:szCs w:val="24"/>
        </w:rPr>
        <w:t>，</w:t>
      </w:r>
      <w:r>
        <w:rPr>
          <w:rFonts w:ascii="宋体" w:hAnsi="宋体"/>
          <w:sz w:val="24"/>
          <w:szCs w:val="24"/>
        </w:rPr>
        <w:t>视为投标文件存在偏差</w:t>
      </w:r>
      <w:r>
        <w:rPr>
          <w:rFonts w:hint="eastAsia" w:ascii="宋体" w:hAnsi="宋体"/>
          <w:sz w:val="24"/>
          <w:szCs w:val="24"/>
        </w:rPr>
        <w:t>。</w:t>
      </w:r>
      <w:r>
        <w:rPr>
          <w:rFonts w:ascii="宋体" w:hAnsi="宋体"/>
          <w:sz w:val="24"/>
          <w:szCs w:val="24"/>
        </w:rPr>
        <w:t>偏差包括</w:t>
      </w:r>
      <w:r>
        <w:rPr>
          <w:rFonts w:hint="eastAsia" w:ascii="宋体" w:hAnsi="宋体"/>
          <w:sz w:val="24"/>
          <w:szCs w:val="24"/>
        </w:rPr>
        <w:t>重大偏差和细微偏差。</w:t>
      </w:r>
    </w:p>
    <w:p w14:paraId="3E5762B1">
      <w:pPr>
        <w:pStyle w:val="18"/>
        <w:topLinePunct/>
        <w:spacing w:after="0" w:line="360" w:lineRule="auto"/>
        <w:ind w:firstLine="480" w:firstLineChars="200"/>
        <w:rPr>
          <w:rFonts w:ascii="宋体" w:hAnsi="宋体"/>
          <w:sz w:val="24"/>
          <w:szCs w:val="24"/>
        </w:rPr>
      </w:pPr>
      <w:r>
        <w:rPr>
          <w:rFonts w:ascii="宋体" w:hAnsi="宋体"/>
          <w:sz w:val="24"/>
          <w:szCs w:val="24"/>
        </w:rPr>
        <w:t>1.12.2 投标文件应对招标文件的实质性要求和条件作出满足性或更有利于招标人的响应，否则，视为投标文件存在重大偏差</w:t>
      </w:r>
      <w:r>
        <w:rPr>
          <w:rFonts w:hint="eastAsia" w:ascii="宋体" w:hAnsi="宋体"/>
          <w:sz w:val="24"/>
          <w:szCs w:val="24"/>
        </w:rPr>
        <w:t>，</w:t>
      </w:r>
      <w:r>
        <w:rPr>
          <w:rFonts w:ascii="宋体" w:hAnsi="宋体"/>
          <w:sz w:val="24"/>
          <w:szCs w:val="24"/>
        </w:rPr>
        <w:t>投标人的投标将被否决。</w:t>
      </w:r>
    </w:p>
    <w:p w14:paraId="1EAD2807">
      <w:pPr>
        <w:pStyle w:val="18"/>
        <w:topLinePunct/>
        <w:spacing w:after="0" w:line="360" w:lineRule="auto"/>
        <w:ind w:firstLine="480" w:firstLineChars="200"/>
        <w:rPr>
          <w:rFonts w:ascii="宋体" w:hAnsi="宋体"/>
          <w:sz w:val="24"/>
          <w:szCs w:val="24"/>
        </w:rPr>
      </w:pPr>
      <w:r>
        <w:rPr>
          <w:rFonts w:hint="eastAsia" w:ascii="宋体" w:hAnsi="宋体"/>
          <w:sz w:val="24"/>
          <w:szCs w:val="24"/>
        </w:rPr>
        <w:t>投标文件存在第三章“评标办法”中所列任一否决投标情形的，均属于存在重大偏差。</w:t>
      </w:r>
    </w:p>
    <w:p w14:paraId="7C483803">
      <w:pPr>
        <w:pStyle w:val="18"/>
        <w:topLinePunct/>
        <w:spacing w:after="0" w:line="360" w:lineRule="auto"/>
        <w:ind w:firstLine="480" w:firstLineChars="200"/>
        <w:rPr>
          <w:rFonts w:ascii="宋体" w:hAnsi="宋体"/>
          <w:sz w:val="24"/>
          <w:szCs w:val="24"/>
        </w:rPr>
      </w:pPr>
      <w:r>
        <w:rPr>
          <w:rFonts w:ascii="宋体" w:hAnsi="宋体"/>
          <w:sz w:val="24"/>
          <w:szCs w:val="24"/>
        </w:rPr>
        <w:t xml:space="preserve">1.12.3 </w:t>
      </w:r>
      <w:r>
        <w:rPr>
          <w:rFonts w:hint="eastAsia" w:ascii="宋体" w:hAnsi="宋体"/>
          <w:sz w:val="24"/>
          <w:szCs w:val="24"/>
        </w:rPr>
        <w:t>投标文件中的下列偏差为细微偏差：</w:t>
      </w:r>
    </w:p>
    <w:p w14:paraId="60551F2A">
      <w:pPr>
        <w:pStyle w:val="18"/>
        <w:topLinePunct/>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1）在按照第三章“评标办法”的规定对投标价进行算术性错误修正及其他错误修正后，最终投标报价未超过最高投标限价</w:t>
      </w:r>
      <w:r>
        <w:rPr>
          <w:rFonts w:hint="eastAsia" w:ascii="宋体" w:hAnsi="宋体"/>
          <w:sz w:val="24"/>
          <w:szCs w:val="24"/>
          <w:lang w:eastAsia="zh-CN"/>
        </w:rPr>
        <w:t>（</w:t>
      </w:r>
      <w:r>
        <w:rPr>
          <w:rFonts w:hint="eastAsia" w:ascii="宋体" w:hAnsi="宋体"/>
          <w:sz w:val="24"/>
          <w:szCs w:val="24"/>
          <w:lang w:val="en-US" w:eastAsia="zh-CN"/>
        </w:rPr>
        <w:t>如有</w:t>
      </w:r>
      <w:r>
        <w:rPr>
          <w:rFonts w:hint="eastAsia" w:ascii="宋体" w:hAnsi="宋体"/>
          <w:sz w:val="24"/>
          <w:szCs w:val="24"/>
          <w:lang w:eastAsia="zh-CN"/>
        </w:rPr>
        <w:t>）</w:t>
      </w:r>
      <w:r>
        <w:rPr>
          <w:rFonts w:ascii="宋体" w:hAnsi="宋体"/>
          <w:sz w:val="24"/>
          <w:szCs w:val="24"/>
        </w:rPr>
        <w:t>的情况下，出现第三章“评标办法”规定的算术性错误和投标报价的其他错误；</w:t>
      </w:r>
    </w:p>
    <w:p w14:paraId="5430E9A8">
      <w:pPr>
        <w:pStyle w:val="18"/>
        <w:topLinePunct/>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设计施工总承包</w:t>
      </w:r>
      <w:r>
        <w:rPr>
          <w:rFonts w:ascii="宋体" w:hAnsi="宋体"/>
          <w:sz w:val="24"/>
          <w:szCs w:val="24"/>
        </w:rPr>
        <w:t>方案不够完善；</w:t>
      </w:r>
    </w:p>
    <w:p w14:paraId="74441760">
      <w:pPr>
        <w:pStyle w:val="18"/>
        <w:topLinePunct/>
        <w:spacing w:after="0"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投标文件页码不连续、个别文字有遗漏错误等不影响投标文件实质性内容的偏差。</w:t>
      </w:r>
    </w:p>
    <w:p w14:paraId="5B0A8381">
      <w:pPr>
        <w:pStyle w:val="18"/>
        <w:topLinePunct/>
        <w:spacing w:after="0" w:line="360" w:lineRule="auto"/>
        <w:ind w:firstLine="480" w:firstLineChars="200"/>
        <w:rPr>
          <w:rFonts w:ascii="宋体" w:hAnsi="宋体"/>
          <w:sz w:val="24"/>
          <w:szCs w:val="24"/>
        </w:rPr>
      </w:pPr>
      <w:r>
        <w:rPr>
          <w:rFonts w:ascii="宋体" w:hAnsi="宋体"/>
          <w:sz w:val="24"/>
          <w:szCs w:val="24"/>
        </w:rPr>
        <w:t xml:space="preserve">1.12.4 </w:t>
      </w:r>
      <w:r>
        <w:rPr>
          <w:rFonts w:hint="eastAsia" w:ascii="宋体" w:hAnsi="宋体"/>
          <w:sz w:val="24"/>
          <w:szCs w:val="24"/>
        </w:rPr>
        <w:t>评标委员会对投标文件中的细微偏差按如下规定处理：</w:t>
      </w:r>
    </w:p>
    <w:p w14:paraId="5D349BCA">
      <w:pPr>
        <w:pStyle w:val="18"/>
        <w:topLinePunct/>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1）对于本章第1.12.3项（1）目所述的细微偏差，按照第三章“评标办法”的规定予以修正并要求投标人进行澄清；</w:t>
      </w:r>
    </w:p>
    <w:p w14:paraId="02EB605E">
      <w:pPr>
        <w:pStyle w:val="18"/>
        <w:topLinePunct/>
        <w:spacing w:after="0" w:line="360" w:lineRule="auto"/>
        <w:ind w:firstLine="480" w:firstLineChars="200"/>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2）对于本章第1.12.3项（2）目所述的细微偏差，如果采用经评审的最低投标价法评标，应要求投标人对细微偏差进行澄清，只有投标人的澄清文件被评标委员会接受，投标人才能参加评标价的最终评比；</w:t>
      </w:r>
      <w:r>
        <w:rPr>
          <w:rFonts w:hint="eastAsia" w:ascii="宋体" w:hAnsi="宋体"/>
          <w:sz w:val="24"/>
          <w:szCs w:val="24"/>
        </w:rPr>
        <w:t>如果采用技术评分最低标价法或综合评分法评标，可在相关评分因素的评分中酌情扣分</w:t>
      </w:r>
      <w:r>
        <w:rPr>
          <w:rFonts w:hint="eastAsia" w:ascii="宋体" w:hAnsi="宋体"/>
          <w:sz w:val="24"/>
          <w:szCs w:val="24"/>
          <w:lang w:eastAsia="zh-CN"/>
        </w:rPr>
        <w:t>；</w:t>
      </w:r>
    </w:p>
    <w:p w14:paraId="376E053F">
      <w:pPr>
        <w:pStyle w:val="18"/>
        <w:topLinePunct/>
        <w:spacing w:after="0"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3）对于本章第1.12.3项（3）目所述的细微偏差，可要求投标人对细微偏差进行澄清。</w:t>
      </w:r>
    </w:p>
    <w:p w14:paraId="5E5CDB04">
      <w:pPr>
        <w:pStyle w:val="18"/>
        <w:topLinePunct/>
        <w:spacing w:after="0" w:line="360" w:lineRule="auto"/>
        <w:ind w:firstLine="480" w:firstLineChars="200"/>
        <w:rPr>
          <w:rFonts w:ascii="宋体" w:hAnsi="宋体"/>
          <w:sz w:val="24"/>
          <w:szCs w:val="24"/>
        </w:rPr>
      </w:pPr>
      <w:r>
        <w:rPr>
          <w:rFonts w:ascii="宋体" w:hAnsi="宋体"/>
          <w:sz w:val="24"/>
          <w:szCs w:val="24"/>
        </w:rPr>
        <w:t>1.12.5 投标人应根据招标文件的要求提供</w:t>
      </w:r>
      <w:r>
        <w:rPr>
          <w:rFonts w:hint="eastAsia" w:ascii="宋体" w:hAnsi="宋体"/>
          <w:sz w:val="24"/>
          <w:szCs w:val="24"/>
        </w:rPr>
        <w:t>设计施工总承包方案</w:t>
      </w:r>
      <w:r>
        <w:rPr>
          <w:rFonts w:ascii="宋体" w:hAnsi="宋体"/>
          <w:sz w:val="24"/>
          <w:szCs w:val="24"/>
        </w:rPr>
        <w:t>等内容以对招标文件作出响应。</w:t>
      </w:r>
    </w:p>
    <w:p w14:paraId="01A7DD75">
      <w:pPr>
        <w:pStyle w:val="3"/>
        <w:spacing w:before="240" w:after="240" w:line="360" w:lineRule="auto"/>
        <w:jc w:val="left"/>
      </w:pPr>
      <w:bookmarkStart w:id="248" w:name="_Toc27059876"/>
      <w:bookmarkStart w:id="249" w:name="_Toc234832884"/>
      <w:bookmarkStart w:id="250" w:name="_Toc27059503"/>
      <w:bookmarkStart w:id="251" w:name="_Toc27059774"/>
      <w:bookmarkStart w:id="252" w:name="_Toc27060672"/>
      <w:bookmarkStart w:id="253" w:name="_Toc501257074"/>
      <w:bookmarkStart w:id="254" w:name="_Toc27059684"/>
      <w:bookmarkStart w:id="255" w:name="_Toc53685599"/>
      <w:r>
        <w:t xml:space="preserve">2. </w:t>
      </w:r>
      <w:r>
        <w:rPr>
          <w:rFonts w:hint="eastAsia"/>
        </w:rPr>
        <w:t>招标文件</w:t>
      </w:r>
      <w:bookmarkEnd w:id="248"/>
      <w:bookmarkEnd w:id="249"/>
      <w:bookmarkEnd w:id="250"/>
      <w:bookmarkEnd w:id="251"/>
      <w:bookmarkEnd w:id="252"/>
      <w:bookmarkEnd w:id="253"/>
      <w:bookmarkEnd w:id="254"/>
      <w:bookmarkEnd w:id="255"/>
    </w:p>
    <w:p w14:paraId="6BABE321">
      <w:pPr>
        <w:pStyle w:val="4"/>
        <w:numPr>
          <w:ilvl w:val="255"/>
          <w:numId w:val="0"/>
        </w:numPr>
        <w:spacing w:before="0" w:beforeLines="-2147483648" w:after="0" w:afterLines="-2147483648" w:line="360" w:lineRule="auto"/>
        <w:jc w:val="both"/>
        <w:rPr>
          <w:rFonts w:eastAsia="黑体"/>
          <w:b w:val="0"/>
          <w:bCs w:val="0"/>
          <w:sz w:val="28"/>
        </w:rPr>
      </w:pPr>
      <w:bookmarkStart w:id="256" w:name="_Toc27059775"/>
      <w:bookmarkStart w:id="257" w:name="_Toc501257075"/>
      <w:bookmarkStart w:id="258" w:name="_Toc53685600"/>
      <w:bookmarkStart w:id="259" w:name="_Toc234832885"/>
      <w:bookmarkStart w:id="260" w:name="_Toc27059504"/>
      <w:bookmarkStart w:id="261" w:name="_Toc27059877"/>
      <w:bookmarkStart w:id="262" w:name="_Toc27059685"/>
      <w:bookmarkStart w:id="263" w:name="_Toc27060673"/>
      <w:r>
        <w:rPr>
          <w:rFonts w:eastAsia="黑体"/>
          <w:b w:val="0"/>
          <w:bCs w:val="0"/>
          <w:sz w:val="28"/>
        </w:rPr>
        <w:t xml:space="preserve">2.1 </w:t>
      </w:r>
      <w:r>
        <w:rPr>
          <w:rFonts w:hint="eastAsia" w:eastAsia="黑体"/>
          <w:b w:val="0"/>
          <w:bCs w:val="0"/>
          <w:sz w:val="28"/>
        </w:rPr>
        <w:t>招标文件的组成</w:t>
      </w:r>
      <w:bookmarkEnd w:id="256"/>
      <w:bookmarkEnd w:id="257"/>
      <w:bookmarkEnd w:id="258"/>
      <w:bookmarkEnd w:id="259"/>
      <w:bookmarkEnd w:id="260"/>
      <w:bookmarkEnd w:id="261"/>
      <w:bookmarkEnd w:id="262"/>
      <w:bookmarkEnd w:id="263"/>
    </w:p>
    <w:p w14:paraId="692396D4">
      <w:pPr>
        <w:spacing w:line="360" w:lineRule="auto"/>
        <w:ind w:firstLine="480" w:firstLineChars="200"/>
        <w:rPr>
          <w:rStyle w:val="170"/>
          <w:sz w:val="24"/>
          <w:szCs w:val="24"/>
        </w:rPr>
      </w:pPr>
      <w:r>
        <w:rPr>
          <w:rStyle w:val="170"/>
          <w:rFonts w:hint="eastAsia"/>
          <w:sz w:val="24"/>
          <w:szCs w:val="24"/>
        </w:rPr>
        <w:t>本招标文件包括：</w:t>
      </w:r>
    </w:p>
    <w:p w14:paraId="66D0449E">
      <w:pPr>
        <w:spacing w:line="360" w:lineRule="auto"/>
        <w:ind w:firstLine="480" w:firstLineChars="200"/>
        <w:rPr>
          <w:rStyle w:val="170"/>
          <w:sz w:val="24"/>
          <w:szCs w:val="24"/>
        </w:rPr>
      </w:pPr>
      <w:r>
        <w:rPr>
          <w:rStyle w:val="170"/>
          <w:rFonts w:hint="eastAsia"/>
          <w:sz w:val="24"/>
          <w:szCs w:val="24"/>
        </w:rPr>
        <w:t>（1）招标公告；</w:t>
      </w:r>
    </w:p>
    <w:p w14:paraId="13D4D9F5">
      <w:pPr>
        <w:spacing w:line="360" w:lineRule="auto"/>
        <w:ind w:firstLine="480" w:firstLineChars="200"/>
        <w:rPr>
          <w:rStyle w:val="170"/>
          <w:sz w:val="24"/>
          <w:szCs w:val="24"/>
        </w:rPr>
      </w:pPr>
      <w:r>
        <w:rPr>
          <w:rStyle w:val="170"/>
          <w:rFonts w:hint="eastAsia"/>
          <w:sz w:val="24"/>
          <w:szCs w:val="24"/>
        </w:rPr>
        <w:t>（2）投标人须知；</w:t>
      </w:r>
    </w:p>
    <w:p w14:paraId="4EBD4651">
      <w:pPr>
        <w:spacing w:line="360" w:lineRule="auto"/>
        <w:ind w:firstLine="480" w:firstLineChars="200"/>
        <w:rPr>
          <w:rStyle w:val="170"/>
          <w:sz w:val="24"/>
          <w:szCs w:val="24"/>
        </w:rPr>
      </w:pPr>
      <w:r>
        <w:rPr>
          <w:rStyle w:val="170"/>
          <w:rFonts w:hint="eastAsia"/>
          <w:sz w:val="24"/>
          <w:szCs w:val="24"/>
        </w:rPr>
        <w:t>（3）评标办法；</w:t>
      </w:r>
    </w:p>
    <w:p w14:paraId="4CCEF064">
      <w:pPr>
        <w:spacing w:line="360" w:lineRule="auto"/>
        <w:ind w:firstLine="480" w:firstLineChars="200"/>
        <w:rPr>
          <w:rStyle w:val="170"/>
          <w:sz w:val="24"/>
          <w:szCs w:val="24"/>
        </w:rPr>
      </w:pPr>
      <w:r>
        <w:rPr>
          <w:rStyle w:val="170"/>
          <w:rFonts w:hint="eastAsia"/>
          <w:sz w:val="24"/>
          <w:szCs w:val="24"/>
        </w:rPr>
        <w:t>（4）合同条款及格式；</w:t>
      </w:r>
    </w:p>
    <w:p w14:paraId="39687BB8">
      <w:pPr>
        <w:spacing w:line="360" w:lineRule="auto"/>
        <w:ind w:firstLine="480" w:firstLineChars="200"/>
        <w:rPr>
          <w:rStyle w:val="170"/>
          <w:sz w:val="24"/>
          <w:szCs w:val="24"/>
        </w:rPr>
      </w:pPr>
      <w:r>
        <w:rPr>
          <w:rStyle w:val="170"/>
          <w:rFonts w:hint="eastAsia"/>
          <w:sz w:val="24"/>
          <w:szCs w:val="24"/>
        </w:rPr>
        <w:t>（5）价格清单；</w:t>
      </w:r>
    </w:p>
    <w:p w14:paraId="397A67EF">
      <w:pPr>
        <w:spacing w:line="360" w:lineRule="auto"/>
        <w:ind w:firstLine="480" w:firstLineChars="200"/>
        <w:rPr>
          <w:rStyle w:val="170"/>
          <w:sz w:val="24"/>
          <w:szCs w:val="24"/>
        </w:rPr>
      </w:pPr>
      <w:r>
        <w:rPr>
          <w:rStyle w:val="170"/>
          <w:rFonts w:hint="eastAsia"/>
          <w:sz w:val="24"/>
          <w:szCs w:val="24"/>
        </w:rPr>
        <w:t>（6）发包人要求；</w:t>
      </w:r>
    </w:p>
    <w:p w14:paraId="64787327">
      <w:pPr>
        <w:spacing w:line="360" w:lineRule="auto"/>
        <w:ind w:firstLine="480" w:firstLineChars="200"/>
        <w:rPr>
          <w:rStyle w:val="170"/>
          <w:sz w:val="24"/>
          <w:szCs w:val="24"/>
        </w:rPr>
      </w:pPr>
      <w:r>
        <w:rPr>
          <w:rStyle w:val="170"/>
          <w:rFonts w:hint="eastAsia"/>
          <w:sz w:val="24"/>
          <w:szCs w:val="24"/>
        </w:rPr>
        <w:t>（7）发包人提供的资料和条件；</w:t>
      </w:r>
    </w:p>
    <w:p w14:paraId="22C77CE7">
      <w:pPr>
        <w:tabs>
          <w:tab w:val="center" w:pos="4634"/>
        </w:tabs>
        <w:spacing w:line="360" w:lineRule="auto"/>
        <w:ind w:firstLine="480" w:firstLineChars="200"/>
        <w:rPr>
          <w:rStyle w:val="170"/>
          <w:sz w:val="24"/>
          <w:szCs w:val="24"/>
        </w:rPr>
      </w:pPr>
      <w:r>
        <w:rPr>
          <w:rStyle w:val="170"/>
          <w:rFonts w:hint="eastAsia"/>
          <w:sz w:val="24"/>
          <w:szCs w:val="24"/>
        </w:rPr>
        <w:t>（</w:t>
      </w:r>
      <w:r>
        <w:rPr>
          <w:rStyle w:val="170"/>
          <w:sz w:val="24"/>
          <w:szCs w:val="24"/>
        </w:rPr>
        <w:t>8</w:t>
      </w:r>
      <w:r>
        <w:rPr>
          <w:rStyle w:val="170"/>
          <w:rFonts w:hint="eastAsia"/>
          <w:sz w:val="24"/>
          <w:szCs w:val="24"/>
        </w:rPr>
        <w:t>）</w:t>
      </w:r>
      <w:r>
        <w:rPr>
          <w:rStyle w:val="170"/>
          <w:sz w:val="24"/>
          <w:szCs w:val="24"/>
        </w:rPr>
        <w:t>投标文件格式；</w:t>
      </w:r>
    </w:p>
    <w:p w14:paraId="38F88B0B">
      <w:pPr>
        <w:spacing w:line="360" w:lineRule="auto"/>
        <w:ind w:firstLine="480" w:firstLineChars="200"/>
        <w:rPr>
          <w:rFonts w:ascii="宋体" w:hAnsi="宋体"/>
          <w:sz w:val="24"/>
        </w:rPr>
      </w:pPr>
      <w:r>
        <w:rPr>
          <w:rFonts w:ascii="宋体" w:hAnsi="宋体"/>
          <w:sz w:val="24"/>
        </w:rPr>
        <w:t>（9）投标人须知前附表规定的其他</w:t>
      </w:r>
      <w:r>
        <w:rPr>
          <w:rFonts w:hint="eastAsia" w:ascii="宋体" w:hAnsi="宋体"/>
          <w:sz w:val="24"/>
        </w:rPr>
        <w:t>资料</w:t>
      </w:r>
      <w:r>
        <w:rPr>
          <w:rFonts w:ascii="宋体" w:hAnsi="宋体"/>
          <w:sz w:val="24"/>
        </w:rPr>
        <w:t>。</w:t>
      </w:r>
    </w:p>
    <w:p w14:paraId="24C95664">
      <w:pPr>
        <w:spacing w:line="360" w:lineRule="auto"/>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14:paraId="644AC4E8">
      <w:pPr>
        <w:pStyle w:val="18"/>
        <w:topLinePunct/>
        <w:spacing w:after="0" w:line="360" w:lineRule="auto"/>
        <w:ind w:firstLine="480" w:firstLineChars="200"/>
        <w:rPr>
          <w:rFonts w:ascii="宋体" w:hAnsi="宋体"/>
          <w:sz w:val="24"/>
          <w:szCs w:val="24"/>
        </w:rPr>
      </w:pPr>
      <w:r>
        <w:rPr>
          <w:rFonts w:hint="eastAsia" w:ascii="宋体" w:hAnsi="宋体"/>
          <w:sz w:val="24"/>
          <w:szCs w:val="24"/>
        </w:rPr>
        <w:t>当招标文件、招标文件的澄清或修改等在同一内容的表述上不一致时，以最后发出的书面文件为准。</w:t>
      </w:r>
    </w:p>
    <w:p w14:paraId="7C938C8C">
      <w:pPr>
        <w:pStyle w:val="4"/>
        <w:numPr>
          <w:ilvl w:val="255"/>
          <w:numId w:val="0"/>
        </w:numPr>
        <w:spacing w:before="0" w:beforeLines="-2147483648" w:after="0" w:afterLines="-2147483648" w:line="360" w:lineRule="auto"/>
        <w:jc w:val="both"/>
        <w:rPr>
          <w:rFonts w:hint="eastAsia" w:eastAsia="黑体"/>
          <w:b w:val="0"/>
          <w:bCs w:val="0"/>
          <w:sz w:val="28"/>
        </w:rPr>
      </w:pPr>
      <w:bookmarkStart w:id="264" w:name="_Toc27060674"/>
      <w:bookmarkStart w:id="265" w:name="_Toc234832886"/>
      <w:bookmarkStart w:id="266" w:name="_Toc27059878"/>
      <w:bookmarkStart w:id="267" w:name="_Toc27059776"/>
      <w:bookmarkStart w:id="268" w:name="_Toc501257076"/>
      <w:bookmarkStart w:id="269" w:name="_Toc27059505"/>
      <w:bookmarkStart w:id="270" w:name="_Toc53685601"/>
      <w:bookmarkStart w:id="271" w:name="_Toc27059686"/>
      <w:r>
        <w:rPr>
          <w:rFonts w:hint="eastAsia" w:eastAsia="黑体"/>
          <w:b w:val="0"/>
          <w:bCs w:val="0"/>
          <w:sz w:val="28"/>
        </w:rPr>
        <w:t>2.2 招标文件的澄清</w:t>
      </w:r>
      <w:bookmarkEnd w:id="264"/>
      <w:bookmarkEnd w:id="265"/>
      <w:bookmarkEnd w:id="266"/>
      <w:bookmarkEnd w:id="267"/>
      <w:bookmarkEnd w:id="268"/>
      <w:bookmarkEnd w:id="269"/>
      <w:bookmarkEnd w:id="270"/>
      <w:bookmarkEnd w:id="271"/>
    </w:p>
    <w:p w14:paraId="6B7362BE">
      <w:pPr>
        <w:spacing w:line="360" w:lineRule="auto"/>
        <w:ind w:firstLine="480" w:firstLineChars="200"/>
        <w:rPr>
          <w:rFonts w:ascii="宋体" w:hAnsi="宋体"/>
          <w:sz w:val="24"/>
        </w:rPr>
      </w:pPr>
      <w:r>
        <w:rPr>
          <w:rFonts w:ascii="宋体" w:hAnsi="宋体"/>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0DFFAEB">
      <w:pPr>
        <w:spacing w:line="360" w:lineRule="auto"/>
        <w:ind w:firstLine="480" w:firstLineChars="200"/>
        <w:rPr>
          <w:rFonts w:ascii="宋体" w:hAnsi="宋体"/>
          <w:sz w:val="24"/>
        </w:rPr>
      </w:pPr>
      <w:r>
        <w:rPr>
          <w:rFonts w:ascii="宋体" w:hAnsi="宋体"/>
          <w:sz w:val="24"/>
        </w:rPr>
        <w:t>2.2.2 招标文件的澄清以投标人须知前附表规定的形式</w:t>
      </w:r>
      <w:r>
        <w:rPr>
          <w:rFonts w:hint="eastAsia" w:ascii="宋体" w:hAnsi="宋体"/>
          <w:sz w:val="24"/>
        </w:rPr>
        <w:t>发出</w:t>
      </w:r>
      <w:r>
        <w:rPr>
          <w:rFonts w:ascii="宋体" w:hAnsi="宋体"/>
          <w:sz w:val="24"/>
        </w:rPr>
        <w:t>，但不指明澄清问题的来源。澄清发出的时间距本章第4.2.1项规定的投标截止时间不足15日，且澄清内容可能影响投标文件编制，</w:t>
      </w:r>
      <w:r>
        <w:rPr>
          <w:rFonts w:hint="eastAsia" w:ascii="宋体" w:hAnsi="宋体"/>
          <w:sz w:val="24"/>
        </w:rPr>
        <w:t>将</w:t>
      </w:r>
      <w:r>
        <w:rPr>
          <w:rFonts w:ascii="宋体" w:hAnsi="宋体"/>
          <w:sz w:val="24"/>
        </w:rPr>
        <w:t>相应延长投标截止时间。</w:t>
      </w:r>
    </w:p>
    <w:p w14:paraId="21ABD1CD">
      <w:pPr>
        <w:pStyle w:val="20"/>
        <w:spacing w:line="360" w:lineRule="auto"/>
        <w:ind w:firstLine="480" w:firstLineChars="200"/>
      </w:pPr>
      <w:r>
        <w:t>2.2.3 投标人</w:t>
      </w:r>
      <w:r>
        <w:rPr>
          <w:rFonts w:hint="eastAsia"/>
        </w:rPr>
        <w:t>按照投标人须知前附表要求及时收悉澄清内容。投标人应注意及时浏览澄清发布媒介发出的澄清，因投标人自身原因未及时获知澄清内容而导致的任何后果将由投标人自行承担。</w:t>
      </w:r>
    </w:p>
    <w:p w14:paraId="48A8992F">
      <w:pPr>
        <w:pStyle w:val="20"/>
        <w:spacing w:line="360" w:lineRule="auto"/>
        <w:ind w:firstLine="480" w:firstLineChars="200"/>
      </w:pPr>
      <w:r>
        <w:t>2.2.4 除非招标人认为确有必要答复，否则，招标人有权拒绝回复投标人在</w:t>
      </w:r>
      <w:r>
        <w:rPr>
          <w:rFonts w:hint="eastAsia"/>
        </w:rPr>
        <w:t>本章第</w:t>
      </w:r>
      <w:r>
        <w:t>2.2.1项规定的时间后提出的任何澄清要求。</w:t>
      </w:r>
    </w:p>
    <w:p w14:paraId="5F8A4EEB">
      <w:pPr>
        <w:pStyle w:val="4"/>
        <w:numPr>
          <w:ilvl w:val="255"/>
          <w:numId w:val="0"/>
        </w:numPr>
        <w:spacing w:before="0" w:beforeLines="-2147483648" w:after="0" w:afterLines="-2147483648" w:line="360" w:lineRule="auto"/>
        <w:jc w:val="both"/>
        <w:rPr>
          <w:rFonts w:hint="eastAsia" w:eastAsia="黑体"/>
          <w:b w:val="0"/>
          <w:bCs w:val="0"/>
          <w:sz w:val="28"/>
        </w:rPr>
      </w:pPr>
      <w:bookmarkStart w:id="272" w:name="_Toc234832887"/>
      <w:bookmarkStart w:id="273" w:name="_Toc27059777"/>
      <w:bookmarkStart w:id="274" w:name="_Toc27060675"/>
      <w:bookmarkStart w:id="275" w:name="_Toc27059687"/>
      <w:bookmarkStart w:id="276" w:name="_Toc27059506"/>
      <w:bookmarkStart w:id="277" w:name="_Toc501257077"/>
      <w:bookmarkStart w:id="278" w:name="_Toc53685602"/>
      <w:bookmarkStart w:id="279" w:name="_Toc27059879"/>
      <w:r>
        <w:rPr>
          <w:rFonts w:hint="eastAsia" w:eastAsia="黑体"/>
          <w:b w:val="0"/>
          <w:bCs w:val="0"/>
          <w:sz w:val="28"/>
        </w:rPr>
        <w:t>2.3 招标文件的修改</w:t>
      </w:r>
      <w:bookmarkEnd w:id="272"/>
      <w:bookmarkEnd w:id="273"/>
      <w:bookmarkEnd w:id="274"/>
      <w:bookmarkEnd w:id="275"/>
      <w:bookmarkEnd w:id="276"/>
      <w:bookmarkEnd w:id="277"/>
      <w:bookmarkEnd w:id="278"/>
      <w:bookmarkEnd w:id="279"/>
    </w:p>
    <w:p w14:paraId="53E603B9">
      <w:pPr>
        <w:spacing w:line="360" w:lineRule="auto"/>
        <w:ind w:firstLine="480" w:firstLineChars="200"/>
        <w:rPr>
          <w:rFonts w:ascii="宋体" w:hAnsi="宋体"/>
          <w:sz w:val="24"/>
        </w:rPr>
      </w:pPr>
      <w:r>
        <w:rPr>
          <w:rFonts w:ascii="宋体" w:hAnsi="宋体"/>
          <w:sz w:val="24"/>
        </w:rPr>
        <w:t>2.3.1 招标人以投标人须知前附表规定的形式修改招标文件。修改招标文件的时间距本章第4.2.1项规定的投标截止时间不足15日，且修改内容可能影响投标文件编制的，将相应延长投标截止时间。</w:t>
      </w:r>
    </w:p>
    <w:p w14:paraId="12EA2891">
      <w:pPr>
        <w:pStyle w:val="20"/>
        <w:spacing w:line="360" w:lineRule="auto"/>
        <w:ind w:firstLine="480" w:firstLineChars="200"/>
      </w:pPr>
      <w:r>
        <w:t>2.3.2投标人</w:t>
      </w:r>
      <w:r>
        <w:rPr>
          <w:rFonts w:hint="eastAsia"/>
        </w:rPr>
        <w:t>按照投标人须知前附表要求及时收悉</w:t>
      </w:r>
      <w:r>
        <w:t>修改</w:t>
      </w:r>
      <w:r>
        <w:rPr>
          <w:rFonts w:hint="eastAsia"/>
        </w:rPr>
        <w:t>内容。投标人应注意及时浏览澄清发布媒介发出的修改，因投标人自身原因未及时获知修改内容而导致的任何后果将由投标人自行承担。</w:t>
      </w:r>
    </w:p>
    <w:p w14:paraId="2CC0A733">
      <w:pPr>
        <w:pStyle w:val="4"/>
        <w:numPr>
          <w:ilvl w:val="255"/>
          <w:numId w:val="0"/>
        </w:numPr>
        <w:spacing w:before="0" w:beforeLines="-2147483648" w:after="0" w:afterLines="-2147483648" w:line="360" w:lineRule="auto"/>
        <w:jc w:val="both"/>
        <w:rPr>
          <w:rFonts w:hint="eastAsia" w:eastAsia="黑体"/>
          <w:b w:val="0"/>
          <w:bCs w:val="0"/>
          <w:sz w:val="28"/>
        </w:rPr>
      </w:pPr>
      <w:bookmarkStart w:id="280" w:name="_Toc27059880"/>
      <w:bookmarkStart w:id="281" w:name="_Toc53685603"/>
      <w:bookmarkStart w:id="282" w:name="_Toc27059507"/>
      <w:bookmarkStart w:id="283" w:name="_Toc501257078"/>
      <w:bookmarkStart w:id="284" w:name="_Toc27059778"/>
      <w:bookmarkStart w:id="285" w:name="_Toc27060676"/>
      <w:bookmarkStart w:id="286" w:name="_Toc27059688"/>
      <w:r>
        <w:rPr>
          <w:rFonts w:hint="eastAsia" w:eastAsia="黑体"/>
          <w:b w:val="0"/>
          <w:bCs w:val="0"/>
          <w:sz w:val="28"/>
        </w:rPr>
        <w:t>2.4 招标文件的异议</w:t>
      </w:r>
      <w:bookmarkEnd w:id="280"/>
      <w:bookmarkEnd w:id="281"/>
      <w:bookmarkEnd w:id="282"/>
      <w:bookmarkEnd w:id="283"/>
      <w:bookmarkEnd w:id="284"/>
      <w:bookmarkEnd w:id="285"/>
      <w:bookmarkEnd w:id="286"/>
    </w:p>
    <w:p w14:paraId="44615E71">
      <w:pPr>
        <w:spacing w:line="360" w:lineRule="auto"/>
        <w:ind w:firstLine="480" w:firstLineChars="200"/>
        <w:rPr>
          <w:rFonts w:ascii="宋体" w:hAnsi="宋体"/>
          <w:sz w:val="24"/>
        </w:rPr>
      </w:pPr>
      <w:r>
        <w:rPr>
          <w:rFonts w:hint="eastAsia" w:ascii="宋体" w:hAnsi="宋体"/>
          <w:sz w:val="24"/>
        </w:rPr>
        <w:t>投标人或其他利害关系人对招标文件有异议的，应在投标截止时间</w:t>
      </w:r>
      <w:r>
        <w:rPr>
          <w:rFonts w:ascii="宋体" w:hAnsi="宋体"/>
          <w:sz w:val="24"/>
        </w:rPr>
        <w:t>10日前提出。招标人将在收到异议之日起3日内作出答复；作出答复前，将暂停招标投标活动。</w:t>
      </w:r>
    </w:p>
    <w:p w14:paraId="27F87617">
      <w:pPr>
        <w:pStyle w:val="3"/>
        <w:spacing w:before="240" w:after="240" w:line="360" w:lineRule="auto"/>
        <w:jc w:val="left"/>
        <w:rPr>
          <w:rFonts w:hint="eastAsia"/>
        </w:rPr>
      </w:pPr>
      <w:bookmarkStart w:id="287" w:name="_Toc27059689"/>
      <w:bookmarkStart w:id="288" w:name="_Toc501257079"/>
      <w:bookmarkStart w:id="289" w:name="_Toc27059779"/>
      <w:bookmarkStart w:id="290" w:name="_Toc234832888"/>
      <w:bookmarkStart w:id="291" w:name="_Toc27060677"/>
      <w:bookmarkStart w:id="292" w:name="_Toc27059881"/>
      <w:bookmarkStart w:id="293" w:name="_Toc27059508"/>
      <w:bookmarkStart w:id="294" w:name="_Toc53685604"/>
      <w:r>
        <w:rPr>
          <w:rFonts w:hint="eastAsia"/>
        </w:rPr>
        <w:t>3. 投标文件</w:t>
      </w:r>
      <w:bookmarkEnd w:id="287"/>
      <w:bookmarkEnd w:id="288"/>
      <w:bookmarkEnd w:id="289"/>
      <w:bookmarkEnd w:id="290"/>
      <w:bookmarkEnd w:id="291"/>
      <w:bookmarkEnd w:id="292"/>
      <w:bookmarkEnd w:id="293"/>
      <w:bookmarkEnd w:id="294"/>
    </w:p>
    <w:p w14:paraId="0DA638FC">
      <w:pPr>
        <w:pStyle w:val="4"/>
        <w:numPr>
          <w:ilvl w:val="255"/>
          <w:numId w:val="0"/>
        </w:numPr>
        <w:spacing w:before="0" w:beforeLines="-2147483648" w:after="0" w:afterLines="-2147483648" w:line="360" w:lineRule="auto"/>
        <w:jc w:val="both"/>
        <w:rPr>
          <w:rFonts w:hint="eastAsia" w:eastAsia="黑体"/>
          <w:b w:val="0"/>
          <w:bCs w:val="0"/>
          <w:sz w:val="28"/>
        </w:rPr>
      </w:pPr>
      <w:bookmarkStart w:id="295" w:name="_Toc501257080"/>
      <w:bookmarkStart w:id="296" w:name="_Toc27059780"/>
      <w:bookmarkStart w:id="297" w:name="_Toc53685605"/>
      <w:bookmarkStart w:id="298" w:name="_Toc27059882"/>
      <w:bookmarkStart w:id="299" w:name="_Toc27059690"/>
      <w:bookmarkStart w:id="300" w:name="_Toc27059509"/>
      <w:bookmarkStart w:id="301" w:name="_Toc27060678"/>
      <w:bookmarkStart w:id="302" w:name="_Toc234832889"/>
      <w:r>
        <w:rPr>
          <w:rFonts w:hint="eastAsia" w:eastAsia="黑体"/>
          <w:b w:val="0"/>
          <w:bCs w:val="0"/>
          <w:sz w:val="28"/>
        </w:rPr>
        <w:t>3.1</w:t>
      </w:r>
      <w:r>
        <w:rPr>
          <w:rFonts w:hint="eastAsia" w:eastAsia="黑体"/>
          <w:b w:val="0"/>
          <w:bCs w:val="0"/>
          <w:sz w:val="28"/>
        </w:rPr>
        <w:tab/>
      </w:r>
      <w:r>
        <w:rPr>
          <w:rFonts w:hint="eastAsia" w:eastAsia="黑体"/>
          <w:b w:val="0"/>
          <w:bCs w:val="0"/>
          <w:sz w:val="28"/>
        </w:rPr>
        <w:t>投标文件的组成</w:t>
      </w:r>
      <w:bookmarkEnd w:id="295"/>
      <w:bookmarkEnd w:id="296"/>
      <w:bookmarkEnd w:id="297"/>
      <w:bookmarkEnd w:id="298"/>
      <w:bookmarkEnd w:id="299"/>
      <w:bookmarkEnd w:id="300"/>
      <w:bookmarkEnd w:id="301"/>
      <w:bookmarkEnd w:id="302"/>
    </w:p>
    <w:p w14:paraId="65DD0C0B">
      <w:pPr>
        <w:spacing w:line="360" w:lineRule="auto"/>
        <w:ind w:firstLine="480" w:firstLineChars="200"/>
        <w:rPr>
          <w:rFonts w:ascii="宋体" w:hAnsi="宋体"/>
          <w:sz w:val="24"/>
        </w:rPr>
      </w:pPr>
      <w:r>
        <w:rPr>
          <w:rFonts w:ascii="宋体" w:hAnsi="宋体"/>
          <w:sz w:val="24"/>
        </w:rPr>
        <w:t xml:space="preserve">3.1.1 </w:t>
      </w:r>
      <w:r>
        <w:rPr>
          <w:rFonts w:hint="eastAsia" w:ascii="宋体" w:hAnsi="宋体"/>
          <w:sz w:val="24"/>
        </w:rPr>
        <w:t>投标文件应采用双信封形式，包括下列内容：</w:t>
      </w:r>
    </w:p>
    <w:p w14:paraId="06A56E28">
      <w:pPr>
        <w:spacing w:line="360" w:lineRule="auto"/>
        <w:ind w:firstLine="480" w:firstLineChars="200"/>
        <w:rPr>
          <w:rFonts w:ascii="宋体" w:hAnsi="宋体"/>
          <w:sz w:val="24"/>
        </w:rPr>
      </w:pPr>
      <w:r>
        <w:rPr>
          <w:rFonts w:hint="eastAsia" w:ascii="宋体" w:hAnsi="宋体"/>
          <w:sz w:val="24"/>
        </w:rPr>
        <w:t>第一个信封（商务及技术文件）：</w:t>
      </w:r>
    </w:p>
    <w:p w14:paraId="5386797F">
      <w:pPr>
        <w:spacing w:line="360" w:lineRule="auto"/>
        <w:ind w:firstLine="480" w:firstLineChars="200"/>
        <w:rPr>
          <w:rFonts w:ascii="宋体" w:hAnsi="宋体"/>
          <w:sz w:val="24"/>
        </w:rPr>
      </w:pPr>
      <w:r>
        <w:rPr>
          <w:rFonts w:hint="eastAsia" w:ascii="宋体" w:hAnsi="宋体"/>
          <w:sz w:val="24"/>
        </w:rPr>
        <w:t>（</w:t>
      </w:r>
      <w:r>
        <w:rPr>
          <w:rFonts w:ascii="宋体" w:hAnsi="宋体"/>
          <w:sz w:val="24"/>
        </w:rPr>
        <w:t>1）投标函及投标函附录；</w:t>
      </w:r>
    </w:p>
    <w:p w14:paraId="2AE88433">
      <w:pPr>
        <w:spacing w:line="360" w:lineRule="auto"/>
        <w:ind w:firstLine="480" w:firstLineChars="200"/>
        <w:rPr>
          <w:rFonts w:ascii="宋体" w:hAnsi="宋体"/>
          <w:sz w:val="24"/>
        </w:rPr>
      </w:pPr>
      <w:r>
        <w:rPr>
          <w:rFonts w:hint="eastAsia" w:ascii="宋体" w:hAnsi="宋体"/>
          <w:sz w:val="24"/>
        </w:rPr>
        <w:t>（</w:t>
      </w:r>
      <w:r>
        <w:rPr>
          <w:rFonts w:ascii="宋体" w:hAnsi="宋体"/>
          <w:sz w:val="24"/>
        </w:rPr>
        <w:t>2）授权委托书或法定代表人身份证明；</w:t>
      </w:r>
    </w:p>
    <w:p w14:paraId="4B756B57">
      <w:pPr>
        <w:spacing w:line="360" w:lineRule="auto"/>
        <w:ind w:firstLine="480" w:firstLineChars="200"/>
        <w:rPr>
          <w:rFonts w:ascii="宋体" w:hAnsi="宋体"/>
          <w:sz w:val="24"/>
        </w:rPr>
      </w:pPr>
      <w:r>
        <w:rPr>
          <w:rFonts w:hint="eastAsia" w:ascii="宋体" w:hAnsi="宋体"/>
          <w:sz w:val="24"/>
        </w:rPr>
        <w:t>（</w:t>
      </w:r>
      <w:r>
        <w:rPr>
          <w:rFonts w:ascii="宋体" w:hAnsi="宋体"/>
          <w:sz w:val="24"/>
        </w:rPr>
        <w:t>3）联合体协议书；</w:t>
      </w:r>
    </w:p>
    <w:p w14:paraId="0647B471">
      <w:pPr>
        <w:spacing w:line="360" w:lineRule="auto"/>
        <w:ind w:firstLine="480" w:firstLineChars="200"/>
        <w:rPr>
          <w:rFonts w:ascii="宋体" w:hAnsi="宋体"/>
          <w:sz w:val="24"/>
        </w:rPr>
      </w:pPr>
      <w:r>
        <w:rPr>
          <w:rFonts w:hint="eastAsia" w:ascii="宋体" w:hAnsi="宋体"/>
          <w:sz w:val="24"/>
        </w:rPr>
        <w:t>（</w:t>
      </w:r>
      <w:r>
        <w:rPr>
          <w:rFonts w:ascii="宋体" w:hAnsi="宋体"/>
          <w:sz w:val="24"/>
        </w:rPr>
        <w:t>4）投标保证金；</w:t>
      </w:r>
    </w:p>
    <w:p w14:paraId="5A778645">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设计施工总承包方案</w:t>
      </w:r>
      <w:r>
        <w:rPr>
          <w:rFonts w:ascii="宋体" w:hAnsi="宋体"/>
          <w:sz w:val="24"/>
        </w:rPr>
        <w:t>；</w:t>
      </w:r>
    </w:p>
    <w:p w14:paraId="0512D90D">
      <w:pPr>
        <w:spacing w:line="360" w:lineRule="auto"/>
        <w:ind w:firstLine="480" w:firstLineChars="200"/>
        <w:rPr>
          <w:rFonts w:ascii="宋体" w:hAnsi="宋体"/>
          <w:sz w:val="24"/>
        </w:rPr>
      </w:pPr>
      <w:r>
        <w:rPr>
          <w:rFonts w:hint="eastAsia" w:ascii="宋体" w:hAnsi="宋体"/>
          <w:sz w:val="24"/>
        </w:rPr>
        <w:t>（</w:t>
      </w:r>
      <w:r>
        <w:rPr>
          <w:rFonts w:ascii="宋体" w:hAnsi="宋体"/>
          <w:sz w:val="24"/>
        </w:rPr>
        <w:t>6）项目管理机构</w:t>
      </w:r>
      <w:r>
        <w:rPr>
          <w:rFonts w:hint="eastAsia" w:ascii="宋体" w:hAnsi="宋体"/>
          <w:sz w:val="24"/>
        </w:rPr>
        <w:t>；</w:t>
      </w:r>
    </w:p>
    <w:p w14:paraId="7D2BADC5">
      <w:pPr>
        <w:spacing w:line="360" w:lineRule="auto"/>
        <w:ind w:firstLine="480" w:firstLineChars="200"/>
        <w:rPr>
          <w:rFonts w:ascii="宋体" w:hAnsi="宋体"/>
          <w:sz w:val="24"/>
        </w:rPr>
      </w:pPr>
      <w:r>
        <w:rPr>
          <w:rFonts w:hint="eastAsia" w:ascii="宋体" w:hAnsi="宋体"/>
          <w:sz w:val="24"/>
        </w:rPr>
        <w:t>（7）</w:t>
      </w:r>
      <w:r>
        <w:rPr>
          <w:rFonts w:ascii="宋体" w:hAnsi="宋体"/>
          <w:sz w:val="24"/>
        </w:rPr>
        <w:t>拟分包专项工程情况表；</w:t>
      </w:r>
    </w:p>
    <w:p w14:paraId="6EEC02FA">
      <w:pPr>
        <w:spacing w:line="360" w:lineRule="auto"/>
        <w:ind w:firstLine="480" w:firstLineChars="200"/>
        <w:rPr>
          <w:rFonts w:ascii="宋体" w:hAnsi="宋体"/>
          <w:sz w:val="24"/>
        </w:rPr>
      </w:pPr>
      <w:r>
        <w:rPr>
          <w:rFonts w:hint="eastAsia" w:ascii="宋体" w:hAnsi="宋体"/>
          <w:sz w:val="24"/>
        </w:rPr>
        <w:t>（</w:t>
      </w:r>
      <w:r>
        <w:rPr>
          <w:rFonts w:ascii="宋体" w:hAnsi="宋体"/>
          <w:sz w:val="24"/>
        </w:rPr>
        <w:t xml:space="preserve">8）资格审查资料； </w:t>
      </w:r>
    </w:p>
    <w:p w14:paraId="24BF7073">
      <w:pPr>
        <w:spacing w:line="360" w:lineRule="auto"/>
        <w:ind w:firstLine="480" w:firstLineChars="200"/>
        <w:rPr>
          <w:rFonts w:ascii="宋体" w:hAnsi="宋体"/>
          <w:sz w:val="24"/>
        </w:rPr>
      </w:pPr>
      <w:r>
        <w:rPr>
          <w:rFonts w:hint="eastAsia" w:ascii="宋体" w:hAnsi="宋体"/>
          <w:sz w:val="24"/>
        </w:rPr>
        <w:t>（</w:t>
      </w:r>
      <w:r>
        <w:rPr>
          <w:rFonts w:ascii="宋体" w:hAnsi="宋体"/>
          <w:sz w:val="24"/>
        </w:rPr>
        <w:t>9）其他资料</w:t>
      </w:r>
      <w:r>
        <w:rPr>
          <w:rFonts w:hint="eastAsia" w:ascii="宋体" w:hAnsi="宋体"/>
          <w:sz w:val="24"/>
        </w:rPr>
        <w:t>（如有）</w:t>
      </w:r>
      <w:r>
        <w:rPr>
          <w:rFonts w:ascii="宋体" w:hAnsi="宋体"/>
          <w:sz w:val="24"/>
        </w:rPr>
        <w:t>。</w:t>
      </w:r>
    </w:p>
    <w:p w14:paraId="6B2BF365">
      <w:pPr>
        <w:spacing w:line="360" w:lineRule="auto"/>
        <w:ind w:firstLine="480" w:firstLineChars="200"/>
        <w:rPr>
          <w:rFonts w:ascii="宋体" w:hAnsi="宋体"/>
          <w:sz w:val="24"/>
        </w:rPr>
      </w:pPr>
      <w:r>
        <w:rPr>
          <w:rFonts w:hint="eastAsia" w:ascii="宋体" w:hAnsi="宋体"/>
          <w:sz w:val="24"/>
        </w:rPr>
        <w:t>第二个信封（报价文件）：</w:t>
      </w:r>
    </w:p>
    <w:p w14:paraId="23BA1302">
      <w:pPr>
        <w:spacing w:line="360" w:lineRule="auto"/>
        <w:ind w:firstLine="480" w:firstLineChars="200"/>
        <w:rPr>
          <w:rFonts w:ascii="宋体" w:hAnsi="宋体"/>
          <w:sz w:val="24"/>
        </w:rPr>
      </w:pPr>
      <w:r>
        <w:rPr>
          <w:rFonts w:hint="eastAsia" w:ascii="宋体" w:hAnsi="宋体"/>
          <w:sz w:val="24"/>
        </w:rPr>
        <w:t>（</w:t>
      </w:r>
      <w:r>
        <w:rPr>
          <w:rFonts w:ascii="宋体" w:hAnsi="宋体"/>
          <w:sz w:val="24"/>
        </w:rPr>
        <w:t>1）投标函</w:t>
      </w:r>
      <w:r>
        <w:rPr>
          <w:rFonts w:hint="eastAsia" w:ascii="宋体" w:hAnsi="宋体"/>
          <w:sz w:val="24"/>
        </w:rPr>
        <w:t>（第二个信封）</w:t>
      </w:r>
      <w:r>
        <w:rPr>
          <w:rFonts w:ascii="宋体" w:hAnsi="宋体"/>
          <w:sz w:val="24"/>
        </w:rPr>
        <w:t>；</w:t>
      </w:r>
    </w:p>
    <w:p w14:paraId="420EDA96">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价格</w:t>
      </w:r>
      <w:r>
        <w:rPr>
          <w:rFonts w:ascii="宋体" w:hAnsi="宋体"/>
          <w:sz w:val="24"/>
        </w:rPr>
        <w:t>清单。</w:t>
      </w:r>
    </w:p>
    <w:p w14:paraId="2AD0E8D7">
      <w:pPr>
        <w:spacing w:line="360" w:lineRule="auto"/>
        <w:ind w:firstLine="480" w:firstLineChars="200"/>
        <w:rPr>
          <w:rFonts w:ascii="宋体" w:hAnsi="宋体"/>
          <w:sz w:val="24"/>
        </w:rPr>
      </w:pPr>
      <w:r>
        <w:rPr>
          <w:rFonts w:ascii="宋体" w:hAnsi="宋体"/>
          <w:sz w:val="24"/>
        </w:rPr>
        <w:t>投标人在评标过程中作出的符合法律法规和招标文件规定的澄清确认，构成投标文件的组成部分。</w:t>
      </w:r>
    </w:p>
    <w:p w14:paraId="05925766">
      <w:pPr>
        <w:spacing w:line="360" w:lineRule="auto"/>
        <w:ind w:firstLine="480" w:firstLineChars="200"/>
        <w:rPr>
          <w:rFonts w:ascii="宋体" w:hAnsi="宋体"/>
          <w:sz w:val="24"/>
        </w:rPr>
      </w:pPr>
      <w:r>
        <w:rPr>
          <w:rFonts w:ascii="宋体" w:hAnsi="宋体"/>
          <w:sz w:val="24"/>
        </w:rPr>
        <w:t xml:space="preserve">3.1.2 </w:t>
      </w:r>
      <w:r>
        <w:rPr>
          <w:rFonts w:hint="eastAsia" w:ascii="宋体" w:hAnsi="宋体"/>
          <w:sz w:val="24"/>
        </w:rPr>
        <w:t>投标人须知前附表规定不接受联合体投标的，或投标人没有组成联合体的，投标文件不包括本章第</w:t>
      </w:r>
      <w:r>
        <w:rPr>
          <w:rFonts w:ascii="宋体" w:hAnsi="宋体"/>
          <w:sz w:val="24"/>
        </w:rPr>
        <w:t>3.1.1</w:t>
      </w:r>
      <w:r>
        <w:rPr>
          <w:rFonts w:hint="eastAsia" w:ascii="宋体" w:hAnsi="宋体"/>
          <w:sz w:val="24"/>
          <w:lang w:val="en-US" w:eastAsia="zh-CN"/>
        </w:rPr>
        <w:t>项</w:t>
      </w:r>
      <w:r>
        <w:rPr>
          <w:rFonts w:hint="eastAsia" w:ascii="宋体" w:hAnsi="宋体"/>
          <w:sz w:val="24"/>
        </w:rPr>
        <w:t>（</w:t>
      </w:r>
      <w:r>
        <w:rPr>
          <w:rFonts w:ascii="宋体" w:hAnsi="宋体"/>
          <w:sz w:val="24"/>
        </w:rPr>
        <w:t>3</w:t>
      </w:r>
      <w:r>
        <w:rPr>
          <w:rFonts w:hint="eastAsia" w:ascii="宋体" w:hAnsi="宋体"/>
          <w:sz w:val="24"/>
        </w:rPr>
        <w:t>）目所指的联合体协议书。</w:t>
      </w:r>
      <w:r>
        <w:rPr>
          <w:rFonts w:ascii="宋体" w:hAnsi="宋体"/>
          <w:sz w:val="24"/>
        </w:rPr>
        <w:t xml:space="preserve"> </w:t>
      </w:r>
    </w:p>
    <w:p w14:paraId="71480126">
      <w:pPr>
        <w:spacing w:line="360" w:lineRule="auto"/>
        <w:ind w:firstLine="480" w:firstLineChars="200"/>
        <w:rPr>
          <w:rFonts w:ascii="宋体" w:hAnsi="宋体"/>
          <w:sz w:val="24"/>
        </w:rPr>
      </w:pPr>
      <w:r>
        <w:rPr>
          <w:rFonts w:ascii="宋体" w:hAnsi="宋体"/>
          <w:sz w:val="24"/>
        </w:rPr>
        <w:t xml:space="preserve">3.1.3 </w:t>
      </w:r>
      <w:r>
        <w:rPr>
          <w:rFonts w:hint="eastAsia" w:ascii="宋体" w:hAnsi="宋体"/>
          <w:sz w:val="24"/>
        </w:rPr>
        <w:t>投标人须知前附表未要求提交投标保证金的，投标文件不包括本章第</w:t>
      </w:r>
      <w:r>
        <w:rPr>
          <w:rFonts w:ascii="宋体" w:hAnsi="宋体"/>
          <w:sz w:val="24"/>
        </w:rPr>
        <w:t>3.1.1</w:t>
      </w:r>
      <w:r>
        <w:rPr>
          <w:rFonts w:hint="eastAsia" w:ascii="宋体" w:hAnsi="宋体"/>
          <w:sz w:val="24"/>
          <w:lang w:val="en-US" w:eastAsia="zh-CN"/>
        </w:rPr>
        <w:t>项</w:t>
      </w:r>
      <w:r>
        <w:rPr>
          <w:rFonts w:hint="eastAsia" w:ascii="宋体" w:hAnsi="宋体"/>
          <w:sz w:val="24"/>
        </w:rPr>
        <w:t>（</w:t>
      </w:r>
      <w:r>
        <w:rPr>
          <w:rFonts w:ascii="宋体" w:hAnsi="宋体"/>
          <w:sz w:val="24"/>
        </w:rPr>
        <w:t>4</w:t>
      </w:r>
      <w:r>
        <w:rPr>
          <w:rFonts w:hint="eastAsia" w:ascii="宋体" w:hAnsi="宋体"/>
          <w:sz w:val="24"/>
        </w:rPr>
        <w:t>）目所指的投标保证金。</w:t>
      </w:r>
    </w:p>
    <w:p w14:paraId="07A8053D">
      <w:pPr>
        <w:pStyle w:val="4"/>
        <w:numPr>
          <w:ilvl w:val="255"/>
          <w:numId w:val="0"/>
        </w:numPr>
        <w:spacing w:before="0" w:beforeLines="-2147483648" w:after="0" w:afterLines="-2147483648" w:line="360" w:lineRule="auto"/>
        <w:jc w:val="both"/>
        <w:rPr>
          <w:rFonts w:hint="eastAsia" w:eastAsia="黑体"/>
          <w:b w:val="0"/>
          <w:bCs w:val="0"/>
          <w:sz w:val="28"/>
        </w:rPr>
      </w:pPr>
      <w:bookmarkStart w:id="303" w:name="_Toc27059883"/>
      <w:bookmarkStart w:id="304" w:name="_Toc27060679"/>
      <w:bookmarkStart w:id="305" w:name="_Toc501257081"/>
      <w:bookmarkStart w:id="306" w:name="_Toc27059510"/>
      <w:bookmarkStart w:id="307" w:name="_Toc53685606"/>
      <w:bookmarkStart w:id="308" w:name="_Toc27059691"/>
      <w:bookmarkStart w:id="309" w:name="_Toc27059781"/>
      <w:bookmarkStart w:id="310" w:name="_Toc234832890"/>
      <w:r>
        <w:rPr>
          <w:rFonts w:hint="eastAsia" w:eastAsia="黑体"/>
          <w:b w:val="0"/>
          <w:bCs w:val="0"/>
          <w:sz w:val="28"/>
        </w:rPr>
        <w:t>3.2 投标报价</w:t>
      </w:r>
      <w:bookmarkEnd w:id="303"/>
      <w:bookmarkEnd w:id="304"/>
      <w:bookmarkEnd w:id="305"/>
      <w:bookmarkEnd w:id="306"/>
      <w:bookmarkEnd w:id="307"/>
      <w:bookmarkEnd w:id="308"/>
      <w:bookmarkEnd w:id="309"/>
      <w:bookmarkEnd w:id="310"/>
      <w:r>
        <w:rPr>
          <w:rFonts w:hint="eastAsia" w:eastAsia="黑体"/>
          <w:b w:val="0"/>
          <w:bCs w:val="0"/>
          <w:sz w:val="28"/>
        </w:rPr>
        <w:t xml:space="preserve"> </w:t>
      </w:r>
    </w:p>
    <w:p w14:paraId="3CA5A9E1">
      <w:pPr>
        <w:adjustRightInd w:val="0"/>
        <w:snapToGrid w:val="0"/>
        <w:spacing w:line="360" w:lineRule="auto"/>
        <w:ind w:firstLine="480" w:firstLineChars="200"/>
        <w:rPr>
          <w:rFonts w:ascii="宋体" w:hAnsi="宋体"/>
          <w:sz w:val="24"/>
        </w:rPr>
      </w:pPr>
      <w:r>
        <w:rPr>
          <w:rFonts w:ascii="宋体" w:hAnsi="宋体"/>
          <w:sz w:val="24"/>
        </w:rPr>
        <w:t>3.2.1 投标报价应包括国家规定的增值税税金，除投标人须知前附表另有规定外，增值税税金按一般计税方法计算。投标人应按第八章</w:t>
      </w:r>
      <w:r>
        <w:rPr>
          <w:rFonts w:hint="eastAsia" w:ascii="宋体" w:hAnsi="宋体"/>
          <w:sz w:val="24"/>
        </w:rPr>
        <w:t>“</w:t>
      </w:r>
      <w:r>
        <w:rPr>
          <w:rFonts w:ascii="宋体" w:hAnsi="宋体"/>
          <w:sz w:val="24"/>
        </w:rPr>
        <w:t>投标文件格式</w:t>
      </w:r>
      <w:r>
        <w:rPr>
          <w:rFonts w:hint="eastAsia" w:ascii="宋体" w:hAnsi="宋体"/>
          <w:sz w:val="24"/>
        </w:rPr>
        <w:t>”</w:t>
      </w:r>
      <w:r>
        <w:rPr>
          <w:rFonts w:ascii="宋体" w:hAnsi="宋体"/>
          <w:sz w:val="24"/>
        </w:rPr>
        <w:t>的要求在投标函</w:t>
      </w:r>
      <w:r>
        <w:rPr>
          <w:rFonts w:hint="eastAsia" w:ascii="宋体" w:hAnsi="宋体"/>
          <w:sz w:val="24"/>
        </w:rPr>
        <w:t>（第二个信封）</w:t>
      </w:r>
      <w:r>
        <w:rPr>
          <w:rFonts w:ascii="宋体" w:hAnsi="宋体"/>
          <w:sz w:val="24"/>
        </w:rPr>
        <w:t>中进行报价并填写</w:t>
      </w:r>
      <w:r>
        <w:rPr>
          <w:rFonts w:hint="eastAsia" w:ascii="宋体" w:hAnsi="宋体"/>
          <w:sz w:val="24"/>
        </w:rPr>
        <w:t>价格</w:t>
      </w:r>
      <w:r>
        <w:rPr>
          <w:rFonts w:ascii="宋体" w:hAnsi="宋体"/>
          <w:sz w:val="24"/>
        </w:rPr>
        <w:t>清单相应表格。</w:t>
      </w:r>
    </w:p>
    <w:p w14:paraId="07AE1CCA">
      <w:pPr>
        <w:spacing w:line="360" w:lineRule="auto"/>
        <w:ind w:firstLine="480" w:firstLineChars="200"/>
        <w:rPr>
          <w:rFonts w:ascii="宋体" w:hAnsi="宋体"/>
          <w:sz w:val="24"/>
        </w:rPr>
      </w:pPr>
      <w:r>
        <w:rPr>
          <w:rFonts w:hint="eastAsia" w:ascii="宋体" w:hAnsi="宋体"/>
          <w:sz w:val="24"/>
        </w:rPr>
        <w:t>本项目招标</w:t>
      </w:r>
      <w:r>
        <w:rPr>
          <w:rFonts w:hint="eastAsia" w:ascii="宋体" w:hAnsi="宋体"/>
          <w:sz w:val="24"/>
          <w:lang w:val="en-US" w:eastAsia="zh-CN"/>
        </w:rPr>
        <w:t>施工投标报价</w:t>
      </w:r>
      <w:r>
        <w:rPr>
          <w:rFonts w:hint="eastAsia" w:ascii="宋体" w:hAnsi="宋体"/>
          <w:sz w:val="24"/>
        </w:rPr>
        <w:t>采用工程量固化清单，招标人</w:t>
      </w:r>
      <w:r>
        <w:rPr>
          <w:rFonts w:ascii="宋体" w:hAnsi="宋体"/>
          <w:sz w:val="24"/>
        </w:rPr>
        <w:t>将</w:t>
      </w:r>
      <w:r>
        <w:rPr>
          <w:rFonts w:hint="eastAsia" w:ascii="宋体" w:hAnsi="宋体"/>
          <w:sz w:val="24"/>
        </w:rPr>
        <w:t>工程量固化清单电子文件上传</w:t>
      </w:r>
      <w:r>
        <w:rPr>
          <w:rFonts w:ascii="宋体" w:hAnsi="宋体"/>
          <w:sz w:val="24"/>
        </w:rPr>
        <w:t>至</w:t>
      </w:r>
      <w:r>
        <w:rPr>
          <w:rFonts w:hint="eastAsia" w:ascii="宋体" w:hAnsi="宋体"/>
          <w:sz w:val="24"/>
        </w:rPr>
        <w:t>招标文件规定</w:t>
      </w:r>
      <w:r>
        <w:rPr>
          <w:rFonts w:ascii="宋体" w:hAnsi="宋体"/>
          <w:sz w:val="24"/>
        </w:rPr>
        <w:t>的网站</w:t>
      </w:r>
      <w:r>
        <w:rPr>
          <w:rFonts w:hint="eastAsia" w:ascii="宋体" w:hAnsi="宋体"/>
          <w:sz w:val="24"/>
        </w:rPr>
        <w:t>供</w:t>
      </w:r>
      <w:r>
        <w:rPr>
          <w:rFonts w:ascii="宋体" w:hAnsi="宋体"/>
          <w:sz w:val="24"/>
        </w:rPr>
        <w:t>投标人</w:t>
      </w:r>
      <w:r>
        <w:rPr>
          <w:rFonts w:hint="eastAsia" w:ascii="宋体" w:hAnsi="宋体"/>
          <w:sz w:val="24"/>
        </w:rPr>
        <w:t>自行</w:t>
      </w:r>
      <w:r>
        <w:rPr>
          <w:rFonts w:ascii="宋体" w:hAnsi="宋体"/>
          <w:sz w:val="24"/>
        </w:rPr>
        <w:t>下载</w:t>
      </w:r>
      <w:r>
        <w:rPr>
          <w:rFonts w:hint="eastAsia" w:ascii="宋体" w:hAnsi="宋体"/>
          <w:sz w:val="24"/>
        </w:rPr>
        <w:t>。投标人填写工程量清单中各子目的单价及总额价，即可完成投标工程量清单的编制，确定</w:t>
      </w:r>
      <w:r>
        <w:rPr>
          <w:rFonts w:hint="eastAsia" w:ascii="宋体" w:hAnsi="宋体"/>
          <w:sz w:val="24"/>
          <w:lang w:val="en-US" w:eastAsia="zh-CN"/>
        </w:rPr>
        <w:t>施工</w:t>
      </w:r>
      <w:r>
        <w:rPr>
          <w:rFonts w:hint="eastAsia" w:ascii="宋体" w:hAnsi="宋体"/>
          <w:sz w:val="24"/>
        </w:rPr>
        <w:t>投标报价，并打印出投标工程量清单，编入投标文件。投标人未在工程量清单中填入单价或总额价的工程子目，将被认为其已包含在工程量清单其他子目的单价和总额价中，招标人将不予支付。</w:t>
      </w:r>
    </w:p>
    <w:p w14:paraId="3910FC4C">
      <w:pPr>
        <w:spacing w:line="360" w:lineRule="auto"/>
        <w:ind w:firstLine="480" w:firstLineChars="200"/>
        <w:rPr>
          <w:rFonts w:ascii="宋体" w:hAnsi="宋体"/>
          <w:sz w:val="24"/>
        </w:rPr>
      </w:pPr>
      <w:r>
        <w:rPr>
          <w:rFonts w:hint="eastAsia" w:ascii="宋体" w:hAnsi="宋体"/>
          <w:sz w:val="24"/>
        </w:rPr>
        <w:t>投标人必须严格遵循工程量固化清单电子文件中的数据、格式及运算定义，</w:t>
      </w:r>
      <w:r>
        <w:rPr>
          <w:rFonts w:ascii="宋体" w:hAnsi="宋体"/>
          <w:sz w:val="24"/>
        </w:rPr>
        <w:t>严禁投标人修改工程量固化清单电子文件中的数据、格式及运算定义。</w:t>
      </w:r>
    </w:p>
    <w:p w14:paraId="72E3B50D">
      <w:pPr>
        <w:adjustRightInd w:val="0"/>
        <w:snapToGrid w:val="0"/>
        <w:spacing w:line="360" w:lineRule="auto"/>
        <w:ind w:firstLine="480" w:firstLineChars="200"/>
        <w:rPr>
          <w:rFonts w:ascii="宋体" w:hAnsi="宋体"/>
          <w:sz w:val="24"/>
        </w:rPr>
      </w:pPr>
      <w:r>
        <w:rPr>
          <w:rFonts w:ascii="宋体" w:hAnsi="宋体"/>
          <w:sz w:val="24"/>
        </w:rPr>
        <w:t>3.2.2</w:t>
      </w:r>
      <w:r>
        <w:rPr>
          <w:rFonts w:hint="eastAsia" w:ascii="宋体" w:hAnsi="宋体"/>
          <w:sz w:val="24"/>
          <w:lang w:val="en-US" w:eastAsia="zh-CN"/>
        </w:rPr>
        <w:t xml:space="preserve"> </w:t>
      </w:r>
      <w:r>
        <w:rPr>
          <w:rFonts w:ascii="宋体" w:hAnsi="宋体"/>
          <w:sz w:val="24"/>
        </w:rPr>
        <w:t>投标人应充分了解</w:t>
      </w:r>
      <w:r>
        <w:rPr>
          <w:rFonts w:hint="eastAsia" w:ascii="宋体" w:hAnsi="宋体"/>
          <w:sz w:val="24"/>
        </w:rPr>
        <w:t>本</w:t>
      </w:r>
      <w:r>
        <w:rPr>
          <w:rFonts w:ascii="宋体" w:hAnsi="宋体"/>
          <w:sz w:val="24"/>
        </w:rPr>
        <w:t>项目的总体情况以及影响投标报价的其他要素。</w:t>
      </w:r>
    </w:p>
    <w:p w14:paraId="18E2C6D2">
      <w:pPr>
        <w:adjustRightInd w:val="0"/>
        <w:snapToGrid w:val="0"/>
        <w:spacing w:line="360" w:lineRule="auto"/>
        <w:ind w:firstLine="480" w:firstLineChars="200"/>
        <w:rPr>
          <w:rFonts w:ascii="宋体" w:hAnsi="宋体"/>
          <w:sz w:val="24"/>
        </w:rPr>
      </w:pPr>
      <w:r>
        <w:rPr>
          <w:rFonts w:ascii="宋体" w:hAnsi="宋体"/>
          <w:sz w:val="24"/>
        </w:rPr>
        <w:t xml:space="preserve">3.2.3 </w:t>
      </w:r>
      <w:r>
        <w:rPr>
          <w:rFonts w:hint="eastAsia" w:ascii="宋体" w:hAnsi="宋体"/>
          <w:sz w:val="24"/>
        </w:rPr>
        <w:t>本项目的报价方式见投标人须知前附表。</w:t>
      </w:r>
      <w:r>
        <w:rPr>
          <w:rFonts w:ascii="宋体" w:hAnsi="宋体"/>
          <w:sz w:val="24"/>
        </w:rPr>
        <w:t>投标人在投标截止时间前修改投标函</w:t>
      </w:r>
      <w:r>
        <w:rPr>
          <w:rFonts w:hint="eastAsia" w:ascii="宋体" w:hAnsi="宋体"/>
          <w:sz w:val="24"/>
        </w:rPr>
        <w:t>（第二个信封）</w:t>
      </w:r>
      <w:r>
        <w:rPr>
          <w:rFonts w:ascii="宋体" w:hAnsi="宋体"/>
          <w:sz w:val="24"/>
        </w:rPr>
        <w:t>中的投标总报价，应同时修改</w:t>
      </w:r>
      <w:r>
        <w:rPr>
          <w:rFonts w:hint="eastAsia" w:ascii="宋体" w:hAnsi="宋体"/>
          <w:sz w:val="24"/>
        </w:rPr>
        <w:t>投标</w:t>
      </w:r>
      <w:r>
        <w:rPr>
          <w:rFonts w:ascii="宋体" w:hAnsi="宋体"/>
          <w:sz w:val="24"/>
        </w:rPr>
        <w:t>文件“</w:t>
      </w:r>
      <w:r>
        <w:rPr>
          <w:rFonts w:hint="eastAsia" w:ascii="宋体" w:hAnsi="宋体"/>
          <w:sz w:val="24"/>
        </w:rPr>
        <w:t>价格</w:t>
      </w:r>
      <w:r>
        <w:rPr>
          <w:rFonts w:ascii="宋体" w:hAnsi="宋体"/>
          <w:sz w:val="24"/>
        </w:rPr>
        <w:t>清单”中的相应报价。此修改须符合本章第4.3款的有关要求。</w:t>
      </w:r>
    </w:p>
    <w:p w14:paraId="0CC68EF9">
      <w:pPr>
        <w:spacing w:line="360" w:lineRule="auto"/>
        <w:ind w:firstLine="480" w:firstLineChars="200"/>
        <w:rPr>
          <w:rFonts w:ascii="宋体" w:hAnsi="宋体"/>
          <w:sz w:val="24"/>
        </w:rPr>
      </w:pPr>
      <w:r>
        <w:rPr>
          <w:rFonts w:ascii="宋体" w:hAnsi="宋体"/>
          <w:sz w:val="24"/>
        </w:rPr>
        <w:t>3.2.4 招标人设有最高投标限价的，投标人的投标报价不得超过最高投标限价，最高投标限价</w:t>
      </w:r>
      <w:r>
        <w:rPr>
          <w:rFonts w:hint="eastAsia" w:ascii="宋体" w:hAnsi="宋体"/>
          <w:sz w:val="24"/>
        </w:rPr>
        <w:t>或其计算方法</w:t>
      </w:r>
      <w:r>
        <w:rPr>
          <w:rFonts w:ascii="宋体" w:hAnsi="宋体"/>
          <w:sz w:val="24"/>
        </w:rPr>
        <w:t>在投标</w:t>
      </w:r>
      <w:bookmarkStart w:id="311" w:name="_Toc10429"/>
      <w:bookmarkStart w:id="312" w:name="_Toc361508600"/>
      <w:bookmarkStart w:id="313" w:name="_Toc247513968"/>
      <w:bookmarkStart w:id="314" w:name="_Toc369531531"/>
      <w:bookmarkStart w:id="315" w:name="_Toc384308225"/>
      <w:bookmarkStart w:id="316" w:name="_Toc352691488"/>
      <w:bookmarkStart w:id="317" w:name="_Toc247527569"/>
      <w:bookmarkStart w:id="318" w:name="_Toc152042320"/>
      <w:bookmarkStart w:id="319" w:name="_Toc144974512"/>
      <w:bookmarkStart w:id="320" w:name="_Toc152045544"/>
      <w:bookmarkStart w:id="321" w:name="_Toc300834965"/>
      <w:r>
        <w:rPr>
          <w:rFonts w:ascii="宋体" w:hAnsi="宋体"/>
          <w:sz w:val="24"/>
        </w:rPr>
        <w:t>人须知前附表中载明。</w:t>
      </w:r>
      <w:bookmarkEnd w:id="311"/>
      <w:bookmarkEnd w:id="312"/>
      <w:bookmarkEnd w:id="313"/>
      <w:bookmarkEnd w:id="314"/>
      <w:bookmarkEnd w:id="315"/>
      <w:bookmarkEnd w:id="316"/>
      <w:bookmarkEnd w:id="317"/>
      <w:bookmarkEnd w:id="318"/>
      <w:bookmarkEnd w:id="319"/>
      <w:bookmarkEnd w:id="320"/>
      <w:bookmarkEnd w:id="321"/>
    </w:p>
    <w:p w14:paraId="079B02F0">
      <w:pPr>
        <w:spacing w:line="360" w:lineRule="auto"/>
        <w:ind w:firstLine="480" w:firstLineChars="200"/>
        <w:rPr>
          <w:rFonts w:ascii="宋体" w:hAnsi="宋体"/>
          <w:sz w:val="24"/>
        </w:rPr>
      </w:pPr>
      <w:r>
        <w:rPr>
          <w:rFonts w:ascii="宋体" w:hAnsi="宋体"/>
          <w:sz w:val="24"/>
        </w:rPr>
        <w:t>3.2.5 投标报价的</w:t>
      </w:r>
      <w:r>
        <w:rPr>
          <w:rFonts w:hint="eastAsia" w:ascii="宋体" w:hAnsi="宋体"/>
          <w:sz w:val="24"/>
        </w:rPr>
        <w:t>其他</w:t>
      </w:r>
      <w:r>
        <w:rPr>
          <w:rFonts w:ascii="宋体" w:hAnsi="宋体"/>
          <w:sz w:val="24"/>
        </w:rPr>
        <w:t>要求见投标人须知前附表。</w:t>
      </w:r>
    </w:p>
    <w:p w14:paraId="6B78F7E1">
      <w:pPr>
        <w:pStyle w:val="4"/>
        <w:spacing w:before="0" w:beforeLines="-2147483648" w:after="0" w:afterLines="-2147483648" w:line="360" w:lineRule="auto"/>
        <w:jc w:val="both"/>
        <w:rPr>
          <w:rFonts w:eastAsia="黑体"/>
          <w:b w:val="0"/>
          <w:bCs w:val="0"/>
          <w:sz w:val="28"/>
        </w:rPr>
      </w:pPr>
      <w:bookmarkStart w:id="322" w:name="_Toc27059511"/>
      <w:bookmarkStart w:id="323" w:name="_Toc27059692"/>
      <w:bookmarkStart w:id="324" w:name="_Toc27060680"/>
      <w:bookmarkStart w:id="325" w:name="_Toc53685607"/>
      <w:bookmarkStart w:id="326" w:name="_Toc27059884"/>
      <w:bookmarkStart w:id="327" w:name="_Toc27059782"/>
      <w:bookmarkStart w:id="328" w:name="_Toc234832892"/>
      <w:bookmarkStart w:id="329" w:name="_Toc501257083"/>
      <w:r>
        <w:rPr>
          <w:rFonts w:eastAsia="黑体"/>
          <w:b w:val="0"/>
          <w:bCs w:val="0"/>
          <w:sz w:val="28"/>
        </w:rPr>
        <w:t xml:space="preserve">3.3 </w:t>
      </w:r>
      <w:r>
        <w:rPr>
          <w:rFonts w:hint="eastAsia" w:eastAsia="黑体"/>
          <w:b w:val="0"/>
          <w:bCs w:val="0"/>
          <w:sz w:val="28"/>
        </w:rPr>
        <w:t>投标有效期</w:t>
      </w:r>
      <w:bookmarkEnd w:id="322"/>
      <w:bookmarkEnd w:id="323"/>
      <w:bookmarkEnd w:id="324"/>
      <w:bookmarkEnd w:id="325"/>
      <w:bookmarkEnd w:id="326"/>
      <w:bookmarkEnd w:id="327"/>
    </w:p>
    <w:p w14:paraId="1E5CABFB">
      <w:pPr>
        <w:spacing w:line="360" w:lineRule="auto"/>
        <w:ind w:firstLine="480" w:firstLineChars="200"/>
        <w:rPr>
          <w:rFonts w:ascii="宋体" w:hAnsi="宋体"/>
          <w:sz w:val="24"/>
        </w:rPr>
      </w:pPr>
      <w:r>
        <w:rPr>
          <w:rFonts w:ascii="宋体" w:hAnsi="宋体"/>
          <w:sz w:val="24"/>
        </w:rPr>
        <w:t xml:space="preserve">3.3.1 </w:t>
      </w:r>
      <w:r>
        <w:rPr>
          <w:rFonts w:hint="eastAsia" w:ascii="宋体" w:hAnsi="宋体"/>
          <w:sz w:val="24"/>
        </w:rPr>
        <w:t>除投标人须知前附表另有规定外，投标有效期为</w:t>
      </w:r>
      <w:r>
        <w:rPr>
          <w:rFonts w:ascii="宋体" w:hAnsi="宋体"/>
          <w:sz w:val="24"/>
        </w:rPr>
        <w:t>120日。</w:t>
      </w:r>
    </w:p>
    <w:p w14:paraId="0DEB538E">
      <w:pPr>
        <w:spacing w:line="360" w:lineRule="auto"/>
        <w:ind w:firstLine="480" w:firstLineChars="200"/>
        <w:rPr>
          <w:rFonts w:ascii="宋体" w:hAnsi="宋体"/>
          <w:sz w:val="24"/>
        </w:rPr>
      </w:pPr>
      <w:r>
        <w:rPr>
          <w:rFonts w:ascii="宋体" w:hAnsi="宋体"/>
          <w:sz w:val="24"/>
        </w:rPr>
        <w:t xml:space="preserve">3.3.2 </w:t>
      </w:r>
      <w:r>
        <w:rPr>
          <w:rFonts w:hint="eastAsia" w:ascii="宋体" w:hAnsi="宋体"/>
          <w:sz w:val="24"/>
        </w:rPr>
        <w:t>在投标有效期内，投标人撤销投标文件的，应承担招标文件和法律规定的责任。</w:t>
      </w:r>
    </w:p>
    <w:p w14:paraId="5D8AA018">
      <w:pPr>
        <w:spacing w:line="360" w:lineRule="auto"/>
        <w:ind w:firstLine="480" w:firstLineChars="200"/>
        <w:rPr>
          <w:rFonts w:ascii="宋体" w:hAnsi="宋体"/>
          <w:sz w:val="24"/>
        </w:rPr>
      </w:pPr>
      <w:r>
        <w:rPr>
          <w:rFonts w:ascii="宋体" w:hAnsi="宋体"/>
          <w:sz w:val="24"/>
        </w:rPr>
        <w:t xml:space="preserve">3.3.3 </w:t>
      </w:r>
      <w:r>
        <w:rPr>
          <w:rFonts w:hint="eastAsia" w:ascii="宋体" w:hAnsi="宋体"/>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2DA2255B">
      <w:pPr>
        <w:pStyle w:val="2"/>
        <w:spacing w:before="0" w:after="0" w:line="360" w:lineRule="auto"/>
        <w:rPr>
          <w:rFonts w:ascii="黑体"/>
          <w:b w:val="0"/>
          <w:sz w:val="24"/>
          <w:szCs w:val="24"/>
        </w:rPr>
      </w:pPr>
      <w:bookmarkStart w:id="330" w:name="_Toc27059512"/>
      <w:bookmarkStart w:id="331" w:name="_Toc27059693"/>
      <w:bookmarkStart w:id="332" w:name="_Toc53685608"/>
      <w:bookmarkStart w:id="333" w:name="_Toc27060681"/>
      <w:bookmarkStart w:id="334" w:name="_Toc27059885"/>
      <w:bookmarkStart w:id="335" w:name="_Toc27059783"/>
      <w:r>
        <w:rPr>
          <w:rFonts w:ascii="Times New Roman" w:hAnsi="Times New Roman" w:eastAsia="黑体" w:cs="Times New Roman"/>
          <w:b w:val="0"/>
          <w:bCs w:val="0"/>
          <w:kern w:val="0"/>
          <w:sz w:val="28"/>
          <w:szCs w:val="32"/>
          <w:lang w:val="en-US" w:eastAsia="zh-CN" w:bidi="ar-SA"/>
        </w:rPr>
        <w:t>3.4</w:t>
      </w:r>
      <w:r>
        <w:rPr>
          <w:rFonts w:ascii="Times New Roman" w:hAnsi="Times New Roman" w:eastAsia="黑体" w:cs="Times New Roman"/>
          <w:b w:val="0"/>
          <w:bCs w:val="0"/>
          <w:kern w:val="0"/>
          <w:sz w:val="28"/>
          <w:szCs w:val="32"/>
          <w:lang w:val="en-US" w:eastAsia="zh-CN" w:bidi="ar-SA"/>
        </w:rPr>
        <w:tab/>
      </w:r>
      <w:r>
        <w:rPr>
          <w:rFonts w:ascii="Times New Roman" w:hAnsi="Times New Roman" w:eastAsia="黑体" w:cs="Times New Roman"/>
          <w:b w:val="0"/>
          <w:bCs w:val="0"/>
          <w:kern w:val="0"/>
          <w:sz w:val="28"/>
          <w:szCs w:val="32"/>
          <w:lang w:val="en-US" w:eastAsia="zh-CN" w:bidi="ar-SA"/>
        </w:rPr>
        <w:t xml:space="preserve"> </w:t>
      </w:r>
      <w:r>
        <w:rPr>
          <w:rFonts w:hint="eastAsia" w:ascii="Times New Roman" w:hAnsi="Times New Roman" w:eastAsia="黑体" w:cs="Times New Roman"/>
          <w:b w:val="0"/>
          <w:bCs w:val="0"/>
          <w:kern w:val="0"/>
          <w:sz w:val="28"/>
          <w:szCs w:val="32"/>
          <w:lang w:val="en-US" w:eastAsia="zh-CN" w:bidi="ar-SA"/>
        </w:rPr>
        <w:t>投标保证金</w:t>
      </w:r>
      <w:bookmarkEnd w:id="328"/>
      <w:bookmarkEnd w:id="329"/>
      <w:bookmarkEnd w:id="330"/>
      <w:bookmarkEnd w:id="331"/>
      <w:bookmarkEnd w:id="332"/>
      <w:bookmarkEnd w:id="333"/>
      <w:bookmarkEnd w:id="334"/>
      <w:bookmarkEnd w:id="335"/>
      <w:r>
        <w:rPr>
          <w:rFonts w:ascii="黑体"/>
          <w:b w:val="0"/>
          <w:sz w:val="24"/>
          <w:szCs w:val="24"/>
        </w:rPr>
        <w:t xml:space="preserve">    </w:t>
      </w:r>
    </w:p>
    <w:p w14:paraId="745E3B37">
      <w:pPr>
        <w:spacing w:line="360" w:lineRule="auto"/>
        <w:ind w:firstLine="480" w:firstLineChars="200"/>
        <w:rPr>
          <w:rFonts w:ascii="宋体" w:hAnsi="宋体"/>
          <w:sz w:val="24"/>
        </w:rPr>
      </w:pPr>
      <w:r>
        <w:rPr>
          <w:rFonts w:ascii="宋体" w:hAnsi="宋体"/>
          <w:sz w:val="24"/>
        </w:rPr>
        <w:t>3.4.1 投标人在递交投标文件的同时，应按投标人须知前附表规定的金额和第八章“投标文件格式”规定的投标保证金格式递交投标保证金，并作为其投标文件的组成部分。联合体投标的，其投标保证金由牵头人递交，并应符合投标人须知前附表的规定。</w:t>
      </w:r>
    </w:p>
    <w:p w14:paraId="396ED4C6">
      <w:pPr>
        <w:spacing w:line="360" w:lineRule="auto"/>
        <w:ind w:firstLine="480" w:firstLineChars="200"/>
        <w:rPr>
          <w:rFonts w:ascii="宋体" w:hAnsi="宋体"/>
          <w:sz w:val="24"/>
        </w:rPr>
      </w:pPr>
      <w:r>
        <w:rPr>
          <w:rFonts w:hint="eastAsia" w:ascii="宋体" w:hAnsi="宋体"/>
          <w:sz w:val="24"/>
        </w:rPr>
        <w:t>投标保证金应采用现金、支票、银行保函或招标人在</w:t>
      </w:r>
      <w:r>
        <w:rPr>
          <w:rFonts w:ascii="宋体" w:hAnsi="宋体"/>
          <w:sz w:val="24"/>
        </w:rPr>
        <w:t>投标人须知前附表</w:t>
      </w:r>
      <w:r>
        <w:rPr>
          <w:rFonts w:hint="eastAsia" w:ascii="宋体" w:hAnsi="宋体"/>
          <w:sz w:val="24"/>
        </w:rPr>
        <w:t>规定的其他形式。</w:t>
      </w:r>
    </w:p>
    <w:p w14:paraId="7D51821E">
      <w:pPr>
        <w:spacing w:line="360" w:lineRule="auto"/>
        <w:ind w:firstLine="480" w:firstLineChars="200"/>
        <w:rPr>
          <w:rFonts w:ascii="宋体" w:hAnsi="宋体"/>
          <w:sz w:val="24"/>
        </w:rPr>
      </w:pPr>
      <w:r>
        <w:rPr>
          <w:rFonts w:hint="eastAsia" w:ascii="宋体" w:hAnsi="宋体"/>
          <w:sz w:val="24"/>
        </w:rPr>
        <w:t>（</w:t>
      </w:r>
      <w:r>
        <w:rPr>
          <w:rFonts w:ascii="宋体" w:hAnsi="宋体"/>
          <w:sz w:val="24"/>
        </w:rPr>
        <w:t>1）若采用现金或支票，投标人应在递交投标文件</w:t>
      </w:r>
      <w:r>
        <w:rPr>
          <w:rFonts w:hint="eastAsia" w:ascii="宋体" w:hAnsi="宋体"/>
          <w:sz w:val="24"/>
        </w:rPr>
        <w:t>截止时间之前，将投标保证金由投标人的基本账户或基本存款账户转入招标人指定账户，否则视为投标保证金无效。招标人指定的开户银行及账号见投标人须知前附表。</w:t>
      </w:r>
    </w:p>
    <w:p w14:paraId="39F90C5C">
      <w:pPr>
        <w:spacing w:line="360" w:lineRule="auto"/>
        <w:ind w:firstLine="480" w:firstLineChars="200"/>
        <w:rPr>
          <w:rFonts w:ascii="宋体" w:hAnsi="宋体"/>
          <w:sz w:val="24"/>
        </w:rPr>
      </w:pPr>
      <w:r>
        <w:rPr>
          <w:rFonts w:hint="eastAsia" w:ascii="宋体" w:hAnsi="宋体"/>
          <w:sz w:val="24"/>
        </w:rPr>
        <w:t>（</w:t>
      </w:r>
      <w:r>
        <w:rPr>
          <w:rFonts w:ascii="宋体" w:hAnsi="宋体"/>
          <w:sz w:val="24"/>
        </w:rPr>
        <w:t>2）若采用银行保函，则应由符合投标人须知前附表规定的银行开具，并采用招标文件提供的格式。银行保函</w:t>
      </w:r>
      <w:r>
        <w:rPr>
          <w:rFonts w:hint="eastAsia" w:ascii="宋体" w:hAnsi="宋体"/>
          <w:sz w:val="24"/>
        </w:rPr>
        <w:t>递交方式：见投标人须知前附表。</w:t>
      </w:r>
    </w:p>
    <w:p w14:paraId="2926AEE9">
      <w:pPr>
        <w:spacing w:line="360" w:lineRule="auto"/>
        <w:ind w:firstLine="480" w:firstLineChars="200"/>
        <w:rPr>
          <w:rFonts w:ascii="宋体" w:hAnsi="宋体"/>
          <w:sz w:val="24"/>
        </w:rPr>
      </w:pPr>
      <w:r>
        <w:rPr>
          <w:rFonts w:hint="eastAsia" w:ascii="宋体" w:hAnsi="宋体"/>
          <w:sz w:val="24"/>
        </w:rPr>
        <w:t>无论采取何种形式的投标保证金，投标保证金有效期均应与投标有效期一致。招标人如果按本章第</w:t>
      </w:r>
      <w:r>
        <w:rPr>
          <w:rFonts w:ascii="宋体" w:hAnsi="宋体"/>
          <w:sz w:val="24"/>
        </w:rPr>
        <w:t>3.3.3项的规定延长了投标有效期，则投标保证金的有效期也相应延长。</w:t>
      </w:r>
    </w:p>
    <w:p w14:paraId="5B353316">
      <w:pPr>
        <w:spacing w:line="360" w:lineRule="auto"/>
        <w:ind w:firstLine="480" w:firstLineChars="200"/>
        <w:rPr>
          <w:rFonts w:ascii="宋体" w:hAnsi="宋体"/>
          <w:sz w:val="24"/>
        </w:rPr>
      </w:pPr>
      <w:r>
        <w:rPr>
          <w:rFonts w:ascii="宋体" w:hAnsi="宋体"/>
          <w:sz w:val="24"/>
        </w:rPr>
        <w:t>3.4.2 投标人不按本章第3.4.1项要求提交投标保证金的，评标委员会将否决其投标。</w:t>
      </w:r>
    </w:p>
    <w:p w14:paraId="6DC104B3">
      <w:pPr>
        <w:spacing w:line="360" w:lineRule="auto"/>
        <w:ind w:firstLine="480" w:firstLineChars="200"/>
        <w:rPr>
          <w:rFonts w:ascii="宋体" w:hAnsi="宋体"/>
          <w:sz w:val="24"/>
        </w:rPr>
      </w:pPr>
      <w:r>
        <w:rPr>
          <w:rFonts w:ascii="宋体" w:hAnsi="宋体"/>
          <w:sz w:val="24"/>
        </w:rPr>
        <w:t>3.4.3 招标人最迟将在中标通知书发出后5</w:t>
      </w:r>
      <w:r>
        <w:rPr>
          <w:rFonts w:hint="eastAsia" w:ascii="宋体" w:hAnsi="宋体"/>
          <w:sz w:val="24"/>
        </w:rPr>
        <w:t>日</w:t>
      </w:r>
      <w:r>
        <w:rPr>
          <w:rFonts w:ascii="宋体" w:hAnsi="宋体"/>
          <w:sz w:val="24"/>
        </w:rPr>
        <w:t>内向中标候选人以外的其他投标人退还投标保证金，与中标人签订合同后5</w:t>
      </w:r>
      <w:r>
        <w:rPr>
          <w:rFonts w:hint="eastAsia" w:ascii="宋体" w:hAnsi="宋体"/>
          <w:sz w:val="24"/>
        </w:rPr>
        <w:t>日</w:t>
      </w:r>
      <w:r>
        <w:rPr>
          <w:rFonts w:ascii="宋体" w:hAnsi="宋体"/>
          <w:sz w:val="24"/>
        </w:rPr>
        <w:t>内向中标人和其他中标候选人退还投标保证金。投标保证金以现金或支票形式递交的，招标人应同时退还投标保证金的银行同期活期存款利息，且退还至投标人的基本账户</w:t>
      </w:r>
      <w:r>
        <w:rPr>
          <w:rFonts w:hint="eastAsia" w:ascii="宋体" w:hAnsi="宋体"/>
          <w:sz w:val="24"/>
        </w:rPr>
        <w:t>（或基本存款账户）</w:t>
      </w:r>
      <w:r>
        <w:rPr>
          <w:rFonts w:ascii="宋体" w:hAnsi="宋体"/>
          <w:sz w:val="24"/>
        </w:rPr>
        <w:t>。</w:t>
      </w:r>
    </w:p>
    <w:p w14:paraId="6F685B64">
      <w:pPr>
        <w:spacing w:line="360" w:lineRule="auto"/>
        <w:ind w:firstLine="480" w:firstLineChars="200"/>
        <w:rPr>
          <w:rFonts w:ascii="宋体" w:hAnsi="宋体"/>
          <w:sz w:val="24"/>
        </w:rPr>
      </w:pPr>
      <w:r>
        <w:rPr>
          <w:rFonts w:hint="eastAsia" w:ascii="宋体" w:hAnsi="宋体"/>
          <w:sz w:val="24"/>
        </w:rPr>
        <w:t>利息计算原则、投标保证金退还方式见投标人须知前附表。</w:t>
      </w:r>
    </w:p>
    <w:p w14:paraId="7893B065">
      <w:pPr>
        <w:spacing w:line="360" w:lineRule="auto"/>
        <w:ind w:firstLine="480" w:firstLineChars="200"/>
        <w:rPr>
          <w:sz w:val="24"/>
        </w:rPr>
      </w:pPr>
      <w:r>
        <w:rPr>
          <w:rFonts w:ascii="宋体" w:hAnsi="宋体"/>
          <w:sz w:val="24"/>
        </w:rPr>
        <w:t xml:space="preserve">3.4.4 </w:t>
      </w:r>
      <w:r>
        <w:rPr>
          <w:rFonts w:hint="eastAsia" w:ascii="宋体" w:hAnsi="宋体"/>
          <w:sz w:val="24"/>
        </w:rPr>
        <w:t>有下列情形之一的，投标保证金将不予退还</w:t>
      </w:r>
      <w:r>
        <w:rPr>
          <w:rFonts w:hint="eastAsia"/>
          <w:sz w:val="24"/>
        </w:rPr>
        <w:t>：</w:t>
      </w:r>
    </w:p>
    <w:p w14:paraId="5F2AB736">
      <w:pPr>
        <w:spacing w:line="360" w:lineRule="auto"/>
        <w:ind w:firstLine="480" w:firstLineChars="200"/>
        <w:rPr>
          <w:rFonts w:ascii="宋体" w:hAnsi="宋体"/>
          <w:sz w:val="24"/>
        </w:rPr>
      </w:pPr>
      <w:r>
        <w:rPr>
          <w:rFonts w:ascii="宋体" w:hAnsi="宋体"/>
          <w:sz w:val="24"/>
        </w:rPr>
        <w:t>（1）投标人在投标有效期内撤销投标文件；</w:t>
      </w:r>
    </w:p>
    <w:p w14:paraId="7EC82571">
      <w:pPr>
        <w:spacing w:line="360" w:lineRule="auto"/>
        <w:ind w:firstLine="480" w:firstLineChars="200"/>
        <w:rPr>
          <w:rFonts w:ascii="宋体" w:hAnsi="宋体"/>
          <w:sz w:val="24"/>
        </w:rPr>
      </w:pPr>
      <w:r>
        <w:rPr>
          <w:rFonts w:ascii="宋体" w:hAnsi="宋体"/>
          <w:sz w:val="24"/>
        </w:rPr>
        <w:t>（2）中标人在收到中标通知书后，无正当理由不与招标人订立合同，在签订合同时向招标人提出附加条件，或不按照招标文件要求提交履约保证金；</w:t>
      </w:r>
    </w:p>
    <w:p w14:paraId="113BFCBB">
      <w:pPr>
        <w:spacing w:line="360" w:lineRule="auto"/>
        <w:ind w:firstLine="480" w:firstLineChars="200"/>
        <w:rPr>
          <w:rFonts w:ascii="宋体" w:hAnsi="宋体"/>
          <w:sz w:val="24"/>
        </w:rPr>
      </w:pPr>
      <w:r>
        <w:rPr>
          <w:rFonts w:ascii="宋体" w:hAnsi="宋体"/>
          <w:sz w:val="24"/>
        </w:rPr>
        <w:t>（3）发生投标人须知前附表规定的其他不予退还投标保证金的情形。</w:t>
      </w:r>
    </w:p>
    <w:p w14:paraId="40BF3EB2">
      <w:pPr>
        <w:pStyle w:val="4"/>
        <w:spacing w:before="0" w:beforeLines="-2147483648" w:after="0" w:afterLines="-2147483648" w:line="360" w:lineRule="auto"/>
        <w:jc w:val="both"/>
        <w:rPr>
          <w:rFonts w:eastAsia="黑体"/>
          <w:b w:val="0"/>
          <w:bCs w:val="0"/>
          <w:sz w:val="28"/>
        </w:rPr>
      </w:pPr>
      <w:bookmarkStart w:id="336" w:name="_Toc27060682"/>
      <w:bookmarkStart w:id="337" w:name="_Toc27059694"/>
      <w:bookmarkStart w:id="338" w:name="_Toc27059784"/>
      <w:bookmarkStart w:id="339" w:name="_Toc234832894"/>
      <w:bookmarkStart w:id="340" w:name="_Toc27059513"/>
      <w:bookmarkStart w:id="341" w:name="_Toc53685609"/>
      <w:bookmarkStart w:id="342" w:name="_Toc27059886"/>
      <w:bookmarkStart w:id="343" w:name="_Toc501257085"/>
      <w:r>
        <w:rPr>
          <w:rFonts w:eastAsia="黑体"/>
          <w:b w:val="0"/>
          <w:bCs w:val="0"/>
          <w:sz w:val="28"/>
        </w:rPr>
        <w:t>3.5</w:t>
      </w:r>
      <w:r>
        <w:rPr>
          <w:rFonts w:eastAsia="黑体"/>
          <w:b w:val="0"/>
          <w:bCs w:val="0"/>
          <w:sz w:val="28"/>
        </w:rPr>
        <w:tab/>
      </w:r>
      <w:r>
        <w:rPr>
          <w:rFonts w:eastAsia="黑体"/>
          <w:b w:val="0"/>
          <w:bCs w:val="0"/>
          <w:sz w:val="28"/>
        </w:rPr>
        <w:t xml:space="preserve"> </w:t>
      </w:r>
      <w:r>
        <w:rPr>
          <w:rFonts w:hint="eastAsia" w:eastAsia="黑体"/>
          <w:b w:val="0"/>
          <w:bCs w:val="0"/>
          <w:sz w:val="28"/>
        </w:rPr>
        <w:t>资格审查资料</w:t>
      </w:r>
      <w:bookmarkEnd w:id="336"/>
      <w:bookmarkEnd w:id="337"/>
      <w:bookmarkEnd w:id="338"/>
      <w:bookmarkEnd w:id="339"/>
      <w:bookmarkEnd w:id="340"/>
      <w:bookmarkEnd w:id="341"/>
      <w:bookmarkEnd w:id="342"/>
      <w:bookmarkEnd w:id="343"/>
    </w:p>
    <w:p w14:paraId="20A7EF57">
      <w:pPr>
        <w:spacing w:line="360" w:lineRule="auto"/>
        <w:ind w:firstLine="480" w:firstLineChars="200"/>
        <w:rPr>
          <w:rFonts w:ascii="宋体" w:hAnsi="宋体"/>
          <w:sz w:val="24"/>
        </w:rPr>
      </w:pPr>
      <w:r>
        <w:rPr>
          <w:rFonts w:ascii="宋体" w:hAnsi="宋体"/>
          <w:sz w:val="24"/>
        </w:rPr>
        <w:t>除投标人须知前附表另有规定外，投标人应按下列规定提供资格审查资料，以证明其满足本章第1.4款规定的资质、财务、业绩、信誉等要求。</w:t>
      </w:r>
    </w:p>
    <w:p w14:paraId="66AA183F">
      <w:pPr>
        <w:spacing w:line="360" w:lineRule="auto"/>
        <w:ind w:firstLine="480" w:firstLineChars="200"/>
        <w:rPr>
          <w:rFonts w:ascii="宋体" w:hAnsi="宋体"/>
          <w:sz w:val="24"/>
        </w:rPr>
      </w:pPr>
      <w:r>
        <w:rPr>
          <w:rFonts w:ascii="宋体" w:hAnsi="宋体"/>
          <w:sz w:val="24"/>
        </w:rPr>
        <w:t xml:space="preserve">3.5.1 </w:t>
      </w:r>
      <w:r>
        <w:rPr>
          <w:rFonts w:hint="eastAsia" w:ascii="宋体" w:hAnsi="宋体"/>
          <w:sz w:val="24"/>
        </w:rPr>
        <w:t>“投标人基本情况表”应附的证明材料要求：见投标人须知前附表。</w:t>
      </w:r>
    </w:p>
    <w:p w14:paraId="0DEEB97B">
      <w:pPr>
        <w:spacing w:line="360" w:lineRule="auto"/>
        <w:ind w:firstLine="480" w:firstLineChars="200"/>
        <w:rPr>
          <w:rFonts w:ascii="宋体" w:hAnsi="宋体"/>
          <w:sz w:val="24"/>
        </w:rPr>
      </w:pPr>
      <w:r>
        <w:rPr>
          <w:rFonts w:ascii="宋体" w:hAnsi="宋体"/>
          <w:sz w:val="24"/>
        </w:rPr>
        <w:t>3.5.2</w:t>
      </w:r>
      <w:r>
        <w:rPr>
          <w:sz w:val="24"/>
        </w:rPr>
        <w:t xml:space="preserve"> </w:t>
      </w:r>
      <w:r>
        <w:rPr>
          <w:rFonts w:hint="eastAsia" w:ascii="宋体" w:hAnsi="宋体"/>
          <w:sz w:val="24"/>
        </w:rPr>
        <w:t>“</w:t>
      </w:r>
      <w:r>
        <w:rPr>
          <w:rFonts w:ascii="宋体" w:hAnsi="宋体"/>
          <w:sz w:val="24"/>
        </w:rPr>
        <w:t>财务状况表</w:t>
      </w:r>
      <w:r>
        <w:rPr>
          <w:rFonts w:hint="eastAsia" w:ascii="宋体" w:hAnsi="宋体"/>
          <w:sz w:val="24"/>
        </w:rPr>
        <w:t>”应附的证明材料要求：见投标人须知前附表。</w:t>
      </w:r>
      <w:r>
        <w:rPr>
          <w:rFonts w:ascii="宋体" w:hAnsi="宋体"/>
          <w:sz w:val="24"/>
        </w:rPr>
        <w:t>具体年份要求见投标人须知前附表</w:t>
      </w:r>
      <w:r>
        <w:rPr>
          <w:rFonts w:hint="eastAsia" w:ascii="宋体" w:hAnsi="宋体"/>
          <w:sz w:val="24"/>
        </w:rPr>
        <w:t>，</w:t>
      </w:r>
      <w:r>
        <w:rPr>
          <w:rFonts w:ascii="宋体" w:hAnsi="宋体"/>
          <w:sz w:val="24"/>
        </w:rPr>
        <w:t>投标人的成立时间少于投标人须知前附表规定年份的，</w:t>
      </w:r>
      <w:r>
        <w:rPr>
          <w:rFonts w:hint="eastAsia" w:ascii="宋体" w:hAnsi="宋体"/>
          <w:sz w:val="24"/>
        </w:rPr>
        <w:t>指</w:t>
      </w:r>
      <w:r>
        <w:rPr>
          <w:rFonts w:ascii="宋体" w:hAnsi="宋体"/>
          <w:sz w:val="24"/>
        </w:rPr>
        <w:t>成立以来的</w:t>
      </w:r>
      <w:r>
        <w:rPr>
          <w:rFonts w:hint="eastAsia" w:ascii="宋体" w:hAnsi="宋体"/>
          <w:sz w:val="24"/>
        </w:rPr>
        <w:t>年份</w:t>
      </w:r>
      <w:r>
        <w:rPr>
          <w:rFonts w:ascii="宋体" w:hAnsi="宋体"/>
          <w:sz w:val="24"/>
        </w:rPr>
        <w:t>。</w:t>
      </w:r>
    </w:p>
    <w:p w14:paraId="595A7771">
      <w:pPr>
        <w:topLinePunct/>
        <w:spacing w:line="360" w:lineRule="auto"/>
        <w:ind w:firstLine="480" w:firstLineChars="200"/>
        <w:rPr>
          <w:rFonts w:ascii="宋体" w:hAnsi="宋体" w:cs="宋体"/>
          <w:sz w:val="24"/>
        </w:rPr>
      </w:pPr>
      <w:r>
        <w:rPr>
          <w:rFonts w:ascii="宋体" w:hAnsi="宋体"/>
          <w:sz w:val="24"/>
        </w:rPr>
        <w:t>3.5.3 “近年完成的类似项目</w:t>
      </w:r>
      <w:r>
        <w:rPr>
          <w:rFonts w:hint="eastAsia" w:ascii="宋体" w:hAnsi="宋体"/>
          <w:sz w:val="24"/>
        </w:rPr>
        <w:t>”</w:t>
      </w:r>
      <w:bookmarkStart w:id="344" w:name="_Hlk98952561"/>
      <w:r>
        <w:rPr>
          <w:rFonts w:hint="eastAsia" w:ascii="宋体" w:hAnsi="宋体" w:cs="宋体"/>
          <w:sz w:val="24"/>
        </w:rPr>
        <w:t>具体时间要求：见投标人须知前附表。</w:t>
      </w:r>
    </w:p>
    <w:p w14:paraId="6BC053B3">
      <w:pPr>
        <w:topLinePunct/>
        <w:spacing w:line="360" w:lineRule="auto"/>
        <w:ind w:firstLine="480" w:firstLineChars="200"/>
        <w:rPr>
          <w:rFonts w:ascii="宋体" w:hAnsi="宋体"/>
          <w:sz w:val="24"/>
        </w:rPr>
      </w:pPr>
      <w:r>
        <w:rPr>
          <w:rFonts w:hint="eastAsia" w:ascii="宋体" w:hAnsi="宋体" w:cs="宋体"/>
          <w:sz w:val="24"/>
        </w:rPr>
        <w:t>“近年完成的类似项目情况表”</w:t>
      </w:r>
      <w:bookmarkEnd w:id="344"/>
      <w:r>
        <w:rPr>
          <w:rFonts w:hint="eastAsia" w:ascii="宋体" w:hAnsi="宋体"/>
          <w:sz w:val="24"/>
        </w:rPr>
        <w:t>应附的证明材料要求：见投标人须知前附表。</w:t>
      </w:r>
    </w:p>
    <w:p w14:paraId="4FB6A62D">
      <w:pPr>
        <w:topLinePunct/>
        <w:spacing w:line="360" w:lineRule="auto"/>
        <w:ind w:firstLine="480" w:firstLineChars="200"/>
        <w:rPr>
          <w:rFonts w:ascii="宋体" w:hAnsi="宋体"/>
          <w:sz w:val="24"/>
        </w:rPr>
      </w:pPr>
      <w:r>
        <w:rPr>
          <w:rFonts w:hint="eastAsia" w:ascii="宋体" w:hAnsi="宋体" w:cs="宋体"/>
          <w:sz w:val="24"/>
        </w:rPr>
        <w:t>如投标人未提供相关项目证明材料或相关证明材料中的信息无法证实投标人满足招标文件规定的资格审查条件（业绩最低要求）</w:t>
      </w:r>
      <w:r>
        <w:rPr>
          <w:rFonts w:ascii="宋体" w:hAnsi="宋体" w:cs="宋体"/>
          <w:sz w:val="24"/>
        </w:rPr>
        <w:t>,则该项目业绩不予认定。</w:t>
      </w:r>
    </w:p>
    <w:p w14:paraId="7FF6119B">
      <w:pPr>
        <w:topLinePunct/>
        <w:spacing w:line="360" w:lineRule="auto"/>
        <w:ind w:firstLine="480" w:firstLineChars="200"/>
        <w:rPr>
          <w:rFonts w:ascii="宋体" w:hAnsi="宋体"/>
          <w:sz w:val="24"/>
        </w:rPr>
      </w:pPr>
      <w:r>
        <w:rPr>
          <w:rFonts w:ascii="宋体" w:hAnsi="宋体"/>
          <w:sz w:val="24"/>
        </w:rPr>
        <w:t xml:space="preserve">3.5.4 </w:t>
      </w:r>
      <w:r>
        <w:rPr>
          <w:rFonts w:hint="eastAsia" w:ascii="宋体" w:hAnsi="宋体"/>
          <w:sz w:val="24"/>
        </w:rPr>
        <w:t>“投标人信誉</w:t>
      </w:r>
      <w:r>
        <w:rPr>
          <w:rFonts w:ascii="宋体" w:hAnsi="宋体"/>
          <w:sz w:val="24"/>
        </w:rPr>
        <w:t>情况表</w:t>
      </w:r>
      <w:r>
        <w:rPr>
          <w:rFonts w:hint="eastAsia" w:ascii="宋体" w:hAnsi="宋体"/>
          <w:sz w:val="24"/>
        </w:rPr>
        <w:t>”应附的证明材料要求：见投标人须知前附表。</w:t>
      </w:r>
    </w:p>
    <w:p w14:paraId="4E451A77">
      <w:pPr>
        <w:topLinePunct/>
        <w:spacing w:line="360" w:lineRule="auto"/>
        <w:ind w:firstLine="480" w:firstLineChars="200"/>
        <w:rPr>
          <w:rFonts w:ascii="宋体" w:hAnsi="宋体"/>
          <w:sz w:val="24"/>
        </w:rPr>
      </w:pPr>
      <w:r>
        <w:rPr>
          <w:rFonts w:ascii="宋体" w:hAnsi="宋体"/>
          <w:sz w:val="24"/>
        </w:rPr>
        <w:t xml:space="preserve">3.5.5 </w:t>
      </w:r>
      <w:r>
        <w:rPr>
          <w:rFonts w:hint="eastAsia" w:ascii="宋体" w:hAnsi="宋体"/>
          <w:sz w:val="24"/>
        </w:rPr>
        <w:t>“拟委任的主要人员资历表”（如有）应附的证明材料要求：见投标人须知前附表。</w:t>
      </w:r>
    </w:p>
    <w:p w14:paraId="0E1C4A18">
      <w:pPr>
        <w:spacing w:line="360" w:lineRule="auto"/>
        <w:ind w:firstLine="480" w:firstLineChars="200"/>
        <w:rPr>
          <w:rFonts w:ascii="宋体" w:hAnsi="宋体" w:cs="宋体"/>
          <w:sz w:val="24"/>
        </w:rPr>
      </w:pPr>
      <w:r>
        <w:rPr>
          <w:rFonts w:hint="eastAsia" w:ascii="宋体" w:hAnsi="宋体" w:cs="宋体"/>
          <w:sz w:val="24"/>
        </w:rPr>
        <w:t>如投标人未提供主要人员相关业绩证明材料或相关业绩证明材料中的信息无法证实投标人满足招标文件规定的资格审查条件（主要人员最低要求）</w:t>
      </w:r>
      <w:r>
        <w:rPr>
          <w:rFonts w:ascii="宋体" w:hAnsi="宋体" w:cs="宋体"/>
          <w:sz w:val="24"/>
        </w:rPr>
        <w:t>,则该</w:t>
      </w:r>
      <w:r>
        <w:rPr>
          <w:rFonts w:hint="eastAsia" w:ascii="宋体" w:hAnsi="宋体" w:cs="宋体"/>
          <w:sz w:val="24"/>
        </w:rPr>
        <w:t>项业绩不予认定。</w:t>
      </w:r>
    </w:p>
    <w:p w14:paraId="110F7028">
      <w:pPr>
        <w:topLinePunct/>
        <w:spacing w:line="360" w:lineRule="auto"/>
        <w:ind w:firstLine="480" w:firstLineChars="200"/>
        <w:rPr>
          <w:rFonts w:ascii="宋体" w:hAnsi="宋体"/>
          <w:sz w:val="24"/>
        </w:rPr>
      </w:pPr>
      <w:r>
        <w:rPr>
          <w:rFonts w:hint="eastAsia" w:ascii="宋体" w:hAnsi="宋体" w:cs="宋体"/>
          <w:sz w:val="24"/>
        </w:rPr>
        <w:t>如拟委任的</w:t>
      </w:r>
      <w:r>
        <w:rPr>
          <w:rFonts w:hint="eastAsia" w:ascii="宋体" w:hAnsi="宋体" w:cs="宋体"/>
          <w:sz w:val="24"/>
          <w:lang w:val="en-US" w:eastAsia="zh-CN"/>
        </w:rPr>
        <w:t>施工</w:t>
      </w:r>
      <w:r>
        <w:rPr>
          <w:rFonts w:hint="eastAsia" w:ascii="宋体" w:hAnsi="宋体" w:cs="宋体"/>
          <w:sz w:val="24"/>
        </w:rPr>
        <w:t>项目经理、项目总工</w:t>
      </w:r>
      <w:r>
        <w:rPr>
          <w:rFonts w:hint="eastAsia" w:ascii="宋体" w:hAnsi="宋体" w:cs="宋体"/>
          <w:sz w:val="24"/>
          <w:lang w:val="en-US" w:eastAsia="zh-CN"/>
        </w:rPr>
        <w:t>等主要人员</w:t>
      </w:r>
      <w:r>
        <w:rPr>
          <w:rFonts w:hint="eastAsia" w:ascii="宋体" w:hAnsi="宋体" w:cs="宋体"/>
          <w:sz w:val="24"/>
        </w:rPr>
        <w:t>目前仍在其他项目上任职，则投标人在投标函中应承诺可以从该项目撤离。</w:t>
      </w:r>
    </w:p>
    <w:p w14:paraId="16807278">
      <w:pPr>
        <w:topLinePunct/>
        <w:spacing w:line="360" w:lineRule="auto"/>
        <w:ind w:firstLine="480" w:firstLineChars="200"/>
        <w:rPr>
          <w:rFonts w:ascii="宋体" w:hAnsi="宋体"/>
          <w:sz w:val="24"/>
        </w:rPr>
      </w:pPr>
      <w:r>
        <w:rPr>
          <w:rFonts w:ascii="宋体" w:hAnsi="宋体"/>
          <w:sz w:val="24"/>
        </w:rPr>
        <w:t xml:space="preserve">3.5.6 </w:t>
      </w:r>
      <w:r>
        <w:rPr>
          <w:rFonts w:hint="eastAsia" w:ascii="宋体" w:hAnsi="宋体"/>
          <w:sz w:val="24"/>
        </w:rPr>
        <w:t>“</w:t>
      </w:r>
      <w:r>
        <w:rPr>
          <w:rFonts w:ascii="宋体" w:hAnsi="宋体"/>
          <w:sz w:val="24"/>
        </w:rPr>
        <w:t>拟委任的其他管理和技术人员</w:t>
      </w:r>
      <w:r>
        <w:rPr>
          <w:rFonts w:hint="eastAsia" w:ascii="宋体" w:hAnsi="宋体"/>
          <w:sz w:val="24"/>
        </w:rPr>
        <w:t>资历</w:t>
      </w:r>
      <w:r>
        <w:rPr>
          <w:rFonts w:ascii="宋体" w:hAnsi="宋体"/>
          <w:sz w:val="24"/>
        </w:rPr>
        <w:t>表</w:t>
      </w:r>
      <w:r>
        <w:rPr>
          <w:rFonts w:hint="eastAsia" w:ascii="宋体" w:hAnsi="宋体"/>
          <w:sz w:val="24"/>
        </w:rPr>
        <w:t>”（如有）</w:t>
      </w:r>
      <w:r>
        <w:rPr>
          <w:rFonts w:hint="eastAsia" w:ascii="宋体" w:hAnsi="宋体" w:cs="宋体"/>
          <w:sz w:val="24"/>
        </w:rPr>
        <w:t>应填报满足投标人须知前附表对应附录规定的其他主要人员的相关信息</w:t>
      </w:r>
      <w:r>
        <w:rPr>
          <w:rFonts w:hint="eastAsia" w:ascii="宋体" w:hAnsi="宋体" w:cs="宋体"/>
          <w:sz w:val="24"/>
          <w:lang w:eastAsia="zh-CN"/>
        </w:rPr>
        <w:t>，</w:t>
      </w:r>
      <w:r>
        <w:rPr>
          <w:rFonts w:hint="eastAsia" w:ascii="宋体" w:hAnsi="宋体"/>
          <w:sz w:val="24"/>
        </w:rPr>
        <w:t>应附的证明材料要求：见投标人须知前附表。</w:t>
      </w:r>
    </w:p>
    <w:p w14:paraId="17DB4715">
      <w:pPr>
        <w:topLinePunct/>
        <w:spacing w:line="360" w:lineRule="auto"/>
        <w:ind w:firstLine="480" w:firstLineChars="200"/>
        <w:rPr>
          <w:rFonts w:hint="eastAsia" w:ascii="宋体" w:hAnsi="宋体"/>
          <w:sz w:val="24"/>
        </w:rPr>
      </w:pPr>
      <w:r>
        <w:rPr>
          <w:rFonts w:ascii="宋体" w:hAnsi="宋体"/>
          <w:sz w:val="24"/>
        </w:rPr>
        <w:t xml:space="preserve">3.5.7 </w:t>
      </w:r>
      <w:r>
        <w:rPr>
          <w:rFonts w:hint="eastAsia" w:ascii="宋体" w:hAnsi="宋体"/>
          <w:sz w:val="24"/>
        </w:rPr>
        <w:t>“</w:t>
      </w:r>
      <w:r>
        <w:rPr>
          <w:rFonts w:ascii="宋体" w:hAnsi="宋体"/>
          <w:sz w:val="24"/>
        </w:rPr>
        <w:t>拟投入本标段的主要施工机械表</w:t>
      </w:r>
      <w:r>
        <w:rPr>
          <w:rFonts w:hint="eastAsia" w:ascii="宋体" w:hAnsi="宋体"/>
          <w:sz w:val="24"/>
        </w:rPr>
        <w:t>”“</w:t>
      </w:r>
      <w:r>
        <w:rPr>
          <w:rFonts w:ascii="宋体" w:hAnsi="宋体"/>
          <w:sz w:val="24"/>
        </w:rPr>
        <w:t>拟配备本标段的主要材料试验、测量、质检仪器设备表</w:t>
      </w:r>
      <w:r>
        <w:rPr>
          <w:rFonts w:hint="eastAsia" w:ascii="宋体" w:hAnsi="宋体"/>
          <w:sz w:val="24"/>
        </w:rPr>
        <w:t>”（如有）应填报满足投标人须知前附表对应附录规定的机械设备和试验检测设备。</w:t>
      </w:r>
    </w:p>
    <w:p w14:paraId="35981593">
      <w:pPr>
        <w:topLinePunct/>
        <w:spacing w:line="360" w:lineRule="auto"/>
        <w:ind w:firstLine="480" w:firstLineChars="200"/>
        <w:rPr>
          <w:rFonts w:hint="eastAsia" w:ascii="宋体" w:hAnsi="宋体"/>
          <w:sz w:val="24"/>
        </w:rPr>
      </w:pPr>
      <w:r>
        <w:rPr>
          <w:rFonts w:ascii="宋体" w:hAnsi="宋体"/>
          <w:sz w:val="24"/>
        </w:rPr>
        <w:t>3.5.8 “拟</w:t>
      </w:r>
      <w:r>
        <w:rPr>
          <w:rFonts w:hint="eastAsia" w:ascii="宋体" w:hAnsi="宋体"/>
          <w:sz w:val="24"/>
        </w:rPr>
        <w:t>用于</w:t>
      </w:r>
      <w:r>
        <w:rPr>
          <w:rFonts w:ascii="宋体" w:hAnsi="宋体"/>
          <w:sz w:val="24"/>
        </w:rPr>
        <w:t>本标段的</w:t>
      </w:r>
      <w:r>
        <w:rPr>
          <w:rFonts w:hint="eastAsia" w:ascii="宋体" w:hAnsi="宋体"/>
          <w:sz w:val="24"/>
        </w:rPr>
        <w:t>关键机电设备品牌</w:t>
      </w:r>
      <w:r>
        <w:rPr>
          <w:rFonts w:ascii="宋体" w:hAnsi="宋体"/>
          <w:sz w:val="24"/>
        </w:rPr>
        <w:t>及主要</w:t>
      </w:r>
      <w:r>
        <w:rPr>
          <w:rFonts w:hint="eastAsia" w:ascii="宋体" w:hAnsi="宋体"/>
          <w:sz w:val="24"/>
        </w:rPr>
        <w:t>技术性能</w:t>
      </w:r>
      <w:r>
        <w:rPr>
          <w:rFonts w:ascii="宋体" w:hAnsi="宋体"/>
          <w:sz w:val="24"/>
        </w:rPr>
        <w:t>指标</w:t>
      </w:r>
      <w:r>
        <w:rPr>
          <w:rFonts w:hint="eastAsia" w:ascii="宋体" w:hAnsi="宋体"/>
          <w:sz w:val="24"/>
        </w:rPr>
        <w:t>表”（如有）应对投标人须知前附表对应附录规定的关键机电设备</w:t>
      </w:r>
      <w:r>
        <w:rPr>
          <w:rFonts w:ascii="宋体" w:hAnsi="宋体"/>
          <w:sz w:val="24"/>
        </w:rPr>
        <w:t>品牌及主要技术性能指标</w:t>
      </w:r>
      <w:r>
        <w:rPr>
          <w:rFonts w:hint="eastAsia" w:ascii="宋体" w:hAnsi="宋体"/>
          <w:sz w:val="24"/>
        </w:rPr>
        <w:t>作出响应，应附的证明材料要求：见投标人须知前附表。</w:t>
      </w:r>
    </w:p>
    <w:p w14:paraId="6EA348B1">
      <w:pPr>
        <w:topLinePunct/>
        <w:spacing w:line="360" w:lineRule="auto"/>
        <w:ind w:firstLine="480" w:firstLineChars="200"/>
        <w:rPr>
          <w:rFonts w:ascii="宋体" w:hAnsi="宋体"/>
          <w:sz w:val="24"/>
        </w:rPr>
      </w:pPr>
      <w:r>
        <w:rPr>
          <w:rFonts w:ascii="宋体" w:hAnsi="宋体"/>
          <w:sz w:val="24"/>
        </w:rPr>
        <w:t>3.5.</w:t>
      </w:r>
      <w:r>
        <w:rPr>
          <w:rFonts w:hint="eastAsia" w:ascii="宋体" w:hAnsi="宋体"/>
          <w:sz w:val="24"/>
          <w:lang w:val="en-US" w:eastAsia="zh-CN"/>
        </w:rPr>
        <w:t>9</w:t>
      </w:r>
      <w:r>
        <w:rPr>
          <w:rFonts w:ascii="宋体" w:hAnsi="宋体"/>
          <w:sz w:val="24"/>
        </w:rPr>
        <w:t xml:space="preserve"> 投标人须知前附表规定接受联合体投标的，本章第3.5.1项至第3.5.7项规定的表格和资料应包括联合体各方相关情况。</w:t>
      </w:r>
    </w:p>
    <w:p w14:paraId="6BC862A3">
      <w:pPr>
        <w:topLinePunct/>
        <w:spacing w:line="360" w:lineRule="auto"/>
        <w:ind w:firstLine="480" w:firstLineChars="200"/>
        <w:rPr>
          <w:rFonts w:ascii="宋体" w:hAnsi="宋体"/>
          <w:sz w:val="24"/>
        </w:rPr>
      </w:pPr>
      <w:r>
        <w:rPr>
          <w:rFonts w:ascii="宋体" w:hAnsi="宋体"/>
          <w:sz w:val="24"/>
        </w:rPr>
        <w:t>3.5.</w:t>
      </w:r>
      <w:r>
        <w:rPr>
          <w:rFonts w:hint="eastAsia" w:ascii="宋体" w:hAnsi="宋体"/>
          <w:sz w:val="24"/>
          <w:lang w:val="en-US" w:eastAsia="zh-CN"/>
        </w:rPr>
        <w:t>10</w:t>
      </w:r>
      <w:r>
        <w:rPr>
          <w:rFonts w:ascii="宋体" w:hAnsi="宋体"/>
          <w:sz w:val="24"/>
        </w:rPr>
        <w:t xml:space="preserve"> </w:t>
      </w:r>
      <w:r>
        <w:rPr>
          <w:rFonts w:hint="eastAsia" w:ascii="宋体" w:hAnsi="宋体"/>
          <w:sz w:val="24"/>
        </w:rPr>
        <w:t>除合同</w:t>
      </w:r>
      <w:r>
        <w:rPr>
          <w:rFonts w:ascii="宋体" w:hAnsi="宋体"/>
          <w:sz w:val="24"/>
        </w:rPr>
        <w:t>条款</w:t>
      </w:r>
      <w:r>
        <w:rPr>
          <w:rFonts w:hint="eastAsia" w:ascii="宋体" w:hAnsi="宋体"/>
          <w:sz w:val="24"/>
        </w:rPr>
        <w:t>约定</w:t>
      </w:r>
      <w:r>
        <w:rPr>
          <w:rFonts w:ascii="宋体" w:hAnsi="宋体"/>
          <w:sz w:val="24"/>
        </w:rPr>
        <w:t>的</w:t>
      </w:r>
      <w:r>
        <w:rPr>
          <w:rFonts w:hint="eastAsia" w:ascii="宋体" w:hAnsi="宋体"/>
          <w:sz w:val="24"/>
        </w:rPr>
        <w:t>特殊</w:t>
      </w:r>
      <w:r>
        <w:rPr>
          <w:rFonts w:ascii="宋体" w:hAnsi="宋体"/>
          <w:sz w:val="24"/>
        </w:rPr>
        <w:t>情形</w:t>
      </w:r>
      <w:r>
        <w:rPr>
          <w:rFonts w:hint="eastAsia" w:ascii="宋体" w:hAnsi="宋体"/>
          <w:sz w:val="24"/>
        </w:rPr>
        <w:t>外</w:t>
      </w:r>
      <w:r>
        <w:rPr>
          <w:rFonts w:ascii="宋体" w:hAnsi="宋体"/>
          <w:sz w:val="24"/>
        </w:rPr>
        <w:t>，</w:t>
      </w:r>
      <w:r>
        <w:rPr>
          <w:rFonts w:hint="eastAsia" w:ascii="宋体" w:hAnsi="宋体"/>
          <w:sz w:val="24"/>
        </w:rPr>
        <w:t>投标人在投标文件中填报的主要人员不允许更换。</w:t>
      </w:r>
    </w:p>
    <w:p w14:paraId="18806B32">
      <w:pPr>
        <w:topLinePunct/>
        <w:spacing w:line="360" w:lineRule="auto"/>
        <w:ind w:firstLine="480" w:firstLineChars="200"/>
        <w:rPr>
          <w:rFonts w:ascii="宋体" w:hAnsi="宋体"/>
          <w:sz w:val="24"/>
        </w:rPr>
      </w:pPr>
      <w:r>
        <w:rPr>
          <w:rFonts w:ascii="宋体" w:hAnsi="宋体"/>
          <w:sz w:val="24"/>
        </w:rPr>
        <w:t>3.5.</w:t>
      </w:r>
      <w:r>
        <w:rPr>
          <w:rFonts w:hint="eastAsia" w:ascii="宋体" w:hAnsi="宋体"/>
          <w:sz w:val="24"/>
          <w:lang w:val="en-US" w:eastAsia="zh-CN"/>
        </w:rPr>
        <w:t>11</w:t>
      </w:r>
      <w:r>
        <w:rPr>
          <w:rFonts w:ascii="宋体" w:hAnsi="宋体"/>
          <w:sz w:val="24"/>
        </w:rPr>
        <w:t xml:space="preserve"> </w:t>
      </w:r>
      <w:bookmarkStart w:id="345" w:name="_Hlk99802717"/>
      <w:r>
        <w:rPr>
          <w:rFonts w:ascii="宋体" w:hAnsi="宋体"/>
          <w:sz w:val="24"/>
        </w:rPr>
        <w:t>投标人在</w:t>
      </w:r>
      <w:r>
        <w:rPr>
          <w:rFonts w:hint="eastAsia" w:ascii="宋体" w:hAnsi="宋体"/>
          <w:sz w:val="24"/>
        </w:rPr>
        <w:t>投标文件</w:t>
      </w:r>
      <w:r>
        <w:rPr>
          <w:rFonts w:ascii="宋体" w:hAnsi="宋体"/>
          <w:sz w:val="24"/>
        </w:rPr>
        <w:t>中填报的资质、业绩、主要人员资历</w:t>
      </w:r>
      <w:r>
        <w:rPr>
          <w:rFonts w:hint="eastAsia" w:ascii="宋体" w:hAnsi="宋体"/>
          <w:sz w:val="24"/>
        </w:rPr>
        <w:t>等信息，</w:t>
      </w:r>
      <w:r>
        <w:rPr>
          <w:rFonts w:ascii="宋体" w:hAnsi="宋体"/>
          <w:sz w:val="24"/>
        </w:rPr>
        <w:t>应与其在</w:t>
      </w:r>
      <w:r>
        <w:rPr>
          <w:rFonts w:hint="eastAsia" w:ascii="宋体" w:hAnsi="宋体"/>
          <w:sz w:val="24"/>
        </w:rPr>
        <w:t>交通运输主管部门“</w:t>
      </w:r>
      <w:r>
        <w:rPr>
          <w:rFonts w:hint="eastAsia" w:ascii="宋体" w:hAnsi="宋体"/>
          <w:kern w:val="0"/>
          <w:sz w:val="24"/>
        </w:rPr>
        <w:t>全国公路建设市场监督管理系统</w:t>
      </w:r>
      <w:r>
        <w:rPr>
          <w:rFonts w:hint="eastAsia" w:ascii="宋体" w:hAnsi="宋体"/>
          <w:sz w:val="24"/>
        </w:rPr>
        <w:t>”上</w:t>
      </w:r>
      <w:r>
        <w:rPr>
          <w:rFonts w:ascii="宋体" w:hAnsi="宋体"/>
          <w:sz w:val="24"/>
        </w:rPr>
        <w:t>填报并发布的相关信息一致</w:t>
      </w:r>
      <w:bookmarkStart w:id="346" w:name="_Hlk94000849"/>
      <w:r>
        <w:rPr>
          <w:rFonts w:hint="eastAsia" w:ascii="宋体" w:hAnsi="宋体"/>
          <w:sz w:val="24"/>
          <w:lang w:eastAsia="zh-CN"/>
        </w:rPr>
        <w:t>（本项规定仅适用于根据《关于发布公路工程从业企业资质名录的通知》（厅公路字〔2011〕114号）要求，招标人应通过名录对投标人资质条件进行审核的公路施工企业。）</w:t>
      </w:r>
      <w:bookmarkEnd w:id="346"/>
      <w:r>
        <w:rPr>
          <w:rFonts w:hint="eastAsia" w:ascii="宋体" w:hAnsi="宋体" w:cs="宋体"/>
          <w:sz w:val="24"/>
        </w:rPr>
        <w:t>，信用等级信息应以“信用交通·四川”上查询结果为准</w:t>
      </w:r>
      <w:r>
        <w:rPr>
          <w:rFonts w:ascii="宋体" w:hAnsi="宋体" w:cs="宋体"/>
          <w:sz w:val="24"/>
        </w:rPr>
        <w:t>。</w:t>
      </w:r>
      <w:r>
        <w:rPr>
          <w:rFonts w:hint="eastAsia" w:ascii="宋体" w:hAnsi="宋体" w:cs="宋体"/>
          <w:sz w:val="24"/>
        </w:rPr>
        <w:t>投标人应根据本单位实际情况及时完成相关信息的申报、录入和动态更新，并对相关信息的真实性、完整性和准确性负责</w:t>
      </w:r>
      <w:bookmarkEnd w:id="345"/>
      <w:r>
        <w:rPr>
          <w:rFonts w:hint="eastAsia" w:ascii="宋体" w:hAnsi="宋体" w:cs="宋体"/>
          <w:sz w:val="24"/>
        </w:rPr>
        <w:t>。</w:t>
      </w:r>
    </w:p>
    <w:p w14:paraId="4B0A6033">
      <w:pPr>
        <w:topLinePunct/>
        <w:spacing w:line="360" w:lineRule="auto"/>
        <w:ind w:firstLine="480" w:firstLineChars="200"/>
        <w:rPr>
          <w:rFonts w:ascii="宋体" w:hAnsi="宋体"/>
          <w:sz w:val="24"/>
        </w:rPr>
      </w:pPr>
      <w:r>
        <w:rPr>
          <w:rFonts w:ascii="宋体" w:hAnsi="宋体"/>
          <w:sz w:val="24"/>
        </w:rPr>
        <w:t>3.5.1</w:t>
      </w:r>
      <w:r>
        <w:rPr>
          <w:rFonts w:hint="eastAsia" w:ascii="宋体" w:hAnsi="宋体"/>
          <w:sz w:val="24"/>
          <w:lang w:val="en-US" w:eastAsia="zh-CN"/>
        </w:rPr>
        <w:t>2</w:t>
      </w:r>
      <w:r>
        <w:rPr>
          <w:rFonts w:hint="eastAsia" w:ascii="宋体" w:hAnsi="宋体"/>
          <w:sz w:val="24"/>
        </w:rPr>
        <w:t>招标人有权核查投标人在投标</w:t>
      </w:r>
      <w:r>
        <w:rPr>
          <w:rFonts w:ascii="宋体" w:hAnsi="宋体"/>
          <w:sz w:val="24"/>
        </w:rPr>
        <w:t>文件</w:t>
      </w:r>
      <w:r>
        <w:rPr>
          <w:rFonts w:hint="eastAsia" w:ascii="宋体" w:hAnsi="宋体"/>
          <w:sz w:val="24"/>
        </w:rPr>
        <w:t>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w:t>
      </w:r>
      <w:r>
        <w:rPr>
          <w:rFonts w:ascii="宋体" w:hAnsi="宋体"/>
          <w:sz w:val="24"/>
        </w:rPr>
        <w:t>10％签约合同价</w:t>
      </w:r>
      <w:r>
        <w:rPr>
          <w:rFonts w:hint="eastAsia" w:ascii="宋体" w:hAnsi="宋体"/>
          <w:sz w:val="24"/>
        </w:rPr>
        <w:t>的金额作为违约金。同时招标人将投标人上述弄虚作假行为上报省级交通运输主管部门，作为不良记录纳入公路建设市场监督管理系统。</w:t>
      </w:r>
    </w:p>
    <w:p w14:paraId="1B332D93">
      <w:pPr>
        <w:pStyle w:val="4"/>
        <w:spacing w:before="0" w:beforeLines="-2147483648" w:after="0" w:afterLines="-2147483648" w:line="360" w:lineRule="auto"/>
        <w:jc w:val="both"/>
        <w:rPr>
          <w:rFonts w:eastAsia="黑体"/>
          <w:b w:val="0"/>
          <w:bCs w:val="0"/>
          <w:sz w:val="28"/>
        </w:rPr>
      </w:pPr>
      <w:bookmarkStart w:id="347" w:name="_Toc27059887"/>
      <w:bookmarkStart w:id="348" w:name="_Toc501257086"/>
      <w:bookmarkStart w:id="349" w:name="_Toc27060683"/>
      <w:bookmarkStart w:id="350" w:name="_Toc53685610"/>
      <w:bookmarkStart w:id="351" w:name="_Toc27059514"/>
      <w:bookmarkStart w:id="352" w:name="_Toc27059785"/>
      <w:bookmarkStart w:id="353" w:name="_Toc234832895"/>
      <w:bookmarkStart w:id="354" w:name="_Toc27059695"/>
      <w:r>
        <w:rPr>
          <w:rFonts w:eastAsia="黑体"/>
          <w:b w:val="0"/>
          <w:bCs w:val="0"/>
          <w:sz w:val="28"/>
        </w:rPr>
        <w:t>3.6 备选投标方案</w:t>
      </w:r>
      <w:bookmarkEnd w:id="347"/>
      <w:bookmarkEnd w:id="348"/>
      <w:bookmarkEnd w:id="349"/>
      <w:bookmarkEnd w:id="350"/>
      <w:bookmarkEnd w:id="351"/>
      <w:bookmarkEnd w:id="352"/>
      <w:bookmarkEnd w:id="353"/>
      <w:bookmarkEnd w:id="354"/>
    </w:p>
    <w:p w14:paraId="7E48E613">
      <w:pPr>
        <w:topLinePunct/>
        <w:spacing w:line="360" w:lineRule="auto"/>
        <w:ind w:firstLine="480" w:firstLineChars="200"/>
        <w:rPr>
          <w:rFonts w:ascii="宋体" w:hAnsi="宋体"/>
          <w:sz w:val="24"/>
        </w:rPr>
      </w:pPr>
      <w:r>
        <w:rPr>
          <w:rFonts w:ascii="宋体" w:hAnsi="宋体"/>
          <w:sz w:val="24"/>
        </w:rPr>
        <w:t>3.6.1 除投标人须知前附表规定允许外，投标人不得递交备选投标方案，否则其投标将被否决。</w:t>
      </w:r>
    </w:p>
    <w:p w14:paraId="6AC11C76">
      <w:pPr>
        <w:topLinePunct/>
        <w:spacing w:line="360" w:lineRule="auto"/>
        <w:ind w:firstLine="480" w:firstLineChars="200"/>
        <w:rPr>
          <w:rFonts w:ascii="宋体" w:hAnsi="宋体"/>
          <w:sz w:val="24"/>
        </w:rPr>
      </w:pPr>
      <w:r>
        <w:rPr>
          <w:rFonts w:ascii="宋体" w:hAnsi="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8688422">
      <w:pPr>
        <w:topLinePunct/>
        <w:spacing w:line="360" w:lineRule="auto"/>
        <w:ind w:firstLine="480" w:firstLineChars="200"/>
        <w:rPr>
          <w:rFonts w:ascii="宋体" w:hAnsi="宋体"/>
          <w:sz w:val="24"/>
        </w:rPr>
      </w:pPr>
      <w:r>
        <w:rPr>
          <w:rFonts w:ascii="宋体" w:hAnsi="宋体"/>
          <w:sz w:val="24"/>
        </w:rPr>
        <w:t>3.6.3 投标人提供两个或两个以上投标报价，或在投标文件中提供一个报价，但同时提供两个或两个以上</w:t>
      </w:r>
      <w:bookmarkStart w:id="355" w:name="_Toc144974518"/>
      <w:bookmarkStart w:id="356" w:name="_Toc247513974"/>
      <w:bookmarkStart w:id="357" w:name="_Toc247527575"/>
      <w:bookmarkStart w:id="358" w:name="_Toc152045550"/>
      <w:bookmarkStart w:id="359" w:name="_Toc352691495"/>
      <w:bookmarkStart w:id="360" w:name="_Toc152042326"/>
      <w:bookmarkStart w:id="361" w:name="_Toc300834971"/>
      <w:bookmarkStart w:id="362" w:name="_Toc29902"/>
      <w:bookmarkStart w:id="363" w:name="_Toc369531538"/>
      <w:bookmarkStart w:id="364" w:name="_Toc384308232"/>
      <w:bookmarkStart w:id="365" w:name="_Toc361508607"/>
      <w:r>
        <w:rPr>
          <w:rFonts w:hint="eastAsia" w:ascii="宋体" w:hAnsi="宋体"/>
          <w:sz w:val="24"/>
        </w:rPr>
        <w:t>设计施工总承包方案</w:t>
      </w:r>
      <w:r>
        <w:rPr>
          <w:rFonts w:ascii="宋体" w:hAnsi="宋体"/>
          <w:sz w:val="24"/>
        </w:rPr>
        <w:t>的</w:t>
      </w:r>
      <w:bookmarkEnd w:id="355"/>
      <w:bookmarkEnd w:id="356"/>
      <w:bookmarkEnd w:id="357"/>
      <w:bookmarkEnd w:id="358"/>
      <w:bookmarkEnd w:id="359"/>
      <w:bookmarkEnd w:id="360"/>
      <w:bookmarkEnd w:id="361"/>
      <w:bookmarkEnd w:id="362"/>
      <w:bookmarkEnd w:id="363"/>
      <w:bookmarkEnd w:id="364"/>
      <w:bookmarkEnd w:id="365"/>
      <w:r>
        <w:rPr>
          <w:rFonts w:ascii="宋体" w:hAnsi="宋体"/>
          <w:sz w:val="24"/>
        </w:rPr>
        <w:t>，视为提供备选</w:t>
      </w:r>
      <w:r>
        <w:rPr>
          <w:rFonts w:hint="eastAsia" w:ascii="宋体" w:hAnsi="宋体"/>
          <w:sz w:val="24"/>
          <w:lang w:val="en-US" w:eastAsia="zh-CN"/>
        </w:rPr>
        <w:t>投标</w:t>
      </w:r>
      <w:r>
        <w:rPr>
          <w:rFonts w:ascii="宋体" w:hAnsi="宋体"/>
          <w:sz w:val="24"/>
        </w:rPr>
        <w:t>方案。</w:t>
      </w:r>
    </w:p>
    <w:p w14:paraId="16B8313B">
      <w:pPr>
        <w:pStyle w:val="4"/>
        <w:spacing w:before="0" w:beforeLines="-2147483648" w:after="0" w:afterLines="-2147483648" w:line="360" w:lineRule="auto"/>
        <w:jc w:val="both"/>
        <w:rPr>
          <w:rFonts w:eastAsia="黑体"/>
          <w:b w:val="0"/>
          <w:bCs w:val="0"/>
          <w:sz w:val="28"/>
        </w:rPr>
      </w:pPr>
      <w:bookmarkStart w:id="366" w:name="_Toc27060684"/>
      <w:bookmarkStart w:id="367" w:name="_Toc27059888"/>
      <w:bookmarkStart w:id="368" w:name="_Toc53685611"/>
      <w:bookmarkStart w:id="369" w:name="_Toc27059515"/>
      <w:bookmarkStart w:id="370" w:name="_Toc27059696"/>
      <w:bookmarkStart w:id="371" w:name="_Toc27059786"/>
      <w:r>
        <w:rPr>
          <w:rFonts w:eastAsia="黑体"/>
          <w:b w:val="0"/>
          <w:bCs w:val="0"/>
          <w:sz w:val="28"/>
        </w:rPr>
        <w:t>3.7 投标文件的编制</w:t>
      </w:r>
      <w:bookmarkEnd w:id="366"/>
      <w:bookmarkEnd w:id="367"/>
      <w:bookmarkEnd w:id="368"/>
      <w:bookmarkEnd w:id="369"/>
      <w:bookmarkEnd w:id="370"/>
      <w:bookmarkEnd w:id="371"/>
    </w:p>
    <w:p w14:paraId="5A94277E">
      <w:pPr>
        <w:spacing w:line="360" w:lineRule="auto"/>
        <w:ind w:firstLine="480" w:firstLineChars="200"/>
        <w:rPr>
          <w:rFonts w:cs="宋体"/>
        </w:rPr>
      </w:pPr>
      <w:r>
        <w:rPr>
          <w:rFonts w:ascii="宋体" w:hAnsi="宋体" w:cs="宋体"/>
          <w:sz w:val="24"/>
        </w:rPr>
        <w:t xml:space="preserve">3.7.1 </w:t>
      </w:r>
      <w:r>
        <w:rPr>
          <w:rFonts w:hint="eastAsia" w:ascii="宋体" w:hAnsi="宋体" w:cs="宋体"/>
          <w:sz w:val="24"/>
        </w:rPr>
        <w:t>投标文件应按第八章</w:t>
      </w:r>
      <w:r>
        <w:rPr>
          <w:rFonts w:ascii="宋体" w:hAnsi="宋体" w:cs="宋体"/>
          <w:sz w:val="24"/>
        </w:rPr>
        <w:t>“</w:t>
      </w:r>
      <w:r>
        <w:rPr>
          <w:rFonts w:hint="eastAsia" w:ascii="宋体" w:hAnsi="宋体" w:cs="宋体"/>
          <w:sz w:val="24"/>
        </w:rPr>
        <w:t>投标文件格式</w:t>
      </w:r>
      <w:r>
        <w:rPr>
          <w:rFonts w:ascii="宋体" w:hAnsi="宋体" w:cs="宋体"/>
          <w:sz w:val="24"/>
        </w:rPr>
        <w:t>”</w:t>
      </w:r>
      <w:r>
        <w:rPr>
          <w:rFonts w:hint="eastAsia" w:ascii="宋体" w:hAnsi="宋体" w:cs="宋体"/>
          <w:sz w:val="24"/>
        </w:rPr>
        <w:t>进行编写，如有必要，可以增加附页，作为投标文件的组成部分。其中，投标函附录在满足招标文件实质性要求的基础上，可以提出比招标文件要求更有利于招标人的承诺。</w:t>
      </w:r>
    </w:p>
    <w:p w14:paraId="432B5C51">
      <w:pPr>
        <w:pStyle w:val="20"/>
        <w:kinsoku w:val="0"/>
        <w:overflowPunct w:val="0"/>
        <w:spacing w:line="360" w:lineRule="auto"/>
        <w:ind w:firstLine="480" w:firstLineChars="200"/>
      </w:pPr>
      <w:r>
        <w:t xml:space="preserve">3.7.2 </w:t>
      </w:r>
      <w:r>
        <w:rPr>
          <w:rFonts w:hint="eastAsia"/>
          <w:spacing w:val="-4"/>
        </w:rPr>
        <w:t>投标文件应对招标文件有关招标范围、工期、投标有效期、质量标准、安全目标、发包人要求</w:t>
      </w:r>
      <w:r>
        <w:rPr>
          <w:rFonts w:hint="eastAsia"/>
        </w:rPr>
        <w:t>等实质性内容作出响应。</w:t>
      </w:r>
    </w:p>
    <w:p w14:paraId="19B297E8">
      <w:pPr>
        <w:pStyle w:val="20"/>
        <w:kinsoku w:val="0"/>
        <w:overflowPunct w:val="0"/>
        <w:spacing w:line="360" w:lineRule="auto"/>
        <w:ind w:firstLine="480" w:firstLineChars="200"/>
      </w:pPr>
      <w:r>
        <w:t xml:space="preserve">3.7.3 </w:t>
      </w:r>
      <w:r>
        <w:rPr>
          <w:rFonts w:hint="eastAsia"/>
        </w:rPr>
        <w:t>投标文件的制作应满足以下规定：</w:t>
      </w:r>
    </w:p>
    <w:p w14:paraId="400DCF17">
      <w:pPr>
        <w:pStyle w:val="20"/>
        <w:kinsoku w:val="0"/>
        <w:overflowPunct w:val="0"/>
        <w:spacing w:line="360" w:lineRule="auto"/>
        <w:ind w:firstLine="480" w:firstLineChars="200"/>
      </w:pPr>
      <w:r>
        <w:rPr>
          <w:rFonts w:hint="eastAsia"/>
        </w:rPr>
        <w:t>（</w:t>
      </w:r>
      <w:r>
        <w:t>1</w:t>
      </w:r>
      <w:r>
        <w:rPr>
          <w:rFonts w:hint="eastAsia"/>
        </w:rPr>
        <w:t>）投标文件由投标人使用“乐山市公共资源交易服务平台电子招投标系统”自带的“投标文件制作工具”制作生成。</w:t>
      </w:r>
    </w:p>
    <w:p w14:paraId="426745B7">
      <w:pPr>
        <w:spacing w:line="360" w:lineRule="auto"/>
        <w:ind w:firstLine="480" w:firstLineChars="200"/>
        <w:rPr>
          <w:rFonts w:ascii="宋体" w:hAnsi="宋体" w:cs="宋体"/>
          <w:sz w:val="24"/>
        </w:rPr>
      </w:pPr>
      <w:r>
        <w:rPr>
          <w:rFonts w:hint="eastAsia" w:ascii="宋体" w:hAnsi="宋体" w:cs="宋体"/>
          <w:sz w:val="24"/>
        </w:rPr>
        <w:t>（2）投标人在编制投标文件时应建立分级目录，并按照标签提示导入相关内容。</w:t>
      </w:r>
    </w:p>
    <w:p w14:paraId="6DE33501">
      <w:pPr>
        <w:pStyle w:val="20"/>
        <w:kinsoku w:val="0"/>
        <w:overflowPunct w:val="0"/>
        <w:spacing w:line="360" w:lineRule="auto"/>
        <w:ind w:firstLine="480" w:firstLineChars="200"/>
      </w:pPr>
      <w:r>
        <w:rPr>
          <w:rFonts w:hint="eastAsia"/>
        </w:rPr>
        <w:t>（</w:t>
      </w:r>
      <w:r>
        <w:t>3</w:t>
      </w:r>
      <w:r>
        <w:rPr>
          <w:rFonts w:hint="eastAsia"/>
        </w:rPr>
        <w:t>）投标文件中证明资料的“原件原色扫描件”均为“原件的扫描件”。</w:t>
      </w:r>
    </w:p>
    <w:p w14:paraId="63074C13">
      <w:pPr>
        <w:pStyle w:val="20"/>
        <w:kinsoku w:val="0"/>
        <w:overflowPunct w:val="0"/>
        <w:spacing w:line="360" w:lineRule="auto"/>
        <w:ind w:firstLine="480" w:firstLineChars="200"/>
      </w:pPr>
      <w:r>
        <w:rPr>
          <w:rFonts w:hint="eastAsia"/>
        </w:rPr>
        <w:t>（</w:t>
      </w:r>
      <w:r>
        <w:t>4）</w:t>
      </w:r>
      <w:r>
        <w:rPr>
          <w:rFonts w:hint="eastAsia"/>
        </w:rPr>
        <w:t>投标文件中的已标价价格清单数据文件应与招标人提供的价格清单数据文件格式一致。</w:t>
      </w:r>
    </w:p>
    <w:p w14:paraId="33BD617D">
      <w:pPr>
        <w:pStyle w:val="20"/>
        <w:kinsoku w:val="0"/>
        <w:overflowPunct w:val="0"/>
        <w:spacing w:line="360" w:lineRule="auto"/>
        <w:ind w:firstLine="480" w:firstLineChars="200"/>
      </w:pPr>
      <w:r>
        <w:rPr>
          <w:rFonts w:hint="eastAsia"/>
        </w:rPr>
        <w:t>（</w:t>
      </w:r>
      <w:r>
        <w:t>5</w:t>
      </w:r>
      <w:r>
        <w:rPr>
          <w:rFonts w:hint="eastAsia"/>
        </w:rPr>
        <w:t>）</w:t>
      </w:r>
      <w:r>
        <w:rPr>
          <w:rFonts w:hint="eastAsia"/>
          <w:lang w:eastAsia="zh-CN"/>
        </w:rPr>
        <w:t>第八章</w:t>
      </w:r>
      <w:r>
        <w:rPr>
          <w:rFonts w:hint="eastAsia"/>
        </w:rPr>
        <w:t>“投标文件格式”中要求盖单位电子印章之处，投标人均应使用单位</w:t>
      </w:r>
      <w:r>
        <w:t>CA</w:t>
      </w:r>
      <w:r>
        <w:rPr>
          <w:rFonts w:hint="eastAsia"/>
        </w:rPr>
        <w:t>数字证书加盖投标人的单位电子印章。</w:t>
      </w:r>
      <w:r>
        <w:rPr>
          <w:rFonts w:hint="eastAsia"/>
          <w:lang w:eastAsia="zh-CN"/>
        </w:rPr>
        <w:t>第八章</w:t>
      </w:r>
      <w:r>
        <w:rPr>
          <w:rFonts w:hint="eastAsia"/>
        </w:rPr>
        <w:t>“投标文件格式”中要求签字之处，投标人均应使用个人</w:t>
      </w:r>
      <w:r>
        <w:t>CA数字证书加盖投标人的法定代表人或其委托代理人的个人电子签名章或个人电子印章。联合体投标的，投标文件由联合体牵头人按上述规定加盖联合体牵头人单位电子印章、法定代表人或其委托代理人的个人电子签名章或个人电子印章。</w:t>
      </w:r>
    </w:p>
    <w:p w14:paraId="1A8EE9EA">
      <w:pPr>
        <w:pStyle w:val="20"/>
        <w:kinsoku w:val="0"/>
        <w:overflowPunct w:val="0"/>
        <w:spacing w:line="360" w:lineRule="auto"/>
        <w:ind w:firstLine="480" w:firstLineChars="200"/>
      </w:pPr>
      <w:r>
        <w:rPr>
          <w:rFonts w:hint="eastAsia"/>
        </w:rPr>
        <w:t>（</w:t>
      </w:r>
      <w:r>
        <w:t>6）</w:t>
      </w:r>
      <w:r>
        <w:rPr>
          <w:rFonts w:hint="eastAsia"/>
        </w:rPr>
        <w:t>投标文件制作完成后，投标人应使用单位</w:t>
      </w:r>
      <w:r>
        <w:t>CA数字证书对投标文件进行加密</w:t>
      </w:r>
      <w:r>
        <w:rPr>
          <w:rFonts w:hint="eastAsia"/>
          <w:lang w:eastAsia="zh-CN"/>
        </w:rPr>
        <w:t>，</w:t>
      </w:r>
      <w:r>
        <w:t>形成加密的电子投标文件。</w:t>
      </w:r>
    </w:p>
    <w:p w14:paraId="2EA2984E">
      <w:pPr>
        <w:pStyle w:val="20"/>
        <w:kinsoku w:val="0"/>
        <w:overflowPunct w:val="0"/>
        <w:spacing w:line="360" w:lineRule="auto"/>
        <w:ind w:firstLine="480" w:firstLineChars="200"/>
      </w:pPr>
      <w:r>
        <w:rPr>
          <w:rFonts w:hint="eastAsia"/>
        </w:rPr>
        <w:t>（</w:t>
      </w:r>
      <w:r>
        <w:t>7</w:t>
      </w:r>
      <w:r>
        <w:rPr>
          <w:rFonts w:hint="eastAsia"/>
        </w:rPr>
        <w:t>）投标文件制作的具体方法详见“投标文件制作工具”中的帮助文档。</w:t>
      </w:r>
    </w:p>
    <w:p w14:paraId="625BCBF8">
      <w:pPr>
        <w:pStyle w:val="20"/>
        <w:kinsoku w:val="0"/>
        <w:overflowPunct w:val="0"/>
        <w:spacing w:line="360" w:lineRule="auto"/>
        <w:ind w:firstLine="480" w:firstLineChars="200"/>
        <w:rPr>
          <w:spacing w:val="-1"/>
        </w:rPr>
      </w:pPr>
      <w:r>
        <w:t>3.7.4</w:t>
      </w:r>
      <w:r>
        <w:rPr>
          <w:rFonts w:hint="eastAsia"/>
        </w:rPr>
        <w:t>投标文件份数及其他要求：见投标人须知前附表。</w:t>
      </w:r>
    </w:p>
    <w:p w14:paraId="53073E57">
      <w:pPr>
        <w:spacing w:line="360" w:lineRule="auto"/>
        <w:ind w:firstLine="480" w:firstLineChars="200"/>
        <w:rPr>
          <w:rFonts w:ascii="宋体" w:hAnsi="宋体"/>
          <w:sz w:val="24"/>
        </w:rPr>
      </w:pPr>
      <w:r>
        <w:rPr>
          <w:rFonts w:ascii="宋体" w:hAnsi="宋体"/>
          <w:sz w:val="24"/>
        </w:rPr>
        <w:t>3.7.5投标文件上传、装订的要求：见投标人须知前附表。</w:t>
      </w:r>
    </w:p>
    <w:p w14:paraId="11741DC6">
      <w:pPr>
        <w:pStyle w:val="4"/>
        <w:spacing w:before="0" w:beforeLines="-2147483648" w:after="0" w:afterLines="-2147483648" w:line="360" w:lineRule="auto"/>
        <w:jc w:val="both"/>
        <w:rPr>
          <w:rFonts w:eastAsia="黑体"/>
          <w:b w:val="0"/>
          <w:bCs w:val="0"/>
          <w:sz w:val="28"/>
        </w:rPr>
      </w:pPr>
      <w:bookmarkStart w:id="372" w:name="_Toc27059697"/>
      <w:bookmarkStart w:id="373" w:name="_Toc27059516"/>
      <w:bookmarkStart w:id="374" w:name="_Toc27059889"/>
      <w:bookmarkStart w:id="375" w:name="_Toc27059787"/>
      <w:bookmarkStart w:id="376" w:name="_Toc234832897"/>
      <w:bookmarkStart w:id="377" w:name="_Toc27060685"/>
      <w:bookmarkStart w:id="378" w:name="_Toc501257088"/>
      <w:bookmarkStart w:id="379" w:name="_Toc53685612"/>
      <w:r>
        <w:rPr>
          <w:rFonts w:ascii="Arial" w:hAnsi="Arial" w:eastAsia="黑体"/>
          <w:b/>
          <w:bCs/>
          <w:sz w:val="28"/>
        </w:rPr>
        <w:t xml:space="preserve">4. </w:t>
      </w:r>
      <w:r>
        <w:rPr>
          <w:rFonts w:hint="default" w:ascii="Arial" w:hAnsi="Arial" w:eastAsia="黑体"/>
          <w:b/>
          <w:bCs/>
          <w:sz w:val="28"/>
        </w:rPr>
        <w:t>投标</w:t>
      </w:r>
      <w:bookmarkEnd w:id="372"/>
      <w:bookmarkEnd w:id="373"/>
      <w:bookmarkEnd w:id="374"/>
      <w:bookmarkEnd w:id="375"/>
      <w:bookmarkEnd w:id="376"/>
      <w:bookmarkEnd w:id="377"/>
      <w:bookmarkEnd w:id="378"/>
      <w:bookmarkEnd w:id="379"/>
      <w:r>
        <w:rPr>
          <w:rFonts w:eastAsia="黑体"/>
          <w:b w:val="0"/>
          <w:bCs w:val="0"/>
          <w:sz w:val="28"/>
        </w:rPr>
        <w:tab/>
      </w:r>
    </w:p>
    <w:p w14:paraId="67A052DD">
      <w:pPr>
        <w:pStyle w:val="4"/>
        <w:spacing w:before="0" w:beforeLines="-2147483648" w:after="0" w:afterLines="-2147483648" w:line="360" w:lineRule="auto"/>
        <w:jc w:val="both"/>
        <w:rPr>
          <w:rFonts w:eastAsia="黑体"/>
          <w:b w:val="0"/>
          <w:bCs w:val="0"/>
          <w:sz w:val="28"/>
        </w:rPr>
      </w:pPr>
      <w:bookmarkStart w:id="380" w:name="_Toc234832898"/>
      <w:bookmarkStart w:id="381" w:name="_Toc27059517"/>
      <w:bookmarkStart w:id="382" w:name="_Toc501257089"/>
      <w:bookmarkStart w:id="383" w:name="_Toc27060686"/>
      <w:bookmarkStart w:id="384" w:name="_Toc27059890"/>
      <w:bookmarkStart w:id="385" w:name="_Toc27059788"/>
      <w:bookmarkStart w:id="386" w:name="_Toc53685613"/>
      <w:bookmarkStart w:id="387" w:name="_Toc27059698"/>
      <w:r>
        <w:rPr>
          <w:rFonts w:eastAsia="黑体"/>
          <w:b w:val="0"/>
          <w:bCs w:val="0"/>
          <w:sz w:val="28"/>
        </w:rPr>
        <w:t>4.1 投标文件的</w:t>
      </w:r>
      <w:r>
        <w:rPr>
          <w:rFonts w:hint="eastAsia" w:eastAsia="黑体"/>
          <w:b w:val="0"/>
          <w:bCs w:val="0"/>
          <w:sz w:val="28"/>
        </w:rPr>
        <w:t>加密</w:t>
      </w:r>
      <w:bookmarkEnd w:id="380"/>
      <w:bookmarkEnd w:id="381"/>
      <w:bookmarkEnd w:id="382"/>
      <w:bookmarkEnd w:id="383"/>
      <w:bookmarkEnd w:id="384"/>
      <w:bookmarkEnd w:id="385"/>
      <w:bookmarkEnd w:id="386"/>
      <w:bookmarkEnd w:id="387"/>
    </w:p>
    <w:p w14:paraId="3CF067AE">
      <w:pPr>
        <w:pStyle w:val="18"/>
        <w:topLinePunct/>
        <w:spacing w:after="0" w:line="360" w:lineRule="auto"/>
        <w:ind w:firstLine="480" w:firstLineChars="200"/>
        <w:rPr>
          <w:rFonts w:ascii="宋体" w:hAnsi="宋体"/>
          <w:sz w:val="24"/>
          <w:szCs w:val="24"/>
        </w:rPr>
      </w:pPr>
      <w:r>
        <w:rPr>
          <w:rFonts w:ascii="宋体" w:hAnsi="宋体"/>
          <w:sz w:val="24"/>
          <w:szCs w:val="24"/>
        </w:rPr>
        <w:t xml:space="preserve">4.1.1 </w:t>
      </w:r>
      <w:r>
        <w:rPr>
          <w:rFonts w:hint="eastAsia"/>
          <w:sz w:val="24"/>
        </w:rPr>
        <w:t>投标文件应按照本</w:t>
      </w:r>
      <w:r>
        <w:rPr>
          <w:rFonts w:hint="eastAsia" w:ascii="宋体" w:hAnsi="宋体"/>
          <w:sz w:val="24"/>
        </w:rPr>
        <w:t>章第</w:t>
      </w:r>
      <w:r>
        <w:rPr>
          <w:rFonts w:ascii="宋体" w:hAnsi="宋体"/>
          <w:spacing w:val="-60"/>
          <w:sz w:val="24"/>
        </w:rPr>
        <w:t xml:space="preserve"> </w:t>
      </w:r>
      <w:r>
        <w:rPr>
          <w:rFonts w:ascii="宋体" w:hAnsi="宋体"/>
          <w:sz w:val="24"/>
        </w:rPr>
        <w:t>3.7.3</w:t>
      </w:r>
      <w:r>
        <w:rPr>
          <w:rFonts w:hint="eastAsia" w:ascii="宋体" w:hAnsi="宋体"/>
          <w:sz w:val="24"/>
        </w:rPr>
        <w:t>项要</w:t>
      </w:r>
      <w:r>
        <w:rPr>
          <w:rFonts w:hint="eastAsia"/>
          <w:sz w:val="24"/>
        </w:rPr>
        <w:t>求制作并加密</w:t>
      </w:r>
      <w:r>
        <w:rPr>
          <w:rFonts w:hint="eastAsia"/>
          <w:spacing w:val="-43"/>
          <w:sz w:val="24"/>
        </w:rPr>
        <w:t>，</w:t>
      </w:r>
      <w:r>
        <w:rPr>
          <w:rFonts w:hint="eastAsia"/>
          <w:sz w:val="24"/>
        </w:rPr>
        <w:t>未按要求加密的投标文件</w:t>
      </w:r>
      <w:r>
        <w:rPr>
          <w:rFonts w:hint="eastAsia"/>
          <w:spacing w:val="-43"/>
          <w:sz w:val="24"/>
        </w:rPr>
        <w:t>，</w:t>
      </w:r>
      <w:r>
        <w:rPr>
          <w:rFonts w:hint="eastAsia"/>
          <w:sz w:val="24"/>
        </w:rPr>
        <w:t>“乐山市公共资源交易服务平台电子招投标系统”将拒绝接收。</w:t>
      </w:r>
    </w:p>
    <w:p w14:paraId="58B43886">
      <w:pPr>
        <w:pStyle w:val="4"/>
        <w:spacing w:before="0" w:beforeLines="-2147483648" w:after="0" w:afterLines="-2147483648" w:line="360" w:lineRule="auto"/>
        <w:jc w:val="both"/>
        <w:rPr>
          <w:rFonts w:eastAsia="黑体"/>
          <w:b w:val="0"/>
          <w:bCs w:val="0"/>
          <w:sz w:val="28"/>
        </w:rPr>
      </w:pPr>
      <w:bookmarkStart w:id="388" w:name="_Toc27059789"/>
      <w:bookmarkStart w:id="389" w:name="_Toc501257090"/>
      <w:bookmarkStart w:id="390" w:name="_Toc53685614"/>
      <w:bookmarkStart w:id="391" w:name="_Toc234832899"/>
      <w:bookmarkStart w:id="392" w:name="_Toc27059518"/>
      <w:bookmarkStart w:id="393" w:name="_Toc27059699"/>
      <w:bookmarkStart w:id="394" w:name="_Toc27060687"/>
      <w:bookmarkStart w:id="395" w:name="_Toc27059891"/>
      <w:r>
        <w:rPr>
          <w:rFonts w:eastAsia="黑体"/>
          <w:b w:val="0"/>
          <w:bCs w:val="0"/>
          <w:sz w:val="28"/>
        </w:rPr>
        <w:t>4.2</w:t>
      </w:r>
      <w:r>
        <w:rPr>
          <w:rFonts w:eastAsia="黑体"/>
          <w:b w:val="0"/>
          <w:bCs w:val="0"/>
          <w:sz w:val="28"/>
        </w:rPr>
        <w:tab/>
      </w:r>
      <w:r>
        <w:rPr>
          <w:rFonts w:eastAsia="黑体"/>
          <w:b w:val="0"/>
          <w:bCs w:val="0"/>
          <w:sz w:val="28"/>
        </w:rPr>
        <w:t xml:space="preserve"> 投标文件的递交</w:t>
      </w:r>
      <w:bookmarkEnd w:id="388"/>
      <w:bookmarkEnd w:id="389"/>
      <w:bookmarkEnd w:id="390"/>
      <w:bookmarkEnd w:id="391"/>
      <w:bookmarkEnd w:id="392"/>
      <w:bookmarkEnd w:id="393"/>
      <w:bookmarkEnd w:id="394"/>
      <w:bookmarkEnd w:id="395"/>
    </w:p>
    <w:p w14:paraId="17E32B4A">
      <w:pPr>
        <w:pStyle w:val="20"/>
        <w:kinsoku w:val="0"/>
        <w:overflowPunct w:val="0"/>
        <w:spacing w:line="360" w:lineRule="auto"/>
        <w:ind w:firstLine="480" w:firstLineChars="200"/>
        <w:rPr>
          <w:spacing w:val="-120"/>
        </w:rPr>
      </w:pPr>
      <w:r>
        <w:t xml:space="preserve">4.2.1 投标人应在第一章“招标公告”规定的投标截止时间前递交投标文件。    </w:t>
      </w:r>
    </w:p>
    <w:p w14:paraId="44BB5035">
      <w:pPr>
        <w:spacing w:line="360" w:lineRule="auto"/>
        <w:ind w:firstLine="480" w:firstLineChars="200"/>
        <w:rPr>
          <w:rFonts w:ascii="宋体" w:hAnsi="宋体"/>
          <w:sz w:val="24"/>
        </w:rPr>
      </w:pPr>
      <w:r>
        <w:rPr>
          <w:rFonts w:ascii="宋体" w:hAnsi="宋体"/>
          <w:sz w:val="24"/>
        </w:rPr>
        <w:t xml:space="preserve">4.2.2 </w:t>
      </w:r>
      <w:r>
        <w:rPr>
          <w:rFonts w:hint="eastAsia" w:ascii="宋体" w:hAnsi="宋体" w:cs="宋体"/>
          <w:sz w:val="24"/>
        </w:rPr>
        <w:t>投标人递交投标文件的方式、地点：见第一章“招标公告”。</w:t>
      </w:r>
    </w:p>
    <w:p w14:paraId="38AEF428">
      <w:pPr>
        <w:spacing w:line="360" w:lineRule="auto"/>
        <w:ind w:firstLine="480" w:firstLineChars="200"/>
        <w:rPr>
          <w:rFonts w:ascii="宋体" w:hAnsi="宋体"/>
          <w:sz w:val="24"/>
        </w:rPr>
      </w:pPr>
      <w:r>
        <w:rPr>
          <w:rFonts w:ascii="宋体" w:hAnsi="宋体"/>
          <w:sz w:val="24"/>
        </w:rPr>
        <w:t xml:space="preserve">4.2.3 </w:t>
      </w:r>
      <w:r>
        <w:rPr>
          <w:rFonts w:hint="eastAsia" w:ascii="宋体" w:hAnsi="宋体"/>
          <w:sz w:val="24"/>
        </w:rPr>
        <w:t>除投标人须知前附表另有规定外，投标人所递交的投标文件不予退还。投标人少于</w:t>
      </w:r>
      <w:r>
        <w:rPr>
          <w:rFonts w:ascii="宋体" w:hAnsi="宋体"/>
          <w:sz w:val="24"/>
        </w:rPr>
        <w:t>3</w:t>
      </w:r>
      <w:r>
        <w:rPr>
          <w:rFonts w:hint="eastAsia" w:ascii="宋体" w:hAnsi="宋体"/>
          <w:sz w:val="24"/>
        </w:rPr>
        <w:t>个的，投标文件当场退还给投标人。</w:t>
      </w:r>
      <w:r>
        <w:rPr>
          <w:rFonts w:ascii="宋体" w:hAnsi="宋体"/>
          <w:sz w:val="24"/>
        </w:rPr>
        <w:t xml:space="preserve"> </w:t>
      </w:r>
    </w:p>
    <w:p w14:paraId="33FA9693">
      <w:pPr>
        <w:spacing w:line="360" w:lineRule="auto"/>
        <w:ind w:firstLine="480" w:firstLineChars="200"/>
        <w:rPr>
          <w:rFonts w:ascii="宋体" w:hAnsi="宋体"/>
          <w:sz w:val="24"/>
        </w:rPr>
      </w:pPr>
      <w:r>
        <w:rPr>
          <w:rFonts w:ascii="宋体" w:hAnsi="宋体"/>
          <w:sz w:val="24"/>
        </w:rPr>
        <w:t xml:space="preserve">4.2.4 </w:t>
      </w:r>
      <w:r>
        <w:rPr>
          <w:rFonts w:hint="eastAsia" w:ascii="宋体" w:hAnsi="宋体" w:cs="宋体"/>
          <w:sz w:val="24"/>
        </w:rPr>
        <w:t>逾期到达或者未到达</w:t>
      </w:r>
      <w:r>
        <w:rPr>
          <w:rFonts w:hint="eastAsia"/>
          <w:sz w:val="24"/>
        </w:rPr>
        <w:t>“乐山市公共资源交易服务平台电子招投标系统”</w:t>
      </w:r>
      <w:r>
        <w:rPr>
          <w:rFonts w:hint="eastAsia" w:ascii="宋体" w:hAnsi="宋体" w:cs="宋体"/>
          <w:sz w:val="24"/>
        </w:rPr>
        <w:t>的电子投标文件视为放弃本次投标。</w:t>
      </w:r>
      <w:r>
        <w:rPr>
          <w:rFonts w:ascii="宋体" w:hAnsi="宋体"/>
          <w:sz w:val="24"/>
        </w:rPr>
        <w:t>采用</w:t>
      </w:r>
      <w:r>
        <w:rPr>
          <w:rFonts w:hint="eastAsia" w:ascii="宋体" w:hAnsi="宋体"/>
          <w:sz w:val="24"/>
        </w:rPr>
        <w:t>银行保函</w:t>
      </w:r>
      <w:r>
        <w:rPr>
          <w:rFonts w:ascii="宋体" w:hAnsi="宋体"/>
          <w:sz w:val="24"/>
        </w:rPr>
        <w:t>形式提交</w:t>
      </w:r>
      <w:r>
        <w:rPr>
          <w:rFonts w:hint="eastAsia" w:ascii="宋体" w:hAnsi="宋体"/>
          <w:sz w:val="24"/>
        </w:rPr>
        <w:t>投标保证金的</w:t>
      </w:r>
      <w:r>
        <w:rPr>
          <w:rFonts w:ascii="宋体" w:hAnsi="宋体"/>
          <w:sz w:val="24"/>
        </w:rPr>
        <w:t>，银行保函原件</w:t>
      </w:r>
      <w:r>
        <w:rPr>
          <w:rFonts w:hint="eastAsia" w:ascii="宋体" w:hAnsi="宋体"/>
          <w:sz w:val="24"/>
        </w:rPr>
        <w:t>逾期送达的或未送达指定地点的，招标人将予以拒收</w:t>
      </w:r>
      <w:r>
        <w:rPr>
          <w:rFonts w:ascii="宋体" w:hAnsi="宋体"/>
          <w:sz w:val="24"/>
        </w:rPr>
        <w:t>。</w:t>
      </w:r>
    </w:p>
    <w:p w14:paraId="3595587E">
      <w:pPr>
        <w:pStyle w:val="4"/>
        <w:spacing w:before="0" w:beforeLines="-2147483648" w:after="0" w:afterLines="-2147483648" w:line="360" w:lineRule="auto"/>
        <w:jc w:val="both"/>
        <w:rPr>
          <w:rFonts w:eastAsia="黑体"/>
          <w:b w:val="0"/>
          <w:bCs w:val="0"/>
          <w:sz w:val="28"/>
        </w:rPr>
      </w:pPr>
      <w:bookmarkStart w:id="396" w:name="_Toc27059892"/>
      <w:bookmarkStart w:id="397" w:name="_Toc27059700"/>
      <w:bookmarkStart w:id="398" w:name="_Toc27059519"/>
      <w:bookmarkStart w:id="399" w:name="_Toc27059790"/>
      <w:bookmarkStart w:id="400" w:name="_Toc53685615"/>
      <w:bookmarkStart w:id="401" w:name="_Toc27060688"/>
      <w:r>
        <w:rPr>
          <w:rFonts w:eastAsia="黑体"/>
          <w:b w:val="0"/>
          <w:bCs w:val="0"/>
          <w:sz w:val="28"/>
        </w:rPr>
        <w:t xml:space="preserve">4.3 </w:t>
      </w:r>
      <w:r>
        <w:rPr>
          <w:rFonts w:hint="eastAsia" w:eastAsia="黑体"/>
          <w:b w:val="0"/>
          <w:bCs w:val="0"/>
          <w:sz w:val="28"/>
        </w:rPr>
        <w:t>投标文件的修改与撤回</w:t>
      </w:r>
      <w:bookmarkEnd w:id="396"/>
      <w:bookmarkEnd w:id="397"/>
      <w:bookmarkEnd w:id="398"/>
      <w:bookmarkEnd w:id="399"/>
      <w:bookmarkEnd w:id="400"/>
      <w:bookmarkEnd w:id="401"/>
    </w:p>
    <w:p w14:paraId="4A002E1C">
      <w:pPr>
        <w:pStyle w:val="20"/>
        <w:kinsoku w:val="0"/>
        <w:overflowPunct w:val="0"/>
        <w:spacing w:line="360" w:lineRule="auto"/>
        <w:ind w:firstLine="480" w:firstLineChars="200"/>
      </w:pPr>
      <w:r>
        <w:t xml:space="preserve">4.3.1 </w:t>
      </w:r>
      <w:r>
        <w:rPr>
          <w:rFonts w:hint="eastAsia"/>
        </w:rPr>
        <w:t>在本章第</w:t>
      </w:r>
      <w:r>
        <w:rPr>
          <w:spacing w:val="-44"/>
        </w:rPr>
        <w:t xml:space="preserve"> </w:t>
      </w:r>
      <w:r>
        <w:t>4.2.1</w:t>
      </w:r>
      <w:r>
        <w:rPr>
          <w:rFonts w:hint="eastAsia"/>
        </w:rPr>
        <w:t>项规定的投标截止时间前，投标人可以修改或撤回已递交的投标文件。投标人对加密的投标文件进行撤回的，应在</w:t>
      </w:r>
      <w:r>
        <w:rPr>
          <w:rFonts w:hint="eastAsia"/>
          <w:sz w:val="24"/>
        </w:rPr>
        <w:t>“乐山市公共资源交易服务平台电子招投标系统”</w:t>
      </w:r>
      <w:r>
        <w:rPr>
          <w:rFonts w:hint="eastAsia"/>
        </w:rPr>
        <w:t>直接进行撤回操</w:t>
      </w:r>
      <w:r>
        <w:rPr>
          <w:rFonts w:hint="eastAsia"/>
          <w:spacing w:val="-1"/>
        </w:rPr>
        <w:t>作</w:t>
      </w:r>
      <w:r>
        <w:rPr>
          <w:rFonts w:hint="eastAsia"/>
          <w:spacing w:val="-44"/>
        </w:rPr>
        <w:t>；</w:t>
      </w:r>
      <w:r>
        <w:rPr>
          <w:rFonts w:hint="eastAsia"/>
        </w:rPr>
        <w:t>投标人对加密的投标文件进行修改的</w:t>
      </w:r>
      <w:r>
        <w:rPr>
          <w:rFonts w:hint="eastAsia"/>
          <w:spacing w:val="-44"/>
        </w:rPr>
        <w:t>，</w:t>
      </w:r>
      <w:r>
        <w:rPr>
          <w:rFonts w:hint="eastAsia"/>
        </w:rPr>
        <w:t>应在投标截止时间前完成上传。</w:t>
      </w:r>
    </w:p>
    <w:p w14:paraId="524D5D29">
      <w:pPr>
        <w:pStyle w:val="20"/>
        <w:kinsoku w:val="0"/>
        <w:overflowPunct w:val="0"/>
        <w:spacing w:line="360" w:lineRule="auto"/>
        <w:ind w:firstLine="480" w:firstLineChars="200"/>
      </w:pPr>
      <w:r>
        <w:t xml:space="preserve">4.3.2 </w:t>
      </w:r>
      <w:r>
        <w:rPr>
          <w:rFonts w:hint="eastAsia"/>
        </w:rPr>
        <w:t>投标人修改投标文件的</w:t>
      </w:r>
      <w:bookmarkStart w:id="402" w:name="_Hlk51054860"/>
      <w:r>
        <w:rPr>
          <w:rFonts w:hint="eastAsia"/>
          <w:spacing w:val="-29"/>
        </w:rPr>
        <w:t>，</w:t>
      </w:r>
      <w:bookmarkEnd w:id="402"/>
      <w:r>
        <w:rPr>
          <w:rFonts w:hint="eastAsia"/>
        </w:rPr>
        <w:t>应使</w:t>
      </w:r>
      <w:r>
        <w:rPr>
          <w:rFonts w:hint="eastAsia"/>
          <w:spacing w:val="-29"/>
        </w:rPr>
        <w:t>用</w:t>
      </w:r>
      <w:r>
        <w:rPr>
          <w:rFonts w:hint="eastAsia"/>
        </w:rPr>
        <w:t>“投标文件制作工具</w:t>
      </w:r>
      <w:r>
        <w:rPr>
          <w:rFonts w:hint="eastAsia"/>
          <w:spacing w:val="-29"/>
        </w:rPr>
        <w:t>”</w:t>
      </w:r>
      <w:r>
        <w:rPr>
          <w:rFonts w:hint="eastAsia"/>
        </w:rPr>
        <w:t>制作成完整的投标</w:t>
      </w:r>
      <w:r>
        <w:rPr>
          <w:rFonts w:hint="eastAsia"/>
          <w:spacing w:val="-1"/>
        </w:rPr>
        <w:t>文件，并按照本章第</w:t>
      </w:r>
      <w:r>
        <w:rPr>
          <w:spacing w:val="-50"/>
        </w:rPr>
        <w:t xml:space="preserve"> </w:t>
      </w:r>
      <w:r>
        <w:t>3</w:t>
      </w:r>
      <w:r>
        <w:rPr>
          <w:rFonts w:hint="eastAsia"/>
        </w:rPr>
        <w:t>条、第</w:t>
      </w:r>
      <w:r>
        <w:rPr>
          <w:spacing w:val="-51"/>
        </w:rPr>
        <w:t xml:space="preserve"> </w:t>
      </w:r>
      <w:r>
        <w:t>4</w:t>
      </w:r>
      <w:r>
        <w:rPr>
          <w:rFonts w:hint="eastAsia"/>
          <w:spacing w:val="-1"/>
        </w:rPr>
        <w:t>条规定进行编制、加密和递交。</w:t>
      </w:r>
      <w:r>
        <w:rPr>
          <w:rFonts w:hint="eastAsia"/>
        </w:rPr>
        <w:t>上传加密的投标文件，以投标截止时间前最后完成上传的文件为准。</w:t>
      </w:r>
    </w:p>
    <w:p w14:paraId="5A111D5A">
      <w:pPr>
        <w:spacing w:line="360" w:lineRule="auto"/>
        <w:ind w:firstLine="480" w:firstLineChars="200"/>
        <w:rPr>
          <w:rFonts w:ascii="宋体" w:hAnsi="宋体"/>
          <w:sz w:val="24"/>
        </w:rPr>
      </w:pPr>
      <w:r>
        <w:rPr>
          <w:rFonts w:ascii="宋体" w:hAnsi="宋体"/>
          <w:sz w:val="24"/>
        </w:rPr>
        <w:t xml:space="preserve">4.3.3 </w:t>
      </w:r>
      <w:r>
        <w:rPr>
          <w:rFonts w:hint="eastAsia" w:ascii="宋体" w:hAnsi="宋体"/>
          <w:sz w:val="24"/>
        </w:rPr>
        <w:t>投标人撤回投标文件的</w:t>
      </w:r>
      <w:r>
        <w:rPr>
          <w:rFonts w:hint="eastAsia"/>
          <w:spacing w:val="-29"/>
        </w:rPr>
        <w:t>，</w:t>
      </w:r>
      <w:r>
        <w:rPr>
          <w:rFonts w:hint="eastAsia" w:ascii="宋体" w:hAnsi="宋体"/>
          <w:sz w:val="24"/>
        </w:rPr>
        <w:t>招标人自收到投标人书面撤回通知之日起</w:t>
      </w:r>
      <w:r>
        <w:rPr>
          <w:rFonts w:ascii="宋体" w:hAnsi="宋体"/>
          <w:spacing w:val="-59"/>
          <w:sz w:val="24"/>
        </w:rPr>
        <w:t xml:space="preserve"> </w:t>
      </w:r>
      <w:r>
        <w:rPr>
          <w:rFonts w:ascii="宋体" w:hAnsi="宋体"/>
          <w:sz w:val="24"/>
        </w:rPr>
        <w:t>5</w:t>
      </w:r>
      <w:r>
        <w:rPr>
          <w:rFonts w:hint="eastAsia" w:ascii="宋体" w:hAnsi="宋体"/>
          <w:sz w:val="24"/>
        </w:rPr>
        <w:t>日内退还已收取的投标保证金。</w:t>
      </w:r>
    </w:p>
    <w:p w14:paraId="105FAFA3">
      <w:pPr>
        <w:pStyle w:val="3"/>
        <w:spacing w:before="240" w:after="240" w:line="360" w:lineRule="auto"/>
        <w:jc w:val="left"/>
        <w:rPr>
          <w:rFonts w:ascii="Arial"/>
          <w:b/>
          <w:sz w:val="28"/>
          <w:szCs w:val="32"/>
        </w:rPr>
      </w:pPr>
      <w:bookmarkStart w:id="403" w:name="_Toc27059520"/>
      <w:bookmarkStart w:id="404" w:name="_Toc27059701"/>
      <w:bookmarkStart w:id="405" w:name="_Toc27060689"/>
      <w:bookmarkStart w:id="406" w:name="_Toc53685616"/>
      <w:bookmarkStart w:id="407" w:name="_Toc27059791"/>
      <w:bookmarkStart w:id="408" w:name="_Toc27059893"/>
      <w:r>
        <w:rPr>
          <w:rFonts w:hint="default" w:ascii="Arial"/>
          <w:b/>
          <w:sz w:val="28"/>
          <w:szCs w:val="32"/>
        </w:rPr>
        <w:t>5.开标</w:t>
      </w:r>
      <w:bookmarkEnd w:id="403"/>
      <w:bookmarkEnd w:id="404"/>
      <w:bookmarkEnd w:id="405"/>
      <w:bookmarkEnd w:id="406"/>
      <w:bookmarkEnd w:id="407"/>
      <w:bookmarkEnd w:id="408"/>
    </w:p>
    <w:p w14:paraId="140FD762">
      <w:pPr>
        <w:pStyle w:val="4"/>
        <w:spacing w:before="0" w:beforeLines="-2147483648" w:after="0" w:afterLines="-2147483648" w:line="360" w:lineRule="auto"/>
        <w:jc w:val="both"/>
        <w:rPr>
          <w:rFonts w:eastAsia="黑体"/>
          <w:b w:val="0"/>
          <w:bCs w:val="0"/>
          <w:sz w:val="28"/>
        </w:rPr>
      </w:pPr>
      <w:bookmarkStart w:id="409" w:name="_Toc27060690"/>
      <w:bookmarkStart w:id="410" w:name="_Toc27059894"/>
      <w:bookmarkStart w:id="411" w:name="_Toc27059702"/>
      <w:bookmarkStart w:id="412" w:name="_Toc27059521"/>
      <w:bookmarkStart w:id="413" w:name="_Toc53685617"/>
      <w:bookmarkStart w:id="414" w:name="_Toc27059792"/>
      <w:r>
        <w:rPr>
          <w:rFonts w:eastAsia="黑体"/>
          <w:b w:val="0"/>
          <w:bCs w:val="0"/>
          <w:sz w:val="28"/>
        </w:rPr>
        <w:t xml:space="preserve">5.1 </w:t>
      </w:r>
      <w:r>
        <w:rPr>
          <w:rFonts w:hint="eastAsia" w:eastAsia="黑体"/>
          <w:b w:val="0"/>
          <w:bCs w:val="0"/>
          <w:sz w:val="28"/>
        </w:rPr>
        <w:t>开标时间和地点</w:t>
      </w:r>
      <w:bookmarkEnd w:id="409"/>
      <w:bookmarkEnd w:id="410"/>
      <w:bookmarkEnd w:id="411"/>
      <w:bookmarkEnd w:id="412"/>
      <w:bookmarkEnd w:id="413"/>
      <w:bookmarkEnd w:id="414"/>
    </w:p>
    <w:p w14:paraId="473FCAB5">
      <w:pPr>
        <w:pStyle w:val="20"/>
        <w:kinsoku w:val="0"/>
        <w:overflowPunct w:val="0"/>
        <w:spacing w:line="360" w:lineRule="auto"/>
        <w:ind w:firstLine="480" w:firstLineChars="200"/>
      </w:pPr>
      <w:r>
        <w:rPr>
          <w:rFonts w:hint="eastAsia"/>
        </w:rPr>
        <w:t>招标人在本章第</w:t>
      </w:r>
      <w:r>
        <w:rPr>
          <w:spacing w:val="-43"/>
        </w:rPr>
        <w:t xml:space="preserve"> </w:t>
      </w:r>
      <w:r>
        <w:t>4.2.1</w:t>
      </w:r>
      <w:r>
        <w:rPr>
          <w:rFonts w:hint="eastAsia"/>
        </w:rPr>
        <w:t>项规定的投标截止时间（开标时间）和投标人须知前附表规定的地点对收到的投标文件第一个信封（商务及技术文件）公开开标，并邀请所有投标人的法定代表人或其委托代理人准时参加。</w:t>
      </w:r>
    </w:p>
    <w:p w14:paraId="64B99B10">
      <w:pPr>
        <w:spacing w:line="360" w:lineRule="auto"/>
        <w:ind w:firstLine="480" w:firstLineChars="200"/>
        <w:rPr>
          <w:rFonts w:ascii="宋体" w:hAnsi="宋体" w:cs="宋体"/>
          <w:sz w:val="24"/>
        </w:rPr>
      </w:pPr>
      <w:r>
        <w:rPr>
          <w:rFonts w:hint="eastAsia" w:ascii="宋体" w:hAnsi="宋体" w:cs="宋体"/>
          <w:sz w:val="24"/>
        </w:rPr>
        <w:t>招标人在投标人须知前附表规定的时间和地点对投标文件第二个信封（报价文件）进行公开开标，并邀请所有投标人的法定代表人或其委托代理人准时参加。</w:t>
      </w:r>
    </w:p>
    <w:p w14:paraId="5A9AA12F">
      <w:pPr>
        <w:spacing w:line="360" w:lineRule="auto"/>
        <w:ind w:firstLine="480" w:firstLineChars="200"/>
        <w:rPr>
          <w:rFonts w:ascii="宋体" w:hAnsi="宋体" w:cs="宋体"/>
          <w:sz w:val="24"/>
        </w:rPr>
      </w:pPr>
      <w:r>
        <w:rPr>
          <w:rFonts w:hint="eastAsia" w:ascii="宋体" w:hAnsi="宋体" w:cs="宋体"/>
          <w:sz w:val="24"/>
        </w:rPr>
        <w:t>投标人若未派法定代表人或委托代理人参加开标的</w:t>
      </w:r>
      <w:r>
        <w:rPr>
          <w:rFonts w:ascii="宋体" w:hAnsi="宋体" w:cs="宋体"/>
          <w:sz w:val="24"/>
        </w:rPr>
        <w:t>，视为该投标人默认开标结果。</w:t>
      </w:r>
    </w:p>
    <w:p w14:paraId="7F759F6C">
      <w:pPr>
        <w:pStyle w:val="4"/>
        <w:spacing w:before="0" w:beforeLines="-2147483648" w:after="0" w:afterLines="-2147483648" w:line="360" w:lineRule="auto"/>
        <w:jc w:val="both"/>
        <w:rPr>
          <w:rFonts w:eastAsia="黑体"/>
          <w:b w:val="0"/>
          <w:bCs w:val="0"/>
          <w:sz w:val="28"/>
        </w:rPr>
      </w:pPr>
      <w:bookmarkStart w:id="415" w:name="_Toc27059895"/>
      <w:bookmarkStart w:id="416" w:name="_Toc27059793"/>
      <w:bookmarkStart w:id="417" w:name="_Toc27059522"/>
      <w:bookmarkStart w:id="418" w:name="_Toc27060691"/>
      <w:bookmarkStart w:id="419" w:name="_Toc53685618"/>
      <w:bookmarkStart w:id="420" w:name="_Toc27059703"/>
      <w:r>
        <w:rPr>
          <w:rFonts w:eastAsia="黑体"/>
          <w:b w:val="0"/>
          <w:bCs w:val="0"/>
          <w:sz w:val="28"/>
        </w:rPr>
        <w:t xml:space="preserve">5.2 </w:t>
      </w:r>
      <w:r>
        <w:rPr>
          <w:rFonts w:hint="eastAsia" w:eastAsia="黑体"/>
          <w:b w:val="0"/>
          <w:bCs w:val="0"/>
          <w:sz w:val="28"/>
        </w:rPr>
        <w:t>开标程序</w:t>
      </w:r>
      <w:bookmarkEnd w:id="415"/>
      <w:bookmarkEnd w:id="416"/>
      <w:bookmarkEnd w:id="417"/>
      <w:bookmarkEnd w:id="418"/>
      <w:bookmarkEnd w:id="419"/>
      <w:bookmarkEnd w:id="420"/>
    </w:p>
    <w:p w14:paraId="737F0A24">
      <w:pPr>
        <w:spacing w:line="360" w:lineRule="auto"/>
        <w:ind w:firstLine="480" w:firstLineChars="200"/>
        <w:rPr>
          <w:rFonts w:ascii="宋体" w:hAnsi="宋体" w:cs="宋体"/>
          <w:sz w:val="24"/>
        </w:rPr>
      </w:pPr>
      <w:r>
        <w:rPr>
          <w:rFonts w:ascii="宋体" w:hAnsi="宋体" w:cs="宋体"/>
          <w:sz w:val="24"/>
        </w:rPr>
        <w:t xml:space="preserve">5.2.1 </w:t>
      </w:r>
      <w:r>
        <w:rPr>
          <w:rFonts w:hint="eastAsia" w:ascii="宋体" w:hAnsi="宋体" w:cs="宋体"/>
          <w:sz w:val="24"/>
        </w:rPr>
        <w:t>投标文件第一个信封（商务及技术文件）开标程序：见投标人须知前附表。</w:t>
      </w:r>
    </w:p>
    <w:p w14:paraId="5C780513">
      <w:pPr>
        <w:pStyle w:val="20"/>
        <w:kinsoku w:val="0"/>
        <w:overflowPunct w:val="0"/>
        <w:spacing w:line="360" w:lineRule="auto"/>
        <w:ind w:firstLine="480" w:firstLineChars="200"/>
      </w:pPr>
      <w:r>
        <w:t xml:space="preserve">5.2.2 </w:t>
      </w:r>
      <w:r>
        <w:rPr>
          <w:rFonts w:hint="eastAsia"/>
        </w:rPr>
        <w:t>投标文件第二个信封（报价文件）开标前的处置：见投标人须知前附表。</w:t>
      </w:r>
    </w:p>
    <w:p w14:paraId="1FD7406F">
      <w:pPr>
        <w:pStyle w:val="20"/>
        <w:kinsoku w:val="0"/>
        <w:overflowPunct w:val="0"/>
        <w:spacing w:line="360" w:lineRule="auto"/>
        <w:ind w:firstLine="480" w:firstLineChars="200"/>
      </w:pPr>
      <w:r>
        <w:t xml:space="preserve">5.2.3 </w:t>
      </w:r>
      <w:r>
        <w:rPr>
          <w:rFonts w:hint="eastAsia"/>
        </w:rPr>
        <w:t>投标文件第二个信封（报价文件）开标程序：见投标人须知前附表。</w:t>
      </w:r>
    </w:p>
    <w:p w14:paraId="47C87BB1">
      <w:pPr>
        <w:spacing w:line="360" w:lineRule="auto"/>
        <w:ind w:firstLine="480" w:firstLineChars="200"/>
        <w:rPr>
          <w:rFonts w:ascii="宋体" w:hAnsi="宋体"/>
          <w:sz w:val="24"/>
        </w:rPr>
      </w:pPr>
      <w:r>
        <w:rPr>
          <w:rFonts w:ascii="宋体" w:hAnsi="宋体"/>
          <w:sz w:val="24"/>
        </w:rPr>
        <w:t xml:space="preserve">5.2.4 </w:t>
      </w:r>
      <w:r>
        <w:rPr>
          <w:rFonts w:hint="eastAsia" w:ascii="宋体" w:hAnsi="宋体"/>
          <w:sz w:val="24"/>
        </w:rPr>
        <w:t>采用综合评分法时，</w:t>
      </w:r>
      <w:r>
        <w:rPr>
          <w:rFonts w:ascii="宋体" w:hAnsi="宋体"/>
          <w:sz w:val="24"/>
        </w:rPr>
        <w:t>在投标文件第二个信封（报价文件）开标现场,招标人将按第三章“</w:t>
      </w:r>
      <w:r>
        <w:rPr>
          <w:rFonts w:hint="eastAsia" w:ascii="宋体" w:hAnsi="宋体"/>
          <w:sz w:val="24"/>
        </w:rPr>
        <w:t>评标</w:t>
      </w:r>
      <w:r>
        <w:rPr>
          <w:rFonts w:ascii="宋体" w:hAnsi="宋体"/>
          <w:sz w:val="24"/>
        </w:rPr>
        <w:t>办法”</w:t>
      </w:r>
      <w:bookmarkStart w:id="421" w:name="_Hlk94089261"/>
      <w:r>
        <w:rPr>
          <w:rFonts w:hint="eastAsia" w:ascii="宋体" w:hAnsi="宋体"/>
          <w:sz w:val="24"/>
        </w:rPr>
        <w:t>前附表第2</w:t>
      </w:r>
      <w:r>
        <w:rPr>
          <w:rFonts w:ascii="宋体" w:hAnsi="宋体"/>
          <w:sz w:val="24"/>
        </w:rPr>
        <w:t>.2.2</w:t>
      </w:r>
      <w:r>
        <w:rPr>
          <w:rFonts w:hint="eastAsia" w:ascii="宋体" w:hAnsi="宋体"/>
          <w:sz w:val="24"/>
        </w:rPr>
        <w:t>项</w:t>
      </w:r>
      <w:bookmarkEnd w:id="421"/>
      <w:r>
        <w:rPr>
          <w:rFonts w:ascii="宋体" w:hAnsi="宋体"/>
          <w:sz w:val="24"/>
        </w:rPr>
        <w:t>规定的原则计算并宣布评标基准价。若招标人发现投标文件出现</w:t>
      </w:r>
      <w:r>
        <w:rPr>
          <w:rFonts w:hint="eastAsia" w:ascii="宋体" w:hAnsi="宋体"/>
          <w:sz w:val="24"/>
        </w:rPr>
        <w:t>第三章“评标办法”前附表第2</w:t>
      </w:r>
      <w:r>
        <w:rPr>
          <w:rFonts w:ascii="宋体" w:hAnsi="宋体"/>
          <w:sz w:val="24"/>
        </w:rPr>
        <w:t>.2.2</w:t>
      </w:r>
      <w:r>
        <w:rPr>
          <w:rFonts w:hint="eastAsia" w:ascii="宋体" w:hAnsi="宋体"/>
          <w:sz w:val="24"/>
        </w:rPr>
        <w:t>项中所述</w:t>
      </w:r>
      <w:bookmarkStart w:id="422" w:name="_Hlk94089282"/>
      <w:r>
        <w:rPr>
          <w:rFonts w:ascii="宋体" w:hAnsi="宋体"/>
          <w:sz w:val="24"/>
        </w:rPr>
        <w:t>不参加评标基准价计算</w:t>
      </w:r>
      <w:r>
        <w:rPr>
          <w:rFonts w:hint="eastAsia" w:ascii="宋体" w:hAnsi="宋体"/>
          <w:sz w:val="24"/>
        </w:rPr>
        <w:t>的</w:t>
      </w:r>
      <w:r>
        <w:rPr>
          <w:rFonts w:ascii="宋体" w:hAnsi="宋体"/>
          <w:sz w:val="24"/>
        </w:rPr>
        <w:t>任一</w:t>
      </w:r>
      <w:r>
        <w:rPr>
          <w:rFonts w:hint="eastAsia" w:ascii="宋体" w:hAnsi="宋体"/>
          <w:sz w:val="24"/>
        </w:rPr>
        <w:t>情形</w:t>
      </w:r>
      <w:bookmarkEnd w:id="422"/>
      <w:r>
        <w:rPr>
          <w:rFonts w:hint="eastAsia" w:ascii="宋体" w:hAnsi="宋体"/>
          <w:sz w:val="24"/>
        </w:rPr>
        <w:t>，</w:t>
      </w:r>
      <w:r>
        <w:rPr>
          <w:rFonts w:ascii="宋体" w:hAnsi="宋体"/>
          <w:sz w:val="24"/>
        </w:rPr>
        <w:t>其投标报价将不再参加评标基准价的计算</w:t>
      </w:r>
      <w:r>
        <w:rPr>
          <w:rFonts w:hint="eastAsia" w:ascii="宋体" w:hAnsi="宋体"/>
          <w:sz w:val="24"/>
        </w:rPr>
        <w:t>。</w:t>
      </w:r>
      <w:r>
        <w:rPr>
          <w:rFonts w:ascii="宋体" w:hAnsi="宋体"/>
          <w:sz w:val="24"/>
        </w:rPr>
        <w:t xml:space="preserve">    </w:t>
      </w:r>
    </w:p>
    <w:p w14:paraId="5D3A4E57">
      <w:pPr>
        <w:pStyle w:val="20"/>
        <w:kinsoku w:val="0"/>
        <w:overflowPunct w:val="0"/>
        <w:spacing w:line="360" w:lineRule="auto"/>
        <w:ind w:firstLine="480" w:firstLineChars="200"/>
      </w:pPr>
      <w: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5C3FD182">
      <w:pPr>
        <w:pStyle w:val="20"/>
        <w:kinsoku w:val="0"/>
        <w:overflowPunct w:val="0"/>
        <w:spacing w:line="360" w:lineRule="auto"/>
        <w:ind w:firstLine="480" w:firstLineChars="200"/>
        <w:rPr>
          <w:spacing w:val="-3"/>
        </w:rPr>
      </w:pPr>
      <w:r>
        <w:t xml:space="preserve">5.2.5 </w:t>
      </w:r>
      <w:r>
        <w:rPr>
          <w:rFonts w:hint="eastAsia"/>
          <w:spacing w:val="-3"/>
        </w:rPr>
        <w:t>在投标文件第一个信封（商务及技术文件）或第二个信封（报价文件）开</w:t>
      </w:r>
      <w:r>
        <w:rPr>
          <w:rFonts w:hint="eastAsia"/>
        </w:rPr>
        <w:t>标过程中</w:t>
      </w:r>
      <w:r>
        <w:rPr>
          <w:rFonts w:hint="eastAsia"/>
          <w:spacing w:val="-44"/>
        </w:rPr>
        <w:t>，</w:t>
      </w:r>
      <w:r>
        <w:rPr>
          <w:rFonts w:hint="eastAsia"/>
        </w:rPr>
        <w:t>若招标人宣读的内容与投标文件不符</w:t>
      </w:r>
      <w:r>
        <w:rPr>
          <w:rFonts w:hint="eastAsia"/>
          <w:spacing w:val="-44"/>
        </w:rPr>
        <w:t>，</w:t>
      </w:r>
      <w:r>
        <w:rPr>
          <w:rFonts w:hint="eastAsia"/>
        </w:rPr>
        <w:t>投标人有权在开标现场提出疑问，经招标人当场核查确认之后，可重新宣读其投标文件。若投标人现场未提出疑问，</w:t>
      </w:r>
      <w:r>
        <w:rPr>
          <w:rFonts w:hint="eastAsia"/>
          <w:spacing w:val="-1"/>
        </w:rPr>
        <w:t>则认为投标人</w:t>
      </w:r>
      <w:r>
        <w:rPr>
          <w:rFonts w:hint="eastAsia"/>
          <w:spacing w:val="-1"/>
          <w:lang w:val="en-US" w:eastAsia="zh-CN"/>
        </w:rPr>
        <w:t>已</w:t>
      </w:r>
      <w:r>
        <w:rPr>
          <w:rFonts w:hint="eastAsia"/>
          <w:spacing w:val="-1"/>
        </w:rPr>
        <w:t>确认招标人宣读的内容。</w:t>
      </w:r>
    </w:p>
    <w:p w14:paraId="793156A2">
      <w:pPr>
        <w:pStyle w:val="4"/>
        <w:spacing w:before="0" w:beforeLines="-2147483648" w:after="0" w:afterLines="-2147483648" w:line="360" w:lineRule="auto"/>
        <w:jc w:val="both"/>
        <w:rPr>
          <w:rFonts w:eastAsia="黑体"/>
          <w:b w:val="0"/>
          <w:bCs w:val="0"/>
          <w:sz w:val="28"/>
        </w:rPr>
      </w:pPr>
      <w:bookmarkStart w:id="423" w:name="_Toc27059523"/>
      <w:bookmarkStart w:id="424" w:name="_Toc27059794"/>
      <w:bookmarkStart w:id="425" w:name="_Toc53685619"/>
      <w:bookmarkStart w:id="426" w:name="_Toc27059704"/>
      <w:bookmarkStart w:id="427" w:name="_Toc27059896"/>
      <w:bookmarkStart w:id="428" w:name="_Toc27060692"/>
      <w:r>
        <w:rPr>
          <w:rFonts w:eastAsia="黑体"/>
          <w:b w:val="0"/>
          <w:bCs w:val="0"/>
          <w:sz w:val="28"/>
        </w:rPr>
        <w:t xml:space="preserve">5.3 </w:t>
      </w:r>
      <w:r>
        <w:rPr>
          <w:rFonts w:hint="eastAsia" w:eastAsia="黑体"/>
          <w:b w:val="0"/>
          <w:bCs w:val="0"/>
          <w:sz w:val="28"/>
        </w:rPr>
        <w:t>开标补救措施</w:t>
      </w:r>
      <w:bookmarkEnd w:id="423"/>
      <w:bookmarkEnd w:id="424"/>
      <w:bookmarkEnd w:id="425"/>
      <w:bookmarkEnd w:id="426"/>
      <w:bookmarkEnd w:id="427"/>
      <w:bookmarkEnd w:id="428"/>
    </w:p>
    <w:p w14:paraId="74BEF102">
      <w:pPr>
        <w:pStyle w:val="20"/>
        <w:kinsoku w:val="0"/>
        <w:overflowPunct w:val="0"/>
        <w:spacing w:line="360" w:lineRule="auto"/>
        <w:ind w:firstLine="480" w:firstLineChars="200"/>
      </w:pPr>
      <w:r>
        <w:t xml:space="preserve">5.3.1 </w:t>
      </w:r>
      <w:r>
        <w:rPr>
          <w:rFonts w:hint="eastAsia"/>
        </w:rPr>
        <w:t>开标过程中因本章第</w:t>
      </w:r>
      <w:r>
        <w:rPr>
          <w:spacing w:val="-60"/>
        </w:rPr>
        <w:t xml:space="preserve"> </w:t>
      </w:r>
      <w:r>
        <w:t>5.3.2</w:t>
      </w:r>
      <w:r>
        <w:rPr>
          <w:rFonts w:hint="eastAsia"/>
        </w:rPr>
        <w:t>项</w:t>
      </w:r>
      <w:r>
        <w:rPr>
          <w:rFonts w:hint="eastAsia"/>
          <w:spacing w:val="-44"/>
        </w:rPr>
        <w:t>、</w:t>
      </w:r>
      <w:r>
        <w:rPr>
          <w:rFonts w:hint="eastAsia"/>
        </w:rPr>
        <w:t>第</w:t>
      </w:r>
      <w:r>
        <w:rPr>
          <w:spacing w:val="-60"/>
        </w:rPr>
        <w:t xml:space="preserve"> </w:t>
      </w:r>
      <w:r>
        <w:t>5.3.3</w:t>
      </w:r>
      <w:r>
        <w:rPr>
          <w:rFonts w:hint="eastAsia"/>
        </w:rPr>
        <w:t>项所列原因</w:t>
      </w:r>
      <w:r>
        <w:rPr>
          <w:rFonts w:hint="eastAsia"/>
          <w:spacing w:val="-44"/>
        </w:rPr>
        <w:t>，</w:t>
      </w:r>
      <w:r>
        <w:rPr>
          <w:rFonts w:hint="eastAsia"/>
        </w:rPr>
        <w:t>导致系统无法正常运行，将按投标人须知前附表的规定采取补救措施。</w:t>
      </w:r>
    </w:p>
    <w:p w14:paraId="0142020B">
      <w:pPr>
        <w:spacing w:line="360" w:lineRule="auto"/>
        <w:ind w:firstLine="480" w:firstLineChars="200"/>
        <w:rPr>
          <w:rFonts w:ascii="宋体" w:hAnsi="宋体"/>
          <w:sz w:val="24"/>
        </w:rPr>
      </w:pPr>
      <w:r>
        <w:rPr>
          <w:rFonts w:ascii="宋体" w:hAnsi="宋体" w:cs="宋体"/>
          <w:sz w:val="24"/>
        </w:rPr>
        <w:t xml:space="preserve">5.3.2 </w:t>
      </w:r>
      <w:r>
        <w:rPr>
          <w:rFonts w:hint="eastAsia" w:ascii="宋体" w:hAnsi="宋体"/>
          <w:sz w:val="24"/>
        </w:rPr>
        <w:t>在投标截止时间止，因“乐山市公共资源交易服务平台电子招投标系统”系统故障导致投标人无法正常上传加密的投标文件的情形，投标人应打印并递交电子交易平台自动生成的上传失败的</w:t>
      </w:r>
      <w:r>
        <w:rPr>
          <w:rFonts w:hint="eastAsia" w:ascii="宋体" w:hAnsi="宋体"/>
          <w:sz w:val="24"/>
          <w:lang w:val="en-US" w:eastAsia="zh-CN"/>
        </w:rPr>
        <w:t>截图</w:t>
      </w:r>
      <w:r>
        <w:rPr>
          <w:rFonts w:hint="eastAsia" w:ascii="宋体" w:hAnsi="宋体"/>
          <w:sz w:val="24"/>
        </w:rPr>
        <w:t>。</w:t>
      </w:r>
    </w:p>
    <w:p w14:paraId="71C63EEB">
      <w:pPr>
        <w:pStyle w:val="20"/>
        <w:kinsoku w:val="0"/>
        <w:overflowPunct w:val="0"/>
        <w:spacing w:line="360" w:lineRule="auto"/>
        <w:ind w:firstLine="480" w:firstLineChars="200"/>
        <w:rPr>
          <w:spacing w:val="-1"/>
        </w:rPr>
      </w:pPr>
      <w:r>
        <w:t xml:space="preserve">5.3.3 </w:t>
      </w:r>
      <w:r>
        <w:rPr>
          <w:rFonts w:hint="eastAsia"/>
        </w:rPr>
        <w:t>当出现以下情况时</w:t>
      </w:r>
      <w:r>
        <w:rPr>
          <w:rFonts w:hint="eastAsia"/>
          <w:spacing w:val="-44"/>
        </w:rPr>
        <w:t>，</w:t>
      </w:r>
      <w:r>
        <w:rPr>
          <w:rFonts w:hint="eastAsia"/>
        </w:rPr>
        <w:t>应对未开标的中止电子开标</w:t>
      </w:r>
      <w:r>
        <w:rPr>
          <w:rFonts w:hint="eastAsia"/>
          <w:spacing w:val="-44"/>
        </w:rPr>
        <w:t>，</w:t>
      </w:r>
      <w:r>
        <w:rPr>
          <w:rFonts w:hint="eastAsia"/>
        </w:rPr>
        <w:t>并在恢</w:t>
      </w:r>
      <w:r>
        <w:rPr>
          <w:rFonts w:hint="eastAsia"/>
          <w:spacing w:val="1"/>
        </w:rPr>
        <w:t>复</w:t>
      </w:r>
      <w:r>
        <w:rPr>
          <w:rFonts w:hint="eastAsia"/>
        </w:rPr>
        <w:t>正常后及时安</w:t>
      </w:r>
      <w:r>
        <w:rPr>
          <w:rFonts w:hint="eastAsia"/>
          <w:spacing w:val="-1"/>
        </w:rPr>
        <w:t>排时间开标：</w:t>
      </w:r>
    </w:p>
    <w:p w14:paraId="55D80013">
      <w:pPr>
        <w:pStyle w:val="20"/>
        <w:kinsoku w:val="0"/>
        <w:overflowPunct w:val="0"/>
        <w:spacing w:line="360" w:lineRule="auto"/>
        <w:ind w:firstLine="480" w:firstLineChars="200"/>
      </w:pPr>
      <w:r>
        <w:rPr>
          <w:rFonts w:hint="eastAsia"/>
        </w:rPr>
        <w:t>（</w:t>
      </w:r>
      <w:r>
        <w:t>1</w:t>
      </w:r>
      <w:r>
        <w:rPr>
          <w:rFonts w:hint="eastAsia"/>
        </w:rPr>
        <w:t>）系统服务器发生故障，无法访问或无法使用系统；</w:t>
      </w:r>
    </w:p>
    <w:p w14:paraId="26001462">
      <w:pPr>
        <w:pStyle w:val="20"/>
        <w:kinsoku w:val="0"/>
        <w:overflowPunct w:val="0"/>
        <w:spacing w:line="360" w:lineRule="auto"/>
        <w:ind w:firstLine="480" w:firstLineChars="200"/>
      </w:pPr>
      <w:r>
        <w:rPr>
          <w:rFonts w:hint="eastAsia"/>
        </w:rPr>
        <w:t>（</w:t>
      </w:r>
      <w:r>
        <w:t>2</w:t>
      </w:r>
      <w:r>
        <w:rPr>
          <w:rFonts w:hint="eastAsia"/>
        </w:rPr>
        <w:t>）系统的软件或数据库出现错误，不能进行正常操作；</w:t>
      </w:r>
    </w:p>
    <w:p w14:paraId="1DF8310F">
      <w:pPr>
        <w:pStyle w:val="20"/>
        <w:kinsoku w:val="0"/>
        <w:overflowPunct w:val="0"/>
        <w:spacing w:line="360" w:lineRule="auto"/>
        <w:ind w:firstLine="480" w:firstLineChars="200"/>
      </w:pPr>
      <w:r>
        <w:rPr>
          <w:rFonts w:hint="eastAsia"/>
        </w:rPr>
        <w:t>（</w:t>
      </w:r>
      <w:r>
        <w:t>3</w:t>
      </w:r>
      <w:r>
        <w:rPr>
          <w:rFonts w:hint="eastAsia"/>
        </w:rPr>
        <w:t>）系统发现有安全漏洞，有潜在的泄密危险；</w:t>
      </w:r>
    </w:p>
    <w:p w14:paraId="3EC35A23">
      <w:pPr>
        <w:pStyle w:val="20"/>
        <w:kinsoku w:val="0"/>
        <w:overflowPunct w:val="0"/>
        <w:spacing w:line="360" w:lineRule="auto"/>
        <w:ind w:firstLine="480" w:firstLineChars="200"/>
      </w:pPr>
      <w:r>
        <w:rPr>
          <w:rFonts w:hint="eastAsia"/>
        </w:rPr>
        <w:t>（</w:t>
      </w:r>
      <w:r>
        <w:t>4</w:t>
      </w:r>
      <w:r>
        <w:rPr>
          <w:rFonts w:hint="eastAsia"/>
        </w:rPr>
        <w:t>）出现断电事故且短时间内无法恢复供电；</w:t>
      </w:r>
    </w:p>
    <w:p w14:paraId="44493F21">
      <w:pPr>
        <w:pStyle w:val="20"/>
        <w:kinsoku w:val="0"/>
        <w:overflowPunct w:val="0"/>
        <w:spacing w:line="360" w:lineRule="auto"/>
        <w:ind w:firstLine="480" w:firstLineChars="200"/>
      </w:pPr>
      <w:r>
        <w:rPr>
          <w:rFonts w:hint="eastAsia"/>
        </w:rPr>
        <w:t>（</w:t>
      </w:r>
      <w:r>
        <w:t>5</w:t>
      </w:r>
      <w:r>
        <w:rPr>
          <w:rFonts w:hint="eastAsia"/>
        </w:rPr>
        <w:t>）其他无法保证招投标过程正常进行的情形。</w:t>
      </w:r>
    </w:p>
    <w:p w14:paraId="4A6B9918">
      <w:pPr>
        <w:pStyle w:val="20"/>
        <w:kinsoku w:val="0"/>
        <w:overflowPunct w:val="0"/>
        <w:spacing w:line="360" w:lineRule="auto"/>
        <w:ind w:firstLine="480" w:firstLineChars="200"/>
      </w:pPr>
      <w:r>
        <w:t xml:space="preserve">5.3.4 </w:t>
      </w:r>
      <w:r>
        <w:rPr>
          <w:rFonts w:hint="eastAsia"/>
        </w:rPr>
        <w:t>采取补救措施时，必须对原有资料及信息作出妥善保密处理。</w:t>
      </w:r>
    </w:p>
    <w:p w14:paraId="2A7B4942">
      <w:pPr>
        <w:pStyle w:val="4"/>
        <w:spacing w:before="0" w:beforeLines="-2147483648" w:after="0" w:afterLines="-2147483648" w:line="360" w:lineRule="auto"/>
        <w:jc w:val="both"/>
        <w:rPr>
          <w:rFonts w:eastAsia="黑体"/>
          <w:b w:val="0"/>
          <w:bCs w:val="0"/>
          <w:sz w:val="28"/>
        </w:rPr>
      </w:pPr>
      <w:bookmarkStart w:id="429" w:name="_Toc27059795"/>
      <w:bookmarkStart w:id="430" w:name="_Toc27059897"/>
      <w:bookmarkStart w:id="431" w:name="_Toc53685620"/>
      <w:bookmarkStart w:id="432" w:name="_Toc27059705"/>
      <w:bookmarkStart w:id="433" w:name="_Toc27059524"/>
      <w:bookmarkStart w:id="434" w:name="_Toc27060693"/>
      <w:r>
        <w:rPr>
          <w:rFonts w:eastAsia="黑体"/>
          <w:b w:val="0"/>
          <w:bCs w:val="0"/>
          <w:sz w:val="28"/>
        </w:rPr>
        <w:t xml:space="preserve">5.4 </w:t>
      </w:r>
      <w:r>
        <w:rPr>
          <w:rFonts w:hint="eastAsia" w:eastAsia="黑体"/>
          <w:b w:val="0"/>
          <w:bCs w:val="0"/>
          <w:sz w:val="28"/>
        </w:rPr>
        <w:t>开标异议</w:t>
      </w:r>
      <w:bookmarkEnd w:id="429"/>
      <w:bookmarkEnd w:id="430"/>
      <w:bookmarkEnd w:id="431"/>
      <w:bookmarkEnd w:id="432"/>
      <w:bookmarkEnd w:id="433"/>
      <w:bookmarkEnd w:id="434"/>
    </w:p>
    <w:p w14:paraId="322AF31B">
      <w:pPr>
        <w:spacing w:line="360" w:lineRule="auto"/>
        <w:ind w:firstLine="480" w:firstLineChars="200"/>
        <w:rPr>
          <w:rFonts w:ascii="宋体" w:hAnsi="宋体" w:cs="宋体"/>
          <w:sz w:val="24"/>
        </w:rPr>
      </w:pPr>
      <w:r>
        <w:rPr>
          <w:rFonts w:hint="eastAsia" w:ascii="宋体" w:hAnsi="宋体" w:cs="宋体"/>
          <w:sz w:val="24"/>
        </w:rPr>
        <w:t>投标人对开标有异议的，应在开标现场提出，招标人当场作出答复，并</w:t>
      </w:r>
      <w:r>
        <w:rPr>
          <w:rFonts w:hint="eastAsia" w:ascii="宋体" w:hAnsi="宋体" w:cs="宋体"/>
          <w:sz w:val="24"/>
          <w:lang w:val="en-US" w:eastAsia="zh-CN"/>
        </w:rPr>
        <w:t>予以</w:t>
      </w:r>
      <w:r>
        <w:rPr>
          <w:rFonts w:hint="eastAsia" w:ascii="宋体" w:hAnsi="宋体" w:cs="宋体"/>
          <w:sz w:val="24"/>
        </w:rPr>
        <w:t>记录。</w:t>
      </w:r>
    </w:p>
    <w:p w14:paraId="2BFF2A60">
      <w:pPr>
        <w:pStyle w:val="3"/>
        <w:spacing w:before="240" w:after="240" w:line="360" w:lineRule="auto"/>
        <w:jc w:val="left"/>
        <w:rPr>
          <w:rFonts w:ascii="Arial"/>
          <w:b/>
          <w:sz w:val="28"/>
          <w:szCs w:val="32"/>
        </w:rPr>
      </w:pPr>
      <w:bookmarkStart w:id="435" w:name="_Toc27059898"/>
      <w:bookmarkStart w:id="436" w:name="_Toc27060694"/>
      <w:bookmarkStart w:id="437" w:name="_Toc501257098"/>
      <w:bookmarkStart w:id="438" w:name="_Toc27059706"/>
      <w:bookmarkStart w:id="439" w:name="_Toc53685621"/>
      <w:bookmarkStart w:id="440" w:name="_Toc27059525"/>
      <w:bookmarkStart w:id="441" w:name="_Toc234832906"/>
      <w:bookmarkStart w:id="442" w:name="_Toc27059796"/>
      <w:r>
        <w:rPr>
          <w:rFonts w:ascii="Arial"/>
          <w:b/>
          <w:sz w:val="28"/>
          <w:szCs w:val="32"/>
        </w:rPr>
        <w:t xml:space="preserve">6. </w:t>
      </w:r>
      <w:r>
        <w:rPr>
          <w:rFonts w:hint="default" w:ascii="Arial"/>
          <w:b/>
          <w:sz w:val="28"/>
          <w:szCs w:val="32"/>
        </w:rPr>
        <w:t>评标</w:t>
      </w:r>
      <w:bookmarkEnd w:id="435"/>
      <w:bookmarkEnd w:id="436"/>
      <w:bookmarkEnd w:id="437"/>
      <w:bookmarkEnd w:id="438"/>
      <w:bookmarkEnd w:id="439"/>
      <w:bookmarkEnd w:id="440"/>
      <w:bookmarkEnd w:id="441"/>
      <w:bookmarkEnd w:id="442"/>
    </w:p>
    <w:p w14:paraId="42EE6A69">
      <w:pPr>
        <w:pStyle w:val="4"/>
        <w:spacing w:before="0" w:beforeLines="-2147483648" w:after="0" w:afterLines="-2147483648" w:line="360" w:lineRule="auto"/>
        <w:jc w:val="both"/>
        <w:rPr>
          <w:rFonts w:eastAsia="黑体"/>
          <w:b w:val="0"/>
          <w:bCs w:val="0"/>
          <w:sz w:val="28"/>
        </w:rPr>
      </w:pPr>
      <w:bookmarkStart w:id="443" w:name="_Toc53685622"/>
      <w:bookmarkStart w:id="444" w:name="_Toc27059526"/>
      <w:bookmarkStart w:id="445" w:name="_Toc501257099"/>
      <w:bookmarkStart w:id="446" w:name="_Toc27059707"/>
      <w:bookmarkStart w:id="447" w:name="_Toc27059797"/>
      <w:bookmarkStart w:id="448" w:name="_Toc234832907"/>
      <w:bookmarkStart w:id="449" w:name="_Toc27060695"/>
      <w:bookmarkStart w:id="450" w:name="_Toc27059899"/>
      <w:r>
        <w:rPr>
          <w:rFonts w:eastAsia="黑体"/>
          <w:b w:val="0"/>
          <w:bCs w:val="0"/>
          <w:sz w:val="28"/>
        </w:rPr>
        <w:t>6.1</w:t>
      </w:r>
      <w:r>
        <w:rPr>
          <w:rFonts w:eastAsia="黑体"/>
          <w:b w:val="0"/>
          <w:bCs w:val="0"/>
          <w:sz w:val="28"/>
        </w:rPr>
        <w:tab/>
      </w:r>
      <w:r>
        <w:rPr>
          <w:rFonts w:eastAsia="黑体"/>
          <w:b w:val="0"/>
          <w:bCs w:val="0"/>
          <w:sz w:val="28"/>
        </w:rPr>
        <w:t xml:space="preserve"> </w:t>
      </w:r>
      <w:r>
        <w:rPr>
          <w:rFonts w:hint="eastAsia" w:eastAsia="黑体"/>
          <w:b w:val="0"/>
          <w:bCs w:val="0"/>
          <w:sz w:val="28"/>
        </w:rPr>
        <w:t>评标委员会</w:t>
      </w:r>
      <w:bookmarkEnd w:id="443"/>
      <w:bookmarkEnd w:id="444"/>
      <w:bookmarkEnd w:id="445"/>
      <w:bookmarkEnd w:id="446"/>
      <w:bookmarkEnd w:id="447"/>
      <w:bookmarkEnd w:id="448"/>
      <w:bookmarkEnd w:id="449"/>
      <w:bookmarkEnd w:id="450"/>
    </w:p>
    <w:p w14:paraId="553C6761">
      <w:pPr>
        <w:spacing w:line="360" w:lineRule="auto"/>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B567D06">
      <w:pPr>
        <w:spacing w:line="360" w:lineRule="auto"/>
        <w:ind w:firstLine="480" w:firstLineChars="200"/>
        <w:rPr>
          <w:rFonts w:ascii="宋体" w:hAnsi="宋体"/>
          <w:sz w:val="24"/>
        </w:rPr>
      </w:pPr>
      <w:r>
        <w:rPr>
          <w:rFonts w:ascii="宋体" w:hAnsi="宋体"/>
          <w:sz w:val="24"/>
        </w:rPr>
        <w:t>6.1.2 评标委员会成员有下列情形之一的，应</w:t>
      </w:r>
      <w:r>
        <w:rPr>
          <w:rFonts w:hint="eastAsia" w:ascii="宋体" w:hAnsi="宋体"/>
          <w:sz w:val="24"/>
        </w:rPr>
        <w:t>主动</w:t>
      </w:r>
      <w:r>
        <w:rPr>
          <w:rFonts w:ascii="宋体" w:hAnsi="宋体"/>
          <w:sz w:val="24"/>
        </w:rPr>
        <w:t>提出回避：</w:t>
      </w:r>
    </w:p>
    <w:p w14:paraId="035D8633">
      <w:pPr>
        <w:spacing w:line="360" w:lineRule="auto"/>
        <w:ind w:firstLine="480" w:firstLineChars="200"/>
        <w:rPr>
          <w:rFonts w:ascii="宋体" w:hAnsi="宋体"/>
          <w:sz w:val="24"/>
        </w:rPr>
      </w:pPr>
      <w:r>
        <w:rPr>
          <w:rFonts w:ascii="宋体" w:hAnsi="宋体"/>
          <w:sz w:val="24"/>
        </w:rPr>
        <w:t>（1）为</w:t>
      </w:r>
      <w:r>
        <w:rPr>
          <w:rFonts w:hint="eastAsia" w:ascii="宋体" w:hAnsi="宋体"/>
          <w:sz w:val="24"/>
        </w:rPr>
        <w:t>负责招标项目监督管理的交通运输主管部门的工作人员；</w:t>
      </w:r>
    </w:p>
    <w:p w14:paraId="63722E28">
      <w:pPr>
        <w:spacing w:line="360" w:lineRule="auto"/>
        <w:ind w:firstLine="480" w:firstLineChars="200"/>
        <w:rPr>
          <w:rFonts w:ascii="宋体" w:hAnsi="宋体"/>
          <w:sz w:val="24"/>
        </w:rPr>
      </w:pPr>
      <w:r>
        <w:rPr>
          <w:rFonts w:ascii="宋体" w:hAnsi="宋体"/>
          <w:sz w:val="24"/>
        </w:rPr>
        <w:t>（2）</w:t>
      </w:r>
      <w:r>
        <w:rPr>
          <w:rFonts w:hint="eastAsia" w:ascii="宋体" w:hAnsi="宋体"/>
          <w:sz w:val="24"/>
        </w:rPr>
        <w:t>与投标人法定代表人或其委托代理人有近亲属关系；</w:t>
      </w:r>
    </w:p>
    <w:p w14:paraId="0139BEF1">
      <w:pPr>
        <w:spacing w:line="360" w:lineRule="auto"/>
        <w:ind w:firstLine="480" w:firstLineChars="200"/>
        <w:rPr>
          <w:rFonts w:ascii="宋体" w:hAnsi="宋体"/>
          <w:sz w:val="24"/>
        </w:rPr>
      </w:pPr>
      <w:r>
        <w:rPr>
          <w:rFonts w:ascii="宋体" w:hAnsi="宋体"/>
          <w:sz w:val="24"/>
        </w:rPr>
        <w:t>（3）为</w:t>
      </w:r>
      <w:r>
        <w:rPr>
          <w:rFonts w:hint="eastAsia" w:ascii="宋体" w:hAnsi="宋体"/>
          <w:sz w:val="24"/>
        </w:rPr>
        <w:t>投标人的工作人员或退休人员；</w:t>
      </w:r>
    </w:p>
    <w:p w14:paraId="0FD439F4">
      <w:pPr>
        <w:spacing w:line="360" w:lineRule="auto"/>
        <w:ind w:firstLine="480" w:firstLineChars="200"/>
        <w:rPr>
          <w:rFonts w:ascii="宋体" w:hAnsi="宋体"/>
          <w:sz w:val="24"/>
        </w:rPr>
      </w:pPr>
      <w:r>
        <w:rPr>
          <w:rFonts w:ascii="宋体" w:hAnsi="宋体"/>
          <w:sz w:val="24"/>
        </w:rPr>
        <w:t>（4）</w:t>
      </w:r>
      <w:r>
        <w:rPr>
          <w:rFonts w:hint="eastAsia" w:ascii="宋体" w:hAnsi="宋体"/>
          <w:sz w:val="24"/>
        </w:rPr>
        <w:t>与投标人有其他利害关系，可能影响评标活动公正性；</w:t>
      </w:r>
    </w:p>
    <w:p w14:paraId="0719C9B2">
      <w:pPr>
        <w:spacing w:line="360" w:lineRule="auto"/>
        <w:ind w:firstLine="480" w:firstLineChars="200"/>
        <w:rPr>
          <w:rFonts w:ascii="宋体" w:hAnsi="宋体"/>
          <w:sz w:val="24"/>
        </w:rPr>
      </w:pPr>
      <w:r>
        <w:rPr>
          <w:rFonts w:ascii="宋体" w:hAnsi="宋体"/>
          <w:sz w:val="24"/>
        </w:rPr>
        <w:t>（5）</w:t>
      </w:r>
      <w:r>
        <w:rPr>
          <w:rFonts w:hint="eastAsia" w:ascii="宋体" w:hAnsi="宋体"/>
          <w:sz w:val="24"/>
        </w:rPr>
        <w:t>在与招标投标有关的活动中有过违法违规行为、曾受过行政处罚或刑事处罚。</w:t>
      </w:r>
    </w:p>
    <w:p w14:paraId="19818D36">
      <w:pPr>
        <w:spacing w:line="360" w:lineRule="auto"/>
        <w:ind w:firstLine="480" w:firstLineChars="200"/>
        <w:rPr>
          <w:rFonts w:ascii="宋体" w:hAnsi="宋体"/>
          <w:sz w:val="24"/>
        </w:rPr>
      </w:pPr>
      <w:r>
        <w:rPr>
          <w:rFonts w:hint="eastAsia" w:ascii="宋体" w:hAnsi="宋体" w:cs="宋体"/>
          <w:sz w:val="24"/>
        </w:rPr>
        <w:t>招标人及其子公司、</w:t>
      </w:r>
      <w:r>
        <w:rPr>
          <w:rFonts w:hint="eastAsia" w:ascii="宋体" w:hAnsi="宋体" w:cs="宋体"/>
          <w:sz w:val="24"/>
          <w:lang w:val="en-US" w:eastAsia="zh-CN"/>
        </w:rPr>
        <w:t>招标人下属单位、</w:t>
      </w:r>
      <w:r>
        <w:rPr>
          <w:rFonts w:hint="eastAsia" w:ascii="宋体" w:hAnsi="宋体" w:cs="宋体"/>
          <w:sz w:val="24"/>
        </w:rPr>
        <w:t>招标人的上级主管部门或者控股公司、招标代理机构的工作人员或者退休人员不得以专家身份参与本单位或者招标代理项目的评标。</w:t>
      </w:r>
    </w:p>
    <w:p w14:paraId="24A42964">
      <w:pPr>
        <w:spacing w:line="360" w:lineRule="auto"/>
        <w:ind w:firstLine="480" w:firstLineChars="200"/>
        <w:rPr>
          <w:rFonts w:ascii="宋体" w:hAnsi="宋体"/>
          <w:sz w:val="24"/>
        </w:rPr>
      </w:pPr>
      <w:r>
        <w:rPr>
          <w:rFonts w:ascii="宋体" w:hAnsi="宋体"/>
          <w:sz w:val="24"/>
        </w:rPr>
        <w:t>6.1.3 评标过程中，评标委员会成员有回避事由、擅离职守或因健康等原因不能继续评标的，招标人有权更换。被更换的评标委员会成员作出的评审结论无效，由更换后的评标委员会成员重新进行评审。</w:t>
      </w:r>
    </w:p>
    <w:p w14:paraId="3C8F6BE0">
      <w:pPr>
        <w:pStyle w:val="4"/>
        <w:spacing w:before="0" w:beforeLines="-2147483648" w:after="0" w:afterLines="-2147483648" w:line="360" w:lineRule="auto"/>
        <w:jc w:val="both"/>
        <w:rPr>
          <w:rFonts w:eastAsia="黑体"/>
          <w:b w:val="0"/>
          <w:bCs w:val="0"/>
          <w:sz w:val="28"/>
        </w:rPr>
      </w:pPr>
      <w:bookmarkStart w:id="451" w:name="_Toc27060696"/>
      <w:bookmarkStart w:id="452" w:name="_Toc27059798"/>
      <w:bookmarkStart w:id="453" w:name="_Toc27059900"/>
      <w:bookmarkStart w:id="454" w:name="_Toc501257100"/>
      <w:bookmarkStart w:id="455" w:name="_Toc27059708"/>
      <w:bookmarkStart w:id="456" w:name="_Toc234832908"/>
      <w:bookmarkStart w:id="457" w:name="_Toc27059527"/>
      <w:bookmarkStart w:id="458" w:name="_Toc53685623"/>
      <w:r>
        <w:rPr>
          <w:rFonts w:eastAsia="黑体"/>
          <w:b w:val="0"/>
          <w:bCs w:val="0"/>
          <w:sz w:val="28"/>
        </w:rPr>
        <w:t xml:space="preserve">6.2 </w:t>
      </w:r>
      <w:r>
        <w:rPr>
          <w:rFonts w:hint="eastAsia" w:eastAsia="黑体"/>
          <w:b w:val="0"/>
          <w:bCs w:val="0"/>
          <w:sz w:val="28"/>
        </w:rPr>
        <w:t>评标原则</w:t>
      </w:r>
      <w:bookmarkEnd w:id="451"/>
      <w:bookmarkEnd w:id="452"/>
      <w:bookmarkEnd w:id="453"/>
      <w:bookmarkEnd w:id="454"/>
      <w:bookmarkEnd w:id="455"/>
      <w:bookmarkEnd w:id="456"/>
      <w:bookmarkEnd w:id="457"/>
      <w:bookmarkEnd w:id="458"/>
    </w:p>
    <w:p w14:paraId="75C70AAE">
      <w:pPr>
        <w:spacing w:line="360" w:lineRule="auto"/>
        <w:ind w:firstLine="480" w:firstLineChars="200"/>
        <w:rPr>
          <w:sz w:val="24"/>
        </w:rPr>
      </w:pPr>
      <w:r>
        <w:rPr>
          <w:rFonts w:hint="eastAsia"/>
          <w:sz w:val="24"/>
        </w:rPr>
        <w:t>评标活动遵循公平、公正、科学和择优的原则。</w:t>
      </w:r>
    </w:p>
    <w:p w14:paraId="2E7A7EA2">
      <w:pPr>
        <w:pStyle w:val="4"/>
        <w:spacing w:before="0" w:beforeLines="-2147483648" w:after="0" w:afterLines="-2147483648" w:line="360" w:lineRule="auto"/>
        <w:jc w:val="both"/>
        <w:rPr>
          <w:rFonts w:eastAsia="黑体"/>
          <w:b w:val="0"/>
          <w:bCs w:val="0"/>
          <w:sz w:val="28"/>
        </w:rPr>
      </w:pPr>
      <w:bookmarkStart w:id="459" w:name="_Toc27059901"/>
      <w:bookmarkStart w:id="460" w:name="_Toc27059799"/>
      <w:bookmarkStart w:id="461" w:name="_Toc27059709"/>
      <w:bookmarkStart w:id="462" w:name="_Toc27059528"/>
      <w:bookmarkStart w:id="463" w:name="_Toc501257101"/>
      <w:bookmarkStart w:id="464" w:name="_Toc27060697"/>
      <w:bookmarkStart w:id="465" w:name="_Toc53685624"/>
      <w:bookmarkStart w:id="466" w:name="_Toc234832909"/>
      <w:r>
        <w:rPr>
          <w:rFonts w:eastAsia="黑体"/>
          <w:b w:val="0"/>
          <w:bCs w:val="0"/>
          <w:sz w:val="28"/>
        </w:rPr>
        <w:t xml:space="preserve">6.3 </w:t>
      </w:r>
      <w:r>
        <w:rPr>
          <w:rFonts w:hint="eastAsia" w:eastAsia="黑体"/>
          <w:b w:val="0"/>
          <w:bCs w:val="0"/>
          <w:sz w:val="28"/>
        </w:rPr>
        <w:t>评标</w:t>
      </w:r>
      <w:bookmarkEnd w:id="459"/>
      <w:bookmarkEnd w:id="460"/>
      <w:bookmarkEnd w:id="461"/>
      <w:bookmarkEnd w:id="462"/>
      <w:bookmarkEnd w:id="463"/>
      <w:bookmarkEnd w:id="464"/>
      <w:bookmarkEnd w:id="465"/>
      <w:bookmarkEnd w:id="466"/>
    </w:p>
    <w:p w14:paraId="395DA959">
      <w:pPr>
        <w:spacing w:line="360" w:lineRule="auto"/>
        <w:ind w:firstLine="480" w:firstLineChars="200"/>
        <w:rPr>
          <w:sz w:val="24"/>
        </w:rPr>
      </w:pPr>
      <w:r>
        <w:rPr>
          <w:rFonts w:ascii="宋体" w:hAnsi="宋体"/>
          <w:sz w:val="24"/>
        </w:rPr>
        <w:t>6.3.1 评标委员会按照第三章“评标办法”规定的方法、评审因素、标准和程序对投标</w:t>
      </w:r>
      <w:r>
        <w:rPr>
          <w:rFonts w:hint="eastAsia"/>
          <w:sz w:val="24"/>
        </w:rPr>
        <w:t>文件进行评审。第三章</w:t>
      </w:r>
      <w:r>
        <w:rPr>
          <w:sz w:val="24"/>
        </w:rPr>
        <w:t xml:space="preserve"> “</w:t>
      </w:r>
      <w:r>
        <w:rPr>
          <w:rFonts w:hint="eastAsia"/>
          <w:sz w:val="24"/>
        </w:rPr>
        <w:t>评标办法</w:t>
      </w:r>
      <w:r>
        <w:rPr>
          <w:sz w:val="24"/>
        </w:rPr>
        <w:t xml:space="preserve">” </w:t>
      </w:r>
      <w:r>
        <w:rPr>
          <w:rFonts w:hint="eastAsia"/>
          <w:sz w:val="24"/>
        </w:rPr>
        <w:t>没有规定的方法、评审因素和标准，不作为评标依据。</w:t>
      </w:r>
    </w:p>
    <w:p w14:paraId="36C3374B">
      <w:pPr>
        <w:spacing w:line="360" w:lineRule="auto"/>
        <w:ind w:firstLine="480" w:firstLineChars="200"/>
        <w:rPr>
          <w:rFonts w:ascii="宋体" w:hAnsi="宋体"/>
          <w:sz w:val="24"/>
        </w:rPr>
      </w:pPr>
      <w:r>
        <w:rPr>
          <w:rFonts w:ascii="宋体" w:hAnsi="宋体"/>
          <w:sz w:val="24"/>
        </w:rPr>
        <w:t>6.3.2</w:t>
      </w:r>
      <w:r>
        <w:rPr>
          <w:rFonts w:hint="eastAsia" w:ascii="宋体" w:hAnsi="宋体"/>
          <w:sz w:val="24"/>
          <w:lang w:val="en-US" w:eastAsia="zh-CN"/>
        </w:rPr>
        <w:t xml:space="preserve"> </w:t>
      </w:r>
      <w:r>
        <w:rPr>
          <w:rFonts w:hint="eastAsia" w:ascii="宋体" w:hAnsi="宋体"/>
          <w:sz w:val="24"/>
        </w:rPr>
        <w:t>评标委员会按照本章第</w:t>
      </w:r>
      <w:r>
        <w:rPr>
          <w:rFonts w:ascii="宋体" w:hAnsi="宋体"/>
          <w:sz w:val="24"/>
        </w:rPr>
        <w:t>6.3.1项的规定在电子评标系统上开展评审工作。如果评标过程中出现异常情况，导致无法继续评审工作的，可暂停评标，对原有资料及信息作出妥善保密处理，待电子评标系统恢复正常之后，应重新组织评审。</w:t>
      </w:r>
    </w:p>
    <w:p w14:paraId="3D3B09F1">
      <w:pPr>
        <w:spacing w:line="360" w:lineRule="auto"/>
        <w:ind w:firstLine="480" w:firstLineChars="200"/>
        <w:rPr>
          <w:rFonts w:ascii="宋体" w:hAnsi="宋体"/>
          <w:sz w:val="24"/>
        </w:rPr>
      </w:pPr>
      <w:r>
        <w:rPr>
          <w:rFonts w:hint="eastAsia"/>
          <w:sz w:val="24"/>
        </w:rPr>
        <w:t>评标完成后，评标委员会应向招标人提交评标报告和中标候选人名单。</w:t>
      </w:r>
      <w:r>
        <w:rPr>
          <w:rFonts w:hint="eastAsia" w:ascii="宋体" w:hAnsi="宋体"/>
          <w:sz w:val="24"/>
        </w:rPr>
        <w:t>评标委员会推荐中标候选人的人数、提交的评标报告形式要求见投标人须知前附表。</w:t>
      </w:r>
    </w:p>
    <w:p w14:paraId="3B3DE437">
      <w:pPr>
        <w:pStyle w:val="3"/>
        <w:spacing w:before="240" w:after="240" w:line="360" w:lineRule="auto"/>
        <w:jc w:val="left"/>
        <w:rPr>
          <w:rFonts w:ascii="Arial"/>
          <w:b/>
          <w:sz w:val="28"/>
          <w:szCs w:val="32"/>
        </w:rPr>
      </w:pPr>
      <w:bookmarkStart w:id="467" w:name="_Toc27059800"/>
      <w:bookmarkStart w:id="468" w:name="_Toc501257102"/>
      <w:bookmarkStart w:id="469" w:name="_Toc27059902"/>
      <w:bookmarkStart w:id="470" w:name="_Toc234832910"/>
      <w:bookmarkStart w:id="471" w:name="_Toc53685625"/>
      <w:bookmarkStart w:id="472" w:name="_Toc27059710"/>
      <w:bookmarkStart w:id="473" w:name="_Toc27060698"/>
      <w:bookmarkStart w:id="474" w:name="_Toc27059529"/>
      <w:r>
        <w:rPr>
          <w:rFonts w:ascii="Arial"/>
          <w:b/>
          <w:sz w:val="28"/>
          <w:szCs w:val="32"/>
        </w:rPr>
        <w:t xml:space="preserve">7. </w:t>
      </w:r>
      <w:r>
        <w:rPr>
          <w:rFonts w:hint="default" w:ascii="Arial"/>
          <w:b/>
          <w:sz w:val="28"/>
          <w:szCs w:val="32"/>
        </w:rPr>
        <w:t>合同授予</w:t>
      </w:r>
      <w:bookmarkEnd w:id="467"/>
      <w:bookmarkEnd w:id="468"/>
      <w:bookmarkEnd w:id="469"/>
      <w:bookmarkEnd w:id="470"/>
      <w:bookmarkEnd w:id="471"/>
      <w:bookmarkEnd w:id="472"/>
      <w:bookmarkEnd w:id="473"/>
      <w:bookmarkEnd w:id="474"/>
    </w:p>
    <w:p w14:paraId="45E40907">
      <w:pPr>
        <w:pStyle w:val="4"/>
        <w:spacing w:before="0" w:beforeLines="-2147483648" w:after="0" w:afterLines="-2147483648" w:line="360" w:lineRule="auto"/>
        <w:jc w:val="both"/>
        <w:rPr>
          <w:rFonts w:eastAsia="黑体"/>
          <w:b w:val="0"/>
          <w:bCs w:val="0"/>
          <w:sz w:val="28"/>
        </w:rPr>
      </w:pPr>
      <w:bookmarkStart w:id="475" w:name="_Toc27059711"/>
      <w:bookmarkStart w:id="476" w:name="_Toc27059530"/>
      <w:bookmarkStart w:id="477" w:name="_Toc27060699"/>
      <w:bookmarkStart w:id="478" w:name="_Toc53685626"/>
      <w:bookmarkStart w:id="479" w:name="_Toc501257103"/>
      <w:bookmarkStart w:id="480" w:name="_Toc27059903"/>
      <w:bookmarkStart w:id="481" w:name="_Toc27059801"/>
      <w:bookmarkStart w:id="482" w:name="_Toc234832911"/>
      <w:r>
        <w:rPr>
          <w:rFonts w:eastAsia="黑体"/>
          <w:b w:val="0"/>
          <w:bCs w:val="0"/>
          <w:sz w:val="28"/>
        </w:rPr>
        <w:t xml:space="preserve">7.1 </w:t>
      </w:r>
      <w:r>
        <w:rPr>
          <w:rFonts w:hint="eastAsia" w:eastAsia="黑体"/>
          <w:b w:val="0"/>
          <w:bCs w:val="0"/>
          <w:sz w:val="28"/>
        </w:rPr>
        <w:t>中标候选人公示</w:t>
      </w:r>
      <w:bookmarkEnd w:id="475"/>
      <w:bookmarkEnd w:id="476"/>
      <w:bookmarkEnd w:id="477"/>
      <w:bookmarkEnd w:id="478"/>
      <w:bookmarkEnd w:id="479"/>
      <w:bookmarkEnd w:id="480"/>
      <w:bookmarkEnd w:id="481"/>
    </w:p>
    <w:p w14:paraId="44B37CF5">
      <w:pPr>
        <w:spacing w:line="360" w:lineRule="auto"/>
        <w:ind w:firstLine="480" w:firstLineChars="200"/>
        <w:rPr>
          <w:rFonts w:ascii="宋体" w:hAnsi="宋体"/>
          <w:sz w:val="24"/>
        </w:rPr>
      </w:pPr>
      <w:r>
        <w:rPr>
          <w:rFonts w:ascii="宋体" w:hAnsi="宋体"/>
          <w:sz w:val="24"/>
        </w:rPr>
        <w:t>招标人在收到评标报告之日起3日内，按照投标人须知前附表规定的公示媒介和期限公示中标候选人，公示期不得少于3个工作日，公示内容包括：</w:t>
      </w:r>
    </w:p>
    <w:p w14:paraId="5F59AC85">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）中标候选人排序、名称、投标报价，对工程质量要求、安全目标和工期的响应情况；</w:t>
      </w:r>
    </w:p>
    <w:p w14:paraId="01434593">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）中标候选人在投标文件中承诺的主要人员姓名、个人业绩、相关证书名称和编号；</w:t>
      </w:r>
    </w:p>
    <w:p w14:paraId="1E3C65E0">
      <w:pPr>
        <w:spacing w:line="360" w:lineRule="auto"/>
        <w:ind w:firstLine="480" w:firstLineChars="200"/>
        <w:rPr>
          <w:rFonts w:ascii="宋体" w:hAnsi="宋体"/>
          <w:sz w:val="24"/>
        </w:rPr>
      </w:pPr>
      <w:r>
        <w:rPr>
          <w:rFonts w:hint="eastAsia" w:ascii="宋体" w:hAnsi="宋体"/>
          <w:sz w:val="24"/>
        </w:rPr>
        <w:t>（</w:t>
      </w:r>
      <w:r>
        <w:rPr>
          <w:rFonts w:ascii="宋体" w:hAnsi="宋体"/>
          <w:sz w:val="24"/>
        </w:rPr>
        <w:t>3）中标候选人在投标文件中填报的项目业绩；</w:t>
      </w:r>
    </w:p>
    <w:p w14:paraId="237838D1">
      <w:pPr>
        <w:spacing w:line="360" w:lineRule="auto"/>
        <w:ind w:firstLine="480" w:firstLineChars="200"/>
        <w:rPr>
          <w:rFonts w:ascii="宋体" w:hAnsi="宋体"/>
          <w:sz w:val="24"/>
        </w:rPr>
      </w:pPr>
      <w:r>
        <w:rPr>
          <w:rFonts w:hint="eastAsia" w:ascii="宋体" w:hAnsi="宋体"/>
          <w:sz w:val="24"/>
        </w:rPr>
        <w:t>（</w:t>
      </w:r>
      <w:r>
        <w:rPr>
          <w:rFonts w:ascii="宋体" w:hAnsi="宋体"/>
          <w:sz w:val="24"/>
        </w:rPr>
        <w:t>4）被否决投标的投标人名称、否决依据和原因；</w:t>
      </w:r>
    </w:p>
    <w:p w14:paraId="33FCC176">
      <w:pPr>
        <w:spacing w:line="360" w:lineRule="auto"/>
        <w:ind w:firstLine="480" w:firstLineChars="200"/>
        <w:rPr>
          <w:rFonts w:ascii="宋体" w:hAnsi="宋体"/>
          <w:sz w:val="24"/>
        </w:rPr>
      </w:pPr>
      <w:r>
        <w:rPr>
          <w:rFonts w:hint="eastAsia" w:ascii="宋体" w:hAnsi="宋体"/>
          <w:sz w:val="24"/>
        </w:rPr>
        <w:t>（</w:t>
      </w:r>
      <w:r>
        <w:rPr>
          <w:rFonts w:ascii="宋体" w:hAnsi="宋体"/>
          <w:sz w:val="24"/>
        </w:rPr>
        <w:t>5）提出异议的渠道和方式；</w:t>
      </w:r>
    </w:p>
    <w:p w14:paraId="7F3CB94B">
      <w:pPr>
        <w:spacing w:line="360" w:lineRule="auto"/>
        <w:ind w:firstLine="480" w:firstLineChars="200"/>
        <w:rPr>
          <w:rFonts w:ascii="宋体" w:hAnsi="宋体"/>
          <w:sz w:val="24"/>
        </w:rPr>
      </w:pPr>
      <w:r>
        <w:rPr>
          <w:rFonts w:hint="eastAsia" w:ascii="宋体" w:hAnsi="宋体"/>
          <w:sz w:val="24"/>
        </w:rPr>
        <w:t>（</w:t>
      </w:r>
      <w:r>
        <w:rPr>
          <w:rFonts w:ascii="宋体" w:hAnsi="宋体"/>
          <w:sz w:val="24"/>
        </w:rPr>
        <w:t>6）投标人须知前附表规定公示的其他内容。</w:t>
      </w:r>
      <w:bookmarkStart w:id="483" w:name="_Toc501257104"/>
    </w:p>
    <w:bookmarkEnd w:id="483"/>
    <w:p w14:paraId="27767EBE">
      <w:pPr>
        <w:pStyle w:val="4"/>
        <w:spacing w:before="0" w:beforeLines="-2147483648" w:after="0" w:afterLines="-2147483648" w:line="360" w:lineRule="auto"/>
        <w:jc w:val="both"/>
        <w:rPr>
          <w:rFonts w:eastAsia="黑体"/>
          <w:b w:val="0"/>
          <w:bCs w:val="0"/>
          <w:sz w:val="28"/>
        </w:rPr>
      </w:pPr>
      <w:bookmarkStart w:id="484" w:name="_Toc27059802"/>
      <w:bookmarkStart w:id="485" w:name="_Toc27060700"/>
      <w:bookmarkStart w:id="486" w:name="_Toc27059712"/>
      <w:bookmarkStart w:id="487" w:name="_Toc27059531"/>
      <w:bookmarkStart w:id="488" w:name="_Toc53685627"/>
      <w:bookmarkStart w:id="489" w:name="_Toc27059904"/>
      <w:bookmarkStart w:id="490" w:name="_Toc501257105"/>
      <w:r>
        <w:rPr>
          <w:rFonts w:eastAsia="黑体"/>
          <w:b w:val="0"/>
          <w:bCs w:val="0"/>
          <w:sz w:val="28"/>
        </w:rPr>
        <w:t xml:space="preserve">7.2 </w:t>
      </w:r>
      <w:r>
        <w:rPr>
          <w:rFonts w:hint="eastAsia" w:eastAsia="黑体"/>
          <w:b w:val="0"/>
          <w:bCs w:val="0"/>
          <w:sz w:val="28"/>
        </w:rPr>
        <w:t>评标结果异议</w:t>
      </w:r>
      <w:bookmarkEnd w:id="484"/>
      <w:bookmarkEnd w:id="485"/>
      <w:bookmarkEnd w:id="486"/>
      <w:bookmarkEnd w:id="487"/>
      <w:bookmarkEnd w:id="488"/>
      <w:bookmarkEnd w:id="489"/>
    </w:p>
    <w:p w14:paraId="4D84E0F7">
      <w:pPr>
        <w:pStyle w:val="20"/>
        <w:kinsoku w:val="0"/>
        <w:spacing w:line="360" w:lineRule="auto"/>
        <w:ind w:firstLine="480" w:firstLineChars="200"/>
        <w:rPr>
          <w:snapToGrid w:val="0"/>
          <w:kern w:val="0"/>
        </w:rPr>
      </w:pPr>
      <w:r>
        <w:rPr>
          <w:rFonts w:hint="eastAsia"/>
          <w:snapToGrid w:val="0"/>
          <w:kern w:val="0"/>
        </w:rPr>
        <w:t>投标人或其他利害关系人对依法必须进行招标的项目的评标结果有异议的，应在中标候选人公示期间提出。招标人将在收到异议之日起</w:t>
      </w:r>
      <w:r>
        <w:rPr>
          <w:snapToGrid w:val="0"/>
          <w:kern w:val="0"/>
        </w:rPr>
        <w:t>3</w:t>
      </w:r>
      <w:r>
        <w:rPr>
          <w:rFonts w:hint="eastAsia"/>
          <w:snapToGrid w:val="0"/>
          <w:kern w:val="0"/>
        </w:rPr>
        <w:t>日内作出答复；作出答复前，将暂停招标投标活动。</w:t>
      </w:r>
    </w:p>
    <w:p w14:paraId="369C1563">
      <w:pPr>
        <w:pStyle w:val="4"/>
        <w:spacing w:before="0" w:beforeLines="-2147483648" w:after="0" w:afterLines="-2147483648" w:line="360" w:lineRule="auto"/>
        <w:jc w:val="both"/>
        <w:rPr>
          <w:rFonts w:eastAsia="黑体"/>
          <w:b w:val="0"/>
          <w:bCs w:val="0"/>
          <w:sz w:val="28"/>
        </w:rPr>
      </w:pPr>
      <w:bookmarkStart w:id="491" w:name="_Toc27059532"/>
      <w:bookmarkStart w:id="492" w:name="_Toc27060701"/>
      <w:bookmarkStart w:id="493" w:name="_Toc53685628"/>
      <w:bookmarkStart w:id="494" w:name="_Toc27059713"/>
      <w:bookmarkStart w:id="495" w:name="_Toc27059905"/>
      <w:bookmarkStart w:id="496" w:name="_Toc27059803"/>
      <w:r>
        <w:rPr>
          <w:rFonts w:eastAsia="黑体"/>
          <w:b w:val="0"/>
          <w:bCs w:val="0"/>
          <w:sz w:val="28"/>
        </w:rPr>
        <w:t>7.3</w:t>
      </w:r>
      <w:r>
        <w:rPr>
          <w:rFonts w:hint="eastAsia" w:eastAsia="黑体"/>
          <w:b w:val="0"/>
          <w:bCs w:val="0"/>
          <w:sz w:val="28"/>
        </w:rPr>
        <w:t xml:space="preserve"> 中标候选人履约能力审查</w:t>
      </w:r>
      <w:bookmarkEnd w:id="490"/>
      <w:bookmarkEnd w:id="491"/>
      <w:bookmarkEnd w:id="492"/>
      <w:bookmarkEnd w:id="493"/>
      <w:bookmarkEnd w:id="494"/>
      <w:bookmarkEnd w:id="495"/>
      <w:bookmarkEnd w:id="496"/>
    </w:p>
    <w:p w14:paraId="400B912D">
      <w:pPr>
        <w:pStyle w:val="20"/>
        <w:kinsoku w:val="0"/>
        <w:overflowPunct w:val="0"/>
        <w:spacing w:line="360" w:lineRule="auto"/>
        <w:ind w:firstLine="480" w:firstLineChars="200"/>
      </w:pPr>
      <w:r>
        <w:rPr>
          <w:rFonts w:hint="eastAsia"/>
        </w:rPr>
        <w:t>中标候选人的经营、财务状况发生较大变化或存在违法行为，招标人认为可能影响其履约能力的，将在发出中标通知书前提请原评标委员会按照招标文件规定的标准和方法进行审查确认。</w:t>
      </w:r>
    </w:p>
    <w:p w14:paraId="0B4B962D">
      <w:pPr>
        <w:pStyle w:val="4"/>
        <w:spacing w:before="0" w:beforeLines="-2147483648" w:after="0" w:afterLines="-2147483648" w:line="360" w:lineRule="auto"/>
        <w:jc w:val="both"/>
        <w:rPr>
          <w:rFonts w:eastAsia="黑体"/>
          <w:b w:val="0"/>
          <w:bCs w:val="0"/>
          <w:sz w:val="28"/>
        </w:rPr>
      </w:pPr>
      <w:bookmarkStart w:id="497" w:name="_Toc501257106"/>
      <w:bookmarkStart w:id="498" w:name="_Toc27059804"/>
      <w:bookmarkStart w:id="499" w:name="_Toc27059533"/>
      <w:bookmarkStart w:id="500" w:name="_Toc27059714"/>
      <w:bookmarkStart w:id="501" w:name="_Toc53685629"/>
      <w:bookmarkStart w:id="502" w:name="_Toc27059906"/>
      <w:bookmarkStart w:id="503" w:name="_Toc27060702"/>
      <w:r>
        <w:rPr>
          <w:rFonts w:eastAsia="黑体"/>
          <w:b w:val="0"/>
          <w:bCs w:val="0"/>
          <w:sz w:val="28"/>
        </w:rPr>
        <w:t xml:space="preserve">7.4 </w:t>
      </w:r>
      <w:r>
        <w:rPr>
          <w:rFonts w:hint="eastAsia" w:eastAsia="黑体"/>
          <w:b w:val="0"/>
          <w:bCs w:val="0"/>
          <w:sz w:val="28"/>
        </w:rPr>
        <w:t>定标</w:t>
      </w:r>
      <w:bookmarkEnd w:id="482"/>
      <w:bookmarkEnd w:id="497"/>
      <w:bookmarkEnd w:id="498"/>
      <w:bookmarkEnd w:id="499"/>
      <w:bookmarkEnd w:id="500"/>
      <w:bookmarkEnd w:id="501"/>
      <w:bookmarkEnd w:id="502"/>
      <w:bookmarkEnd w:id="503"/>
    </w:p>
    <w:p w14:paraId="79AFDBF0">
      <w:pPr>
        <w:pStyle w:val="20"/>
        <w:kinsoku w:val="0"/>
        <w:overflowPunct w:val="0"/>
        <w:spacing w:line="360" w:lineRule="auto"/>
        <w:ind w:firstLine="360" w:firstLineChars="150"/>
        <w:jc w:val="left"/>
      </w:pPr>
      <w:r>
        <w:t>按照投标人须知前附表的规定，招标人或招标人授权的评标委员会依法确定中标人。</w:t>
      </w:r>
    </w:p>
    <w:p w14:paraId="5B83925F">
      <w:pPr>
        <w:pStyle w:val="4"/>
        <w:spacing w:before="0" w:beforeLines="-2147483648" w:after="0" w:afterLines="-2147483648" w:line="360" w:lineRule="auto"/>
        <w:jc w:val="both"/>
        <w:rPr>
          <w:rFonts w:eastAsia="黑体"/>
          <w:b w:val="0"/>
          <w:bCs w:val="0"/>
          <w:sz w:val="28"/>
        </w:rPr>
      </w:pPr>
      <w:bookmarkStart w:id="504" w:name="_Toc27059715"/>
      <w:bookmarkStart w:id="505" w:name="_Toc53685630"/>
      <w:bookmarkStart w:id="506" w:name="_Toc27059805"/>
      <w:bookmarkStart w:id="507" w:name="_Toc501257107"/>
      <w:bookmarkStart w:id="508" w:name="_Toc27059907"/>
      <w:bookmarkStart w:id="509" w:name="_Toc27059534"/>
      <w:bookmarkStart w:id="510" w:name="_Toc234832912"/>
      <w:bookmarkStart w:id="511" w:name="_Toc27060703"/>
      <w:r>
        <w:rPr>
          <w:rFonts w:eastAsia="黑体"/>
          <w:b w:val="0"/>
          <w:bCs w:val="0"/>
          <w:sz w:val="28"/>
        </w:rPr>
        <w:t xml:space="preserve">7.5 </w:t>
      </w:r>
      <w:r>
        <w:rPr>
          <w:rFonts w:hint="eastAsia" w:eastAsia="黑体"/>
          <w:b w:val="0"/>
          <w:bCs w:val="0"/>
          <w:sz w:val="28"/>
        </w:rPr>
        <w:t>中标通知</w:t>
      </w:r>
      <w:bookmarkEnd w:id="504"/>
      <w:bookmarkEnd w:id="505"/>
      <w:bookmarkEnd w:id="506"/>
      <w:bookmarkEnd w:id="507"/>
      <w:bookmarkEnd w:id="508"/>
      <w:bookmarkEnd w:id="509"/>
      <w:bookmarkEnd w:id="510"/>
      <w:bookmarkEnd w:id="511"/>
    </w:p>
    <w:p w14:paraId="3DB4E1BE">
      <w:pPr>
        <w:pStyle w:val="20"/>
        <w:kinsoku w:val="0"/>
        <w:overflowPunct w:val="0"/>
        <w:spacing w:line="360" w:lineRule="auto"/>
        <w:ind w:firstLine="480" w:firstLineChars="200"/>
      </w:pPr>
      <w:bookmarkStart w:id="512" w:name="_Toc501257108"/>
      <w:r>
        <w:rPr>
          <w:rFonts w:hint="eastAsia"/>
        </w:rPr>
        <w:t>在本章第</w:t>
      </w:r>
      <w:r>
        <w:t>3.3</w:t>
      </w:r>
      <w:r>
        <w:rPr>
          <w:rFonts w:hint="eastAsia"/>
        </w:rPr>
        <w:t>款规定的投标有效期内，</w:t>
      </w:r>
      <w:r>
        <w:t>招标人以</w:t>
      </w:r>
      <w:r>
        <w:rPr>
          <w:rFonts w:hint="eastAsia"/>
        </w:rPr>
        <w:t>投标人须知前附表规定的</w:t>
      </w:r>
      <w:r>
        <w:t>形式向中标人发出中标通知书</w:t>
      </w:r>
      <w:r>
        <w:rPr>
          <w:rFonts w:hint="eastAsia"/>
        </w:rPr>
        <w:t>，同时将中标结果通知未中标的投标人。</w:t>
      </w:r>
    </w:p>
    <w:p w14:paraId="0CFFF553">
      <w:pPr>
        <w:pStyle w:val="4"/>
        <w:spacing w:before="0" w:beforeLines="-2147483648" w:after="0" w:afterLines="-2147483648" w:line="360" w:lineRule="auto"/>
        <w:jc w:val="both"/>
        <w:rPr>
          <w:rFonts w:eastAsia="黑体"/>
          <w:b w:val="0"/>
          <w:bCs w:val="0"/>
          <w:sz w:val="28"/>
        </w:rPr>
      </w:pPr>
      <w:bookmarkStart w:id="513" w:name="_Toc27059716"/>
      <w:bookmarkStart w:id="514" w:name="_Toc27060704"/>
      <w:bookmarkStart w:id="515" w:name="_Toc27059535"/>
      <w:bookmarkStart w:id="516" w:name="_Toc27059908"/>
      <w:bookmarkStart w:id="517" w:name="_Toc27059806"/>
      <w:bookmarkStart w:id="518" w:name="_Toc53685631"/>
      <w:r>
        <w:rPr>
          <w:rFonts w:eastAsia="黑体"/>
          <w:b w:val="0"/>
          <w:bCs w:val="0"/>
          <w:sz w:val="28"/>
        </w:rPr>
        <w:t xml:space="preserve">7.6 </w:t>
      </w:r>
      <w:r>
        <w:rPr>
          <w:rFonts w:hint="eastAsia" w:eastAsia="黑体"/>
          <w:b w:val="0"/>
          <w:bCs w:val="0"/>
          <w:sz w:val="28"/>
        </w:rPr>
        <w:t>中标结果公告</w:t>
      </w:r>
      <w:bookmarkEnd w:id="513"/>
      <w:bookmarkEnd w:id="514"/>
      <w:bookmarkEnd w:id="515"/>
      <w:bookmarkEnd w:id="516"/>
      <w:bookmarkEnd w:id="517"/>
      <w:bookmarkEnd w:id="518"/>
    </w:p>
    <w:p w14:paraId="0F70F9CB">
      <w:pPr>
        <w:pStyle w:val="20"/>
        <w:kinsoku w:val="0"/>
        <w:overflowPunct w:val="0"/>
        <w:spacing w:line="360" w:lineRule="auto"/>
        <w:ind w:firstLine="480" w:firstLineChars="200"/>
      </w:pPr>
      <w:r>
        <w:t>招标人在</w:t>
      </w:r>
      <w:r>
        <w:rPr>
          <w:rFonts w:hint="eastAsia"/>
        </w:rPr>
        <w:t>确定</w:t>
      </w:r>
      <w:r>
        <w:t>中标人之日起3日内，按照投标人须知前附表规定的</w:t>
      </w:r>
      <w:r>
        <w:rPr>
          <w:rFonts w:hint="eastAsia"/>
        </w:rPr>
        <w:t>公告</w:t>
      </w:r>
      <w:r>
        <w:t>媒介和期限</w:t>
      </w:r>
      <w:r>
        <w:rPr>
          <w:rFonts w:hint="eastAsia"/>
        </w:rPr>
        <w:t>公告</w:t>
      </w:r>
      <w:r>
        <w:t>中标结果</w:t>
      </w:r>
      <w:r>
        <w:rPr>
          <w:rFonts w:hint="eastAsia"/>
        </w:rPr>
        <w:t>，</w:t>
      </w:r>
      <w:r>
        <w:t>公告期不得少于3日。公告内容包括中标人名称、中标价。</w:t>
      </w:r>
    </w:p>
    <w:p w14:paraId="1AFF088F">
      <w:pPr>
        <w:pStyle w:val="4"/>
        <w:spacing w:before="0" w:beforeLines="-2147483648" w:after="0" w:afterLines="-2147483648" w:line="360" w:lineRule="auto"/>
        <w:jc w:val="both"/>
        <w:rPr>
          <w:rFonts w:eastAsia="黑体"/>
          <w:b w:val="0"/>
          <w:bCs w:val="0"/>
          <w:sz w:val="28"/>
        </w:rPr>
      </w:pPr>
      <w:bookmarkStart w:id="519" w:name="_Toc234832913"/>
      <w:bookmarkStart w:id="520" w:name="_Toc27059717"/>
      <w:bookmarkStart w:id="521" w:name="_Toc501257109"/>
      <w:bookmarkStart w:id="522" w:name="_Toc27059909"/>
      <w:bookmarkStart w:id="523" w:name="_Toc27060705"/>
      <w:bookmarkStart w:id="524" w:name="_Toc27059536"/>
      <w:bookmarkStart w:id="525" w:name="_Toc27059807"/>
      <w:bookmarkStart w:id="526" w:name="_Toc53685632"/>
      <w:r>
        <w:rPr>
          <w:rFonts w:eastAsia="黑体"/>
          <w:b w:val="0"/>
          <w:bCs w:val="0"/>
          <w:sz w:val="28"/>
        </w:rPr>
        <w:t xml:space="preserve">7.7 </w:t>
      </w:r>
      <w:r>
        <w:rPr>
          <w:rFonts w:hint="eastAsia" w:eastAsia="黑体"/>
          <w:b w:val="0"/>
          <w:bCs w:val="0"/>
          <w:sz w:val="28"/>
        </w:rPr>
        <w:t>履约</w:t>
      </w:r>
      <w:bookmarkEnd w:id="519"/>
      <w:r>
        <w:rPr>
          <w:rFonts w:hint="eastAsia" w:eastAsia="黑体"/>
          <w:b w:val="0"/>
          <w:bCs w:val="0"/>
          <w:sz w:val="28"/>
        </w:rPr>
        <w:t>保证金</w:t>
      </w:r>
      <w:bookmarkEnd w:id="520"/>
      <w:bookmarkEnd w:id="521"/>
      <w:bookmarkEnd w:id="522"/>
      <w:bookmarkEnd w:id="523"/>
      <w:bookmarkEnd w:id="524"/>
      <w:bookmarkEnd w:id="525"/>
      <w:bookmarkEnd w:id="526"/>
    </w:p>
    <w:p w14:paraId="33FC7AEE">
      <w:pPr>
        <w:spacing w:line="360" w:lineRule="auto"/>
        <w:ind w:firstLine="480" w:firstLineChars="200"/>
        <w:rPr>
          <w:rFonts w:ascii="宋体" w:hAnsi="宋体" w:cs="宋体"/>
          <w:sz w:val="24"/>
        </w:rPr>
      </w:pPr>
      <w:r>
        <w:rPr>
          <w:rFonts w:ascii="宋体" w:hAnsi="宋体" w:cs="宋体"/>
          <w:sz w:val="24"/>
        </w:rPr>
        <w:t xml:space="preserve">7.7.1 </w:t>
      </w:r>
      <w:r>
        <w:rPr>
          <w:rFonts w:hint="eastAsia" w:ascii="宋体" w:hAnsi="宋体" w:cs="宋体"/>
          <w:sz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宋体" w:hAnsi="宋体" w:cs="宋体"/>
          <w:sz w:val="24"/>
        </w:rPr>
        <w:t>10%。联合体中标的，其履约保证金以联合体各方或联合体中牵头人的名义提交。</w:t>
      </w:r>
    </w:p>
    <w:p w14:paraId="50C4BFC0">
      <w:pPr>
        <w:pStyle w:val="20"/>
        <w:kinsoku w:val="0"/>
        <w:overflowPunct w:val="0"/>
        <w:spacing w:line="360" w:lineRule="auto"/>
        <w:ind w:firstLine="480" w:firstLineChars="200"/>
      </w:pPr>
      <w:r>
        <w:rPr>
          <w:rFonts w:hint="eastAsia"/>
        </w:rPr>
        <w:t>采用银行保函时，应由符合投标人须知前附表规定级别的银行开具，所需的费用由中标人承担，中标人应保证银行保函有效。</w:t>
      </w:r>
    </w:p>
    <w:p w14:paraId="703E0142">
      <w:pPr>
        <w:pStyle w:val="20"/>
        <w:kinsoku w:val="0"/>
        <w:overflowPunct w:val="0"/>
        <w:spacing w:line="360" w:lineRule="auto"/>
        <w:ind w:firstLine="480" w:firstLineChars="200"/>
      </w:pPr>
      <w:r>
        <w:t>7.7.2 中标人不能按本章第7.7.1项要求提交履约保证金的，视为放弃中标，其投标保证金不予退还，给招标人造成的损失超过投标保证金数额的，中标人还应对超过部分予以赔偿。</w:t>
      </w:r>
    </w:p>
    <w:p w14:paraId="6D98F05E">
      <w:pPr>
        <w:pStyle w:val="4"/>
        <w:spacing w:before="0" w:beforeLines="-2147483648" w:after="0" w:afterLines="-2147483648" w:line="360" w:lineRule="auto"/>
        <w:jc w:val="both"/>
        <w:rPr>
          <w:rFonts w:eastAsia="黑体"/>
          <w:b w:val="0"/>
          <w:bCs w:val="0"/>
          <w:sz w:val="28"/>
        </w:rPr>
      </w:pPr>
      <w:bookmarkStart w:id="527" w:name="_Toc27059910"/>
      <w:bookmarkStart w:id="528" w:name="_Toc234832914"/>
      <w:bookmarkStart w:id="529" w:name="_Toc27059537"/>
      <w:bookmarkStart w:id="530" w:name="_Toc53685633"/>
      <w:bookmarkStart w:id="531" w:name="_Toc27060706"/>
      <w:bookmarkStart w:id="532" w:name="_Toc501257110"/>
      <w:bookmarkStart w:id="533" w:name="_Toc27059808"/>
      <w:bookmarkStart w:id="534" w:name="_Toc27059718"/>
      <w:r>
        <w:rPr>
          <w:rFonts w:eastAsia="黑体"/>
          <w:b w:val="0"/>
          <w:bCs w:val="0"/>
          <w:sz w:val="28"/>
        </w:rPr>
        <w:t>7.8</w:t>
      </w:r>
      <w:r>
        <w:rPr>
          <w:rFonts w:hint="eastAsia" w:eastAsia="黑体"/>
          <w:b w:val="0"/>
          <w:bCs w:val="0"/>
          <w:sz w:val="28"/>
        </w:rPr>
        <w:t xml:space="preserve"> 签订合同</w:t>
      </w:r>
      <w:bookmarkEnd w:id="527"/>
      <w:bookmarkEnd w:id="528"/>
      <w:bookmarkEnd w:id="529"/>
      <w:bookmarkEnd w:id="530"/>
      <w:bookmarkEnd w:id="531"/>
      <w:bookmarkEnd w:id="532"/>
      <w:bookmarkEnd w:id="533"/>
      <w:bookmarkEnd w:id="534"/>
    </w:p>
    <w:p w14:paraId="0A281ED7">
      <w:pPr>
        <w:pStyle w:val="20"/>
        <w:kinsoku w:val="0"/>
        <w:overflowPunct w:val="0"/>
        <w:spacing w:line="360" w:lineRule="auto"/>
        <w:ind w:firstLine="480" w:firstLineChars="200"/>
      </w:pPr>
      <w:r>
        <w:t>7.8.1 招标人和中标人应在中标通知书发出之日起30日内，根据招标文件和中标人的投标文件订立书面合同</w:t>
      </w:r>
      <w:r>
        <w:rPr>
          <w:rFonts w:hint="eastAsia" w:cs="宋体"/>
        </w:rPr>
        <w:t>，合同形式见投标人须知前附表</w:t>
      </w:r>
      <w:r>
        <w:t>。中标人无正当理由</w:t>
      </w:r>
      <w:r>
        <w:rPr>
          <w:rFonts w:hint="eastAsia"/>
        </w:rPr>
        <w:t>拒签</w:t>
      </w:r>
      <w:r>
        <w:t xml:space="preserve">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2F4E2767">
      <w:pPr>
        <w:pStyle w:val="20"/>
        <w:kinsoku w:val="0"/>
        <w:overflowPunct w:val="0"/>
        <w:spacing w:line="360" w:lineRule="auto"/>
        <w:ind w:firstLine="480" w:firstLineChars="200"/>
      </w:pPr>
      <w:r>
        <w:t>7.8.2 发出中标通知书后，招标人无正当理由拒签合同，或在签订合同时</w:t>
      </w:r>
      <w:r>
        <w:rPr>
          <w:rFonts w:hint="eastAsia"/>
        </w:rPr>
        <w:t>向中标人</w:t>
      </w:r>
      <w:r>
        <w:t>提出附加条件的，招标人向中标人退还投标保证金；给中标人造成损失的，还应赔偿损失。</w:t>
      </w:r>
    </w:p>
    <w:p w14:paraId="03DDBD56">
      <w:pPr>
        <w:pStyle w:val="20"/>
        <w:kinsoku w:val="0"/>
        <w:overflowPunct w:val="0"/>
        <w:spacing w:line="360" w:lineRule="auto"/>
        <w:ind w:firstLine="480" w:firstLineChars="200"/>
      </w:pPr>
      <w:r>
        <w:t xml:space="preserve">7.8.3 </w:t>
      </w:r>
      <w:r>
        <w:rPr>
          <w:rFonts w:hint="eastAsia"/>
        </w:rPr>
        <w:t>签约合同价的确定原则：见投标人须知前附表。</w:t>
      </w:r>
    </w:p>
    <w:p w14:paraId="6E5CB5F3">
      <w:pPr>
        <w:pStyle w:val="20"/>
        <w:kinsoku w:val="0"/>
        <w:overflowPunct w:val="0"/>
        <w:spacing w:line="360" w:lineRule="auto"/>
        <w:ind w:firstLine="480" w:firstLineChars="200"/>
      </w:pPr>
      <w:r>
        <w:t>7.8.4 联合体中标的，联合体各方应共同与招标人签订合同，就中标项目向招标人承担连带责任。</w:t>
      </w:r>
    </w:p>
    <w:p w14:paraId="25CA14A3">
      <w:pPr>
        <w:pStyle w:val="20"/>
        <w:kinsoku w:val="0"/>
        <w:spacing w:line="360" w:lineRule="auto"/>
        <w:ind w:firstLine="480" w:firstLineChars="200"/>
        <w:rPr>
          <w:rFonts w:hint="eastAsia" w:cs="宋体"/>
          <w:color w:val="000000" w:themeColor="text1"/>
          <w14:textFill>
            <w14:solidFill>
              <w14:schemeClr w14:val="tx1"/>
            </w14:solidFill>
          </w14:textFill>
        </w:rPr>
      </w:pPr>
      <w:r>
        <w:t xml:space="preserve">7.8.5 </w:t>
      </w:r>
      <w:r>
        <w:rPr>
          <w:rFonts w:hint="eastAsia"/>
        </w:rPr>
        <w:t>招标人和中标人在签订合同协议书的同时，须按照本招标文件规定的格式和要求签订廉政合同及安全生产合同，明确双方在廉政建设和安全生产方面的权利和义务以及应承担的违约责任。</w:t>
      </w:r>
      <w:r>
        <w:rPr>
          <w:rFonts w:hint="eastAsia" w:cs="宋体"/>
          <w:color w:val="000000" w:themeColor="text1"/>
          <w14:textFill>
            <w14:solidFill>
              <w14:schemeClr w14:val="tx1"/>
            </w14:solidFill>
          </w14:textFill>
        </w:rPr>
        <w:t>制作合同文件及费用、份数要求：见投标人须知前附表。</w:t>
      </w:r>
    </w:p>
    <w:p w14:paraId="4C8FC845">
      <w:pPr>
        <w:pStyle w:val="4"/>
        <w:spacing w:before="0" w:beforeLines="-2147483648" w:after="0" w:afterLines="-2147483648" w:line="360" w:lineRule="auto"/>
        <w:jc w:val="both"/>
        <w:rPr>
          <w:rFonts w:hint="default" w:eastAsia="黑体"/>
          <w:b w:val="0"/>
          <w:bCs w:val="0"/>
          <w:sz w:val="28"/>
          <w:lang w:val="en-US" w:eastAsia="zh-CN"/>
        </w:rPr>
      </w:pPr>
      <w:r>
        <w:rPr>
          <w:rFonts w:eastAsia="黑体"/>
          <w:b w:val="0"/>
          <w:bCs w:val="0"/>
          <w:sz w:val="28"/>
        </w:rPr>
        <w:t>7.</w:t>
      </w:r>
      <w:r>
        <w:rPr>
          <w:rFonts w:hint="eastAsia" w:eastAsia="黑体"/>
          <w:b w:val="0"/>
          <w:bCs w:val="0"/>
          <w:sz w:val="28"/>
          <w:lang w:val="en-US" w:eastAsia="zh-CN"/>
        </w:rPr>
        <w:t>9</w:t>
      </w:r>
      <w:r>
        <w:rPr>
          <w:rFonts w:hint="eastAsia" w:eastAsia="黑体"/>
          <w:b w:val="0"/>
          <w:bCs w:val="0"/>
          <w:sz w:val="28"/>
        </w:rPr>
        <w:t xml:space="preserve"> </w:t>
      </w:r>
      <w:r>
        <w:rPr>
          <w:rFonts w:hint="eastAsia" w:eastAsia="黑体"/>
          <w:b w:val="0"/>
          <w:bCs w:val="0"/>
          <w:sz w:val="28"/>
          <w:lang w:val="en-US" w:eastAsia="zh-CN"/>
        </w:rPr>
        <w:t>合同内容公告</w:t>
      </w:r>
    </w:p>
    <w:p w14:paraId="2D037B1F">
      <w:pPr>
        <w:pStyle w:val="20"/>
        <w:kinsoku w:val="0"/>
        <w:overflowPunct/>
        <w:spacing w:line="360" w:lineRule="auto"/>
        <w:ind w:firstLine="480" w:firstLineChars="200"/>
        <w:rPr>
          <w:rFonts w:hint="eastAsia"/>
          <w:color w:val="auto"/>
          <w:highlight w:val="none"/>
          <w:lang w:eastAsia="zh-CN"/>
        </w:rPr>
      </w:pPr>
      <w:r>
        <w:rPr>
          <w:rFonts w:hint="eastAsia"/>
          <w:color w:val="auto"/>
          <w:highlight w:val="none"/>
          <w:lang w:val="en-US" w:eastAsia="zh-CN"/>
        </w:rPr>
        <w:t>合同签订后，</w:t>
      </w:r>
      <w:r>
        <w:rPr>
          <w:color w:val="auto"/>
          <w:highlight w:val="none"/>
        </w:rPr>
        <w:t>招标人</w:t>
      </w:r>
      <w:r>
        <w:rPr>
          <w:rFonts w:hint="eastAsia"/>
          <w:color w:val="auto"/>
          <w:highlight w:val="none"/>
          <w:lang w:val="en-US" w:eastAsia="zh-CN"/>
        </w:rPr>
        <w:t>应当将合同签订情况在</w:t>
      </w:r>
      <w:r>
        <w:rPr>
          <w:color w:val="auto"/>
          <w:highlight w:val="none"/>
        </w:rPr>
        <w:t>投标人须知前附表规定的</w:t>
      </w:r>
      <w:r>
        <w:rPr>
          <w:rFonts w:hint="eastAsia"/>
          <w:color w:val="auto"/>
          <w:highlight w:val="none"/>
        </w:rPr>
        <w:t>公告</w:t>
      </w:r>
      <w:r>
        <w:rPr>
          <w:color w:val="auto"/>
          <w:highlight w:val="none"/>
        </w:rPr>
        <w:t>媒介</w:t>
      </w:r>
      <w:r>
        <w:rPr>
          <w:rFonts w:hint="eastAsia"/>
          <w:color w:val="auto"/>
          <w:highlight w:val="none"/>
        </w:rPr>
        <w:t>公告</w:t>
      </w:r>
      <w:r>
        <w:rPr>
          <w:rFonts w:hint="eastAsia"/>
          <w:color w:val="auto"/>
          <w:highlight w:val="none"/>
          <w:lang w:val="en-US" w:eastAsia="zh-CN"/>
        </w:rPr>
        <w:t>合同主要内容</w:t>
      </w:r>
      <w:r>
        <w:rPr>
          <w:color w:val="auto"/>
          <w:highlight w:val="none"/>
        </w:rPr>
        <w:t>。公告内容包括</w:t>
      </w:r>
      <w:r>
        <w:rPr>
          <w:rFonts w:hint="eastAsia"/>
          <w:color w:val="auto"/>
          <w:highlight w:val="none"/>
          <w:lang w:eastAsia="zh-CN"/>
        </w:rPr>
        <w:t>：</w:t>
      </w:r>
    </w:p>
    <w:p w14:paraId="6EF44DF4">
      <w:pPr>
        <w:pStyle w:val="20"/>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（1）项目名称、项目所在地；</w:t>
      </w:r>
    </w:p>
    <w:p w14:paraId="69261CC1">
      <w:pPr>
        <w:pStyle w:val="20"/>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（2）发包人名称、地址和电话；</w:t>
      </w:r>
    </w:p>
    <w:p w14:paraId="268149CA">
      <w:pPr>
        <w:pStyle w:val="20"/>
        <w:numPr>
          <w:ilvl w:val="-1"/>
          <w:numId w:val="0"/>
        </w:numPr>
        <w:kinsoku w:val="0"/>
        <w:overflowPunct/>
        <w:spacing w:line="360" w:lineRule="auto"/>
        <w:ind w:firstLine="480" w:firstLineChars="200"/>
        <w:rPr>
          <w:rFonts w:hint="eastAsia"/>
          <w:color w:val="auto"/>
          <w:highlight w:val="none"/>
          <w:lang w:eastAsia="zh-CN"/>
        </w:rPr>
      </w:pPr>
      <w:r>
        <w:rPr>
          <w:rFonts w:hint="eastAsia"/>
          <w:color w:val="auto"/>
          <w:highlight w:val="none"/>
          <w:lang w:val="en-US" w:eastAsia="zh-CN"/>
        </w:rPr>
        <w:t>（3）签订合同标段号、承包</w:t>
      </w:r>
      <w:r>
        <w:rPr>
          <w:color w:val="auto"/>
          <w:highlight w:val="none"/>
        </w:rPr>
        <w:t>人名称</w:t>
      </w:r>
      <w:r>
        <w:rPr>
          <w:rFonts w:hint="eastAsia"/>
          <w:color w:val="auto"/>
          <w:highlight w:val="none"/>
          <w:lang w:val="en-US" w:eastAsia="zh-CN"/>
        </w:rPr>
        <w:t>、地址和电话</w:t>
      </w:r>
      <w:r>
        <w:rPr>
          <w:rFonts w:hint="eastAsia"/>
          <w:color w:val="auto"/>
          <w:highlight w:val="none"/>
          <w:lang w:eastAsia="zh-CN"/>
        </w:rPr>
        <w:t>；</w:t>
      </w:r>
    </w:p>
    <w:p w14:paraId="2AA23445">
      <w:pPr>
        <w:pStyle w:val="20"/>
        <w:numPr>
          <w:ilvl w:val="-1"/>
          <w:numId w:val="0"/>
        </w:numPr>
        <w:kinsoku w:val="0"/>
        <w:overflowPunct/>
        <w:spacing w:line="360" w:lineRule="auto"/>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签订合同日期、合同</w:t>
      </w:r>
      <w:r>
        <w:rPr>
          <w:color w:val="auto"/>
          <w:highlight w:val="none"/>
        </w:rPr>
        <w:t>价</w:t>
      </w:r>
      <w:r>
        <w:rPr>
          <w:rFonts w:hint="eastAsia"/>
          <w:color w:val="auto"/>
          <w:highlight w:val="none"/>
          <w:lang w:eastAsia="zh-CN"/>
        </w:rPr>
        <w:t>、</w:t>
      </w:r>
      <w:r>
        <w:rPr>
          <w:rFonts w:hint="eastAsia"/>
          <w:color w:val="auto"/>
          <w:highlight w:val="none"/>
          <w:lang w:val="en-US" w:eastAsia="zh-CN"/>
        </w:rPr>
        <w:t>合同工期；</w:t>
      </w:r>
    </w:p>
    <w:p w14:paraId="6C38D928">
      <w:pPr>
        <w:pStyle w:val="20"/>
        <w:numPr>
          <w:ilvl w:val="-1"/>
          <w:numId w:val="0"/>
        </w:numPr>
        <w:kinsoku w:val="0"/>
        <w:overflowPunct/>
        <w:spacing w:line="360" w:lineRule="auto"/>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lang w:val="en-US" w:eastAsia="zh-CN"/>
        </w:rPr>
        <w:t>履约担保形式、金额及提交情况；</w:t>
      </w:r>
    </w:p>
    <w:p w14:paraId="0919BC3A">
      <w:pPr>
        <w:pStyle w:val="20"/>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（6）主要人员的姓名、证件及证号；</w:t>
      </w:r>
    </w:p>
    <w:p w14:paraId="3CB9944D">
      <w:pPr>
        <w:pStyle w:val="20"/>
        <w:numPr>
          <w:ilvl w:val="-1"/>
          <w:numId w:val="0"/>
        </w:numPr>
        <w:kinsoku w:val="0"/>
        <w:overflowPunct/>
        <w:spacing w:line="360" w:lineRule="auto"/>
        <w:ind w:firstLine="480" w:firstLineChars="200"/>
        <w:rPr>
          <w:color w:val="auto"/>
          <w:highlight w:val="none"/>
        </w:rPr>
      </w:pPr>
      <w:r>
        <w:rPr>
          <w:rFonts w:hint="eastAsia"/>
          <w:color w:val="auto"/>
          <w:highlight w:val="none"/>
          <w:lang w:val="en-US" w:eastAsia="zh-CN"/>
        </w:rPr>
        <w:t>（7）主要合同工作内容：填写承建合同段的总承包范围、建设规模及主要技术指标；</w:t>
      </w:r>
    </w:p>
    <w:p w14:paraId="56A6C5FC">
      <w:pPr>
        <w:pStyle w:val="20"/>
        <w:kinsoku w:val="0"/>
        <w:spacing w:line="360" w:lineRule="auto"/>
        <w:ind w:firstLine="480" w:firstLineChars="200"/>
        <w:rPr>
          <w:rFonts w:hint="eastAsia" w:cs="宋体"/>
          <w:color w:val="000000" w:themeColor="text1"/>
          <w14:textFill>
            <w14:solidFill>
              <w14:schemeClr w14:val="tx1"/>
            </w14:solidFill>
          </w14:textFill>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color w:val="auto"/>
          <w:highlight w:val="none"/>
          <w:lang w:val="en-US" w:eastAsia="zh-CN"/>
        </w:rPr>
        <w:t>应注明是否为第一中标候选人及不选择第一中标候选人的理由。</w:t>
      </w:r>
    </w:p>
    <w:p w14:paraId="4B7C7727">
      <w:pPr>
        <w:pStyle w:val="3"/>
        <w:spacing w:before="240" w:after="240" w:line="360" w:lineRule="auto"/>
        <w:jc w:val="left"/>
        <w:rPr>
          <w:rFonts w:ascii="Arial"/>
          <w:b/>
          <w:sz w:val="28"/>
          <w:szCs w:val="32"/>
        </w:rPr>
      </w:pPr>
      <w:bookmarkStart w:id="535" w:name="_Toc501257111"/>
      <w:bookmarkStart w:id="536" w:name="_Toc27060707"/>
      <w:bookmarkStart w:id="537" w:name="_Toc27059719"/>
      <w:bookmarkStart w:id="538" w:name="_Toc53685634"/>
      <w:bookmarkStart w:id="539" w:name="_Toc27059911"/>
      <w:bookmarkStart w:id="540" w:name="_Toc27059538"/>
      <w:bookmarkStart w:id="541" w:name="_Toc27059809"/>
      <w:bookmarkStart w:id="542" w:name="_Toc234832918"/>
      <w:r>
        <w:rPr>
          <w:rFonts w:ascii="Arial"/>
          <w:b/>
          <w:sz w:val="28"/>
          <w:szCs w:val="32"/>
        </w:rPr>
        <w:t xml:space="preserve">8. </w:t>
      </w:r>
      <w:r>
        <w:rPr>
          <w:rFonts w:hint="default" w:ascii="Arial"/>
          <w:b/>
          <w:sz w:val="28"/>
          <w:szCs w:val="32"/>
        </w:rPr>
        <w:t>纪律和监督</w:t>
      </w:r>
      <w:bookmarkEnd w:id="535"/>
      <w:bookmarkEnd w:id="536"/>
      <w:bookmarkEnd w:id="537"/>
      <w:bookmarkEnd w:id="538"/>
      <w:bookmarkEnd w:id="539"/>
      <w:bookmarkEnd w:id="540"/>
      <w:bookmarkEnd w:id="541"/>
      <w:bookmarkEnd w:id="542"/>
    </w:p>
    <w:p w14:paraId="377242F7">
      <w:pPr>
        <w:pStyle w:val="4"/>
        <w:spacing w:before="0" w:beforeLines="-2147483648" w:after="0" w:afterLines="-2147483648" w:line="360" w:lineRule="auto"/>
        <w:jc w:val="both"/>
        <w:rPr>
          <w:rFonts w:eastAsia="黑体"/>
          <w:b w:val="0"/>
          <w:bCs w:val="0"/>
          <w:sz w:val="28"/>
        </w:rPr>
      </w:pPr>
      <w:bookmarkStart w:id="543" w:name="_Toc27060708"/>
      <w:bookmarkStart w:id="544" w:name="_Toc27059912"/>
      <w:bookmarkStart w:id="545" w:name="_Toc27059720"/>
      <w:bookmarkStart w:id="546" w:name="_Toc501257112"/>
      <w:bookmarkStart w:id="547" w:name="_Toc27059810"/>
      <w:bookmarkStart w:id="548" w:name="_Toc53685635"/>
      <w:bookmarkStart w:id="549" w:name="_Toc27059539"/>
      <w:bookmarkStart w:id="550" w:name="_Toc234832919"/>
      <w:r>
        <w:rPr>
          <w:rFonts w:eastAsia="黑体"/>
          <w:b w:val="0"/>
          <w:bCs w:val="0"/>
          <w:sz w:val="28"/>
        </w:rPr>
        <w:t xml:space="preserve">8.1 </w:t>
      </w:r>
      <w:r>
        <w:rPr>
          <w:rFonts w:hint="eastAsia" w:eastAsia="黑体"/>
          <w:b w:val="0"/>
          <w:bCs w:val="0"/>
          <w:sz w:val="28"/>
        </w:rPr>
        <w:t>对招标人的纪律要求</w:t>
      </w:r>
      <w:bookmarkEnd w:id="543"/>
      <w:bookmarkEnd w:id="544"/>
      <w:bookmarkEnd w:id="545"/>
      <w:bookmarkEnd w:id="546"/>
      <w:bookmarkEnd w:id="547"/>
      <w:bookmarkEnd w:id="548"/>
      <w:bookmarkEnd w:id="549"/>
      <w:bookmarkEnd w:id="550"/>
    </w:p>
    <w:p w14:paraId="592259C0">
      <w:pPr>
        <w:pStyle w:val="4"/>
        <w:spacing w:before="0" w:beforeLines="0" w:after="0" w:afterLines="0" w:line="360" w:lineRule="auto"/>
        <w:ind w:firstLine="480" w:firstLineChars="200"/>
        <w:jc w:val="both"/>
        <w:rPr>
          <w:rFonts w:eastAsia="宋体"/>
          <w:b w:val="0"/>
          <w:bCs w:val="0"/>
          <w:sz w:val="24"/>
          <w:szCs w:val="24"/>
        </w:rPr>
      </w:pPr>
      <w:r>
        <w:rPr>
          <w:b w:val="0"/>
          <w:bCs w:val="0"/>
          <w:sz w:val="24"/>
          <w:szCs w:val="24"/>
        </w:rPr>
        <w:t>招标人不得泄</w:t>
      </w:r>
      <w:r>
        <w:rPr>
          <w:rFonts w:hint="eastAsia"/>
          <w:b w:val="0"/>
          <w:bCs w:val="0"/>
          <w:sz w:val="24"/>
          <w:szCs w:val="24"/>
        </w:rPr>
        <w:t>露</w:t>
      </w:r>
      <w:r>
        <w:rPr>
          <w:b w:val="0"/>
          <w:bCs w:val="0"/>
          <w:sz w:val="24"/>
          <w:szCs w:val="24"/>
        </w:rPr>
        <w:t>招标投标活动中应保密的情况和资料，不得与</w:t>
      </w:r>
      <w:r>
        <w:rPr>
          <w:rFonts w:eastAsia="宋体"/>
          <w:b w:val="0"/>
          <w:bCs w:val="0"/>
          <w:sz w:val="24"/>
          <w:szCs w:val="24"/>
        </w:rPr>
        <w:t>投标人串通损害国家利益、社会公共利益或他人合法权益。</w:t>
      </w:r>
    </w:p>
    <w:p w14:paraId="7F856EB5">
      <w:pPr>
        <w:pStyle w:val="4"/>
        <w:spacing w:before="0" w:beforeLines="-2147483648" w:after="0" w:afterLines="-2147483648" w:line="360" w:lineRule="auto"/>
        <w:jc w:val="both"/>
        <w:rPr>
          <w:rFonts w:eastAsia="黑体"/>
          <w:b w:val="0"/>
          <w:bCs w:val="0"/>
          <w:sz w:val="28"/>
        </w:rPr>
      </w:pPr>
      <w:bookmarkStart w:id="551" w:name="_Toc27059540"/>
      <w:bookmarkStart w:id="552" w:name="_Toc27059913"/>
      <w:bookmarkStart w:id="553" w:name="_Toc27059721"/>
      <w:bookmarkStart w:id="554" w:name="_Toc27060709"/>
      <w:bookmarkStart w:id="555" w:name="_Toc27059811"/>
      <w:bookmarkStart w:id="556" w:name="_Toc53685636"/>
      <w:bookmarkStart w:id="557" w:name="_Toc501257113"/>
      <w:bookmarkStart w:id="558" w:name="_Toc234832920"/>
      <w:r>
        <w:rPr>
          <w:rFonts w:eastAsia="黑体"/>
          <w:b w:val="0"/>
          <w:bCs w:val="0"/>
          <w:sz w:val="28"/>
        </w:rPr>
        <w:t xml:space="preserve">8.2 </w:t>
      </w:r>
      <w:r>
        <w:rPr>
          <w:rFonts w:hint="eastAsia" w:eastAsia="黑体"/>
          <w:b w:val="0"/>
          <w:bCs w:val="0"/>
          <w:sz w:val="28"/>
        </w:rPr>
        <w:t>对投标人的纪律要求</w:t>
      </w:r>
      <w:bookmarkEnd w:id="551"/>
      <w:bookmarkEnd w:id="552"/>
      <w:bookmarkEnd w:id="553"/>
      <w:bookmarkEnd w:id="554"/>
      <w:bookmarkEnd w:id="555"/>
      <w:bookmarkEnd w:id="556"/>
      <w:bookmarkEnd w:id="557"/>
      <w:bookmarkEnd w:id="558"/>
    </w:p>
    <w:p w14:paraId="65A8C08C">
      <w:pPr>
        <w:pStyle w:val="20"/>
        <w:kinsoku w:val="0"/>
        <w:overflowPunct w:val="0"/>
        <w:spacing w:line="360" w:lineRule="auto"/>
        <w:ind w:firstLine="480" w:firstLineChars="200"/>
      </w:pPr>
      <w:r>
        <w:t>投标人不得相互串通投标或与招标人串通投标，不得向招标人或评标委员会成员行贿谋取中标，不得以他人名义投标或以其他方式弄虚作假骗取中标；投标人不得以任何方式干扰、影响评标工作。</w:t>
      </w:r>
    </w:p>
    <w:p w14:paraId="25A76564">
      <w:pPr>
        <w:pStyle w:val="4"/>
        <w:spacing w:before="0" w:beforeLines="-2147483648" w:after="0" w:afterLines="-2147483648" w:line="360" w:lineRule="auto"/>
        <w:jc w:val="both"/>
        <w:rPr>
          <w:rFonts w:eastAsia="黑体"/>
          <w:b w:val="0"/>
          <w:bCs w:val="0"/>
          <w:sz w:val="28"/>
        </w:rPr>
      </w:pPr>
      <w:bookmarkStart w:id="559" w:name="_Toc27060710"/>
      <w:bookmarkStart w:id="560" w:name="_Toc501257114"/>
      <w:bookmarkStart w:id="561" w:name="_Toc27059722"/>
      <w:bookmarkStart w:id="562" w:name="_Toc234832921"/>
      <w:bookmarkStart w:id="563" w:name="_Toc27059812"/>
      <w:bookmarkStart w:id="564" w:name="_Toc27059541"/>
      <w:bookmarkStart w:id="565" w:name="_Toc53685637"/>
      <w:bookmarkStart w:id="566" w:name="_Toc27059914"/>
      <w:r>
        <w:rPr>
          <w:rFonts w:eastAsia="黑体"/>
          <w:b w:val="0"/>
          <w:bCs w:val="0"/>
          <w:sz w:val="28"/>
        </w:rPr>
        <w:t xml:space="preserve">8.3 </w:t>
      </w:r>
      <w:r>
        <w:rPr>
          <w:rFonts w:hint="eastAsia" w:eastAsia="黑体"/>
          <w:b w:val="0"/>
          <w:bCs w:val="0"/>
          <w:sz w:val="28"/>
        </w:rPr>
        <w:t>对评标委员会成员的纪律要求</w:t>
      </w:r>
      <w:bookmarkEnd w:id="559"/>
      <w:bookmarkEnd w:id="560"/>
      <w:bookmarkEnd w:id="561"/>
      <w:bookmarkEnd w:id="562"/>
      <w:bookmarkEnd w:id="563"/>
      <w:bookmarkEnd w:id="564"/>
      <w:bookmarkEnd w:id="565"/>
      <w:bookmarkEnd w:id="566"/>
    </w:p>
    <w:p w14:paraId="10608F40">
      <w:pPr>
        <w:pStyle w:val="20"/>
        <w:kinsoku w:val="0"/>
        <w:overflowPunct w:val="0"/>
        <w:spacing w:line="360" w:lineRule="auto"/>
        <w:ind w:firstLine="480" w:firstLineChars="200"/>
      </w:pPr>
      <w:r>
        <w:t>评标委员会成员不得收受他人的财物或其他好处，不得向他人</w:t>
      </w:r>
      <w:r>
        <w:rPr>
          <w:rFonts w:hint="eastAsia"/>
        </w:rPr>
        <w:t>透露</w:t>
      </w:r>
      <w:r>
        <w:t>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03135466">
      <w:pPr>
        <w:pStyle w:val="4"/>
        <w:spacing w:before="0" w:beforeLines="-2147483648" w:after="0" w:afterLines="-2147483648" w:line="360" w:lineRule="auto"/>
        <w:jc w:val="both"/>
        <w:rPr>
          <w:rFonts w:eastAsia="黑体"/>
          <w:b w:val="0"/>
          <w:bCs w:val="0"/>
          <w:sz w:val="28"/>
        </w:rPr>
      </w:pPr>
      <w:bookmarkStart w:id="567" w:name="_Toc27060711"/>
      <w:bookmarkStart w:id="568" w:name="_Toc27059542"/>
      <w:bookmarkStart w:id="569" w:name="_Toc234832922"/>
      <w:bookmarkStart w:id="570" w:name="_Toc27059723"/>
      <w:bookmarkStart w:id="571" w:name="_Toc27059813"/>
      <w:bookmarkStart w:id="572" w:name="_Toc27059915"/>
      <w:bookmarkStart w:id="573" w:name="_Toc53685638"/>
      <w:bookmarkStart w:id="574" w:name="_Toc501257115"/>
      <w:r>
        <w:rPr>
          <w:rFonts w:eastAsia="黑体"/>
          <w:b w:val="0"/>
          <w:bCs w:val="0"/>
          <w:sz w:val="28"/>
        </w:rPr>
        <w:t xml:space="preserve">8.4 </w:t>
      </w:r>
      <w:r>
        <w:rPr>
          <w:rFonts w:hint="eastAsia" w:eastAsia="黑体"/>
          <w:b w:val="0"/>
          <w:bCs w:val="0"/>
          <w:sz w:val="28"/>
        </w:rPr>
        <w:t>对与评标活动有关的工作人员的纪律要求</w:t>
      </w:r>
      <w:bookmarkEnd w:id="567"/>
      <w:bookmarkEnd w:id="568"/>
      <w:bookmarkEnd w:id="569"/>
      <w:bookmarkEnd w:id="570"/>
      <w:bookmarkEnd w:id="571"/>
      <w:bookmarkEnd w:id="572"/>
      <w:bookmarkEnd w:id="573"/>
      <w:bookmarkEnd w:id="574"/>
    </w:p>
    <w:p w14:paraId="514144F3">
      <w:pPr>
        <w:pStyle w:val="20"/>
        <w:kinsoku w:val="0"/>
        <w:overflowPunct w:val="0"/>
        <w:spacing w:line="360" w:lineRule="auto"/>
        <w:ind w:firstLine="480" w:firstLineChars="200"/>
      </w:pPr>
      <w:r>
        <w:t>与评标活动有关的工作人员不得收受他人的财物或其他好处，不得向他人</w:t>
      </w:r>
      <w:r>
        <w:rPr>
          <w:rFonts w:hint="eastAsia"/>
        </w:rPr>
        <w:t>透露</w:t>
      </w:r>
      <w:r>
        <w:t>对投标文件的评审和比较、中标候选人的推荐情况以及评标有关的其他情况。在评标活动中，与评标活动有关的工作人员不得擅离职守，影响评标程序正常进行。</w:t>
      </w:r>
    </w:p>
    <w:p w14:paraId="0551B8E0">
      <w:pPr>
        <w:pStyle w:val="4"/>
        <w:spacing w:before="0" w:beforeLines="-2147483648" w:after="0" w:afterLines="-2147483648" w:line="360" w:lineRule="auto"/>
        <w:jc w:val="both"/>
        <w:rPr>
          <w:rFonts w:eastAsia="黑体"/>
          <w:b w:val="0"/>
          <w:bCs w:val="0"/>
          <w:sz w:val="28"/>
        </w:rPr>
      </w:pPr>
      <w:bookmarkStart w:id="575" w:name="_Toc27059814"/>
      <w:bookmarkStart w:id="576" w:name="_Toc27059543"/>
      <w:bookmarkStart w:id="577" w:name="_Toc27059916"/>
      <w:bookmarkStart w:id="578" w:name="_Toc53685639"/>
      <w:bookmarkStart w:id="579" w:name="_Toc501257116"/>
      <w:bookmarkStart w:id="580" w:name="_Toc234832923"/>
      <w:bookmarkStart w:id="581" w:name="_Toc27059724"/>
      <w:bookmarkStart w:id="582" w:name="_Toc27060712"/>
      <w:r>
        <w:rPr>
          <w:rFonts w:eastAsia="黑体"/>
          <w:b w:val="0"/>
          <w:bCs w:val="0"/>
          <w:sz w:val="28"/>
        </w:rPr>
        <w:t xml:space="preserve">8.5 </w:t>
      </w:r>
      <w:r>
        <w:rPr>
          <w:rFonts w:hint="eastAsia" w:eastAsia="黑体"/>
          <w:b w:val="0"/>
          <w:bCs w:val="0"/>
          <w:sz w:val="28"/>
        </w:rPr>
        <w:t>投诉</w:t>
      </w:r>
      <w:bookmarkEnd w:id="575"/>
      <w:bookmarkEnd w:id="576"/>
      <w:bookmarkEnd w:id="577"/>
      <w:bookmarkEnd w:id="578"/>
      <w:bookmarkEnd w:id="579"/>
      <w:bookmarkEnd w:id="580"/>
      <w:bookmarkEnd w:id="581"/>
      <w:bookmarkEnd w:id="582"/>
    </w:p>
    <w:p w14:paraId="50C74F9A">
      <w:pPr>
        <w:spacing w:line="360" w:lineRule="auto"/>
        <w:ind w:firstLine="480" w:firstLineChars="200"/>
        <w:rPr>
          <w:rFonts w:ascii="宋体" w:hAnsi="宋体" w:cs="宋体"/>
          <w:sz w:val="24"/>
        </w:rPr>
      </w:pPr>
      <w:r>
        <w:rPr>
          <w:rFonts w:ascii="宋体" w:hAnsi="宋体" w:cs="宋体"/>
          <w:sz w:val="24"/>
        </w:rPr>
        <w:t>8.5.1 投标人或其他利害关系人认为招标投标活动不符合法律、行政法规规定的，可以自知道或应当知道之日起10日内向有关行政监督部门投诉。投诉应有明确的请求和必要的证明材料。</w:t>
      </w:r>
    </w:p>
    <w:p w14:paraId="47A0AE0F">
      <w:pPr>
        <w:pStyle w:val="20"/>
        <w:kinsoku w:val="0"/>
        <w:overflowPunct w:val="0"/>
        <w:spacing w:line="360" w:lineRule="auto"/>
        <w:ind w:firstLine="480" w:firstLineChars="200"/>
      </w:pPr>
      <w:r>
        <w:t>行政</w:t>
      </w:r>
      <w:r>
        <w:rPr>
          <w:rFonts w:hint="eastAsia"/>
        </w:rPr>
        <w:t>监督部门的联系方式见招标公告。</w:t>
      </w:r>
    </w:p>
    <w:p w14:paraId="1A36A3CA">
      <w:pPr>
        <w:pStyle w:val="20"/>
        <w:kinsoku w:val="0"/>
        <w:overflowPunct w:val="0"/>
        <w:spacing w:line="360" w:lineRule="auto"/>
        <w:ind w:firstLine="480" w:firstLineChars="200"/>
      </w:pPr>
      <w:r>
        <w:t>8.5.2 投标人或其他利害关系人对招标文件、开标和评标结果提出投诉的，应按照</w:t>
      </w:r>
      <w:r>
        <w:rPr>
          <w:rFonts w:hint="eastAsia"/>
        </w:rPr>
        <w:t>本章</w:t>
      </w:r>
      <w:r>
        <w:t>第2.4款、第5.4款和第7.2款的规定先向招标人提出异议。异议答复期间</w:t>
      </w:r>
      <w:bookmarkStart w:id="583" w:name="_Toc152045570"/>
      <w:bookmarkStart w:id="584" w:name="_Toc300834993"/>
      <w:bookmarkStart w:id="585" w:name="_Toc12776"/>
      <w:bookmarkStart w:id="586" w:name="_Toc152042346"/>
      <w:bookmarkStart w:id="587" w:name="_Toc352691517"/>
      <w:bookmarkStart w:id="588" w:name="_Toc384308255"/>
      <w:bookmarkStart w:id="589" w:name="_Toc369531561"/>
      <w:bookmarkStart w:id="590" w:name="_Toc144974538"/>
      <w:bookmarkStart w:id="591" w:name="_Toc361508630"/>
      <w:bookmarkStart w:id="592" w:name="_Toc247513994"/>
      <w:bookmarkStart w:id="593" w:name="_Toc247527595"/>
      <w:r>
        <w:t>不计算在第8.5.</w:t>
      </w:r>
      <w:bookmarkEnd w:id="583"/>
      <w:bookmarkEnd w:id="584"/>
      <w:bookmarkEnd w:id="585"/>
      <w:bookmarkEnd w:id="586"/>
      <w:bookmarkEnd w:id="587"/>
      <w:bookmarkEnd w:id="588"/>
      <w:bookmarkEnd w:id="589"/>
      <w:bookmarkEnd w:id="590"/>
      <w:bookmarkEnd w:id="591"/>
      <w:bookmarkEnd w:id="592"/>
      <w:bookmarkEnd w:id="593"/>
      <w:r>
        <w:t>1项规定的期限内。</w:t>
      </w:r>
      <w:bookmarkStart w:id="594" w:name="_Toc234832924"/>
      <w:bookmarkStart w:id="595" w:name="_Toc501257118"/>
    </w:p>
    <w:p w14:paraId="28F29F31">
      <w:pPr>
        <w:pStyle w:val="3"/>
        <w:spacing w:before="240" w:after="240" w:line="360" w:lineRule="auto"/>
        <w:jc w:val="left"/>
        <w:rPr>
          <w:rFonts w:hint="default" w:ascii="Arial" w:eastAsia="黑体"/>
          <w:b/>
          <w:bCs w:val="0"/>
          <w:color w:val="auto"/>
          <w:sz w:val="28"/>
          <w:szCs w:val="32"/>
          <w:highlight w:val="none"/>
          <w:lang w:val="en-US" w:eastAsia="zh-CN"/>
        </w:rPr>
      </w:pPr>
      <w:bookmarkStart w:id="596" w:name="_Toc27059815"/>
      <w:bookmarkStart w:id="597" w:name="_Toc27059544"/>
      <w:bookmarkStart w:id="598" w:name="_Toc27059917"/>
      <w:bookmarkStart w:id="599" w:name="_Toc27059725"/>
      <w:bookmarkStart w:id="600" w:name="_Toc53685640"/>
      <w:bookmarkStart w:id="601" w:name="_Toc27060713"/>
      <w:r>
        <w:rPr>
          <w:rFonts w:ascii="Arial"/>
          <w:b/>
          <w:bCs w:val="0"/>
          <w:sz w:val="28"/>
          <w:szCs w:val="32"/>
        </w:rPr>
        <w:t>9.</w:t>
      </w:r>
      <w:r>
        <w:rPr>
          <w:rFonts w:hint="default" w:ascii="Arial"/>
          <w:b/>
          <w:bCs w:val="0"/>
          <w:color w:val="auto"/>
          <w:sz w:val="28"/>
          <w:szCs w:val="32"/>
          <w:highlight w:val="none"/>
          <w:lang w:val="en-US" w:eastAsia="zh-CN"/>
        </w:rPr>
        <w:t>是否采用电子招标投标</w:t>
      </w:r>
    </w:p>
    <w:p w14:paraId="743112DD">
      <w:pPr>
        <w:pStyle w:val="20"/>
        <w:kinsoku w:val="0"/>
        <w:overflowPunct w:val="0"/>
        <w:spacing w:before="360" w:after="240" w:line="360" w:lineRule="auto"/>
        <w:ind w:firstLine="480" w:firstLineChars="200"/>
        <w:rPr>
          <w:rFonts w:ascii="宋体"/>
          <w:b w:val="0"/>
          <w:sz w:val="24"/>
          <w:szCs w:val="24"/>
        </w:rPr>
      </w:pPr>
      <w:r>
        <w:rPr>
          <w:rFonts w:hint="default"/>
          <w:color w:val="auto"/>
          <w:highlight w:val="none"/>
          <w:lang w:val="en-US" w:eastAsia="zh-CN"/>
        </w:rPr>
        <w:t>本招标项目是否采用电子招标投标方式</w:t>
      </w:r>
      <w:r>
        <w:rPr>
          <w:color w:val="auto"/>
          <w:highlight w:val="none"/>
        </w:rPr>
        <w:t>：</w:t>
      </w:r>
      <w:r>
        <w:rPr>
          <w:rFonts w:hint="default"/>
          <w:color w:val="auto"/>
          <w:highlight w:val="none"/>
          <w:lang w:val="en-US" w:eastAsia="zh-CN"/>
        </w:rPr>
        <w:t>是</w:t>
      </w:r>
      <w:r>
        <w:rPr>
          <w:color w:val="auto"/>
          <w:highlight w:val="none"/>
        </w:rPr>
        <w:t>。</w:t>
      </w:r>
    </w:p>
    <w:p w14:paraId="06D7E597">
      <w:pPr>
        <w:pStyle w:val="3"/>
        <w:spacing w:before="240" w:beforeLines="-2147483648" w:after="0" w:afterLines="-2147483648"/>
        <w:jc w:val="left"/>
        <w:rPr>
          <w:rFonts w:eastAsia="黑体"/>
          <w:b/>
          <w:bCs w:val="0"/>
          <w:sz w:val="28"/>
        </w:rPr>
      </w:pPr>
      <w:r>
        <w:rPr>
          <w:rFonts w:hint="default" w:eastAsia="黑体"/>
          <w:b/>
          <w:bCs w:val="0"/>
          <w:sz w:val="28"/>
          <w:lang w:val="en-US" w:eastAsia="zh-CN"/>
        </w:rPr>
        <w:t>10.</w:t>
      </w:r>
      <w:r>
        <w:rPr>
          <w:rFonts w:hint="default" w:eastAsia="黑体"/>
          <w:b/>
          <w:bCs w:val="0"/>
          <w:sz w:val="28"/>
        </w:rPr>
        <w:t>需要补充的其他内容</w:t>
      </w:r>
      <w:bookmarkEnd w:id="594"/>
      <w:bookmarkEnd w:id="595"/>
      <w:bookmarkEnd w:id="596"/>
      <w:bookmarkEnd w:id="597"/>
      <w:bookmarkEnd w:id="598"/>
      <w:bookmarkEnd w:id="599"/>
      <w:bookmarkEnd w:id="600"/>
      <w:bookmarkEnd w:id="601"/>
    </w:p>
    <w:p w14:paraId="559466E3">
      <w:pPr>
        <w:pStyle w:val="20"/>
        <w:kinsoku w:val="0"/>
        <w:overflowPunct w:val="0"/>
        <w:spacing w:line="360" w:lineRule="auto"/>
        <w:ind w:firstLine="480" w:firstLineChars="200"/>
      </w:pPr>
      <w:r>
        <w:t>需要补充的其他内容：见投标人须知前附表。</w:t>
      </w:r>
    </w:p>
    <w:p w14:paraId="51815CD3">
      <w:pPr>
        <w:pStyle w:val="20"/>
        <w:kinsoku w:val="0"/>
        <w:overflowPunct w:val="0"/>
        <w:spacing w:line="287" w:lineRule="auto"/>
        <w:ind w:right="104" w:firstLine="479"/>
        <w:rPr>
          <w:spacing w:val="-1"/>
        </w:rPr>
      </w:pPr>
    </w:p>
    <w:bookmarkEnd w:id="512"/>
    <w:p w14:paraId="6CD13CED">
      <w:pPr>
        <w:pStyle w:val="3"/>
        <w:spacing w:before="0" w:beforeLines="0" w:after="0" w:afterLines="0" w:line="360" w:lineRule="auto"/>
        <w:rPr>
          <w:b w:val="0"/>
          <w:sz w:val="24"/>
          <w:szCs w:val="24"/>
        </w:rPr>
      </w:pPr>
      <w:bookmarkStart w:id="602" w:name="_Toc234382644"/>
      <w:r>
        <w:rPr>
          <w:rFonts w:ascii="宋体" w:hAnsi="宋体"/>
          <w:b w:val="0"/>
          <w:sz w:val="30"/>
          <w:szCs w:val="30"/>
        </w:rPr>
        <w:br w:type="page"/>
      </w:r>
      <w:bookmarkStart w:id="603" w:name="_Toc53685641"/>
      <w:r>
        <w:rPr>
          <w:rFonts w:hint="eastAsia"/>
          <w:b w:val="0"/>
          <w:sz w:val="28"/>
          <w:szCs w:val="28"/>
        </w:rPr>
        <w:t>附件一</w:t>
      </w:r>
      <w:r>
        <w:rPr>
          <w:b w:val="0"/>
          <w:sz w:val="28"/>
          <w:szCs w:val="28"/>
        </w:rPr>
        <w:t xml:space="preserve">  </w:t>
      </w:r>
      <w:r>
        <w:rPr>
          <w:rFonts w:hint="eastAsia"/>
          <w:b w:val="0"/>
          <w:sz w:val="28"/>
          <w:szCs w:val="28"/>
        </w:rPr>
        <w:t>开标记录表</w:t>
      </w:r>
      <w:bookmarkEnd w:id="602"/>
      <w:bookmarkEnd w:id="603"/>
    </w:p>
    <w:p w14:paraId="7B67AA54">
      <w:pPr>
        <w:spacing w:line="360" w:lineRule="auto"/>
        <w:jc w:val="center"/>
        <w:rPr>
          <w:rFonts w:ascii="黑体" w:hAnsi="黑体" w:eastAsia="黑体" w:cs="宋体"/>
          <w:sz w:val="28"/>
          <w:szCs w:val="28"/>
        </w:rPr>
      </w:pPr>
      <w:bookmarkStart w:id="604" w:name="_Toc513555569"/>
      <w:bookmarkStart w:id="605" w:name="_Toc513556646"/>
      <w:bookmarkStart w:id="606" w:name="_Toc513555813"/>
      <w:bookmarkStart w:id="607" w:name="_Toc519601470"/>
      <w:bookmarkStart w:id="608" w:name="_Toc509828634"/>
      <w:r>
        <w:rPr>
          <w:rFonts w:hint="eastAsia" w:ascii="黑体" w:hAnsi="黑体" w:eastAsia="黑体" w:cs="黑体"/>
          <w:sz w:val="28"/>
          <w:szCs w:val="28"/>
        </w:rPr>
        <w:t>_</w:t>
      </w:r>
      <w:r>
        <w:rPr>
          <w:rFonts w:ascii="黑体" w:hAnsi="黑体" w:eastAsia="黑体" w:cs="黑体"/>
          <w:sz w:val="28"/>
          <w:szCs w:val="28"/>
        </w:rPr>
        <w:t>____</w:t>
      </w:r>
      <w:r>
        <w:rPr>
          <w:rFonts w:hint="eastAsia" w:ascii="黑体" w:hAnsi="黑体" w:eastAsia="黑体" w:cs="宋体"/>
          <w:sz w:val="28"/>
          <w:szCs w:val="28"/>
        </w:rPr>
        <w:t>（招标项目名称）</w:t>
      </w:r>
      <w:r>
        <w:rPr>
          <w:rFonts w:hint="eastAsia" w:ascii="黑体" w:hAnsi="黑体" w:eastAsia="黑体" w:cs="宋体"/>
          <w:sz w:val="28"/>
          <w:szCs w:val="28"/>
          <w:lang w:val="en-US" w:eastAsia="zh-CN"/>
        </w:rPr>
        <w:t>设计施工总承包</w:t>
      </w:r>
      <w:r>
        <w:rPr>
          <w:rFonts w:ascii="黑体" w:hAnsi="黑体" w:eastAsia="黑体" w:cs="宋体"/>
          <w:sz w:val="28"/>
          <w:szCs w:val="28"/>
          <w:u w:val="single"/>
        </w:rPr>
        <w:t xml:space="preserve">    </w:t>
      </w:r>
      <w:r>
        <w:rPr>
          <w:rFonts w:hint="eastAsia" w:ascii="黑体" w:hAnsi="黑体" w:eastAsia="黑体" w:cs="宋体"/>
          <w:sz w:val="28"/>
          <w:szCs w:val="28"/>
        </w:rPr>
        <w:t>标段第一个信封（商务及技术文件）</w:t>
      </w:r>
      <w:bookmarkEnd w:id="604"/>
      <w:bookmarkEnd w:id="605"/>
      <w:bookmarkEnd w:id="606"/>
      <w:bookmarkEnd w:id="607"/>
    </w:p>
    <w:p w14:paraId="6AD6BA3F">
      <w:pPr>
        <w:spacing w:line="360" w:lineRule="auto"/>
        <w:jc w:val="center"/>
        <w:rPr>
          <w:rFonts w:ascii="黑体" w:hAnsi="黑体" w:eastAsia="黑体"/>
          <w:sz w:val="30"/>
          <w:szCs w:val="30"/>
          <w:vertAlign w:val="superscript"/>
        </w:rPr>
      </w:pPr>
      <w:bookmarkStart w:id="609" w:name="_Toc513556647"/>
      <w:bookmarkStart w:id="610" w:name="_Toc513555570"/>
      <w:bookmarkStart w:id="611" w:name="_Toc519601471"/>
      <w:bookmarkStart w:id="612" w:name="_Toc513555814"/>
      <w:r>
        <w:rPr>
          <w:rFonts w:hint="eastAsia" w:ascii="黑体" w:hAnsi="黑体" w:eastAsia="黑体" w:cs="宋体"/>
          <w:sz w:val="28"/>
          <w:szCs w:val="28"/>
        </w:rPr>
        <w:t>开标记录表</w:t>
      </w:r>
      <w:bookmarkEnd w:id="608"/>
      <w:bookmarkEnd w:id="609"/>
      <w:bookmarkEnd w:id="610"/>
      <w:bookmarkEnd w:id="611"/>
      <w:bookmarkEnd w:id="612"/>
    </w:p>
    <w:p w14:paraId="29762E61">
      <w:pPr>
        <w:pStyle w:val="26"/>
        <w:rPr>
          <w:rFonts w:hAnsi="宋体"/>
        </w:rPr>
      </w:pPr>
      <w:r>
        <w:rPr>
          <w:rFonts w:hAnsi="宋体"/>
        </w:rPr>
        <w:t xml:space="preserve">   </w:t>
      </w:r>
    </w:p>
    <w:p w14:paraId="320B5F01">
      <w:pPr>
        <w:spacing w:before="120" w:beforeLines="50" w:after="120" w:afterLines="50"/>
        <w:jc w:val="left"/>
        <w:rPr>
          <w:rFonts w:ascii="宋体" w:hAnsi="宋体" w:eastAsia="宋体"/>
          <w:b w:val="0"/>
          <w:sz w:val="28"/>
          <w:szCs w:val="28"/>
        </w:rPr>
      </w:pPr>
      <w:bookmarkStart w:id="613" w:name="_Toc27059728"/>
      <w:bookmarkStart w:id="614" w:name="_Toc27059818"/>
      <w:bookmarkStart w:id="615" w:name="_Toc27059920"/>
      <w:bookmarkStart w:id="616" w:name="_Toc53685642"/>
      <w:bookmarkStart w:id="617" w:name="_Toc27060716"/>
      <w:bookmarkStart w:id="618" w:name="_Toc27059547"/>
      <w:r>
        <w:rPr>
          <w:rFonts w:ascii="宋体" w:hAnsi="宋体" w:eastAsia="宋体"/>
          <w:b w:val="0"/>
          <w:sz w:val="24"/>
        </w:rPr>
        <w:t>开标时间：</w:t>
      </w:r>
      <w:r>
        <w:rPr>
          <w:rFonts w:ascii="宋体" w:hAnsi="宋体" w:eastAsia="宋体"/>
          <w:b w:val="0"/>
          <w:sz w:val="24"/>
          <w:u w:val="single"/>
        </w:rPr>
        <w:t xml:space="preserve">      </w:t>
      </w:r>
      <w:r>
        <w:rPr>
          <w:rFonts w:ascii="宋体" w:hAnsi="宋体" w:eastAsia="宋体"/>
          <w:b w:val="0"/>
          <w:sz w:val="24"/>
        </w:rPr>
        <w:t>年</w:t>
      </w:r>
      <w:r>
        <w:rPr>
          <w:rFonts w:ascii="宋体" w:hAnsi="宋体" w:eastAsia="宋体"/>
          <w:b w:val="0"/>
          <w:sz w:val="24"/>
          <w:u w:val="single"/>
        </w:rPr>
        <w:t xml:space="preserve">    </w:t>
      </w:r>
      <w:r>
        <w:rPr>
          <w:rFonts w:ascii="宋体" w:hAnsi="宋体" w:eastAsia="宋体"/>
          <w:b w:val="0"/>
          <w:sz w:val="24"/>
        </w:rPr>
        <w:t>月</w:t>
      </w:r>
      <w:r>
        <w:rPr>
          <w:rFonts w:ascii="宋体" w:hAnsi="宋体" w:eastAsia="宋体"/>
          <w:b w:val="0"/>
          <w:sz w:val="24"/>
          <w:u w:val="single"/>
        </w:rPr>
        <w:t xml:space="preserve">    </w:t>
      </w:r>
      <w:r>
        <w:rPr>
          <w:rFonts w:ascii="宋体" w:hAnsi="宋体" w:eastAsia="宋体"/>
          <w:b w:val="0"/>
          <w:sz w:val="24"/>
        </w:rPr>
        <w:t>日</w:t>
      </w:r>
      <w:r>
        <w:rPr>
          <w:rFonts w:ascii="宋体" w:hAnsi="宋体" w:eastAsia="宋体"/>
          <w:b w:val="0"/>
          <w:sz w:val="24"/>
          <w:u w:val="single"/>
        </w:rPr>
        <w:t xml:space="preserve">    </w:t>
      </w:r>
      <w:r>
        <w:rPr>
          <w:rFonts w:ascii="宋体" w:hAnsi="宋体" w:eastAsia="宋体"/>
          <w:b w:val="0"/>
          <w:sz w:val="24"/>
        </w:rPr>
        <w:t>时</w:t>
      </w:r>
      <w:r>
        <w:rPr>
          <w:rFonts w:ascii="宋体" w:hAnsi="宋体" w:eastAsia="宋体"/>
          <w:b w:val="0"/>
          <w:sz w:val="24"/>
          <w:u w:val="single"/>
        </w:rPr>
        <w:t xml:space="preserve">    </w:t>
      </w:r>
      <w:r>
        <w:rPr>
          <w:rFonts w:ascii="宋体" w:hAnsi="宋体" w:eastAsia="宋体"/>
          <w:b w:val="0"/>
          <w:sz w:val="24"/>
        </w:rPr>
        <w:t>分</w:t>
      </w:r>
      <w:bookmarkEnd w:id="613"/>
      <w:bookmarkEnd w:id="614"/>
      <w:bookmarkEnd w:id="615"/>
      <w:bookmarkEnd w:id="616"/>
      <w:bookmarkEnd w:id="617"/>
      <w:bookmarkEnd w:id="618"/>
    </w:p>
    <w:tbl>
      <w:tblPr>
        <w:tblStyle w:val="49"/>
        <w:tblW w:w="8803" w:type="dxa"/>
        <w:jc w:val="center"/>
        <w:tblLayout w:type="fixed"/>
        <w:tblCellMar>
          <w:top w:w="0" w:type="dxa"/>
          <w:left w:w="0" w:type="dxa"/>
          <w:bottom w:w="0" w:type="dxa"/>
          <w:right w:w="0" w:type="dxa"/>
        </w:tblCellMar>
      </w:tblPr>
      <w:tblGrid>
        <w:gridCol w:w="815"/>
        <w:gridCol w:w="2267"/>
        <w:gridCol w:w="3174"/>
        <w:gridCol w:w="1470"/>
        <w:gridCol w:w="1077"/>
      </w:tblGrid>
      <w:tr w14:paraId="5A1DFB7D">
        <w:trPr>
          <w:trHeight w:val="82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1D1284F2">
            <w:pPr>
              <w:spacing w:line="400" w:lineRule="exact"/>
              <w:jc w:val="center"/>
              <w:rPr>
                <w:rFonts w:ascii="宋体" w:hAnsi="宋体"/>
                <w:szCs w:val="21"/>
              </w:rPr>
            </w:pPr>
            <w:r>
              <w:rPr>
                <w:rFonts w:hint="eastAsia" w:ascii="宋体" w:hAnsi="宋体"/>
                <w:szCs w:val="21"/>
              </w:rPr>
              <w:t>序号</w:t>
            </w:r>
          </w:p>
        </w:tc>
        <w:tc>
          <w:tcPr>
            <w:tcW w:w="2267" w:type="dxa"/>
            <w:tcBorders>
              <w:top w:val="single" w:color="000000" w:sz="4" w:space="0"/>
              <w:left w:val="single" w:color="000000" w:sz="4" w:space="0"/>
              <w:bottom w:val="single" w:color="000000" w:sz="4" w:space="0"/>
              <w:right w:val="single" w:color="000000" w:sz="4" w:space="0"/>
            </w:tcBorders>
            <w:vAlign w:val="center"/>
          </w:tcPr>
          <w:p w14:paraId="21F1A64E">
            <w:pPr>
              <w:spacing w:line="400" w:lineRule="exact"/>
              <w:jc w:val="center"/>
              <w:rPr>
                <w:rFonts w:ascii="宋体" w:hAnsi="宋体"/>
                <w:szCs w:val="21"/>
              </w:rPr>
            </w:pPr>
            <w:r>
              <w:rPr>
                <w:rFonts w:hint="eastAsia" w:ascii="宋体" w:hAnsi="宋体"/>
                <w:szCs w:val="21"/>
              </w:rPr>
              <w:t>投标人名称</w:t>
            </w:r>
          </w:p>
        </w:tc>
        <w:tc>
          <w:tcPr>
            <w:tcW w:w="3174" w:type="dxa"/>
            <w:tcBorders>
              <w:top w:val="single" w:color="000000" w:sz="4" w:space="0"/>
              <w:left w:val="single" w:color="000000" w:sz="4" w:space="0"/>
              <w:bottom w:val="single" w:color="000000" w:sz="4" w:space="0"/>
              <w:right w:val="single" w:color="000000" w:sz="4" w:space="0"/>
            </w:tcBorders>
            <w:vAlign w:val="center"/>
          </w:tcPr>
          <w:p w14:paraId="794C2DFF">
            <w:pPr>
              <w:spacing w:line="400" w:lineRule="exact"/>
              <w:jc w:val="center"/>
              <w:rPr>
                <w:rFonts w:ascii="宋体" w:hAnsi="宋体"/>
                <w:szCs w:val="21"/>
              </w:rPr>
            </w:pPr>
            <w:r>
              <w:rPr>
                <w:rFonts w:hint="eastAsia" w:ascii="宋体" w:hAnsi="宋体"/>
                <w:szCs w:val="21"/>
              </w:rPr>
              <w:t>投标保证金提交情况</w:t>
            </w:r>
          </w:p>
        </w:tc>
        <w:tc>
          <w:tcPr>
            <w:tcW w:w="1470" w:type="dxa"/>
            <w:tcBorders>
              <w:top w:val="single" w:color="000000" w:sz="4" w:space="0"/>
              <w:left w:val="single" w:color="auto" w:sz="4" w:space="0"/>
              <w:bottom w:val="single" w:color="000000" w:sz="4" w:space="0"/>
              <w:right w:val="single" w:color="auto" w:sz="4" w:space="0"/>
            </w:tcBorders>
            <w:vAlign w:val="center"/>
          </w:tcPr>
          <w:p w14:paraId="43CF2616">
            <w:pPr>
              <w:spacing w:line="400" w:lineRule="exact"/>
              <w:jc w:val="center"/>
              <w:rPr>
                <w:rFonts w:ascii="宋体" w:hAnsi="宋体"/>
                <w:szCs w:val="21"/>
              </w:rPr>
            </w:pPr>
            <w:r>
              <w:rPr>
                <w:rFonts w:hint="eastAsia" w:ascii="宋体" w:hAnsi="宋体"/>
                <w:szCs w:val="21"/>
              </w:rPr>
              <w:t>工期</w:t>
            </w:r>
          </w:p>
        </w:tc>
        <w:tc>
          <w:tcPr>
            <w:tcW w:w="1077" w:type="dxa"/>
            <w:tcBorders>
              <w:top w:val="single" w:color="000000" w:sz="4" w:space="0"/>
              <w:left w:val="single" w:color="auto" w:sz="4" w:space="0"/>
              <w:bottom w:val="single" w:color="000000" w:sz="4" w:space="0"/>
              <w:right w:val="single" w:color="000000" w:sz="4" w:space="0"/>
            </w:tcBorders>
            <w:vAlign w:val="center"/>
          </w:tcPr>
          <w:p w14:paraId="6EF2FBB3">
            <w:pPr>
              <w:spacing w:line="400" w:lineRule="exact"/>
              <w:jc w:val="center"/>
              <w:rPr>
                <w:rFonts w:ascii="宋体" w:hAnsi="宋体"/>
                <w:szCs w:val="21"/>
              </w:rPr>
            </w:pPr>
            <w:r>
              <w:rPr>
                <w:rFonts w:hint="eastAsia" w:ascii="宋体" w:hAnsi="宋体"/>
                <w:szCs w:val="21"/>
              </w:rPr>
              <w:t>备注</w:t>
            </w:r>
          </w:p>
        </w:tc>
      </w:tr>
      <w:tr w14:paraId="1D5609E3">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2951E248">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3024D1AE">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1A13BA42">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154A1720">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40BD7A23">
            <w:pPr>
              <w:spacing w:line="400" w:lineRule="exact"/>
              <w:jc w:val="center"/>
              <w:rPr>
                <w:rFonts w:ascii="宋体" w:hAnsi="宋体"/>
                <w:szCs w:val="21"/>
              </w:rPr>
            </w:pPr>
          </w:p>
        </w:tc>
      </w:tr>
      <w:tr w14:paraId="2E5C6FB8">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468B5E58">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6ECA2B3C">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3A7D937E">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3E37ECC3">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6B50B47B">
            <w:pPr>
              <w:spacing w:line="400" w:lineRule="exact"/>
              <w:jc w:val="center"/>
              <w:rPr>
                <w:rFonts w:ascii="宋体" w:hAnsi="宋体"/>
                <w:szCs w:val="21"/>
              </w:rPr>
            </w:pPr>
          </w:p>
        </w:tc>
      </w:tr>
      <w:tr w14:paraId="230E270D">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0AC35A8A">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2946DA70">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2B789EF6">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604CFCB6">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6B0BCB5B">
            <w:pPr>
              <w:spacing w:line="400" w:lineRule="exact"/>
              <w:jc w:val="center"/>
              <w:rPr>
                <w:rFonts w:ascii="宋体" w:hAnsi="宋体"/>
                <w:szCs w:val="21"/>
              </w:rPr>
            </w:pPr>
          </w:p>
        </w:tc>
      </w:tr>
      <w:tr w14:paraId="526DF75C">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5CC69CE5">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45F9A71C">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0AF9DF88">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227C18AC">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1C404DB2">
            <w:pPr>
              <w:spacing w:line="400" w:lineRule="exact"/>
              <w:jc w:val="center"/>
              <w:rPr>
                <w:rFonts w:ascii="宋体" w:hAnsi="宋体"/>
                <w:szCs w:val="21"/>
              </w:rPr>
            </w:pPr>
          </w:p>
        </w:tc>
      </w:tr>
      <w:tr w14:paraId="5CE9CAF2">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2A8820C4">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1624C675">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0FEFC230">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6C27A8D0">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5DC6E3EA">
            <w:pPr>
              <w:spacing w:line="400" w:lineRule="exact"/>
              <w:jc w:val="center"/>
              <w:rPr>
                <w:rFonts w:ascii="宋体" w:hAnsi="宋体"/>
                <w:szCs w:val="21"/>
              </w:rPr>
            </w:pPr>
          </w:p>
        </w:tc>
      </w:tr>
      <w:tr w14:paraId="3EA562AF">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1C497B4F">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11D003EF">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4BEB7661">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251D4F8D">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233E147F">
            <w:pPr>
              <w:spacing w:line="400" w:lineRule="exact"/>
              <w:jc w:val="center"/>
              <w:rPr>
                <w:rFonts w:ascii="宋体" w:hAnsi="宋体"/>
                <w:szCs w:val="21"/>
              </w:rPr>
            </w:pPr>
          </w:p>
        </w:tc>
      </w:tr>
      <w:tr w14:paraId="0C757EDA">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41B1626A">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08799BF1">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50A774E0">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2776E438">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4D12B372">
            <w:pPr>
              <w:spacing w:line="400" w:lineRule="exact"/>
              <w:jc w:val="center"/>
              <w:rPr>
                <w:rFonts w:ascii="宋体" w:hAnsi="宋体"/>
                <w:szCs w:val="21"/>
              </w:rPr>
            </w:pPr>
          </w:p>
        </w:tc>
      </w:tr>
      <w:tr w14:paraId="7D2D82C9">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12B1A023">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14FC4F69">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6E2728D5">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0D8532E7">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0152A5CF">
            <w:pPr>
              <w:spacing w:line="400" w:lineRule="exact"/>
              <w:jc w:val="center"/>
              <w:rPr>
                <w:rFonts w:ascii="宋体" w:hAnsi="宋体"/>
                <w:szCs w:val="21"/>
              </w:rPr>
            </w:pPr>
          </w:p>
        </w:tc>
      </w:tr>
      <w:tr w14:paraId="213DBB9B">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720108EB">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7C28F04A">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6F6A27B4">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38623332">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6B95B6FC">
            <w:pPr>
              <w:spacing w:line="400" w:lineRule="exact"/>
              <w:jc w:val="center"/>
              <w:rPr>
                <w:rFonts w:ascii="宋体" w:hAnsi="宋体"/>
                <w:szCs w:val="21"/>
              </w:rPr>
            </w:pPr>
          </w:p>
        </w:tc>
      </w:tr>
      <w:tr w14:paraId="350DA850">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6B8B8A79">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6974CB81">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250C794F">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4B755403">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1C622B89">
            <w:pPr>
              <w:spacing w:line="400" w:lineRule="exact"/>
              <w:jc w:val="center"/>
              <w:rPr>
                <w:rFonts w:ascii="宋体" w:hAnsi="宋体"/>
                <w:szCs w:val="21"/>
              </w:rPr>
            </w:pPr>
          </w:p>
        </w:tc>
      </w:tr>
      <w:tr w14:paraId="6E6C10DB">
        <w:tblPrEx>
          <w:tblCellMar>
            <w:top w:w="0" w:type="dxa"/>
            <w:left w:w="0" w:type="dxa"/>
            <w:bottom w:w="0" w:type="dxa"/>
            <w:right w:w="0" w:type="dxa"/>
          </w:tblCellMar>
        </w:tblPrEx>
        <w:trPr>
          <w:trHeight w:val="592"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14:paraId="133A0E29">
            <w:pPr>
              <w:spacing w:line="400" w:lineRule="exact"/>
              <w:jc w:val="center"/>
              <w:rPr>
                <w:rFonts w:ascii="宋体" w:hAnsi="宋体"/>
                <w:szCs w:val="21"/>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1437B0DE">
            <w:pPr>
              <w:spacing w:line="400" w:lineRule="exact"/>
              <w:jc w:val="center"/>
              <w:rPr>
                <w:rFonts w:ascii="宋体" w:hAnsi="宋体"/>
                <w:szCs w:val="21"/>
              </w:rPr>
            </w:pPr>
          </w:p>
        </w:tc>
        <w:tc>
          <w:tcPr>
            <w:tcW w:w="3174" w:type="dxa"/>
            <w:tcBorders>
              <w:top w:val="single" w:color="000000" w:sz="4" w:space="0"/>
              <w:left w:val="single" w:color="000000" w:sz="4" w:space="0"/>
              <w:bottom w:val="single" w:color="000000" w:sz="4" w:space="0"/>
              <w:right w:val="single" w:color="000000" w:sz="4" w:space="0"/>
            </w:tcBorders>
            <w:vAlign w:val="center"/>
          </w:tcPr>
          <w:p w14:paraId="7F592684">
            <w:pPr>
              <w:spacing w:line="400" w:lineRule="exact"/>
              <w:jc w:val="center"/>
              <w:rPr>
                <w:rFonts w:ascii="宋体" w:hAnsi="宋体"/>
                <w:szCs w:val="21"/>
              </w:rPr>
            </w:pPr>
          </w:p>
        </w:tc>
        <w:tc>
          <w:tcPr>
            <w:tcW w:w="1470" w:type="dxa"/>
            <w:tcBorders>
              <w:top w:val="single" w:color="000000" w:sz="4" w:space="0"/>
              <w:left w:val="single" w:color="auto" w:sz="4" w:space="0"/>
              <w:bottom w:val="single" w:color="000000" w:sz="4" w:space="0"/>
              <w:right w:val="single" w:color="auto" w:sz="4" w:space="0"/>
            </w:tcBorders>
          </w:tcPr>
          <w:p w14:paraId="4AA2C365">
            <w:pPr>
              <w:spacing w:line="400" w:lineRule="exact"/>
              <w:jc w:val="center"/>
              <w:rPr>
                <w:rFonts w:ascii="宋体" w:hAnsi="宋体"/>
                <w:szCs w:val="21"/>
              </w:rPr>
            </w:pPr>
          </w:p>
        </w:tc>
        <w:tc>
          <w:tcPr>
            <w:tcW w:w="1077" w:type="dxa"/>
            <w:tcBorders>
              <w:top w:val="single" w:color="000000" w:sz="4" w:space="0"/>
              <w:left w:val="single" w:color="auto" w:sz="4" w:space="0"/>
              <w:bottom w:val="single" w:color="000000" w:sz="4" w:space="0"/>
              <w:right w:val="single" w:color="000000" w:sz="4" w:space="0"/>
            </w:tcBorders>
            <w:vAlign w:val="center"/>
          </w:tcPr>
          <w:p w14:paraId="3C4F95A4">
            <w:pPr>
              <w:spacing w:line="400" w:lineRule="exact"/>
              <w:jc w:val="center"/>
              <w:rPr>
                <w:rFonts w:ascii="宋体" w:hAnsi="宋体"/>
                <w:szCs w:val="21"/>
              </w:rPr>
            </w:pPr>
          </w:p>
        </w:tc>
      </w:tr>
    </w:tbl>
    <w:p w14:paraId="2A04215C">
      <w:pPr>
        <w:spacing w:line="360" w:lineRule="auto"/>
        <w:jc w:val="right"/>
        <w:rPr>
          <w:rFonts w:ascii="宋体" w:hAnsi="宋体"/>
          <w:sz w:val="24"/>
        </w:rPr>
      </w:pPr>
    </w:p>
    <w:p w14:paraId="29685DEC">
      <w:pPr>
        <w:spacing w:line="360" w:lineRule="auto"/>
        <w:jc w:val="right"/>
        <w:rPr>
          <w:rFonts w:ascii="宋体" w:hAnsi="宋体"/>
          <w:sz w:val="24"/>
        </w:rPr>
      </w:pPr>
    </w:p>
    <w:p w14:paraId="5A0A6017">
      <w:pPr>
        <w:tabs>
          <w:tab w:val="left" w:pos="6276"/>
        </w:tabs>
        <w:spacing w:line="360" w:lineRule="auto"/>
        <w:ind w:firstLine="240" w:firstLineChars="100"/>
        <w:rPr>
          <w:rFonts w:ascii="宋体" w:hAnsi="宋体"/>
          <w:sz w:val="24"/>
          <w:u w:val="single"/>
        </w:rPr>
      </w:pPr>
      <w:r>
        <w:rPr>
          <w:rFonts w:hint="eastAsia"/>
          <w:sz w:val="24"/>
        </w:rPr>
        <w:t>招标人</w:t>
      </w:r>
      <w:bookmarkStart w:id="619" w:name="_Hlk94089335"/>
      <w:r>
        <w:rPr>
          <w:rFonts w:hint="eastAsia" w:ascii="宋体" w:hAnsi="宋体" w:cs="宋体"/>
          <w:sz w:val="24"/>
        </w:rPr>
        <w:t>或招标代理机构</w:t>
      </w:r>
      <w:bookmarkEnd w:id="619"/>
      <w:r>
        <w:rPr>
          <w:rFonts w:ascii="宋体" w:hAnsi="宋体"/>
          <w:sz w:val="24"/>
        </w:rPr>
        <w:t>：</w:t>
      </w:r>
      <w:r>
        <w:rPr>
          <w:rFonts w:ascii="宋体" w:hAnsi="宋体"/>
          <w:sz w:val="24"/>
          <w:u w:val="single"/>
        </w:rPr>
        <w:t xml:space="preserve">          </w:t>
      </w:r>
      <w:r>
        <w:rPr>
          <w:rFonts w:hint="eastAsia" w:ascii="宋体" w:hAnsi="宋体" w:cs="宋体"/>
          <w:sz w:val="24"/>
        </w:rPr>
        <w:t>（盖单位电子印章）</w:t>
      </w:r>
      <w:r>
        <w:rPr>
          <w:rFonts w:ascii="宋体" w:hAnsi="宋体"/>
          <w:sz w:val="24"/>
        </w:rPr>
        <w:t xml:space="preserve"> </w:t>
      </w:r>
    </w:p>
    <w:p w14:paraId="752E0535">
      <w:pPr>
        <w:spacing w:line="360" w:lineRule="auto"/>
        <w:rPr>
          <w:rFonts w:ascii="黑体" w:hAnsi="黑体" w:eastAsia="黑体"/>
          <w:sz w:val="28"/>
          <w:szCs w:val="28"/>
        </w:rPr>
      </w:pPr>
      <w:r>
        <w:rPr>
          <w:rFonts w:ascii="宋体" w:hAnsi="宋体"/>
          <w:sz w:val="30"/>
          <w:szCs w:val="30"/>
        </w:rPr>
        <w:br w:type="page"/>
      </w:r>
      <w:bookmarkStart w:id="620" w:name="_Toc27059819"/>
      <w:bookmarkStart w:id="621" w:name="_Toc27060717"/>
      <w:bookmarkStart w:id="622" w:name="_Toc27059921"/>
      <w:bookmarkStart w:id="623" w:name="_Toc27059548"/>
      <w:bookmarkStart w:id="624" w:name="_Toc27059729"/>
      <w:r>
        <w:rPr>
          <w:rFonts w:ascii="黑体" w:hAnsi="黑体" w:eastAsia="黑体" w:cs="宋体"/>
          <w:sz w:val="28"/>
          <w:szCs w:val="28"/>
          <w:u w:val="single"/>
        </w:rPr>
        <w:t xml:space="preserve">     </w:t>
      </w:r>
      <w:r>
        <w:rPr>
          <w:rFonts w:hint="eastAsia" w:ascii="黑体" w:hAnsi="黑体" w:eastAsia="黑体" w:cs="宋体"/>
          <w:sz w:val="28"/>
          <w:szCs w:val="28"/>
        </w:rPr>
        <w:t>（招标项目名称）</w:t>
      </w:r>
      <w:bookmarkEnd w:id="620"/>
      <w:bookmarkEnd w:id="621"/>
      <w:bookmarkEnd w:id="622"/>
      <w:bookmarkEnd w:id="623"/>
      <w:bookmarkEnd w:id="624"/>
      <w:r>
        <w:rPr>
          <w:rFonts w:hint="eastAsia" w:ascii="黑体" w:hAnsi="黑体" w:eastAsia="黑体" w:cs="宋体"/>
          <w:sz w:val="28"/>
          <w:szCs w:val="28"/>
          <w:lang w:val="en-US" w:eastAsia="zh-CN"/>
        </w:rPr>
        <w:t>设计施工总承包</w:t>
      </w:r>
      <w:r>
        <w:rPr>
          <w:rFonts w:ascii="黑体" w:hAnsi="黑体" w:eastAsia="黑体" w:cs="宋体"/>
          <w:sz w:val="28"/>
          <w:szCs w:val="28"/>
          <w:u w:val="single"/>
        </w:rPr>
        <w:t xml:space="preserve">    </w:t>
      </w:r>
      <w:r>
        <w:rPr>
          <w:rFonts w:hint="eastAsia" w:ascii="黑体" w:hAnsi="黑体" w:eastAsia="黑体" w:cs="宋体"/>
          <w:sz w:val="28"/>
          <w:szCs w:val="28"/>
        </w:rPr>
        <w:t>标段</w:t>
      </w:r>
      <w:r>
        <w:rPr>
          <w:rFonts w:hint="eastAsia" w:ascii="黑体" w:hAnsi="黑体" w:eastAsia="黑体"/>
          <w:sz w:val="28"/>
          <w:szCs w:val="28"/>
        </w:rPr>
        <w:t>第二个信封（报价文件）</w:t>
      </w:r>
    </w:p>
    <w:p w14:paraId="626DB8DE">
      <w:pPr>
        <w:spacing w:line="360" w:lineRule="auto"/>
        <w:jc w:val="center"/>
        <w:rPr>
          <w:rFonts w:ascii="黑体" w:hAnsi="黑体" w:eastAsia="黑体"/>
          <w:sz w:val="28"/>
          <w:szCs w:val="28"/>
        </w:rPr>
      </w:pPr>
      <w:r>
        <w:rPr>
          <w:rFonts w:ascii="黑体" w:hAnsi="黑体" w:eastAsia="黑体"/>
          <w:sz w:val="28"/>
          <w:szCs w:val="28"/>
        </w:rPr>
        <w:t>开标记录表</w:t>
      </w:r>
    </w:p>
    <w:p w14:paraId="15356448">
      <w:pPr>
        <w:spacing w:line="360" w:lineRule="auto"/>
        <w:jc w:val="left"/>
        <w:rPr>
          <w:rFonts w:ascii="宋体" w:hAnsi="宋体"/>
          <w:sz w:val="24"/>
        </w:rPr>
      </w:pPr>
    </w:p>
    <w:p w14:paraId="629D2321">
      <w:pPr>
        <w:spacing w:line="360" w:lineRule="auto"/>
        <w:jc w:val="left"/>
        <w:rPr>
          <w:rFonts w:ascii="宋体" w:hAnsi="宋体"/>
          <w:sz w:val="24"/>
        </w:rPr>
      </w:pPr>
      <w:r>
        <w:rPr>
          <w:rFonts w:ascii="宋体" w:hAnsi="宋体"/>
          <w:sz w:val="24"/>
        </w:rPr>
        <w:t>开标时间：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r>
        <w:rPr>
          <w:rFonts w:ascii="宋体" w:hAnsi="宋体"/>
          <w:sz w:val="24"/>
          <w:u w:val="single"/>
        </w:rPr>
        <w:t xml:space="preserve">    </w:t>
      </w:r>
      <w:r>
        <w:rPr>
          <w:rFonts w:ascii="宋体" w:hAnsi="宋体"/>
          <w:sz w:val="24"/>
        </w:rPr>
        <w:t>时</w:t>
      </w:r>
      <w:r>
        <w:rPr>
          <w:rFonts w:ascii="宋体" w:hAnsi="宋体"/>
          <w:sz w:val="24"/>
          <w:u w:val="single"/>
        </w:rPr>
        <w:t xml:space="preserve">    </w:t>
      </w:r>
      <w:r>
        <w:rPr>
          <w:rFonts w:ascii="宋体" w:hAnsi="宋体"/>
          <w:sz w:val="24"/>
        </w:rPr>
        <w:t>分</w:t>
      </w:r>
    </w:p>
    <w:tbl>
      <w:tblPr>
        <w:tblStyle w:val="49"/>
        <w:tblW w:w="8849" w:type="dxa"/>
        <w:tblInd w:w="0" w:type="dxa"/>
        <w:tblLayout w:type="fixed"/>
        <w:tblCellMar>
          <w:top w:w="0" w:type="dxa"/>
          <w:left w:w="0" w:type="dxa"/>
          <w:bottom w:w="0" w:type="dxa"/>
          <w:right w:w="0" w:type="dxa"/>
        </w:tblCellMar>
      </w:tblPr>
      <w:tblGrid>
        <w:gridCol w:w="958"/>
        <w:gridCol w:w="2763"/>
        <w:gridCol w:w="1888"/>
        <w:gridCol w:w="2266"/>
        <w:gridCol w:w="822"/>
      </w:tblGrid>
      <w:tr w14:paraId="187992B8">
        <w:tblPrEx>
          <w:tblCellMar>
            <w:top w:w="0" w:type="dxa"/>
            <w:left w:w="0" w:type="dxa"/>
            <w:bottom w:w="0" w:type="dxa"/>
            <w:right w:w="0" w:type="dxa"/>
          </w:tblCellMar>
        </w:tblPrEx>
        <w:trPr>
          <w:trHeight w:val="782"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729241CB">
            <w:pPr>
              <w:spacing w:line="400" w:lineRule="exact"/>
              <w:jc w:val="center"/>
              <w:rPr>
                <w:rFonts w:ascii="宋体" w:hAnsi="宋体"/>
                <w:szCs w:val="21"/>
              </w:rPr>
            </w:pPr>
            <w:r>
              <w:rPr>
                <w:rFonts w:hint="eastAsia" w:ascii="宋体" w:hAnsi="宋体"/>
                <w:szCs w:val="21"/>
              </w:rPr>
              <w:t>序号</w:t>
            </w:r>
          </w:p>
        </w:tc>
        <w:tc>
          <w:tcPr>
            <w:tcW w:w="2763" w:type="dxa"/>
            <w:tcBorders>
              <w:top w:val="single" w:color="000000" w:sz="4" w:space="0"/>
              <w:left w:val="single" w:color="000000" w:sz="4" w:space="0"/>
              <w:bottom w:val="single" w:color="000000" w:sz="4" w:space="0"/>
              <w:right w:val="single" w:color="000000" w:sz="4" w:space="0"/>
            </w:tcBorders>
            <w:vAlign w:val="center"/>
          </w:tcPr>
          <w:p w14:paraId="244B2496">
            <w:pPr>
              <w:spacing w:line="400" w:lineRule="exact"/>
              <w:jc w:val="center"/>
              <w:rPr>
                <w:rFonts w:ascii="宋体" w:hAnsi="宋体"/>
                <w:szCs w:val="21"/>
              </w:rPr>
            </w:pPr>
            <w:r>
              <w:rPr>
                <w:rFonts w:hint="eastAsia" w:ascii="宋体" w:hAnsi="宋体"/>
                <w:szCs w:val="21"/>
              </w:rPr>
              <w:t>投标人名称</w:t>
            </w:r>
          </w:p>
        </w:tc>
        <w:tc>
          <w:tcPr>
            <w:tcW w:w="1888" w:type="dxa"/>
            <w:tcBorders>
              <w:top w:val="single" w:color="000000" w:sz="4" w:space="0"/>
              <w:left w:val="single" w:color="auto" w:sz="4" w:space="0"/>
              <w:bottom w:val="single" w:color="000000" w:sz="4" w:space="0"/>
              <w:right w:val="single" w:color="000000" w:sz="4" w:space="0"/>
            </w:tcBorders>
            <w:vAlign w:val="center"/>
          </w:tcPr>
          <w:p w14:paraId="758C9861">
            <w:pPr>
              <w:spacing w:line="400" w:lineRule="exact"/>
              <w:jc w:val="center"/>
              <w:rPr>
                <w:rFonts w:ascii="宋体" w:hAnsi="宋体"/>
                <w:szCs w:val="21"/>
              </w:rPr>
            </w:pPr>
            <w:r>
              <w:rPr>
                <w:rFonts w:hint="eastAsia" w:ascii="宋体" w:hAnsi="宋体"/>
                <w:szCs w:val="21"/>
              </w:rPr>
              <w:t>投标报价（元）</w:t>
            </w:r>
          </w:p>
        </w:tc>
        <w:tc>
          <w:tcPr>
            <w:tcW w:w="2266" w:type="dxa"/>
            <w:tcBorders>
              <w:top w:val="single" w:color="000000" w:sz="4" w:space="0"/>
              <w:left w:val="single" w:color="000000" w:sz="4" w:space="0"/>
              <w:bottom w:val="single" w:color="000000" w:sz="4" w:space="0"/>
              <w:right w:val="single" w:color="000000" w:sz="4" w:space="0"/>
            </w:tcBorders>
            <w:vAlign w:val="center"/>
          </w:tcPr>
          <w:p w14:paraId="3EADC27B">
            <w:pPr>
              <w:spacing w:line="400" w:lineRule="exact"/>
              <w:jc w:val="center"/>
              <w:rPr>
                <w:rFonts w:ascii="宋体" w:hAnsi="宋体"/>
                <w:szCs w:val="21"/>
              </w:rPr>
            </w:pPr>
            <w:r>
              <w:rPr>
                <w:rFonts w:hint="eastAsia" w:ascii="宋体" w:hAnsi="宋体"/>
                <w:szCs w:val="21"/>
              </w:rPr>
              <w:t>是否超过最高投标限价</w:t>
            </w:r>
          </w:p>
        </w:tc>
        <w:tc>
          <w:tcPr>
            <w:tcW w:w="822" w:type="dxa"/>
            <w:tcBorders>
              <w:top w:val="single" w:color="000000" w:sz="4" w:space="0"/>
              <w:left w:val="single" w:color="000000" w:sz="4" w:space="0"/>
              <w:bottom w:val="single" w:color="000000" w:sz="4" w:space="0"/>
              <w:right w:val="single" w:color="000000" w:sz="4" w:space="0"/>
            </w:tcBorders>
            <w:vAlign w:val="center"/>
          </w:tcPr>
          <w:p w14:paraId="7287553C">
            <w:pPr>
              <w:spacing w:line="400" w:lineRule="exact"/>
              <w:jc w:val="center"/>
              <w:rPr>
                <w:rFonts w:ascii="宋体" w:hAnsi="宋体"/>
                <w:szCs w:val="21"/>
              </w:rPr>
            </w:pPr>
            <w:r>
              <w:rPr>
                <w:rFonts w:hint="eastAsia" w:ascii="宋体" w:hAnsi="宋体"/>
                <w:szCs w:val="21"/>
              </w:rPr>
              <w:t>备注</w:t>
            </w:r>
          </w:p>
        </w:tc>
      </w:tr>
      <w:tr w14:paraId="1FF2ADB1">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3350C428">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0E107E57">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6E84C30B">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470EA085">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1A3FCB10">
            <w:pPr>
              <w:spacing w:line="400" w:lineRule="exact"/>
              <w:jc w:val="center"/>
              <w:rPr>
                <w:rFonts w:ascii="宋体" w:hAnsi="宋体"/>
                <w:szCs w:val="21"/>
              </w:rPr>
            </w:pPr>
          </w:p>
        </w:tc>
      </w:tr>
      <w:tr w14:paraId="1796E2A0">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34FA94D6">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49DE5E1A">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14D06B28">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27CA0D35">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7FF0377D">
            <w:pPr>
              <w:spacing w:line="400" w:lineRule="exact"/>
              <w:jc w:val="center"/>
              <w:rPr>
                <w:rFonts w:ascii="宋体" w:hAnsi="宋体"/>
                <w:szCs w:val="21"/>
              </w:rPr>
            </w:pPr>
          </w:p>
        </w:tc>
      </w:tr>
      <w:tr w14:paraId="2ECF0920">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20956591">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2CAF4135">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3A0406F8">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7CE6D3D2">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3BC3F238">
            <w:pPr>
              <w:spacing w:line="400" w:lineRule="exact"/>
              <w:jc w:val="center"/>
              <w:rPr>
                <w:rFonts w:ascii="宋体" w:hAnsi="宋体"/>
                <w:szCs w:val="21"/>
              </w:rPr>
            </w:pPr>
          </w:p>
        </w:tc>
      </w:tr>
      <w:tr w14:paraId="0A66853C">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440E8108">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4C27B11D">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7517D40D">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32E081E5">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398B29A">
            <w:pPr>
              <w:spacing w:line="400" w:lineRule="exact"/>
              <w:jc w:val="center"/>
              <w:rPr>
                <w:rFonts w:ascii="宋体" w:hAnsi="宋体"/>
                <w:szCs w:val="21"/>
              </w:rPr>
            </w:pPr>
          </w:p>
        </w:tc>
      </w:tr>
      <w:tr w14:paraId="28F58656">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6DDA25BA">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52453C8F">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3C8CED45">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123BCF17">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4DC443B">
            <w:pPr>
              <w:spacing w:line="400" w:lineRule="exact"/>
              <w:jc w:val="center"/>
              <w:rPr>
                <w:rFonts w:ascii="宋体" w:hAnsi="宋体"/>
                <w:szCs w:val="21"/>
              </w:rPr>
            </w:pPr>
          </w:p>
        </w:tc>
      </w:tr>
      <w:tr w14:paraId="1514CF1A">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4B9DB736">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198236A5">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6A67FD07">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4EF62412">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38654932">
            <w:pPr>
              <w:spacing w:line="400" w:lineRule="exact"/>
              <w:jc w:val="center"/>
              <w:rPr>
                <w:rFonts w:ascii="宋体" w:hAnsi="宋体"/>
                <w:szCs w:val="21"/>
              </w:rPr>
            </w:pPr>
          </w:p>
        </w:tc>
      </w:tr>
      <w:tr w14:paraId="007C8DB8">
        <w:tblPrEx>
          <w:tblCellMar>
            <w:top w:w="0" w:type="dxa"/>
            <w:left w:w="0" w:type="dxa"/>
            <w:bottom w:w="0" w:type="dxa"/>
            <w:right w:w="0" w:type="dxa"/>
          </w:tblCellMar>
        </w:tblPrEx>
        <w:trPr>
          <w:trHeight w:val="543"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14F02B86">
            <w:pPr>
              <w:spacing w:line="400" w:lineRule="exact"/>
              <w:jc w:val="center"/>
              <w:rPr>
                <w:rFonts w:ascii="宋体" w:hAnsi="宋体"/>
                <w:szCs w:val="21"/>
              </w:rPr>
            </w:pPr>
          </w:p>
        </w:tc>
        <w:tc>
          <w:tcPr>
            <w:tcW w:w="2763" w:type="dxa"/>
            <w:tcBorders>
              <w:top w:val="single" w:color="000000" w:sz="4" w:space="0"/>
              <w:left w:val="single" w:color="000000" w:sz="4" w:space="0"/>
              <w:bottom w:val="single" w:color="000000" w:sz="4" w:space="0"/>
              <w:right w:val="single" w:color="000000" w:sz="4" w:space="0"/>
            </w:tcBorders>
            <w:vAlign w:val="center"/>
          </w:tcPr>
          <w:p w14:paraId="36F6C2B9">
            <w:pPr>
              <w:spacing w:line="400" w:lineRule="exact"/>
              <w:jc w:val="center"/>
              <w:rPr>
                <w:rFonts w:ascii="宋体" w:hAnsi="宋体"/>
                <w:szCs w:val="21"/>
              </w:rPr>
            </w:pPr>
          </w:p>
        </w:tc>
        <w:tc>
          <w:tcPr>
            <w:tcW w:w="1888" w:type="dxa"/>
            <w:tcBorders>
              <w:top w:val="single" w:color="000000" w:sz="4" w:space="0"/>
              <w:left w:val="single" w:color="auto" w:sz="4" w:space="0"/>
              <w:bottom w:val="single" w:color="000000" w:sz="4" w:space="0"/>
              <w:right w:val="single" w:color="000000" w:sz="4" w:space="0"/>
            </w:tcBorders>
            <w:vAlign w:val="center"/>
          </w:tcPr>
          <w:p w14:paraId="16D0926E">
            <w:pPr>
              <w:spacing w:line="400" w:lineRule="exact"/>
              <w:jc w:val="center"/>
              <w:rPr>
                <w:rFonts w:ascii="宋体" w:hAnsi="宋体"/>
                <w:szCs w:val="21"/>
              </w:rPr>
            </w:pPr>
          </w:p>
        </w:tc>
        <w:tc>
          <w:tcPr>
            <w:tcW w:w="2266" w:type="dxa"/>
            <w:tcBorders>
              <w:top w:val="single" w:color="000000" w:sz="4" w:space="0"/>
              <w:left w:val="single" w:color="000000" w:sz="4" w:space="0"/>
              <w:bottom w:val="single" w:color="000000" w:sz="4" w:space="0"/>
              <w:right w:val="single" w:color="000000" w:sz="4" w:space="0"/>
            </w:tcBorders>
            <w:vAlign w:val="center"/>
          </w:tcPr>
          <w:p w14:paraId="237AB0A2">
            <w:pPr>
              <w:spacing w:line="400" w:lineRule="exact"/>
              <w:jc w:val="center"/>
              <w:rPr>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680F4E5">
            <w:pPr>
              <w:spacing w:line="400" w:lineRule="exact"/>
              <w:jc w:val="center"/>
              <w:rPr>
                <w:rFonts w:ascii="宋体" w:hAnsi="宋体"/>
                <w:szCs w:val="21"/>
              </w:rPr>
            </w:pPr>
          </w:p>
        </w:tc>
      </w:tr>
    </w:tbl>
    <w:p w14:paraId="07D87C81">
      <w:pPr>
        <w:spacing w:line="360" w:lineRule="auto"/>
        <w:ind w:left="210" w:right="210"/>
        <w:rPr>
          <w:rFonts w:ascii="宋体" w:hAnsi="宋体" w:cs="宋体"/>
        </w:rPr>
      </w:pPr>
    </w:p>
    <w:p w14:paraId="212CF3EE">
      <w:pPr>
        <w:spacing w:line="360" w:lineRule="auto"/>
        <w:ind w:left="210" w:right="210"/>
        <w:rPr>
          <w:rFonts w:ascii="宋体" w:hAnsi="宋体" w:cs="宋体"/>
        </w:rPr>
      </w:pPr>
    </w:p>
    <w:p w14:paraId="4A972F10">
      <w:pPr>
        <w:spacing w:line="360" w:lineRule="auto"/>
        <w:rPr>
          <w:rFonts w:ascii="宋体" w:hAnsi="宋体"/>
          <w:sz w:val="24"/>
        </w:rPr>
      </w:pPr>
      <w:r>
        <w:rPr>
          <w:rFonts w:hint="eastAsia" w:ascii="宋体" w:hAnsi="宋体" w:cs="宋体"/>
          <w:sz w:val="24"/>
        </w:rPr>
        <w:t>招标人或招标代理机构：</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（盖单位电子印章）</w:t>
      </w:r>
      <w:r>
        <w:rPr>
          <w:rFonts w:ascii="宋体" w:hAnsi="宋体"/>
          <w:sz w:val="24"/>
        </w:rPr>
        <w:t xml:space="preserve"> </w:t>
      </w:r>
    </w:p>
    <w:p w14:paraId="495139E2">
      <w:pPr>
        <w:tabs>
          <w:tab w:val="left" w:pos="6276"/>
        </w:tabs>
        <w:rPr>
          <w:rFonts w:ascii="宋体" w:hAnsi="宋体"/>
          <w:szCs w:val="21"/>
        </w:rPr>
      </w:pPr>
    </w:p>
    <w:p w14:paraId="5A370ADA">
      <w:pPr>
        <w:tabs>
          <w:tab w:val="left" w:pos="6276"/>
        </w:tabs>
        <w:spacing w:line="400" w:lineRule="exact"/>
        <w:rPr>
          <w:rFonts w:ascii="宋体" w:hAnsi="宋体"/>
          <w:szCs w:val="21"/>
        </w:rPr>
      </w:pPr>
      <w:r>
        <w:rPr>
          <w:rFonts w:hint="eastAsia" w:ascii="宋体" w:hAnsi="宋体"/>
          <w:szCs w:val="21"/>
        </w:rPr>
        <w:t>注：第二个信封（报价文件）开标过程中，若投标文件出现以下任一情况，经监督人确认后当场在开标记录表备注栏中予以记录：</w:t>
      </w:r>
    </w:p>
    <w:p w14:paraId="0CB6651E">
      <w:pPr>
        <w:tabs>
          <w:tab w:val="left" w:pos="6276"/>
        </w:tabs>
        <w:spacing w:line="400" w:lineRule="exact"/>
        <w:ind w:firstLine="210" w:firstLineChars="100"/>
        <w:rPr>
          <w:rFonts w:ascii="宋体" w:hAnsi="宋体"/>
          <w:szCs w:val="21"/>
        </w:rPr>
      </w:pPr>
      <w:r>
        <w:rPr>
          <w:rFonts w:hint="eastAsia" w:ascii="宋体" w:hAnsi="宋体"/>
          <w:szCs w:val="21"/>
        </w:rPr>
        <w:t>①投标函（第二个信封）未填写投标报价；</w:t>
      </w:r>
    </w:p>
    <w:p w14:paraId="040333E9">
      <w:pPr>
        <w:tabs>
          <w:tab w:val="left" w:pos="6276"/>
        </w:tabs>
        <w:spacing w:line="400" w:lineRule="exact"/>
        <w:ind w:firstLine="210" w:firstLineChars="100"/>
        <w:rPr>
          <w:rFonts w:ascii="宋体" w:hAnsi="宋体"/>
          <w:szCs w:val="21"/>
        </w:rPr>
      </w:pPr>
      <w:r>
        <w:rPr>
          <w:rFonts w:hint="eastAsia" w:ascii="宋体" w:hAnsi="宋体"/>
          <w:szCs w:val="21"/>
        </w:rPr>
        <w:t>②投标报价超过招标人公布的限价；</w:t>
      </w:r>
    </w:p>
    <w:p w14:paraId="54C76180">
      <w:pPr>
        <w:tabs>
          <w:tab w:val="left" w:pos="6276"/>
        </w:tabs>
        <w:spacing w:line="400" w:lineRule="exact"/>
        <w:ind w:firstLine="210" w:firstLineChars="100"/>
        <w:rPr>
          <w:rFonts w:hint="eastAsia" w:ascii="宋体" w:hAnsi="宋体"/>
          <w:szCs w:val="21"/>
        </w:rPr>
      </w:pPr>
      <w:r>
        <w:rPr>
          <w:rFonts w:hint="eastAsia" w:ascii="宋体" w:hAnsi="宋体"/>
          <w:szCs w:val="21"/>
        </w:rPr>
        <w:t>③投标报价的大写金额无法确定具体数值；</w:t>
      </w:r>
    </w:p>
    <w:p w14:paraId="73A3741E">
      <w:pPr>
        <w:tabs>
          <w:tab w:val="left" w:pos="6276"/>
        </w:tabs>
        <w:spacing w:line="400" w:lineRule="exact"/>
        <w:ind w:firstLine="210" w:firstLineChars="100"/>
        <w:rPr>
          <w:b w:val="0"/>
          <w:sz w:val="24"/>
          <w:szCs w:val="24"/>
        </w:rPr>
      </w:pPr>
      <w:r>
        <w:rPr>
          <w:rFonts w:hint="eastAsia" w:ascii="宋体" w:hAnsi="宋体"/>
          <w:szCs w:val="21"/>
        </w:rPr>
        <w:t>④第二个信封（报价文件）电子文档（因投标文件错误或内容缺失等源文件原因）不能成功导入。</w:t>
      </w:r>
      <w:r>
        <w:rPr>
          <w:rFonts w:ascii="宋体" w:hAnsi="宋体"/>
          <w:sz w:val="30"/>
          <w:szCs w:val="30"/>
        </w:rPr>
        <w:br w:type="page"/>
      </w:r>
      <w:bookmarkStart w:id="625" w:name="_Toc234382646"/>
      <w:bookmarkStart w:id="626" w:name="_Toc53685643"/>
      <w:r>
        <w:rPr>
          <w:rFonts w:hint="eastAsia"/>
          <w:b w:val="0"/>
          <w:sz w:val="28"/>
          <w:szCs w:val="28"/>
        </w:rPr>
        <w:t>附件二</w:t>
      </w:r>
      <w:r>
        <w:rPr>
          <w:b w:val="0"/>
          <w:sz w:val="28"/>
          <w:szCs w:val="28"/>
        </w:rPr>
        <w:t xml:space="preserve">  </w:t>
      </w:r>
      <w:r>
        <w:rPr>
          <w:rFonts w:hint="eastAsia"/>
          <w:b w:val="0"/>
          <w:sz w:val="28"/>
          <w:szCs w:val="28"/>
        </w:rPr>
        <w:t>问题澄清通知</w:t>
      </w:r>
      <w:bookmarkEnd w:id="625"/>
      <w:bookmarkEnd w:id="626"/>
    </w:p>
    <w:p w14:paraId="44F10F76">
      <w:pPr>
        <w:spacing w:line="360" w:lineRule="auto"/>
        <w:jc w:val="center"/>
        <w:rPr>
          <w:rFonts w:ascii="黑体" w:hAnsi="黑体" w:eastAsia="黑体"/>
          <w:bCs/>
          <w:kern w:val="44"/>
          <w:sz w:val="28"/>
          <w:szCs w:val="28"/>
        </w:rPr>
      </w:pPr>
      <w:r>
        <w:rPr>
          <w:rFonts w:hint="eastAsia" w:ascii="黑体" w:hAnsi="黑体" w:eastAsia="黑体"/>
          <w:bCs/>
          <w:kern w:val="44"/>
          <w:sz w:val="28"/>
          <w:szCs w:val="28"/>
        </w:rPr>
        <w:t>问题澄清通知</w:t>
      </w:r>
    </w:p>
    <w:p w14:paraId="56FEB6E9">
      <w:pPr>
        <w:widowControl/>
        <w:spacing w:line="360" w:lineRule="auto"/>
        <w:jc w:val="right"/>
        <w:rPr>
          <w:rFonts w:hint="eastAsia" w:ascii="宋体" w:hAnsi="宋体" w:cs="Arial"/>
          <w:kern w:val="0"/>
          <w:sz w:val="24"/>
        </w:rPr>
      </w:pPr>
    </w:p>
    <w:p w14:paraId="5960139B">
      <w:pPr>
        <w:widowControl/>
        <w:spacing w:line="360" w:lineRule="auto"/>
        <w:jc w:val="right"/>
        <w:rPr>
          <w:rFonts w:ascii="宋体" w:hAnsi="宋体" w:cs="Arial"/>
          <w:kern w:val="0"/>
          <w:sz w:val="24"/>
        </w:rPr>
      </w:pPr>
      <w:r>
        <w:rPr>
          <w:rFonts w:hint="eastAsia" w:ascii="宋体" w:hAnsi="宋体" w:cs="Arial"/>
          <w:kern w:val="0"/>
          <w:sz w:val="24"/>
        </w:rPr>
        <w:t>编号：</w:t>
      </w:r>
      <w:r>
        <w:rPr>
          <w:rFonts w:eastAsia="Calibri" w:cs="Arial"/>
          <w:kern w:val="0"/>
          <w:sz w:val="24"/>
        </w:rPr>
        <w:t xml:space="preserve"> </w:t>
      </w:r>
      <w:r>
        <w:rPr>
          <w:rFonts w:hint="eastAsia" w:ascii="宋体" w:hAnsi="宋体" w:cs="Arial"/>
          <w:kern w:val="0"/>
          <w:sz w:val="24"/>
        </w:rPr>
        <w:t>_______</w:t>
      </w:r>
    </w:p>
    <w:p w14:paraId="2B29A4C9">
      <w:pPr>
        <w:spacing w:line="360" w:lineRule="auto"/>
        <w:rPr>
          <w:rFonts w:ascii="宋体" w:hAnsi="宋体"/>
          <w:sz w:val="24"/>
        </w:rPr>
      </w:pPr>
    </w:p>
    <w:p w14:paraId="0FF4BA4E">
      <w:pPr>
        <w:spacing w:line="360" w:lineRule="auto"/>
        <w:rPr>
          <w:rFonts w:ascii="宋体" w:hAnsi="宋体"/>
          <w:sz w:val="24"/>
        </w:rPr>
      </w:pP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ascii="宋体" w:hAnsi="宋体"/>
          <w:sz w:val="24"/>
        </w:rPr>
        <w:t>（投标人名称）：</w:t>
      </w:r>
    </w:p>
    <w:p w14:paraId="0883C475">
      <w:pPr>
        <w:spacing w:line="360" w:lineRule="auto"/>
        <w:rPr>
          <w:rFonts w:ascii="宋体" w:hAnsi="宋体"/>
          <w:sz w:val="24"/>
        </w:rPr>
      </w:pPr>
    </w:p>
    <w:p w14:paraId="6644353A">
      <w:pPr>
        <w:spacing w:line="360" w:lineRule="auto"/>
        <w:ind w:firstLine="480" w:firstLineChars="200"/>
        <w:rPr>
          <w:rFonts w:ascii="宋体" w:hAnsi="宋体"/>
          <w:sz w:val="24"/>
        </w:rPr>
      </w:pPr>
      <w:r>
        <w:rPr>
          <w:rFonts w:ascii="宋体" w:hAnsi="宋体"/>
          <w:sz w:val="24"/>
          <w:u w:val="single"/>
        </w:rPr>
        <w:t xml:space="preserve">         </w:t>
      </w:r>
      <w:r>
        <w:rPr>
          <w:rFonts w:ascii="宋体" w:hAnsi="宋体"/>
          <w:sz w:val="24"/>
        </w:rPr>
        <w:t>（</w:t>
      </w:r>
      <w:r>
        <w:rPr>
          <w:rFonts w:hint="eastAsia" w:ascii="宋体" w:hAnsi="宋体"/>
          <w:sz w:val="24"/>
        </w:rPr>
        <w:t>招标</w:t>
      </w:r>
      <w:r>
        <w:rPr>
          <w:rFonts w:ascii="宋体" w:hAnsi="宋体"/>
          <w:sz w:val="24"/>
        </w:rPr>
        <w:t>项目名称）</w:t>
      </w:r>
      <w:r>
        <w:rPr>
          <w:rFonts w:hint="eastAsia" w:ascii="宋体" w:hAnsi="宋体"/>
          <w:sz w:val="24"/>
          <w:lang w:val="en-US" w:eastAsia="zh-CN"/>
        </w:rPr>
        <w:t>设计施工总承包</w:t>
      </w:r>
      <w:r>
        <w:rPr>
          <w:rFonts w:ascii="宋体" w:hAnsi="宋体"/>
          <w:sz w:val="24"/>
          <w:u w:val="single"/>
        </w:rPr>
        <w:t xml:space="preserve">    </w:t>
      </w:r>
      <w:r>
        <w:rPr>
          <w:rFonts w:hint="eastAsia" w:ascii="宋体" w:hAnsi="宋体"/>
          <w:sz w:val="24"/>
        </w:rPr>
        <w:t>标段</w:t>
      </w:r>
      <w:r>
        <w:rPr>
          <w:rFonts w:ascii="宋体" w:hAnsi="宋体"/>
          <w:sz w:val="24"/>
        </w:rPr>
        <w:t>的评标委员会，对你方的投标文件进行了仔细的审查，现需你方对下列问题</w:t>
      </w:r>
      <w:r>
        <w:rPr>
          <w:rFonts w:hint="eastAsia" w:ascii="宋体" w:hAnsi="宋体" w:cs="Arial"/>
          <w:kern w:val="0"/>
          <w:sz w:val="24"/>
        </w:rPr>
        <w:t>以书面形式予以澄清、说明或补正：</w:t>
      </w:r>
    </w:p>
    <w:p w14:paraId="4FF1D46F">
      <w:pPr>
        <w:widowControl/>
        <w:spacing w:line="360" w:lineRule="auto"/>
        <w:jc w:val="left"/>
        <w:rPr>
          <w:rFonts w:cs="Arial"/>
          <w:kern w:val="0"/>
          <w:sz w:val="24"/>
          <w:u w:val="single"/>
        </w:rPr>
      </w:pPr>
      <w:r>
        <w:rPr>
          <w:rFonts w:hint="eastAsia" w:cs="Arial"/>
          <w:kern w:val="0"/>
          <w:sz w:val="24"/>
          <w:u w:val="single"/>
        </w:rPr>
        <w:t xml:space="preserve">                                                                           </w:t>
      </w:r>
    </w:p>
    <w:p w14:paraId="26BDC5AC">
      <w:pPr>
        <w:spacing w:line="360" w:lineRule="auto"/>
        <w:rPr>
          <w:rFonts w:ascii="宋体" w:hAnsi="宋体"/>
          <w:sz w:val="24"/>
        </w:rPr>
      </w:pPr>
    </w:p>
    <w:p w14:paraId="0AD5EE1D">
      <w:pPr>
        <w:spacing w:line="360" w:lineRule="auto"/>
        <w:rPr>
          <w:rFonts w:ascii="宋体" w:hAnsi="宋体"/>
          <w:sz w:val="24"/>
        </w:rPr>
      </w:pPr>
    </w:p>
    <w:p w14:paraId="526B987B">
      <w:pPr>
        <w:spacing w:line="360" w:lineRule="auto"/>
        <w:rPr>
          <w:rFonts w:ascii="宋体" w:hAnsi="宋体"/>
          <w:sz w:val="24"/>
        </w:rPr>
      </w:pPr>
    </w:p>
    <w:p w14:paraId="63DD30A3">
      <w:pPr>
        <w:spacing w:line="360" w:lineRule="auto"/>
        <w:rPr>
          <w:rFonts w:ascii="宋体" w:hAnsi="宋体"/>
          <w:sz w:val="24"/>
        </w:rPr>
      </w:pPr>
    </w:p>
    <w:p w14:paraId="3FC1FAC6">
      <w:pPr>
        <w:pStyle w:val="199"/>
        <w:rPr>
          <w:rFonts w:hAnsi="宋体"/>
          <w:color w:val="auto"/>
        </w:rPr>
      </w:pPr>
    </w:p>
    <w:p w14:paraId="67D95546">
      <w:pPr>
        <w:widowControl/>
        <w:spacing w:line="360" w:lineRule="auto"/>
        <w:ind w:firstLine="480"/>
        <w:jc w:val="left"/>
        <w:rPr>
          <w:rFonts w:ascii="宋体" w:hAnsi="宋体" w:cs="Arial"/>
          <w:kern w:val="0"/>
          <w:sz w:val="24"/>
        </w:rPr>
      </w:pPr>
      <w:r>
        <w:rPr>
          <w:rFonts w:hint="eastAsia" w:ascii="宋体" w:hAnsi="宋体" w:cs="Arial"/>
          <w:kern w:val="0"/>
          <w:sz w:val="24"/>
        </w:rPr>
        <w:t>请将上述问题的澄清、说明或补正于接到通知</w:t>
      </w:r>
      <w:r>
        <w:rPr>
          <w:rFonts w:hint="eastAsia" w:ascii="宋体" w:hAnsi="宋体" w:cs="Arial"/>
          <w:kern w:val="0"/>
          <w:sz w:val="24"/>
          <w:u w:val="single"/>
        </w:rPr>
        <w:t xml:space="preserve">    </w:t>
      </w:r>
      <w:r>
        <w:rPr>
          <w:rFonts w:hint="eastAsia" w:ascii="宋体" w:hAnsi="宋体" w:cs="Arial"/>
          <w:kern w:val="0"/>
          <w:sz w:val="24"/>
        </w:rPr>
        <w:t>分钟内通过在线形式递交至评标委员会。</w:t>
      </w:r>
    </w:p>
    <w:p w14:paraId="5E65872B">
      <w:pPr>
        <w:widowControl/>
        <w:spacing w:line="360" w:lineRule="auto"/>
        <w:jc w:val="left"/>
        <w:rPr>
          <w:rFonts w:ascii="宋体" w:hAnsi="宋体" w:cs="Arial"/>
          <w:kern w:val="0"/>
          <w:sz w:val="24"/>
        </w:rPr>
      </w:pPr>
      <w:r>
        <w:rPr>
          <w:rFonts w:hint="eastAsia" w:ascii="宋体" w:hAnsi="宋体" w:cs="Arial"/>
          <w:kern w:val="0"/>
          <w:sz w:val="24"/>
        </w:rPr>
        <w:t>评标委员会成员签字：</w:t>
      </w:r>
      <w:r>
        <w:rPr>
          <w:rFonts w:hint="eastAsia" w:ascii="宋体" w:hAnsi="宋体" w:cs="Arial"/>
          <w:kern w:val="0"/>
          <w:sz w:val="24"/>
          <w:u w:val="single"/>
        </w:rPr>
        <w:t xml:space="preserve">                         </w:t>
      </w:r>
    </w:p>
    <w:p w14:paraId="2C831B2F">
      <w:pPr>
        <w:widowControl/>
        <w:spacing w:line="360" w:lineRule="auto"/>
        <w:jc w:val="center"/>
        <w:rPr>
          <w:rFonts w:eastAsia="Calibri" w:cs="Arial"/>
          <w:kern w:val="0"/>
          <w:sz w:val="24"/>
        </w:rPr>
      </w:pPr>
    </w:p>
    <w:p w14:paraId="4714EC0A">
      <w:pPr>
        <w:widowControl/>
        <w:spacing w:line="360" w:lineRule="auto"/>
        <w:jc w:val="center"/>
        <w:rPr>
          <w:rFonts w:ascii="宋体" w:hAnsi="宋体" w:cs="Arial"/>
          <w:kern w:val="0"/>
          <w:sz w:val="24"/>
        </w:rPr>
      </w:pPr>
      <w:r>
        <w:rPr>
          <w:rFonts w:eastAsia="Calibri" w:cs="Arial"/>
          <w:kern w:val="0"/>
          <w:sz w:val="24"/>
        </w:rPr>
        <w:t xml:space="preserve">  </w:t>
      </w:r>
      <w:r>
        <w:rPr>
          <w:rFonts w:hint="eastAsia" w:cs="Arial"/>
          <w:kern w:val="0"/>
          <w:sz w:val="24"/>
        </w:rPr>
        <w:t xml:space="preserve">          </w:t>
      </w:r>
      <w:r>
        <w:rPr>
          <w:rFonts w:eastAsia="Calibri" w:cs="Arial"/>
          <w:kern w:val="0"/>
          <w:sz w:val="24"/>
        </w:rPr>
        <w:t xml:space="preserve">     </w:t>
      </w:r>
      <w:r>
        <w:rPr>
          <w:rFonts w:hint="eastAsia" w:ascii="宋体" w:hAnsi="宋体" w:cs="Arial"/>
          <w:kern w:val="0"/>
          <w:sz w:val="24"/>
        </w:rPr>
        <w:t>_______年_______月_______日</w:t>
      </w:r>
    </w:p>
    <w:p w14:paraId="65EDB3EB">
      <w:pPr>
        <w:widowControl/>
        <w:spacing w:line="360" w:lineRule="auto"/>
        <w:jc w:val="left"/>
        <w:rPr>
          <w:rFonts w:ascii="宋体" w:hAnsi="宋体" w:cs="Arial"/>
          <w:kern w:val="0"/>
          <w:sz w:val="24"/>
        </w:rPr>
      </w:pPr>
      <w:r>
        <w:rPr>
          <w:rFonts w:eastAsia="Calibri" w:cs="Arial"/>
          <w:kern w:val="0"/>
          <w:sz w:val="24"/>
        </w:rPr>
        <w:t xml:space="preserve">    </w:t>
      </w:r>
    </w:p>
    <w:p w14:paraId="0E0F2B12">
      <w:pPr>
        <w:spacing w:line="360" w:lineRule="auto"/>
        <w:rPr>
          <w:rFonts w:ascii="宋体" w:hAnsi="宋体"/>
          <w:sz w:val="21"/>
          <w:szCs w:val="21"/>
        </w:rPr>
      </w:pPr>
      <w:r>
        <w:rPr>
          <w:rFonts w:hint="eastAsia" w:ascii="宋体" w:hAnsi="宋体"/>
          <w:sz w:val="21"/>
          <w:szCs w:val="21"/>
        </w:rPr>
        <w:t>注：评标委员会在评标过程中，如要求投标人澄清或说明的，评标委员会要求投标人在线澄清或说明的时间距投标人收到评标委员会通知的时间不得少于60分钟。</w:t>
      </w:r>
    </w:p>
    <w:p w14:paraId="6DDE7671">
      <w:pPr>
        <w:spacing w:line="360" w:lineRule="auto"/>
        <w:rPr>
          <w:rFonts w:ascii="宋体" w:hAnsi="宋体"/>
          <w:sz w:val="21"/>
          <w:szCs w:val="21"/>
        </w:rPr>
      </w:pPr>
      <w:r>
        <w:rPr>
          <w:szCs w:val="21"/>
        </w:rPr>
        <w:t xml:space="preserve">    </w:t>
      </w:r>
      <w:r>
        <w:rPr>
          <w:rFonts w:hint="eastAsia" w:ascii="宋体" w:hAnsi="宋体"/>
          <w:sz w:val="21"/>
          <w:szCs w:val="21"/>
        </w:rPr>
        <w:t>评标委员会认为投标人的澄清或说明不够明确，应再次要求投标人对不明确的内容进行澄清或说明，评标委员会要求投标人再次在线澄清或说明的时间距投标人收到评标委员会通知的时间不得少于30分钟。</w:t>
      </w:r>
    </w:p>
    <w:p w14:paraId="315AA95C">
      <w:pPr>
        <w:widowControl/>
        <w:spacing w:line="360" w:lineRule="auto"/>
        <w:rPr>
          <w:rFonts w:ascii="宋体" w:hAnsi="宋体" w:cs="Arial"/>
          <w:kern w:val="0"/>
          <w:sz w:val="21"/>
          <w:szCs w:val="21"/>
        </w:rPr>
      </w:pPr>
      <w:r>
        <w:rPr>
          <w:szCs w:val="21"/>
        </w:rPr>
        <w:t xml:space="preserve">    </w:t>
      </w:r>
      <w:r>
        <w:rPr>
          <w:rFonts w:hint="eastAsia" w:ascii="宋体" w:hAnsi="宋体"/>
          <w:sz w:val="21"/>
          <w:szCs w:val="21"/>
        </w:rPr>
        <w:t>投标人未在规定时间内作出澄清或说明的，或者评标委员会认为该投标人的两次澄清或说明都不符合评标委员会要求的，作否决投标处理。</w:t>
      </w:r>
    </w:p>
    <w:p w14:paraId="4EFC878A">
      <w:pPr>
        <w:spacing w:line="360" w:lineRule="auto"/>
        <w:ind w:right="960"/>
        <w:jc w:val="right"/>
        <w:rPr>
          <w:rFonts w:ascii="宋体" w:hAnsi="宋体"/>
          <w:sz w:val="30"/>
          <w:szCs w:val="30"/>
        </w:rPr>
      </w:pPr>
      <w:r>
        <w:rPr>
          <w:rFonts w:ascii="宋体" w:hAnsi="宋体"/>
          <w:sz w:val="24"/>
        </w:rPr>
        <w:t xml:space="preserve">                           </w:t>
      </w:r>
      <w:r>
        <w:rPr>
          <w:rFonts w:ascii="宋体" w:hAnsi="宋体"/>
          <w:sz w:val="24"/>
          <w:u w:val="single"/>
        </w:rPr>
        <w:t xml:space="preserve">                             </w:t>
      </w:r>
    </w:p>
    <w:p w14:paraId="2E3CDEF6">
      <w:pPr>
        <w:rPr>
          <w:sz w:val="24"/>
        </w:rPr>
      </w:pPr>
      <w:bookmarkStart w:id="627" w:name="_Toc27059730"/>
      <w:bookmarkStart w:id="628" w:name="_Toc234382647"/>
      <w:bookmarkStart w:id="629" w:name="_Toc27060718"/>
      <w:bookmarkStart w:id="630" w:name="_Toc27059820"/>
      <w:bookmarkStart w:id="631" w:name="_Toc27059922"/>
      <w:bookmarkStart w:id="632" w:name="_Toc27059549"/>
      <w:bookmarkStart w:id="633" w:name="_Toc53685644"/>
      <w:r>
        <w:rPr>
          <w:rFonts w:hint="eastAsia"/>
          <w:sz w:val="24"/>
        </w:rPr>
        <w:br w:type="page"/>
      </w:r>
    </w:p>
    <w:p w14:paraId="4337E979">
      <w:pPr>
        <w:pStyle w:val="3"/>
        <w:spacing w:before="240" w:after="240"/>
        <w:rPr>
          <w:rFonts w:ascii="宋体" w:hAnsi="宋体"/>
          <w:sz w:val="28"/>
          <w:szCs w:val="28"/>
        </w:rPr>
      </w:pPr>
      <w:bookmarkStart w:id="634" w:name="_Toc256000057"/>
      <w:r>
        <w:rPr>
          <w:rFonts w:hint="eastAsia" w:ascii="宋体" w:hAnsi="宋体"/>
          <w:sz w:val="28"/>
          <w:szCs w:val="28"/>
        </w:rPr>
        <w:t>附表三：问题的澄清</w:t>
      </w:r>
      <w:bookmarkEnd w:id="634"/>
    </w:p>
    <w:p w14:paraId="35448C9C">
      <w:pPr>
        <w:spacing w:line="360" w:lineRule="auto"/>
        <w:rPr>
          <w:rFonts w:ascii="宋体" w:hAnsi="宋体"/>
          <w:sz w:val="28"/>
          <w:szCs w:val="28"/>
        </w:rPr>
      </w:pPr>
    </w:p>
    <w:p w14:paraId="05AA5A6D">
      <w:pPr>
        <w:spacing w:line="360" w:lineRule="auto"/>
        <w:jc w:val="center"/>
        <w:rPr>
          <w:rFonts w:ascii="宋体" w:hAnsi="宋体"/>
          <w:b/>
          <w:sz w:val="28"/>
          <w:szCs w:val="28"/>
        </w:rPr>
      </w:pPr>
      <w:bookmarkStart w:id="635" w:name="_Toc29092_WPSOffice_Level1"/>
      <w:r>
        <w:rPr>
          <w:rFonts w:hint="eastAsia" w:ascii="宋体" w:hAnsi="宋体"/>
          <w:b/>
          <w:sz w:val="28"/>
          <w:szCs w:val="28"/>
        </w:rPr>
        <w:t>问题的澄清</w:t>
      </w:r>
      <w:bookmarkEnd w:id="635"/>
    </w:p>
    <w:p w14:paraId="0777CAF4">
      <w:pPr>
        <w:spacing w:line="360" w:lineRule="auto"/>
        <w:jc w:val="right"/>
        <w:rPr>
          <w:rFonts w:ascii="宋体" w:hAnsi="宋体"/>
          <w:sz w:val="24"/>
        </w:rPr>
      </w:pPr>
      <w:r>
        <w:rPr>
          <w:rFonts w:hint="eastAsia" w:ascii="宋体" w:hAnsi="宋体"/>
          <w:sz w:val="24"/>
        </w:rPr>
        <w:t>编号：</w:t>
      </w:r>
      <w:r>
        <w:rPr>
          <w:sz w:val="24"/>
        </w:rPr>
        <w:t xml:space="preserve"> </w:t>
      </w:r>
      <w:r>
        <w:rPr>
          <w:rFonts w:hint="eastAsia" w:ascii="宋体" w:hAnsi="宋体"/>
          <w:sz w:val="24"/>
        </w:rPr>
        <w:t>_______</w:t>
      </w:r>
    </w:p>
    <w:p w14:paraId="41C4A7E7">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评标委员会：</w:t>
      </w:r>
    </w:p>
    <w:p w14:paraId="00795921">
      <w:pPr>
        <w:keepNext w:val="0"/>
        <w:keepLines w:val="0"/>
        <w:pageBreakBefore w:val="0"/>
        <w:widowControl w:val="0"/>
        <w:kinsoku/>
        <w:overflowPunct/>
        <w:topLinePunct w:val="0"/>
        <w:autoSpaceDE/>
        <w:autoSpaceDN/>
        <w:bidi w:val="0"/>
        <w:adjustRightInd/>
        <w:snapToGrid/>
        <w:spacing w:line="360" w:lineRule="auto"/>
        <w:textAlignment w:val="auto"/>
        <w:rPr>
          <w:sz w:val="24"/>
          <w:u w:val="single"/>
        </w:rPr>
      </w:pPr>
      <w:r>
        <w:rPr>
          <w:sz w:val="24"/>
        </w:rPr>
        <w:t xml:space="preserve">    </w:t>
      </w:r>
      <w:r>
        <w:rPr>
          <w:rFonts w:hint="eastAsia" w:ascii="宋体" w:hAnsi="宋体"/>
          <w:sz w:val="24"/>
        </w:rPr>
        <w:t>问题澄清通知（编号：_______）已收悉，现澄清、说明或补正如下：</w:t>
      </w:r>
      <w:r>
        <w:rPr>
          <w:sz w:val="24"/>
          <w:u w:val="single"/>
        </w:rPr>
        <w:t xml:space="preserve"> </w:t>
      </w:r>
      <w:r>
        <w:rPr>
          <w:rFonts w:hint="eastAsia"/>
          <w:sz w:val="24"/>
          <w:u w:val="single"/>
        </w:rPr>
        <w:t xml:space="preserve">                          </w:t>
      </w:r>
    </w:p>
    <w:p w14:paraId="168F55BC">
      <w:pPr>
        <w:keepNext w:val="0"/>
        <w:keepLines w:val="0"/>
        <w:pageBreakBefore w:val="0"/>
        <w:widowControl w:val="0"/>
        <w:kinsoku/>
        <w:overflowPunct/>
        <w:topLinePunct w:val="0"/>
        <w:autoSpaceDE/>
        <w:autoSpaceDN/>
        <w:bidi w:val="0"/>
        <w:adjustRightInd/>
        <w:snapToGrid/>
        <w:spacing w:line="360" w:lineRule="auto"/>
        <w:textAlignment w:val="auto"/>
        <w:rPr>
          <w:sz w:val="24"/>
        </w:rPr>
      </w:pPr>
    </w:p>
    <w:p w14:paraId="33001AAF">
      <w:pPr>
        <w:keepNext w:val="0"/>
        <w:keepLines w:val="0"/>
        <w:pageBreakBefore w:val="0"/>
        <w:widowControl w:val="0"/>
        <w:kinsoku/>
        <w:overflowPunct/>
        <w:topLinePunct w:val="0"/>
        <w:autoSpaceDE/>
        <w:autoSpaceDN/>
        <w:bidi w:val="0"/>
        <w:adjustRightInd/>
        <w:snapToGrid/>
        <w:spacing w:line="360" w:lineRule="auto"/>
        <w:textAlignment w:val="auto"/>
        <w:rPr>
          <w:sz w:val="24"/>
        </w:rPr>
      </w:pPr>
    </w:p>
    <w:p w14:paraId="2F2BB016">
      <w:pPr>
        <w:keepNext w:val="0"/>
        <w:keepLines w:val="0"/>
        <w:pageBreakBefore w:val="0"/>
        <w:widowControl w:val="0"/>
        <w:kinsoku/>
        <w:overflowPunct/>
        <w:topLinePunct w:val="0"/>
        <w:autoSpaceDE/>
        <w:autoSpaceDN/>
        <w:bidi w:val="0"/>
        <w:adjustRightInd/>
        <w:snapToGrid/>
        <w:spacing w:line="360" w:lineRule="auto"/>
        <w:textAlignment w:val="auto"/>
        <w:rPr>
          <w:sz w:val="24"/>
        </w:rPr>
      </w:pPr>
    </w:p>
    <w:p w14:paraId="797E8A4C">
      <w:pPr>
        <w:keepNext w:val="0"/>
        <w:keepLines w:val="0"/>
        <w:pageBreakBefore w:val="0"/>
        <w:widowControl w:val="0"/>
        <w:kinsoku/>
        <w:overflowPunct/>
        <w:topLinePunct w:val="0"/>
        <w:autoSpaceDE/>
        <w:autoSpaceDN/>
        <w:bidi w:val="0"/>
        <w:adjustRightInd/>
        <w:snapToGrid/>
        <w:spacing w:line="360" w:lineRule="auto"/>
        <w:textAlignment w:val="auto"/>
        <w:rPr>
          <w:sz w:val="24"/>
        </w:rPr>
      </w:pPr>
    </w:p>
    <w:p w14:paraId="2BD6BDB5">
      <w:pPr>
        <w:keepNext w:val="0"/>
        <w:keepLines w:val="0"/>
        <w:pageBreakBefore w:val="0"/>
        <w:widowControl w:val="0"/>
        <w:kinsoku/>
        <w:overflowPunct/>
        <w:topLinePunct w:val="0"/>
        <w:autoSpaceDE/>
        <w:autoSpaceDN/>
        <w:bidi w:val="0"/>
        <w:adjustRightInd/>
        <w:snapToGrid/>
        <w:spacing w:line="360" w:lineRule="auto"/>
        <w:textAlignment w:val="auto"/>
        <w:rPr>
          <w:sz w:val="24"/>
        </w:rPr>
      </w:pPr>
    </w:p>
    <w:p w14:paraId="72ADF0FB">
      <w:pPr>
        <w:keepNext w:val="0"/>
        <w:keepLines w:val="0"/>
        <w:pageBreakBefore w:val="0"/>
        <w:widowControl w:val="0"/>
        <w:kinsoku/>
        <w:overflowPunct/>
        <w:topLinePunct w:val="0"/>
        <w:autoSpaceDE/>
        <w:autoSpaceDN/>
        <w:bidi w:val="0"/>
        <w:adjustRightInd/>
        <w:snapToGrid/>
        <w:spacing w:line="360" w:lineRule="auto"/>
        <w:textAlignment w:val="auto"/>
        <w:rPr>
          <w:sz w:val="24"/>
        </w:rPr>
      </w:pPr>
    </w:p>
    <w:p w14:paraId="65621431">
      <w:pPr>
        <w:keepNext w:val="0"/>
        <w:keepLines w:val="0"/>
        <w:pageBreakBefore w:val="0"/>
        <w:widowControl w:val="0"/>
        <w:kinsoku/>
        <w:overflowPunct/>
        <w:topLinePunct w:val="0"/>
        <w:autoSpaceDE/>
        <w:autoSpaceDN/>
        <w:bidi w:val="0"/>
        <w:adjustRightInd/>
        <w:snapToGrid/>
        <w:spacing w:line="360" w:lineRule="auto"/>
        <w:textAlignment w:val="auto"/>
        <w:rPr>
          <w:sz w:val="24"/>
        </w:rPr>
      </w:pPr>
    </w:p>
    <w:p w14:paraId="4FBE597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sz w:val="24"/>
        </w:rPr>
      </w:pPr>
      <w:r>
        <w:rPr>
          <w:sz w:val="24"/>
        </w:rPr>
        <w:t xml:space="preserve">    </w:t>
      </w:r>
      <w:r>
        <w:rPr>
          <w:rFonts w:hint="eastAsia"/>
          <w:sz w:val="24"/>
        </w:rPr>
        <w:t>（投标人可另行附页）</w:t>
      </w:r>
    </w:p>
    <w:p w14:paraId="496A7A62">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宋体" w:hAnsi="宋体"/>
          <w:sz w:val="24"/>
        </w:rPr>
      </w:pPr>
      <w:r>
        <w:rPr>
          <w:rFonts w:hint="eastAsia"/>
          <w:sz w:val="24"/>
        </w:rPr>
        <w:t>上述问题</w:t>
      </w:r>
      <w:r>
        <w:rPr>
          <w:rFonts w:hint="eastAsia" w:ascii="宋体" w:hAnsi="宋体"/>
          <w:sz w:val="24"/>
        </w:rPr>
        <w:t>澄清、说明或补正，不改变我方投标文件的实质性内容，构成我方投标文件的组成部分</w:t>
      </w:r>
    </w:p>
    <w:p w14:paraId="1A821A7A">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宋体" w:hAnsi="宋体"/>
          <w:sz w:val="24"/>
        </w:rPr>
      </w:pPr>
    </w:p>
    <w:p w14:paraId="429CD9CF">
      <w:pPr>
        <w:keepNext w:val="0"/>
        <w:keepLines w:val="0"/>
        <w:pageBreakBefore w:val="0"/>
        <w:widowControl w:val="0"/>
        <w:kinsoku/>
        <w:overflowPunct/>
        <w:topLinePunct w:val="0"/>
        <w:autoSpaceDE/>
        <w:autoSpaceDN/>
        <w:bidi w:val="0"/>
        <w:adjustRightInd/>
        <w:snapToGrid/>
        <w:spacing w:line="360" w:lineRule="auto"/>
        <w:ind w:firstLine="480"/>
        <w:jc w:val="right"/>
        <w:textAlignment w:val="auto"/>
        <w:rPr>
          <w:rFonts w:ascii="宋体" w:hAnsi="宋体"/>
          <w:sz w:val="24"/>
        </w:rPr>
      </w:pPr>
      <w:r>
        <w:rPr>
          <w:rFonts w:hint="eastAsia" w:ascii="宋体" w:hAnsi="宋体"/>
          <w:sz w:val="24"/>
        </w:rPr>
        <w:t>法定代表人或其委托代理人：_______（盖单位电子印章或法定代表人或其委托代人个人电子签名章或个人电子印章）</w:t>
      </w:r>
    </w:p>
    <w:p w14:paraId="452CD6B0">
      <w:pPr>
        <w:keepNext w:val="0"/>
        <w:keepLines w:val="0"/>
        <w:pageBreakBefore w:val="0"/>
        <w:widowControl w:val="0"/>
        <w:kinsoku/>
        <w:overflowPunct/>
        <w:topLinePunct w:val="0"/>
        <w:autoSpaceDE/>
        <w:autoSpaceDN/>
        <w:bidi w:val="0"/>
        <w:adjustRightInd/>
        <w:snapToGrid/>
        <w:spacing w:line="360" w:lineRule="auto"/>
        <w:jc w:val="right"/>
        <w:textAlignment w:val="auto"/>
        <w:rPr>
          <w:rFonts w:ascii="宋体" w:hAnsi="宋体"/>
          <w:sz w:val="24"/>
        </w:rPr>
      </w:pPr>
      <w:r>
        <w:rPr>
          <w:sz w:val="24"/>
        </w:rPr>
        <w:t xml:space="preserve">    </w:t>
      </w:r>
    </w:p>
    <w:p w14:paraId="4EC758FF">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ascii="宋体" w:hAnsi="宋体"/>
          <w:sz w:val="24"/>
        </w:rPr>
      </w:pPr>
      <w:r>
        <w:rPr>
          <w:sz w:val="24"/>
        </w:rPr>
        <w:t xml:space="preserve">                          </w:t>
      </w:r>
      <w:r>
        <w:rPr>
          <w:rFonts w:hint="eastAsia" w:ascii="宋体" w:hAnsi="宋体"/>
          <w:sz w:val="24"/>
        </w:rPr>
        <w:t>_______年_______月_______日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14:paraId="458C6A05">
      <w:pPr>
        <w:keepNext w:val="0"/>
        <w:keepLines w:val="0"/>
        <w:pageBreakBefore w:val="0"/>
        <w:widowControl w:val="0"/>
        <w:kinsoku/>
        <w:overflowPunct/>
        <w:topLinePunct w:val="0"/>
        <w:autoSpaceDE/>
        <w:autoSpaceDN/>
        <w:bidi w:val="0"/>
        <w:adjustRightInd/>
        <w:snapToGrid/>
        <w:spacing w:line="360" w:lineRule="auto"/>
        <w:ind w:firstLine="480"/>
        <w:textAlignment w:val="auto"/>
        <w:rPr>
          <w:sz w:val="24"/>
        </w:rPr>
      </w:pPr>
    </w:p>
    <w:p w14:paraId="236EC3D3">
      <w:pPr>
        <w:keepNext w:val="0"/>
        <w:keepLines w:val="0"/>
        <w:pageBreakBefore w:val="0"/>
        <w:widowControl w:val="0"/>
        <w:kinsoku/>
        <w:overflowPunct/>
        <w:topLinePunct w:val="0"/>
        <w:autoSpaceDE/>
        <w:autoSpaceDN/>
        <w:bidi w:val="0"/>
        <w:adjustRightInd/>
        <w:snapToGrid/>
        <w:spacing w:line="360" w:lineRule="auto"/>
        <w:ind w:firstLine="480"/>
        <w:textAlignment w:val="auto"/>
        <w:rPr>
          <w:sz w:val="24"/>
        </w:rPr>
      </w:pPr>
    </w:p>
    <w:p w14:paraId="42BC8C97">
      <w:pPr>
        <w:keepNext w:val="0"/>
        <w:keepLines w:val="0"/>
        <w:pageBreakBefore w:val="0"/>
        <w:widowControl w:val="0"/>
        <w:kinsoku/>
        <w:overflowPunct/>
        <w:topLinePunct w:val="0"/>
        <w:autoSpaceDE/>
        <w:autoSpaceDN/>
        <w:bidi w:val="0"/>
        <w:adjustRightInd/>
        <w:snapToGrid/>
        <w:spacing w:line="360" w:lineRule="auto"/>
        <w:ind w:firstLine="480"/>
        <w:textAlignment w:val="auto"/>
        <w:rPr>
          <w:sz w:val="24"/>
        </w:rPr>
      </w:pPr>
      <w:r>
        <w:rPr>
          <w:rFonts w:hint="eastAsia"/>
          <w:sz w:val="24"/>
        </w:rPr>
        <w:t>评标委员会意见：</w:t>
      </w:r>
      <w:r>
        <w:rPr>
          <w:rFonts w:hint="eastAsia" w:ascii="宋体" w:hAnsi="宋体"/>
          <w:sz w:val="24"/>
        </w:rPr>
        <w:t>___________________________________</w:t>
      </w:r>
    </w:p>
    <w:bookmarkEnd w:id="627"/>
    <w:bookmarkEnd w:id="628"/>
    <w:bookmarkEnd w:id="629"/>
    <w:bookmarkEnd w:id="630"/>
    <w:bookmarkEnd w:id="631"/>
    <w:bookmarkEnd w:id="632"/>
    <w:bookmarkEnd w:id="633"/>
    <w:p w14:paraId="7A41D298">
      <w:pPr>
        <w:pStyle w:val="3"/>
        <w:spacing w:before="0" w:beforeLines="0" w:after="0" w:afterLines="0" w:line="360" w:lineRule="auto"/>
        <w:rPr>
          <w:b w:val="0"/>
          <w:sz w:val="24"/>
          <w:szCs w:val="24"/>
        </w:rPr>
      </w:pPr>
      <w:r>
        <w:rPr>
          <w:rFonts w:ascii="宋体" w:hAnsi="宋体"/>
          <w:sz w:val="30"/>
          <w:szCs w:val="30"/>
        </w:rPr>
        <w:br w:type="page"/>
      </w:r>
      <w:bookmarkStart w:id="636" w:name="_Toc234382648"/>
      <w:bookmarkStart w:id="637" w:name="_Toc53685645"/>
      <w:r>
        <w:rPr>
          <w:rFonts w:hint="eastAsia"/>
          <w:b w:val="0"/>
          <w:sz w:val="28"/>
          <w:szCs w:val="28"/>
        </w:rPr>
        <w:t>附件四</w:t>
      </w:r>
      <w:r>
        <w:rPr>
          <w:b w:val="0"/>
          <w:sz w:val="28"/>
          <w:szCs w:val="28"/>
        </w:rPr>
        <w:t xml:space="preserve">  </w:t>
      </w:r>
      <w:r>
        <w:rPr>
          <w:rFonts w:hint="eastAsia"/>
          <w:b w:val="0"/>
          <w:sz w:val="28"/>
          <w:szCs w:val="28"/>
        </w:rPr>
        <w:t>中标通知书</w:t>
      </w:r>
      <w:bookmarkEnd w:id="636"/>
      <w:bookmarkEnd w:id="637"/>
    </w:p>
    <w:p w14:paraId="31B1A18B">
      <w:pPr>
        <w:spacing w:line="360" w:lineRule="auto"/>
        <w:jc w:val="center"/>
        <w:rPr>
          <w:rFonts w:ascii="黑体" w:hAnsi="黑体" w:eastAsia="黑体"/>
          <w:bCs/>
          <w:kern w:val="44"/>
          <w:sz w:val="28"/>
          <w:szCs w:val="28"/>
        </w:rPr>
      </w:pPr>
      <w:r>
        <w:rPr>
          <w:rFonts w:ascii="黑体" w:hAnsi="黑体" w:eastAsia="黑体"/>
          <w:bCs/>
          <w:kern w:val="44"/>
          <w:sz w:val="28"/>
          <w:szCs w:val="28"/>
        </w:rPr>
        <w:t>中标通知书</w:t>
      </w:r>
    </w:p>
    <w:p w14:paraId="550D0ACE">
      <w:pPr>
        <w:spacing w:line="360" w:lineRule="auto"/>
        <w:rPr>
          <w:rFonts w:ascii="宋体" w:hAnsi="宋体"/>
          <w:sz w:val="24"/>
          <w:u w:val="single"/>
        </w:rPr>
      </w:pPr>
    </w:p>
    <w:p w14:paraId="2C651697">
      <w:pPr>
        <w:spacing w:line="360" w:lineRule="auto"/>
        <w:rPr>
          <w:rFonts w:ascii="宋体" w:hAnsi="宋体"/>
          <w:sz w:val="24"/>
        </w:rPr>
      </w:pPr>
      <w:r>
        <w:rPr>
          <w:rFonts w:ascii="宋体" w:hAnsi="宋体"/>
          <w:sz w:val="24"/>
          <w:u w:val="single"/>
        </w:rPr>
        <w:t xml:space="preserve">            </w:t>
      </w:r>
      <w:r>
        <w:rPr>
          <w:rFonts w:ascii="宋体" w:hAnsi="宋体"/>
          <w:sz w:val="24"/>
        </w:rPr>
        <w:t>（中标人名称）：</w:t>
      </w:r>
    </w:p>
    <w:p w14:paraId="385C6D01">
      <w:pPr>
        <w:spacing w:line="360" w:lineRule="auto"/>
        <w:rPr>
          <w:rFonts w:ascii="宋体" w:hAnsi="宋体"/>
          <w:sz w:val="24"/>
        </w:rPr>
      </w:pPr>
    </w:p>
    <w:p w14:paraId="0FA74239">
      <w:pPr>
        <w:wordWrap w:val="0"/>
        <w:spacing w:line="360" w:lineRule="auto"/>
        <w:ind w:firstLine="480" w:firstLineChars="200"/>
        <w:rPr>
          <w:rFonts w:ascii="宋体" w:hAnsi="宋体"/>
          <w:sz w:val="24"/>
        </w:rPr>
      </w:pPr>
      <w:r>
        <w:rPr>
          <w:rFonts w:ascii="宋体" w:hAnsi="宋体"/>
          <w:sz w:val="24"/>
        </w:rPr>
        <w:t>你方于</w:t>
      </w:r>
      <w:r>
        <w:rPr>
          <w:rFonts w:ascii="宋体" w:hAnsi="宋体"/>
          <w:sz w:val="24"/>
          <w:u w:val="single"/>
        </w:rPr>
        <w:t xml:space="preserve">        </w:t>
      </w:r>
      <w:r>
        <w:rPr>
          <w:rFonts w:ascii="宋体" w:hAnsi="宋体"/>
          <w:sz w:val="24"/>
        </w:rPr>
        <w:t>（投标日期）所递交的</w:t>
      </w:r>
      <w:r>
        <w:rPr>
          <w:rFonts w:ascii="宋体" w:hAnsi="宋体"/>
          <w:sz w:val="24"/>
          <w:u w:val="single"/>
        </w:rPr>
        <w:t xml:space="preserve">       </w:t>
      </w:r>
      <w:r>
        <w:rPr>
          <w:rFonts w:ascii="宋体" w:hAnsi="宋体"/>
          <w:sz w:val="24"/>
        </w:rPr>
        <w:t>（</w:t>
      </w:r>
      <w:r>
        <w:rPr>
          <w:rFonts w:hint="eastAsia" w:ascii="宋体" w:hAnsi="宋体"/>
          <w:sz w:val="24"/>
        </w:rPr>
        <w:t>招标</w:t>
      </w:r>
      <w:r>
        <w:rPr>
          <w:rFonts w:ascii="宋体" w:hAnsi="宋体"/>
          <w:sz w:val="24"/>
        </w:rPr>
        <w:t>项目名称</w:t>
      </w:r>
      <w:r>
        <w:rPr>
          <w:rFonts w:hint="eastAsia" w:ascii="宋体" w:hAnsi="宋体"/>
          <w:sz w:val="24"/>
        </w:rPr>
        <w:t>）</w:t>
      </w:r>
      <w:r>
        <w:rPr>
          <w:rFonts w:hint="eastAsia" w:ascii="宋体" w:hAnsi="宋体"/>
          <w:sz w:val="24"/>
          <w:lang w:val="en-US" w:eastAsia="zh-CN"/>
        </w:rPr>
        <w:t>设计施工总承包</w:t>
      </w:r>
      <w:r>
        <w:rPr>
          <w:rFonts w:ascii="宋体" w:hAnsi="宋体"/>
          <w:sz w:val="24"/>
          <w:u w:val="single"/>
        </w:rPr>
        <w:t xml:space="preserve">   </w:t>
      </w:r>
      <w:r>
        <w:rPr>
          <w:rFonts w:hint="eastAsia" w:ascii="宋体" w:hAnsi="宋体"/>
          <w:sz w:val="24"/>
        </w:rPr>
        <w:t>标段</w:t>
      </w:r>
      <w:r>
        <w:rPr>
          <w:rFonts w:ascii="宋体" w:hAnsi="宋体"/>
          <w:sz w:val="24"/>
        </w:rPr>
        <w:t>投标文件已被我方接受，被确定为中标人。</w:t>
      </w:r>
    </w:p>
    <w:p w14:paraId="365E8E9A">
      <w:pPr>
        <w:spacing w:line="360" w:lineRule="auto"/>
        <w:ind w:firstLine="480" w:firstLineChars="200"/>
        <w:rPr>
          <w:rFonts w:ascii="宋体" w:hAnsi="宋体"/>
          <w:sz w:val="24"/>
        </w:rPr>
      </w:pPr>
      <w:r>
        <w:rPr>
          <w:rFonts w:ascii="宋体" w:hAnsi="宋体"/>
          <w:sz w:val="24"/>
        </w:rPr>
        <w:t>中</w:t>
      </w:r>
      <w:r>
        <w:rPr>
          <w:rFonts w:hint="eastAsia" w:ascii="宋体" w:hAnsi="宋体"/>
          <w:sz w:val="24"/>
          <w:lang w:val="en-US" w:eastAsia="zh-CN"/>
        </w:rPr>
        <w:t xml:space="preserve"> </w:t>
      </w:r>
      <w:r>
        <w:rPr>
          <w:rFonts w:ascii="宋体" w:hAnsi="宋体"/>
          <w:sz w:val="24"/>
        </w:rPr>
        <w:t>标</w:t>
      </w:r>
      <w:r>
        <w:rPr>
          <w:rFonts w:hint="eastAsia" w:ascii="宋体" w:hAnsi="宋体"/>
          <w:sz w:val="24"/>
          <w:lang w:val="en-US" w:eastAsia="zh-CN"/>
        </w:rPr>
        <w:t xml:space="preserve"> </w:t>
      </w:r>
      <w:r>
        <w:rPr>
          <w:rFonts w:ascii="宋体" w:hAnsi="宋体"/>
          <w:sz w:val="24"/>
        </w:rPr>
        <w:t>价：</w:t>
      </w:r>
      <w:r>
        <w:rPr>
          <w:rFonts w:ascii="宋体" w:hAnsi="宋体"/>
          <w:sz w:val="24"/>
          <w:u w:val="single"/>
        </w:rPr>
        <w:t xml:space="preserve">            </w:t>
      </w:r>
      <w:r>
        <w:rPr>
          <w:rFonts w:ascii="宋体" w:hAnsi="宋体"/>
          <w:sz w:val="24"/>
        </w:rPr>
        <w:t>元。</w:t>
      </w:r>
    </w:p>
    <w:p w14:paraId="4FA601F9">
      <w:pPr>
        <w:spacing w:line="360" w:lineRule="auto"/>
        <w:ind w:firstLine="480" w:firstLineChars="200"/>
        <w:rPr>
          <w:rFonts w:ascii="宋体" w:hAnsi="宋体"/>
          <w:sz w:val="24"/>
        </w:rPr>
      </w:pPr>
      <w:r>
        <w:rPr>
          <w:rFonts w:hint="eastAsia" w:ascii="宋体" w:hAnsi="宋体"/>
          <w:sz w:val="24"/>
        </w:rPr>
        <w:t>总</w:t>
      </w:r>
      <w:r>
        <w:rPr>
          <w:rFonts w:hint="eastAsia" w:ascii="宋体" w:hAnsi="宋体"/>
          <w:sz w:val="24"/>
          <w:lang w:val="en-US" w:eastAsia="zh-CN"/>
        </w:rPr>
        <w:t xml:space="preserve"> </w:t>
      </w:r>
      <w:r>
        <w:rPr>
          <w:rFonts w:ascii="宋体" w:hAnsi="宋体"/>
          <w:sz w:val="24"/>
        </w:rPr>
        <w:t>工</w:t>
      </w:r>
      <w:r>
        <w:rPr>
          <w:rFonts w:hint="eastAsia" w:ascii="宋体" w:hAnsi="宋体"/>
          <w:sz w:val="24"/>
          <w:lang w:val="en-US" w:eastAsia="zh-CN"/>
        </w:rPr>
        <w:t xml:space="preserve"> </w:t>
      </w:r>
      <w:r>
        <w:rPr>
          <w:rFonts w:ascii="宋体" w:hAnsi="宋体"/>
          <w:sz w:val="24"/>
        </w:rPr>
        <w:t>期：</w:t>
      </w:r>
      <w:r>
        <w:rPr>
          <w:rFonts w:ascii="宋体" w:hAnsi="宋体"/>
          <w:sz w:val="24"/>
          <w:u w:val="single"/>
        </w:rPr>
        <w:t xml:space="preserve">     </w:t>
      </w:r>
      <w:r>
        <w:rPr>
          <w:rFonts w:hint="eastAsia" w:ascii="宋体" w:hAnsi="宋体"/>
          <w:sz w:val="24"/>
          <w:lang w:val="en-US" w:eastAsia="zh-CN"/>
        </w:rPr>
        <w:t>日历天</w:t>
      </w:r>
      <w:r>
        <w:rPr>
          <w:rFonts w:ascii="宋体" w:hAnsi="宋体"/>
          <w:sz w:val="24"/>
        </w:rPr>
        <w:t>。</w:t>
      </w:r>
      <w:r>
        <w:rPr>
          <w:rFonts w:hint="eastAsia" w:ascii="宋体" w:hAnsi="宋体"/>
          <w:sz w:val="24"/>
        </w:rPr>
        <w:t>其中勘察设计周期</w:t>
      </w:r>
      <w:r>
        <w:rPr>
          <w:rFonts w:ascii="宋体" w:hAnsi="宋体"/>
          <w:sz w:val="24"/>
          <w:u w:val="single"/>
        </w:rPr>
        <w:t xml:space="preserve">    </w:t>
      </w:r>
      <w:r>
        <w:rPr>
          <w:rFonts w:hint="eastAsia" w:ascii="宋体" w:hAnsi="宋体"/>
          <w:sz w:val="24"/>
          <w:lang w:val="en-US" w:eastAsia="zh-CN"/>
        </w:rPr>
        <w:t>日历天</w:t>
      </w:r>
      <w:r>
        <w:rPr>
          <w:rFonts w:hint="eastAsia"/>
          <w:sz w:val="24"/>
          <w:szCs w:val="24"/>
        </w:rPr>
        <w:t>和</w:t>
      </w:r>
      <w:r>
        <w:rPr>
          <w:rFonts w:hint="eastAsia" w:ascii="宋体" w:hAnsi="宋体"/>
          <w:sz w:val="24"/>
        </w:rPr>
        <w:t>施工工期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lang w:val="en-US" w:eastAsia="zh-CN"/>
        </w:rPr>
        <w:t>日历天</w:t>
      </w:r>
      <w:r>
        <w:rPr>
          <w:rFonts w:hint="eastAsia" w:ascii="宋体" w:hAnsi="宋体"/>
          <w:sz w:val="24"/>
        </w:rPr>
        <w:t>。</w:t>
      </w:r>
    </w:p>
    <w:p w14:paraId="3235E41B">
      <w:pPr>
        <w:spacing w:line="360" w:lineRule="auto"/>
        <w:ind w:firstLine="480" w:firstLineChars="200"/>
        <w:rPr>
          <w:rFonts w:ascii="宋体" w:hAnsi="宋体"/>
          <w:sz w:val="24"/>
        </w:rPr>
      </w:pPr>
      <w:r>
        <w:rPr>
          <w:rFonts w:ascii="宋体" w:hAnsi="宋体"/>
          <w:sz w:val="24"/>
        </w:rPr>
        <w:t>工程质量：符合</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标准。 </w:t>
      </w:r>
    </w:p>
    <w:p w14:paraId="40523BFC">
      <w:pPr>
        <w:spacing w:line="360" w:lineRule="auto"/>
        <w:ind w:firstLine="480" w:firstLineChars="200"/>
        <w:rPr>
          <w:rFonts w:hint="eastAsia" w:ascii="宋体" w:hAnsi="宋体"/>
          <w:sz w:val="24"/>
        </w:rPr>
      </w:pPr>
      <w:r>
        <w:rPr>
          <w:rFonts w:hint="eastAsia" w:ascii="宋体" w:hAnsi="宋体"/>
          <w:sz w:val="24"/>
        </w:rPr>
        <w:t>工程安全目标：</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7442319F">
      <w:pPr>
        <w:spacing w:line="360" w:lineRule="auto"/>
        <w:ind w:firstLine="482" w:firstLineChars="200"/>
        <w:rPr>
          <w:rFonts w:hint="eastAsia" w:ascii="宋体" w:hAnsi="宋体"/>
          <w:sz w:val="24"/>
        </w:rPr>
      </w:pPr>
      <w:r>
        <w:rPr>
          <w:rFonts w:hint="eastAsia"/>
          <w:b/>
          <w:bCs/>
          <w:sz w:val="24"/>
        </w:rPr>
        <w:t>□</w:t>
      </w:r>
      <w:r>
        <w:rPr>
          <w:b/>
          <w:bCs/>
          <w:sz w:val="24"/>
        </w:rPr>
        <w:t xml:space="preserve"> </w:t>
      </w:r>
      <w:r>
        <w:rPr>
          <w:rFonts w:hint="eastAsia" w:ascii="宋体" w:hAnsi="宋体"/>
          <w:sz w:val="24"/>
        </w:rPr>
        <w:t>项目总负责人：</w:t>
      </w:r>
      <w:r>
        <w:rPr>
          <w:rFonts w:ascii="宋体" w:hAnsi="宋体"/>
          <w:sz w:val="24"/>
          <w:u w:val="single"/>
        </w:rPr>
        <w:t xml:space="preserve">             </w:t>
      </w:r>
      <w:r>
        <w:rPr>
          <w:rFonts w:hint="eastAsia" w:ascii="宋体" w:hAnsi="宋体" w:cs="宋体"/>
          <w:sz w:val="24"/>
        </w:rPr>
        <w:t>（姓名）</w:t>
      </w:r>
      <w:r>
        <w:rPr>
          <w:rFonts w:hint="eastAsia" w:ascii="宋体" w:hAnsi="宋体"/>
          <w:sz w:val="24"/>
        </w:rPr>
        <w:t>。</w:t>
      </w:r>
    </w:p>
    <w:p w14:paraId="053B19C9">
      <w:pPr>
        <w:spacing w:line="360" w:lineRule="auto"/>
        <w:ind w:firstLine="482" w:firstLineChars="200"/>
        <w:rPr>
          <w:rFonts w:hint="eastAsia" w:ascii="宋体" w:hAnsi="宋体"/>
          <w:sz w:val="24"/>
        </w:rPr>
      </w:pPr>
      <w:bookmarkStart w:id="638" w:name="_Hlk98621259"/>
      <w:r>
        <w:rPr>
          <w:rFonts w:hint="eastAsia"/>
          <w:b/>
          <w:bCs/>
          <w:sz w:val="24"/>
        </w:rPr>
        <w:t>□</w:t>
      </w:r>
      <w:r>
        <w:rPr>
          <w:b/>
          <w:bCs/>
          <w:sz w:val="24"/>
        </w:rPr>
        <w:t xml:space="preserve"> </w:t>
      </w:r>
      <w:r>
        <w:rPr>
          <w:rFonts w:hint="eastAsia" w:ascii="宋体" w:hAnsi="宋体"/>
          <w:sz w:val="24"/>
        </w:rPr>
        <w:t>设计项目负责人：</w:t>
      </w:r>
      <w:r>
        <w:rPr>
          <w:rFonts w:ascii="宋体" w:hAnsi="宋体"/>
          <w:sz w:val="24"/>
          <w:u w:val="single"/>
        </w:rPr>
        <w:t xml:space="preserve">           </w:t>
      </w:r>
      <w:r>
        <w:rPr>
          <w:rFonts w:hint="eastAsia" w:ascii="宋体" w:hAnsi="宋体" w:cs="宋体"/>
          <w:sz w:val="24"/>
        </w:rPr>
        <w:t>（姓名）</w:t>
      </w:r>
      <w:r>
        <w:rPr>
          <w:rFonts w:hint="eastAsia" w:ascii="宋体" w:hAnsi="宋体"/>
          <w:sz w:val="24"/>
        </w:rPr>
        <w:t>。</w:t>
      </w:r>
    </w:p>
    <w:bookmarkEnd w:id="638"/>
    <w:p w14:paraId="51146FB3">
      <w:pPr>
        <w:spacing w:line="360" w:lineRule="auto"/>
        <w:ind w:firstLine="482" w:firstLineChars="200"/>
        <w:rPr>
          <w:rFonts w:hint="eastAsia" w:ascii="宋体" w:hAnsi="宋体"/>
          <w:sz w:val="24"/>
        </w:rPr>
      </w:pPr>
      <w:r>
        <w:rPr>
          <w:rFonts w:hint="eastAsia"/>
          <w:b/>
          <w:bCs/>
          <w:sz w:val="24"/>
        </w:rPr>
        <w:t>□</w:t>
      </w:r>
      <w:r>
        <w:rPr>
          <w:rFonts w:hint="eastAsia"/>
          <w:b/>
          <w:bCs/>
          <w:sz w:val="24"/>
          <w:lang w:val="en-US" w:eastAsia="zh-CN"/>
        </w:rPr>
        <w:t xml:space="preserve"> </w:t>
      </w:r>
      <w:r>
        <w:rPr>
          <w:rFonts w:hint="eastAsia"/>
          <w:b w:val="0"/>
          <w:bCs w:val="0"/>
          <w:sz w:val="24"/>
        </w:rPr>
        <w:t>勘察设计技术负责人或总设计师</w:t>
      </w:r>
      <w:r>
        <w:rPr>
          <w:rFonts w:hint="eastAsia" w:ascii="宋体" w:hAnsi="宋体"/>
          <w:sz w:val="24"/>
        </w:rPr>
        <w:t>：</w:t>
      </w:r>
      <w:r>
        <w:rPr>
          <w:rFonts w:ascii="宋体" w:hAnsi="宋体"/>
          <w:sz w:val="24"/>
          <w:u w:val="single"/>
        </w:rPr>
        <w:t xml:space="preserve">           </w:t>
      </w:r>
      <w:r>
        <w:rPr>
          <w:rFonts w:hint="eastAsia" w:ascii="宋体" w:hAnsi="宋体" w:cs="宋体"/>
          <w:sz w:val="24"/>
        </w:rPr>
        <w:t>（姓名）</w:t>
      </w:r>
      <w:r>
        <w:rPr>
          <w:rFonts w:hint="eastAsia" w:ascii="宋体" w:hAnsi="宋体"/>
          <w:sz w:val="24"/>
        </w:rPr>
        <w:t>。</w:t>
      </w:r>
    </w:p>
    <w:p w14:paraId="43E3A086">
      <w:pPr>
        <w:spacing w:line="360" w:lineRule="auto"/>
        <w:ind w:firstLine="482" w:firstLineChars="200"/>
        <w:rPr>
          <w:rFonts w:hint="eastAsia" w:ascii="宋体" w:hAnsi="宋体"/>
          <w:sz w:val="24"/>
        </w:rPr>
      </w:pPr>
      <w:r>
        <w:rPr>
          <w:rFonts w:hint="eastAsia"/>
          <w:b/>
          <w:bCs/>
          <w:sz w:val="24"/>
        </w:rPr>
        <w:t>□</w:t>
      </w:r>
      <w:r>
        <w:rPr>
          <w:b/>
          <w:bCs/>
          <w:sz w:val="24"/>
        </w:rPr>
        <w:t xml:space="preserve"> </w:t>
      </w:r>
      <w:r>
        <w:rPr>
          <w:rFonts w:hint="eastAsia" w:ascii="宋体" w:hAnsi="宋体"/>
          <w:sz w:val="24"/>
        </w:rPr>
        <w:t>项目经理：</w:t>
      </w:r>
      <w:r>
        <w:rPr>
          <w:rFonts w:ascii="宋体" w:hAnsi="宋体"/>
          <w:sz w:val="24"/>
          <w:u w:val="single"/>
        </w:rPr>
        <w:t xml:space="preserve">                 </w:t>
      </w:r>
      <w:r>
        <w:rPr>
          <w:rFonts w:hint="eastAsia" w:ascii="宋体" w:hAnsi="宋体" w:cs="宋体"/>
          <w:sz w:val="24"/>
        </w:rPr>
        <w:t>（姓名）</w:t>
      </w:r>
      <w:r>
        <w:rPr>
          <w:rFonts w:hint="eastAsia" w:ascii="宋体" w:hAnsi="宋体"/>
          <w:sz w:val="24"/>
        </w:rPr>
        <w:t>。</w:t>
      </w:r>
    </w:p>
    <w:p w14:paraId="2A6DA735">
      <w:pPr>
        <w:spacing w:line="360" w:lineRule="auto"/>
        <w:ind w:firstLine="482" w:firstLineChars="200"/>
        <w:rPr>
          <w:rFonts w:ascii="宋体" w:hAnsi="宋体"/>
          <w:sz w:val="24"/>
        </w:rPr>
      </w:pPr>
      <w:r>
        <w:rPr>
          <w:rFonts w:hint="eastAsia"/>
          <w:b/>
          <w:bCs/>
          <w:sz w:val="24"/>
        </w:rPr>
        <w:t>□</w:t>
      </w:r>
      <w:r>
        <w:rPr>
          <w:b/>
          <w:bCs/>
          <w:sz w:val="24"/>
        </w:rPr>
        <w:t xml:space="preserve"> </w:t>
      </w:r>
      <w:r>
        <w:rPr>
          <w:rFonts w:hint="eastAsia" w:ascii="宋体" w:hAnsi="宋体"/>
          <w:sz w:val="24"/>
        </w:rPr>
        <w:t>项目总工：</w:t>
      </w:r>
      <w:r>
        <w:rPr>
          <w:rFonts w:ascii="宋体" w:hAnsi="宋体"/>
          <w:sz w:val="24"/>
          <w:u w:val="single"/>
        </w:rPr>
        <w:t xml:space="preserve">                 </w:t>
      </w:r>
      <w:r>
        <w:rPr>
          <w:rFonts w:hint="eastAsia" w:ascii="宋体" w:hAnsi="宋体" w:cs="宋体"/>
          <w:sz w:val="24"/>
        </w:rPr>
        <w:t>（姓名）</w:t>
      </w:r>
      <w:r>
        <w:rPr>
          <w:rFonts w:hint="eastAsia" w:ascii="宋体" w:hAnsi="宋体"/>
          <w:sz w:val="24"/>
        </w:rPr>
        <w:t>。</w:t>
      </w:r>
    </w:p>
    <w:p w14:paraId="3F84684E">
      <w:pPr>
        <w:pStyle w:val="199"/>
        <w:rPr>
          <w:rFonts w:hAnsi="宋体"/>
          <w:color w:val="auto"/>
        </w:rPr>
      </w:pPr>
    </w:p>
    <w:p w14:paraId="7323BE5E">
      <w:pPr>
        <w:spacing w:line="360" w:lineRule="auto"/>
        <w:ind w:firstLine="480" w:firstLineChars="200"/>
        <w:rPr>
          <w:rFonts w:ascii="宋体" w:hAnsi="宋体"/>
          <w:sz w:val="24"/>
        </w:rPr>
      </w:pPr>
      <w:r>
        <w:rPr>
          <w:rFonts w:ascii="宋体" w:hAnsi="宋体"/>
          <w:sz w:val="24"/>
        </w:rPr>
        <w:t>请你方在本通知书发出后的</w:t>
      </w:r>
      <w:r>
        <w:rPr>
          <w:rFonts w:ascii="宋体" w:hAnsi="宋体"/>
          <w:sz w:val="24"/>
          <w:u w:val="single"/>
        </w:rPr>
        <w:t xml:space="preserve">     </w:t>
      </w:r>
      <w:r>
        <w:rPr>
          <w:rFonts w:hint="eastAsia" w:ascii="宋体" w:hAnsi="宋体"/>
          <w:sz w:val="24"/>
        </w:rPr>
        <w:t>天内到与我方以招标文件第二章</w:t>
      </w:r>
      <w:r>
        <w:rPr>
          <w:rFonts w:ascii="宋体" w:hAnsi="宋体"/>
          <w:sz w:val="24"/>
        </w:rPr>
        <w:t>“</w:t>
      </w:r>
      <w:r>
        <w:rPr>
          <w:rFonts w:hint="eastAsia" w:ascii="宋体" w:hAnsi="宋体"/>
          <w:sz w:val="24"/>
        </w:rPr>
        <w:t>投标人须知</w:t>
      </w:r>
      <w:r>
        <w:rPr>
          <w:rFonts w:ascii="宋体" w:hAnsi="宋体"/>
          <w:sz w:val="24"/>
        </w:rPr>
        <w:t>”前附表</w:t>
      </w:r>
      <w:r>
        <w:rPr>
          <w:rFonts w:hint="eastAsia" w:ascii="宋体" w:hAnsi="宋体"/>
          <w:sz w:val="24"/>
        </w:rPr>
        <w:t>第</w:t>
      </w:r>
      <w:r>
        <w:rPr>
          <w:rFonts w:ascii="宋体" w:hAnsi="宋体"/>
          <w:sz w:val="24"/>
        </w:rPr>
        <w:t>7.8.1</w:t>
      </w:r>
      <w:r>
        <w:rPr>
          <w:rFonts w:hint="eastAsia" w:ascii="宋体" w:hAnsi="宋体"/>
          <w:sz w:val="24"/>
        </w:rPr>
        <w:t>项</w:t>
      </w:r>
      <w:r>
        <w:rPr>
          <w:rFonts w:ascii="宋体" w:hAnsi="宋体"/>
          <w:sz w:val="24"/>
        </w:rPr>
        <w:t>约定的方式</w:t>
      </w:r>
      <w:r>
        <w:rPr>
          <w:rFonts w:hint="eastAsia" w:ascii="宋体" w:hAnsi="宋体"/>
          <w:sz w:val="24"/>
        </w:rPr>
        <w:t>签订设计施工总承包合同，在此之前按招标文件第二章</w:t>
      </w:r>
      <w:r>
        <w:rPr>
          <w:rFonts w:ascii="宋体" w:hAnsi="宋体"/>
          <w:sz w:val="24"/>
        </w:rPr>
        <w:t>“</w:t>
      </w:r>
      <w:r>
        <w:rPr>
          <w:rFonts w:hint="eastAsia" w:ascii="宋体" w:hAnsi="宋体"/>
          <w:sz w:val="24"/>
        </w:rPr>
        <w:t>投标人须知</w:t>
      </w:r>
      <w:r>
        <w:rPr>
          <w:rFonts w:ascii="宋体" w:hAnsi="宋体"/>
          <w:sz w:val="24"/>
        </w:rPr>
        <w:t>”</w:t>
      </w:r>
      <w:r>
        <w:rPr>
          <w:rFonts w:hint="eastAsia" w:ascii="宋体" w:hAnsi="宋体"/>
          <w:sz w:val="24"/>
        </w:rPr>
        <w:t>前附表第</w:t>
      </w:r>
      <w:r>
        <w:rPr>
          <w:rFonts w:ascii="宋体" w:hAnsi="宋体"/>
          <w:sz w:val="24"/>
        </w:rPr>
        <w:t>7.7.1</w:t>
      </w:r>
      <w:r>
        <w:rPr>
          <w:rFonts w:hint="eastAsia" w:ascii="宋体" w:hAnsi="宋体"/>
          <w:sz w:val="24"/>
        </w:rPr>
        <w:t>项</w:t>
      </w:r>
      <w:r>
        <w:rPr>
          <w:rFonts w:ascii="宋体" w:hAnsi="宋体"/>
          <w:sz w:val="24"/>
        </w:rPr>
        <w:t>规定向我方提交履约保证金。</w:t>
      </w:r>
    </w:p>
    <w:p w14:paraId="562D438A">
      <w:pPr>
        <w:spacing w:line="360" w:lineRule="auto"/>
        <w:ind w:firstLine="480" w:firstLineChars="200"/>
        <w:rPr>
          <w:rFonts w:ascii="宋体" w:hAnsi="宋体"/>
          <w:sz w:val="24"/>
        </w:rPr>
      </w:pPr>
      <w:r>
        <w:rPr>
          <w:rFonts w:ascii="宋体" w:hAnsi="宋体"/>
          <w:sz w:val="24"/>
        </w:rPr>
        <w:t>特此通知。</w:t>
      </w:r>
    </w:p>
    <w:p w14:paraId="3F4E6FF7">
      <w:pPr>
        <w:pStyle w:val="299"/>
        <w:spacing w:line="360" w:lineRule="auto"/>
        <w:ind w:firstLine="420" w:firstLineChars="200"/>
      </w:pPr>
      <w:r>
        <w:t xml:space="preserve">                 </w:t>
      </w:r>
    </w:p>
    <w:p w14:paraId="6E5EFE18">
      <w:pPr>
        <w:pStyle w:val="299"/>
        <w:spacing w:line="360" w:lineRule="auto"/>
        <w:ind w:firstLine="420" w:firstLineChars="200"/>
      </w:pPr>
      <w:r>
        <w:t xml:space="preserve"> </w:t>
      </w:r>
    </w:p>
    <w:p w14:paraId="6EBB588B">
      <w:pPr>
        <w:pStyle w:val="299"/>
        <w:spacing w:line="360" w:lineRule="auto"/>
        <w:ind w:firstLine="2520" w:firstLineChars="1050"/>
        <w:rPr>
          <w:rFonts w:ascii="宋体" w:hAnsi="宋体" w:cs="宋体"/>
          <w:sz w:val="24"/>
        </w:rPr>
      </w:pPr>
      <w:r>
        <w:rPr>
          <w:rFonts w:ascii="宋体" w:hAnsi="宋体" w:cs="宋体"/>
          <w:sz w:val="24"/>
        </w:rPr>
        <w:t xml:space="preserve"> 招标人：</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（盖单位电子印章／盖单位章）</w:t>
      </w:r>
      <w:r>
        <w:rPr>
          <w:rFonts w:ascii="宋体" w:hAnsi="宋体" w:cs="宋体"/>
          <w:sz w:val="24"/>
        </w:rPr>
        <w:t xml:space="preserve"> </w:t>
      </w:r>
    </w:p>
    <w:p w14:paraId="26B80000">
      <w:pPr>
        <w:pStyle w:val="20"/>
        <w:tabs>
          <w:tab w:val="left" w:pos="6863"/>
        </w:tabs>
        <w:spacing w:line="360" w:lineRule="auto"/>
        <w:ind w:right="103"/>
      </w:pPr>
      <w:r>
        <w:rPr>
          <w:rFonts w:cs="宋体"/>
        </w:rPr>
        <w:t xml:space="preserve">                      □ 招标代理机构：</w:t>
      </w:r>
      <w:r>
        <w:rPr>
          <w:rFonts w:cs="宋体"/>
          <w:u w:val="single"/>
        </w:rPr>
        <w:t xml:space="preserve">       </w:t>
      </w:r>
      <w:r>
        <w:rPr>
          <w:rFonts w:hint="eastAsia" w:cs="宋体"/>
        </w:rPr>
        <w:t>（盖单位电子印章／盖单位章）</w:t>
      </w:r>
    </w:p>
    <w:p w14:paraId="45610F25">
      <w:pPr>
        <w:spacing w:line="360" w:lineRule="auto"/>
        <w:jc w:val="right"/>
        <w:rPr>
          <w:rFonts w:ascii="宋体" w:hAnsi="宋体"/>
          <w:sz w:val="24"/>
        </w:rPr>
      </w:pPr>
    </w:p>
    <w:p w14:paraId="67F81847">
      <w:pPr>
        <w:spacing w:line="360" w:lineRule="auto"/>
        <w:jc w:val="right"/>
        <w:rPr>
          <w:rFonts w:ascii="宋体" w:hAnsi="宋体"/>
          <w:sz w:val="30"/>
          <w:szCs w:val="30"/>
        </w:rPr>
      </w:pP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 w:val="30"/>
          <w:szCs w:val="30"/>
        </w:rPr>
        <w:t xml:space="preserve">  </w:t>
      </w:r>
    </w:p>
    <w:p w14:paraId="799AB757">
      <w:pPr>
        <w:pStyle w:val="3"/>
        <w:spacing w:before="0" w:beforeLines="0" w:after="0" w:afterLines="0" w:line="360" w:lineRule="auto"/>
        <w:rPr>
          <w:b w:val="0"/>
          <w:sz w:val="24"/>
          <w:szCs w:val="24"/>
        </w:rPr>
      </w:pPr>
      <w:r>
        <w:rPr>
          <w:rFonts w:ascii="宋体" w:hAnsi="宋体"/>
          <w:b w:val="0"/>
          <w:sz w:val="36"/>
          <w:szCs w:val="44"/>
        </w:rPr>
        <w:br w:type="page"/>
      </w:r>
      <w:bookmarkStart w:id="639" w:name="_Toc53685646"/>
      <w:r>
        <w:rPr>
          <w:rFonts w:hint="eastAsia"/>
          <w:b w:val="0"/>
          <w:sz w:val="28"/>
          <w:szCs w:val="28"/>
        </w:rPr>
        <w:t>附件五</w:t>
      </w:r>
      <w:r>
        <w:rPr>
          <w:b w:val="0"/>
          <w:sz w:val="28"/>
          <w:szCs w:val="28"/>
        </w:rPr>
        <w:t xml:space="preserve">  </w:t>
      </w:r>
      <w:r>
        <w:rPr>
          <w:rFonts w:hint="eastAsia"/>
          <w:b w:val="0"/>
          <w:sz w:val="28"/>
          <w:szCs w:val="28"/>
        </w:rPr>
        <w:t>中标结果通知书</w:t>
      </w:r>
      <w:bookmarkEnd w:id="639"/>
    </w:p>
    <w:p w14:paraId="7F8F7FEF">
      <w:pPr>
        <w:ind w:firstLine="212"/>
        <w:jc w:val="left"/>
        <w:rPr>
          <w:rFonts w:ascii="宋体" w:hAnsi="宋体"/>
          <w:sz w:val="36"/>
          <w:szCs w:val="44"/>
        </w:rPr>
      </w:pPr>
    </w:p>
    <w:p w14:paraId="1CF47443">
      <w:pPr>
        <w:ind w:firstLine="212"/>
        <w:jc w:val="center"/>
        <w:rPr>
          <w:rFonts w:ascii="黑体" w:hAnsi="黑体" w:eastAsia="黑体"/>
          <w:sz w:val="28"/>
          <w:szCs w:val="28"/>
        </w:rPr>
      </w:pPr>
      <w:r>
        <w:rPr>
          <w:rFonts w:hint="eastAsia" w:ascii="黑体" w:hAnsi="黑体" w:eastAsia="黑体"/>
          <w:sz w:val="28"/>
          <w:szCs w:val="28"/>
        </w:rPr>
        <w:t>中标结果通知书</w:t>
      </w:r>
    </w:p>
    <w:p w14:paraId="25A00EB1">
      <w:pPr>
        <w:ind w:firstLine="212"/>
        <w:jc w:val="center"/>
        <w:rPr>
          <w:rFonts w:ascii="宋体" w:hAnsi="宋体"/>
          <w:sz w:val="40"/>
          <w:szCs w:val="40"/>
        </w:rPr>
      </w:pPr>
    </w:p>
    <w:p w14:paraId="4925444C">
      <w:pPr>
        <w:ind w:firstLine="212"/>
        <w:jc w:val="center"/>
        <w:rPr>
          <w:rFonts w:ascii="宋体" w:hAnsi="宋体"/>
          <w:sz w:val="24"/>
        </w:rPr>
      </w:pPr>
    </w:p>
    <w:p w14:paraId="3697862C">
      <w:pPr>
        <w:pStyle w:val="20"/>
        <w:tabs>
          <w:tab w:val="left" w:pos="2423"/>
        </w:tabs>
        <w:adjustRightInd w:val="0"/>
        <w:snapToGrid w:val="0"/>
        <w:spacing w:line="360" w:lineRule="auto"/>
        <w:ind w:left="0" w:right="103"/>
      </w:pPr>
      <w:r>
        <w:rPr>
          <w:u w:val="single"/>
        </w:rPr>
        <w:t xml:space="preserve"> </w:t>
      </w:r>
      <w:r>
        <w:rPr>
          <w:u w:val="single"/>
        </w:rPr>
        <w:tab/>
      </w:r>
      <w:r>
        <w:t>（未中标人名称）：</w:t>
      </w:r>
    </w:p>
    <w:p w14:paraId="07D7C036">
      <w:pPr>
        <w:pStyle w:val="20"/>
        <w:tabs>
          <w:tab w:val="left" w:pos="1463"/>
          <w:tab w:val="left" w:pos="3424"/>
          <w:tab w:val="left" w:pos="4019"/>
          <w:tab w:val="left" w:pos="7200"/>
          <w:tab w:val="left" w:pos="8025"/>
        </w:tabs>
        <w:adjustRightInd w:val="0"/>
        <w:snapToGrid w:val="0"/>
        <w:spacing w:line="360" w:lineRule="auto"/>
        <w:ind w:left="144" w:right="101" w:firstLine="482"/>
        <w:jc w:val="left"/>
      </w:pPr>
    </w:p>
    <w:p w14:paraId="335A15F4">
      <w:pPr>
        <w:pStyle w:val="20"/>
        <w:tabs>
          <w:tab w:val="left" w:pos="1463"/>
          <w:tab w:val="left" w:pos="3424"/>
          <w:tab w:val="left" w:pos="4019"/>
          <w:tab w:val="left" w:pos="7200"/>
          <w:tab w:val="left" w:pos="8025"/>
        </w:tabs>
        <w:adjustRightInd w:val="0"/>
        <w:snapToGrid w:val="0"/>
        <w:spacing w:line="360" w:lineRule="auto"/>
        <w:ind w:left="144" w:right="101" w:firstLine="482"/>
        <w:jc w:val="left"/>
      </w:pPr>
      <w:r>
        <w:t>我方已接受</w:t>
      </w:r>
      <w:r>
        <w:rPr>
          <w:u w:val="single"/>
        </w:rPr>
        <w:tab/>
      </w:r>
      <w:r>
        <w:rPr>
          <w:u w:val="single"/>
        </w:rPr>
        <w:tab/>
      </w:r>
      <w:r>
        <w:t>（中标人名称）于</w:t>
      </w:r>
      <w:r>
        <w:rPr>
          <w:u w:val="single"/>
        </w:rPr>
        <w:t xml:space="preserve"> </w:t>
      </w:r>
      <w:r>
        <w:rPr>
          <w:u w:val="single"/>
        </w:rPr>
        <w:tab/>
      </w:r>
      <w:r>
        <w:t>（投标日期）所递交的</w:t>
      </w:r>
      <w:r>
        <w:rPr>
          <w:u w:val="single"/>
        </w:rPr>
        <w:t xml:space="preserve">         </w:t>
      </w:r>
      <w:r>
        <w:t>（</w:t>
      </w:r>
      <w:r>
        <w:rPr>
          <w:rFonts w:hint="eastAsia"/>
        </w:rPr>
        <w:t>招标</w:t>
      </w:r>
      <w:r>
        <w:t>项目名称）</w:t>
      </w:r>
      <w:r>
        <w:rPr>
          <w:rFonts w:hint="eastAsia"/>
          <w:lang w:val="en-US" w:eastAsia="zh-CN"/>
        </w:rPr>
        <w:t>设计施工总承包</w:t>
      </w:r>
      <w:r>
        <w:rPr>
          <w:u w:val="single"/>
        </w:rPr>
        <w:t xml:space="preserve">     </w:t>
      </w:r>
      <w:r>
        <w:rPr>
          <w:rFonts w:hint="eastAsia"/>
        </w:rPr>
        <w:t>标段</w:t>
      </w:r>
      <w:r>
        <w:rPr>
          <w:spacing w:val="-8"/>
        </w:rPr>
        <w:t>投标文件，确定</w:t>
      </w:r>
      <w:r>
        <w:rPr>
          <w:spacing w:val="-8"/>
          <w:u w:val="single"/>
        </w:rPr>
        <w:t xml:space="preserve">          </w:t>
      </w:r>
      <w:r>
        <w:t>（中标人名称）为中标人。</w:t>
      </w:r>
    </w:p>
    <w:p w14:paraId="11036A78">
      <w:pPr>
        <w:pStyle w:val="20"/>
        <w:adjustRightInd w:val="0"/>
        <w:snapToGrid w:val="0"/>
        <w:spacing w:line="360" w:lineRule="auto"/>
      </w:pPr>
    </w:p>
    <w:p w14:paraId="2FE2CF0C">
      <w:pPr>
        <w:pStyle w:val="20"/>
        <w:adjustRightInd w:val="0"/>
        <w:snapToGrid w:val="0"/>
        <w:spacing w:line="360" w:lineRule="auto"/>
        <w:ind w:left="624" w:right="103"/>
      </w:pPr>
      <w:r>
        <w:t>感谢你单位对我们工作的大力支持！</w:t>
      </w:r>
    </w:p>
    <w:p w14:paraId="14E87DF6">
      <w:pPr>
        <w:pStyle w:val="20"/>
      </w:pPr>
    </w:p>
    <w:p w14:paraId="4DA93D9F">
      <w:pPr>
        <w:pStyle w:val="20"/>
      </w:pPr>
    </w:p>
    <w:p w14:paraId="3F56A5D6">
      <w:pPr>
        <w:pStyle w:val="20"/>
      </w:pPr>
    </w:p>
    <w:p w14:paraId="1151E7E8">
      <w:pPr>
        <w:pStyle w:val="20"/>
        <w:tabs>
          <w:tab w:val="left" w:pos="6743"/>
        </w:tabs>
        <w:spacing w:line="360" w:lineRule="auto"/>
        <w:ind w:right="102"/>
      </w:pPr>
      <w:r>
        <w:t xml:space="preserve">             招标人：</w:t>
      </w:r>
      <w:r>
        <w:rPr>
          <w:u w:val="single"/>
        </w:rPr>
        <w:t xml:space="preserve">              </w:t>
      </w:r>
      <w:r>
        <w:rPr>
          <w:rFonts w:hint="eastAsia"/>
          <w:u w:val="single"/>
          <w:lang w:val="en-US" w:eastAsia="zh-CN"/>
        </w:rPr>
        <w:t xml:space="preserve">  </w:t>
      </w:r>
      <w:r>
        <w:rPr>
          <w:u w:val="single"/>
        </w:rPr>
        <w:t xml:space="preserve">      </w:t>
      </w:r>
      <w:r>
        <w:t>（盖单位</w:t>
      </w:r>
      <w:r>
        <w:rPr>
          <w:rFonts w:hint="eastAsia"/>
        </w:rPr>
        <w:t>电子印</w:t>
      </w:r>
      <w:r>
        <w:t>章</w:t>
      </w:r>
      <w:r>
        <w:rPr>
          <w:rFonts w:hint="eastAsia"/>
        </w:rPr>
        <w:t>／盖单位章</w:t>
      </w:r>
      <w:r>
        <w:t>）</w:t>
      </w:r>
    </w:p>
    <w:p w14:paraId="56E4B077">
      <w:pPr>
        <w:pStyle w:val="20"/>
        <w:tabs>
          <w:tab w:val="left" w:pos="6863"/>
        </w:tabs>
        <w:spacing w:line="360" w:lineRule="auto"/>
        <w:ind w:right="102"/>
      </w:pPr>
      <w:r>
        <w:t xml:space="preserve">             □招标代理</w:t>
      </w:r>
      <w:r>
        <w:rPr>
          <w:rFonts w:hint="eastAsia"/>
        </w:rPr>
        <w:t>机构</w:t>
      </w:r>
      <w:r>
        <w:t>：</w:t>
      </w:r>
      <w:r>
        <w:rPr>
          <w:u w:val="single"/>
        </w:rPr>
        <w:t xml:space="preserve">              </w:t>
      </w:r>
      <w:r>
        <w:t>（盖单位</w:t>
      </w:r>
      <w:r>
        <w:rPr>
          <w:rFonts w:hint="eastAsia"/>
        </w:rPr>
        <w:t>电子印</w:t>
      </w:r>
      <w:r>
        <w:t>章</w:t>
      </w:r>
      <w:r>
        <w:rPr>
          <w:rFonts w:hint="eastAsia"/>
        </w:rPr>
        <w:t>／盖单位章</w:t>
      </w:r>
      <w:r>
        <w:t>）</w:t>
      </w:r>
    </w:p>
    <w:p w14:paraId="79F35251">
      <w:pPr>
        <w:pStyle w:val="20"/>
        <w:tabs>
          <w:tab w:val="left" w:pos="6863"/>
        </w:tabs>
        <w:spacing w:before="108"/>
        <w:ind w:right="103"/>
      </w:pPr>
    </w:p>
    <w:p w14:paraId="0B5BE561">
      <w:pPr>
        <w:pStyle w:val="20"/>
        <w:tabs>
          <w:tab w:val="left" w:pos="2423"/>
        </w:tabs>
        <w:spacing w:before="26"/>
        <w:ind w:left="264" w:right="103"/>
      </w:pPr>
      <w:r>
        <w:t xml:space="preserve">                                         </w:t>
      </w:r>
      <w:r>
        <w:rPr>
          <w:u w:val="single"/>
        </w:rPr>
        <w:t xml:space="preserve">     </w:t>
      </w:r>
      <w:r>
        <w:t>年</w:t>
      </w:r>
      <w:r>
        <w:rPr>
          <w:u w:val="single"/>
        </w:rPr>
        <w:t xml:space="preserve">    </w:t>
      </w:r>
      <w:r>
        <w:t>月</w:t>
      </w:r>
      <w:r>
        <w:rPr>
          <w:u w:val="single"/>
        </w:rPr>
        <w:t xml:space="preserve"> </w:t>
      </w:r>
      <w:r>
        <w:rPr>
          <w:u w:val="single"/>
        </w:rPr>
        <w:tab/>
      </w:r>
      <w:r>
        <w:rPr>
          <w:u w:val="single"/>
        </w:rPr>
        <w:t xml:space="preserve"> </w:t>
      </w:r>
      <w:r>
        <w:t>日</w:t>
      </w:r>
    </w:p>
    <w:p w14:paraId="4D7C9F3D">
      <w:pPr>
        <w:pStyle w:val="20"/>
        <w:rPr>
          <w:sz w:val="21"/>
          <w:szCs w:val="28"/>
        </w:rPr>
      </w:pPr>
    </w:p>
    <w:p w14:paraId="2FC221DB">
      <w:pPr>
        <w:ind w:firstLine="347"/>
        <w:jc w:val="left"/>
        <w:rPr>
          <w:rFonts w:ascii="宋体" w:hAnsi="宋体"/>
          <w:sz w:val="28"/>
        </w:rPr>
      </w:pPr>
    </w:p>
    <w:p w14:paraId="2A75C806">
      <w:pPr>
        <w:rPr>
          <w:rFonts w:ascii="宋体" w:hAnsi="宋体"/>
          <w:sz w:val="28"/>
        </w:rPr>
      </w:pPr>
    </w:p>
    <w:p w14:paraId="39046DB5">
      <w:pPr>
        <w:rPr>
          <w:rFonts w:ascii="宋体" w:hAnsi="宋体"/>
          <w:sz w:val="28"/>
        </w:rPr>
      </w:pPr>
    </w:p>
    <w:p w14:paraId="5BEB0712">
      <w:pPr>
        <w:rPr>
          <w:rFonts w:ascii="宋体" w:hAnsi="宋体"/>
          <w:sz w:val="28"/>
        </w:rPr>
      </w:pPr>
    </w:p>
    <w:p w14:paraId="2F54DC96">
      <w:pPr>
        <w:tabs>
          <w:tab w:val="left" w:pos="7232"/>
        </w:tabs>
        <w:jc w:val="left"/>
        <w:rPr>
          <w:rFonts w:ascii="宋体" w:hAnsi="宋体"/>
          <w:sz w:val="28"/>
        </w:rPr>
      </w:pPr>
    </w:p>
    <w:p w14:paraId="2133EF39">
      <w:pPr>
        <w:tabs>
          <w:tab w:val="left" w:pos="7232"/>
        </w:tabs>
        <w:jc w:val="left"/>
        <w:rPr>
          <w:rFonts w:ascii="宋体" w:hAnsi="宋体"/>
          <w:sz w:val="28"/>
        </w:rPr>
      </w:pPr>
    </w:p>
    <w:p w14:paraId="16DE0315">
      <w:pPr>
        <w:tabs>
          <w:tab w:val="left" w:pos="7232"/>
        </w:tabs>
        <w:jc w:val="left"/>
        <w:rPr>
          <w:rFonts w:ascii="宋体" w:hAnsi="宋体"/>
          <w:sz w:val="28"/>
        </w:rPr>
      </w:pPr>
    </w:p>
    <w:p w14:paraId="7C74E85C">
      <w:pPr>
        <w:tabs>
          <w:tab w:val="left" w:pos="7232"/>
        </w:tabs>
        <w:jc w:val="left"/>
        <w:rPr>
          <w:rFonts w:ascii="宋体" w:hAnsi="宋体"/>
          <w:sz w:val="28"/>
        </w:rPr>
      </w:pPr>
    </w:p>
    <w:p w14:paraId="0424F037">
      <w:pPr>
        <w:spacing w:before="240" w:after="240"/>
      </w:pPr>
      <w:bookmarkStart w:id="640" w:name="_Toc27060719"/>
      <w:bookmarkStart w:id="641" w:name="_Toc53685647"/>
      <w:bookmarkStart w:id="642" w:name="_Toc27059550"/>
      <w:bookmarkStart w:id="643" w:name="_Toc27059731"/>
      <w:bookmarkStart w:id="644" w:name="_Toc27059923"/>
      <w:bookmarkStart w:id="645" w:name="_Toc27059821"/>
    </w:p>
    <w:p w14:paraId="32308E4D">
      <w:pPr>
        <w:rPr>
          <w:sz w:val="24"/>
        </w:rPr>
      </w:pPr>
      <w:r>
        <w:rPr>
          <w:rFonts w:hint="eastAsia"/>
          <w:sz w:val="24"/>
        </w:rPr>
        <w:br w:type="page"/>
      </w:r>
    </w:p>
    <w:p w14:paraId="0CC07E06">
      <w:pPr>
        <w:pStyle w:val="3"/>
        <w:spacing w:before="240" w:after="240"/>
        <w:rPr>
          <w:b w:val="0"/>
          <w:sz w:val="28"/>
          <w:szCs w:val="28"/>
        </w:rPr>
      </w:pPr>
      <w:r>
        <w:rPr>
          <w:rFonts w:hint="eastAsia"/>
          <w:b w:val="0"/>
          <w:sz w:val="28"/>
          <w:szCs w:val="28"/>
        </w:rPr>
        <w:t>附件六</w:t>
      </w:r>
      <w:r>
        <w:rPr>
          <w:b w:val="0"/>
          <w:sz w:val="28"/>
          <w:szCs w:val="28"/>
        </w:rPr>
        <w:t xml:space="preserve">  </w:t>
      </w:r>
      <w:r>
        <w:rPr>
          <w:rFonts w:hint="eastAsia"/>
          <w:b w:val="0"/>
          <w:sz w:val="28"/>
          <w:szCs w:val="28"/>
        </w:rPr>
        <w:t>确认通知</w:t>
      </w:r>
      <w:bookmarkEnd w:id="640"/>
      <w:bookmarkEnd w:id="641"/>
      <w:bookmarkEnd w:id="642"/>
      <w:bookmarkEnd w:id="643"/>
      <w:bookmarkEnd w:id="644"/>
      <w:bookmarkEnd w:id="645"/>
    </w:p>
    <w:p w14:paraId="46D8CB57">
      <w:pPr>
        <w:pStyle w:val="299"/>
      </w:pPr>
    </w:p>
    <w:p w14:paraId="33A15C87">
      <w:pPr>
        <w:pStyle w:val="299"/>
        <w:spacing w:line="360" w:lineRule="auto"/>
        <w:jc w:val="center"/>
        <w:rPr>
          <w:rFonts w:ascii="黑体" w:hAnsi="黑体" w:eastAsia="黑体"/>
          <w:sz w:val="28"/>
          <w:szCs w:val="28"/>
        </w:rPr>
      </w:pPr>
      <w:r>
        <w:rPr>
          <w:rFonts w:hint="eastAsia" w:ascii="黑体" w:hAnsi="黑体" w:eastAsia="黑体"/>
          <w:sz w:val="28"/>
          <w:szCs w:val="28"/>
        </w:rPr>
        <w:t>确</w:t>
      </w:r>
      <w:r>
        <w:rPr>
          <w:rFonts w:ascii="黑体" w:hAnsi="黑体" w:eastAsia="黑体"/>
          <w:sz w:val="28"/>
          <w:szCs w:val="28"/>
        </w:rPr>
        <w:t xml:space="preserve"> </w:t>
      </w:r>
      <w:r>
        <w:rPr>
          <w:rFonts w:hint="eastAsia" w:ascii="黑体" w:hAnsi="黑体" w:eastAsia="黑体"/>
          <w:sz w:val="28"/>
          <w:szCs w:val="28"/>
        </w:rPr>
        <w:t>认</w:t>
      </w:r>
      <w:r>
        <w:rPr>
          <w:rFonts w:ascii="黑体" w:hAnsi="黑体" w:eastAsia="黑体"/>
          <w:sz w:val="28"/>
          <w:szCs w:val="28"/>
        </w:rPr>
        <w:t xml:space="preserve"> </w:t>
      </w:r>
      <w:r>
        <w:rPr>
          <w:rFonts w:hint="eastAsia" w:ascii="黑体" w:hAnsi="黑体" w:eastAsia="黑体"/>
          <w:sz w:val="28"/>
          <w:szCs w:val="28"/>
        </w:rPr>
        <w:t>通</w:t>
      </w:r>
      <w:r>
        <w:rPr>
          <w:rFonts w:ascii="黑体" w:hAnsi="黑体" w:eastAsia="黑体"/>
          <w:sz w:val="28"/>
          <w:szCs w:val="28"/>
        </w:rPr>
        <w:t xml:space="preserve"> </w:t>
      </w:r>
      <w:r>
        <w:rPr>
          <w:rFonts w:hint="eastAsia" w:ascii="黑体" w:hAnsi="黑体" w:eastAsia="黑体"/>
          <w:sz w:val="28"/>
          <w:szCs w:val="28"/>
        </w:rPr>
        <w:t>知</w:t>
      </w:r>
    </w:p>
    <w:p w14:paraId="43E0BFD8">
      <w:pPr>
        <w:pStyle w:val="299"/>
      </w:pPr>
    </w:p>
    <w:p w14:paraId="3DC5D87E">
      <w:pPr>
        <w:pStyle w:val="299"/>
        <w:spacing w:line="360" w:lineRule="auto"/>
        <w:rPr>
          <w:sz w:val="24"/>
        </w:rPr>
      </w:pPr>
      <w:r>
        <w:rPr>
          <w:sz w:val="24"/>
        </w:rPr>
        <w:t xml:space="preserve"> </w:t>
      </w:r>
      <w:r>
        <w:rPr>
          <w:sz w:val="24"/>
          <w:u w:val="single"/>
        </w:rPr>
        <w:tab/>
      </w:r>
      <w:r>
        <w:rPr>
          <w:sz w:val="24"/>
          <w:u w:val="single"/>
        </w:rPr>
        <w:t xml:space="preserve">             </w:t>
      </w:r>
      <w:r>
        <w:rPr>
          <w:rFonts w:hint="eastAsia"/>
          <w:sz w:val="24"/>
        </w:rPr>
        <w:t>（招标人名称）：</w:t>
      </w:r>
    </w:p>
    <w:p w14:paraId="09D7A6B4">
      <w:pPr>
        <w:pStyle w:val="299"/>
        <w:spacing w:line="360" w:lineRule="auto"/>
        <w:rPr>
          <w:sz w:val="24"/>
        </w:rPr>
      </w:pPr>
    </w:p>
    <w:p w14:paraId="73A08C35">
      <w:pPr>
        <w:pStyle w:val="299"/>
        <w:spacing w:line="360" w:lineRule="auto"/>
        <w:rPr>
          <w:sz w:val="24"/>
        </w:rPr>
      </w:pPr>
    </w:p>
    <w:p w14:paraId="33B3129F">
      <w:pPr>
        <w:pStyle w:val="299"/>
        <w:spacing w:line="360" w:lineRule="auto"/>
        <w:ind w:firstLine="480" w:firstLineChars="200"/>
        <w:rPr>
          <w:sz w:val="24"/>
        </w:rPr>
      </w:pPr>
      <w:r>
        <w:rPr>
          <w:rFonts w:hint="eastAsia"/>
          <w:sz w:val="24"/>
        </w:rPr>
        <w:t>你方</w:t>
      </w:r>
      <w:r>
        <w:rPr>
          <w:sz w:val="24"/>
          <w:u w:val="single"/>
        </w:rPr>
        <w:t xml:space="preserve"> </w:t>
      </w:r>
      <w:r>
        <w:rPr>
          <w:sz w:val="24"/>
          <w:u w:val="single"/>
        </w:rPr>
        <w:tab/>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日发出的</w:t>
      </w:r>
      <w:r>
        <w:rPr>
          <w:sz w:val="24"/>
        </w:rPr>
        <w:t xml:space="preserve"> </w:t>
      </w:r>
      <w:r>
        <w:rPr>
          <w:sz w:val="24"/>
          <w:u w:val="single"/>
        </w:rPr>
        <w:t xml:space="preserve">          </w:t>
      </w:r>
      <w:r>
        <w:rPr>
          <w:rFonts w:hint="eastAsia"/>
          <w:sz w:val="24"/>
        </w:rPr>
        <w:t>（招标项目名称）</w:t>
      </w:r>
      <w:r>
        <w:rPr>
          <w:rFonts w:hint="eastAsia" w:ascii="宋体" w:hAnsi="宋体"/>
          <w:sz w:val="24"/>
          <w:lang w:val="en-US" w:eastAsia="zh-CN"/>
        </w:rPr>
        <w:t>设计施工总承包</w:t>
      </w:r>
      <w:r>
        <w:rPr>
          <w:sz w:val="24"/>
          <w:u w:val="single"/>
        </w:rPr>
        <w:t xml:space="preserve">   </w:t>
      </w:r>
      <w:r>
        <w:rPr>
          <w:rFonts w:hint="eastAsia"/>
          <w:sz w:val="24"/>
        </w:rPr>
        <w:t>标段招标关于</w:t>
      </w:r>
      <w:r>
        <w:rPr>
          <w:sz w:val="24"/>
          <w:u w:val="single"/>
        </w:rPr>
        <w:t xml:space="preserve"> </w:t>
      </w:r>
      <w:r>
        <w:rPr>
          <w:sz w:val="24"/>
          <w:u w:val="single"/>
        </w:rPr>
        <w:tab/>
      </w:r>
      <w:r>
        <w:rPr>
          <w:sz w:val="24"/>
          <w:u w:val="single"/>
        </w:rPr>
        <w:t xml:space="preserve">      </w:t>
      </w:r>
      <w:r>
        <w:rPr>
          <w:sz w:val="24"/>
          <w:u w:val="single"/>
        </w:rPr>
        <w:tab/>
      </w:r>
      <w:r>
        <w:rPr>
          <w:rFonts w:hint="eastAsia"/>
          <w:sz w:val="24"/>
        </w:rPr>
        <w:t>的通知，我方已于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日收到。</w:t>
      </w:r>
    </w:p>
    <w:p w14:paraId="2851F366">
      <w:pPr>
        <w:pStyle w:val="299"/>
        <w:spacing w:line="360" w:lineRule="auto"/>
        <w:ind w:firstLine="480" w:firstLineChars="200"/>
        <w:rPr>
          <w:sz w:val="24"/>
        </w:rPr>
      </w:pPr>
      <w:r>
        <w:rPr>
          <w:rFonts w:hint="eastAsia"/>
          <w:sz w:val="24"/>
        </w:rPr>
        <w:t>特此确认。</w:t>
      </w:r>
    </w:p>
    <w:p w14:paraId="3C3623F2">
      <w:pPr>
        <w:pStyle w:val="299"/>
        <w:spacing w:line="360" w:lineRule="auto"/>
        <w:rPr>
          <w:sz w:val="24"/>
        </w:rPr>
      </w:pPr>
    </w:p>
    <w:p w14:paraId="3F24DFC7">
      <w:pPr>
        <w:pStyle w:val="299"/>
        <w:spacing w:line="360" w:lineRule="auto"/>
        <w:rPr>
          <w:sz w:val="24"/>
        </w:rPr>
      </w:pPr>
    </w:p>
    <w:p w14:paraId="76C12E9B">
      <w:pPr>
        <w:pStyle w:val="299"/>
        <w:spacing w:line="360" w:lineRule="auto"/>
        <w:rPr>
          <w:sz w:val="24"/>
        </w:rPr>
      </w:pPr>
    </w:p>
    <w:p w14:paraId="7FDCDF93">
      <w:pPr>
        <w:pStyle w:val="299"/>
        <w:spacing w:line="360" w:lineRule="auto"/>
        <w:ind w:firstLine="3600" w:firstLineChars="1500"/>
        <w:rPr>
          <w:sz w:val="24"/>
        </w:rPr>
      </w:pPr>
      <w:r>
        <w:rPr>
          <w:rFonts w:hint="eastAsia"/>
          <w:sz w:val="24"/>
        </w:rPr>
        <w:t>投标人：</w:t>
      </w:r>
      <w:r>
        <w:rPr>
          <w:sz w:val="24"/>
          <w:u w:val="single"/>
        </w:rPr>
        <w:t xml:space="preserve">     </w:t>
      </w:r>
      <w:r>
        <w:rPr>
          <w:sz w:val="24"/>
          <w:u w:val="single"/>
        </w:rPr>
        <w:tab/>
      </w:r>
      <w:r>
        <w:rPr>
          <w:rFonts w:hint="eastAsia"/>
          <w:sz w:val="24"/>
        </w:rPr>
        <w:t>（盖单位电子印章／盖单位章）</w:t>
      </w:r>
    </w:p>
    <w:p w14:paraId="6B50D46E">
      <w:pPr>
        <w:pStyle w:val="299"/>
        <w:spacing w:line="360" w:lineRule="auto"/>
        <w:rPr>
          <w:sz w:val="24"/>
        </w:rPr>
      </w:pPr>
    </w:p>
    <w:p w14:paraId="23501198">
      <w:pPr>
        <w:pStyle w:val="299"/>
        <w:spacing w:line="360" w:lineRule="auto"/>
        <w:rPr>
          <w:sz w:val="24"/>
        </w:rPr>
      </w:pPr>
      <w:r>
        <w:rPr>
          <w:sz w:val="24"/>
        </w:rPr>
        <w:t xml:space="preserve">                                       </w:t>
      </w:r>
      <w:r>
        <w:rPr>
          <w:sz w:val="24"/>
          <w:u w:val="single"/>
        </w:rPr>
        <w:t xml:space="preserve">         </w:t>
      </w:r>
      <w:r>
        <w:rPr>
          <w:sz w:val="24"/>
        </w:rPr>
        <w:t xml:space="preserve"> </w:t>
      </w:r>
      <w:r>
        <w:rPr>
          <w:rFonts w:hint="eastAsia"/>
          <w:sz w:val="24"/>
        </w:rPr>
        <w:t>年</w:t>
      </w:r>
      <w:r>
        <w:rPr>
          <w:sz w:val="24"/>
        </w:rPr>
        <w:t xml:space="preserve"> </w:t>
      </w:r>
      <w:r>
        <w:rPr>
          <w:sz w:val="24"/>
          <w:u w:val="single"/>
        </w:rPr>
        <w:t xml:space="preserve">    </w:t>
      </w:r>
      <w:r>
        <w:rPr>
          <w:sz w:val="24"/>
        </w:rPr>
        <w:t xml:space="preserve"> </w:t>
      </w:r>
      <w:r>
        <w:rPr>
          <w:rFonts w:hint="eastAsia"/>
          <w:sz w:val="24"/>
        </w:rPr>
        <w:t>月</w:t>
      </w:r>
      <w:r>
        <w:rPr>
          <w:sz w:val="24"/>
          <w:u w:val="single"/>
        </w:rPr>
        <w:t xml:space="preserve"> </w:t>
      </w:r>
      <w:r>
        <w:rPr>
          <w:sz w:val="24"/>
          <w:u w:val="single"/>
        </w:rPr>
        <w:tab/>
      </w:r>
      <w:r>
        <w:rPr>
          <w:sz w:val="24"/>
        </w:rPr>
        <w:t xml:space="preserve"> </w:t>
      </w:r>
      <w:r>
        <w:rPr>
          <w:rFonts w:hint="eastAsia"/>
          <w:sz w:val="24"/>
        </w:rPr>
        <w:t>日</w:t>
      </w:r>
    </w:p>
    <w:p w14:paraId="369232EE">
      <w:pPr>
        <w:pStyle w:val="299"/>
      </w:pPr>
    </w:p>
    <w:p w14:paraId="5076A463">
      <w:pPr>
        <w:pStyle w:val="299"/>
      </w:pPr>
    </w:p>
    <w:p w14:paraId="511C6CED">
      <w:pPr>
        <w:pStyle w:val="299"/>
      </w:pPr>
    </w:p>
    <w:p w14:paraId="35FB7D6A">
      <w:pPr>
        <w:pStyle w:val="299"/>
      </w:pPr>
    </w:p>
    <w:p w14:paraId="31564F5D">
      <w:pPr>
        <w:pStyle w:val="299"/>
      </w:pPr>
    </w:p>
    <w:p w14:paraId="4598BF7C">
      <w:pPr>
        <w:pStyle w:val="299"/>
      </w:pPr>
    </w:p>
    <w:p w14:paraId="44C3C88C">
      <w:pPr>
        <w:pStyle w:val="3"/>
        <w:spacing w:before="0" w:beforeLines="0" w:after="0" w:afterLines="0" w:line="360" w:lineRule="auto"/>
        <w:rPr>
          <w:rFonts w:ascii="宋体" w:hAnsi="宋体"/>
          <w:b w:val="0"/>
          <w:sz w:val="24"/>
          <w:szCs w:val="24"/>
        </w:rPr>
      </w:pPr>
      <w:r>
        <w:rPr>
          <w:rFonts w:ascii="宋体" w:hAnsi="宋体"/>
          <w:b w:val="0"/>
          <w:szCs w:val="28"/>
        </w:rPr>
        <w:br w:type="page"/>
      </w:r>
      <w:bookmarkStart w:id="646" w:name="_Toc53685648"/>
      <w:r>
        <w:rPr>
          <w:rFonts w:hint="eastAsia"/>
          <w:b w:val="0"/>
          <w:sz w:val="28"/>
          <w:szCs w:val="28"/>
        </w:rPr>
        <w:t>附件七</w:t>
      </w:r>
      <w:r>
        <w:rPr>
          <w:b w:val="0"/>
          <w:sz w:val="28"/>
          <w:szCs w:val="28"/>
        </w:rPr>
        <w:t xml:space="preserve">  </w:t>
      </w:r>
      <w:r>
        <w:rPr>
          <w:rFonts w:hint="eastAsia"/>
          <w:b w:val="0"/>
          <w:sz w:val="28"/>
          <w:szCs w:val="28"/>
        </w:rPr>
        <w:t>异议书</w:t>
      </w:r>
      <w:bookmarkEnd w:id="646"/>
    </w:p>
    <w:p w14:paraId="360DF789">
      <w:pPr>
        <w:widowControl/>
        <w:spacing w:line="360" w:lineRule="auto"/>
        <w:jc w:val="center"/>
        <w:rPr>
          <w:rFonts w:ascii="黑体" w:hAnsi="黑体" w:eastAsia="黑体"/>
          <w:sz w:val="28"/>
          <w:szCs w:val="28"/>
        </w:rPr>
      </w:pPr>
      <w:r>
        <w:rPr>
          <w:rFonts w:ascii="宋体" w:hAnsi="宋体"/>
          <w:b/>
          <w:sz w:val="28"/>
          <w:szCs w:val="28"/>
        </w:rPr>
        <w:t> </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8"/>
          <w:szCs w:val="28"/>
        </w:rPr>
        <w:t>（招标项目名称）</w:t>
      </w:r>
      <w:r>
        <w:rPr>
          <w:rFonts w:ascii="黑体" w:hAnsi="黑体" w:eastAsia="黑体"/>
          <w:sz w:val="28"/>
          <w:szCs w:val="28"/>
        </w:rPr>
        <w:t>招标</w:t>
      </w:r>
      <w:r>
        <w:rPr>
          <w:rFonts w:hint="eastAsia" w:ascii="黑体" w:hAnsi="黑体" w:eastAsia="黑体"/>
          <w:sz w:val="28"/>
          <w:szCs w:val="28"/>
        </w:rPr>
        <w:t>第</w:t>
      </w:r>
      <w:r>
        <w:rPr>
          <w:rFonts w:ascii="黑体" w:hAnsi="黑体" w:eastAsia="黑体"/>
          <w:sz w:val="24"/>
          <w:u w:val="single"/>
        </w:rPr>
        <w:t xml:space="preserve">     </w:t>
      </w:r>
      <w:r>
        <w:rPr>
          <w:rFonts w:hint="eastAsia" w:ascii="黑体" w:hAnsi="黑体" w:eastAsia="黑体"/>
          <w:sz w:val="28"/>
          <w:szCs w:val="28"/>
        </w:rPr>
        <w:t>标段</w:t>
      </w:r>
    </w:p>
    <w:p w14:paraId="4F762EC5">
      <w:pPr>
        <w:spacing w:line="360" w:lineRule="auto"/>
        <w:ind w:firstLine="274" w:firstLineChars="98"/>
        <w:jc w:val="center"/>
        <w:rPr>
          <w:sz w:val="24"/>
        </w:rPr>
      </w:pPr>
      <w:r>
        <w:rPr>
          <w:rFonts w:ascii="黑体" w:hAnsi="黑体" w:eastAsia="黑体"/>
          <w:sz w:val="28"/>
          <w:szCs w:val="28"/>
        </w:rPr>
        <w:t>异 议 书</w:t>
      </w:r>
    </w:p>
    <w:p w14:paraId="69FCBD97">
      <w:pPr>
        <w:spacing w:line="360" w:lineRule="auto"/>
        <w:jc w:val="left"/>
        <w:rPr>
          <w:sz w:val="24"/>
        </w:rPr>
      </w:pPr>
      <w:r>
        <w:rPr>
          <w:rFonts w:hint="eastAsia"/>
          <w:sz w:val="24"/>
        </w:rPr>
        <w:t>异</w:t>
      </w:r>
      <w:r>
        <w:rPr>
          <w:rFonts w:hint="eastAsia"/>
          <w:sz w:val="24"/>
          <w:lang w:val="en-US" w:eastAsia="zh-CN"/>
        </w:rPr>
        <w:t xml:space="preserve"> </w:t>
      </w:r>
      <w:r>
        <w:rPr>
          <w:rFonts w:hint="eastAsia"/>
          <w:sz w:val="24"/>
        </w:rPr>
        <w:t>议</w:t>
      </w:r>
      <w:r>
        <w:rPr>
          <w:rFonts w:hint="eastAsia"/>
          <w:sz w:val="24"/>
          <w:lang w:val="en-US" w:eastAsia="zh-CN"/>
        </w:rPr>
        <w:t xml:space="preserve"> </w:t>
      </w:r>
      <w:r>
        <w:rPr>
          <w:rFonts w:hint="eastAsia"/>
          <w:sz w:val="24"/>
        </w:rPr>
        <w:t>人：</w:t>
      </w:r>
      <w:r>
        <w:rPr>
          <w:sz w:val="24"/>
          <w:u w:val="single"/>
        </w:rPr>
        <w:t xml:space="preserve">    </w:t>
      </w:r>
      <w:r>
        <w:rPr>
          <w:rFonts w:hint="eastAsia"/>
          <w:sz w:val="24"/>
          <w:u w:val="single"/>
        </w:rPr>
        <w:t>　　　　　　　　　　　　　　</w:t>
      </w:r>
      <w:r>
        <w:rPr>
          <w:rFonts w:hint="eastAsia"/>
          <w:sz w:val="24"/>
          <w:u w:val="single"/>
          <w:lang w:val="en-US" w:eastAsia="zh-CN"/>
        </w:rPr>
        <w:t xml:space="preserve"> </w:t>
      </w:r>
      <w:r>
        <w:rPr>
          <w:rFonts w:hint="eastAsia"/>
          <w:sz w:val="24"/>
          <w:u w:val="none"/>
        </w:rPr>
        <w:t>　　　　　　　　</w:t>
      </w:r>
      <w:r>
        <w:rPr>
          <w:sz w:val="24"/>
          <w:u w:val="none"/>
        </w:rPr>
        <w:t xml:space="preserve">                  </w:t>
      </w:r>
    </w:p>
    <w:p w14:paraId="5C94BB03">
      <w:pPr>
        <w:spacing w:line="360" w:lineRule="auto"/>
        <w:jc w:val="left"/>
        <w:rPr>
          <w:sz w:val="24"/>
        </w:rPr>
      </w:pPr>
      <w:r>
        <w:rPr>
          <w:rFonts w:hint="eastAsia"/>
          <w:sz w:val="24"/>
        </w:rPr>
        <w:t>住</w:t>
      </w:r>
      <w:r>
        <w:rPr>
          <w:rFonts w:hint="eastAsia"/>
          <w:sz w:val="24"/>
          <w:lang w:val="en-US" w:eastAsia="zh-CN"/>
        </w:rPr>
        <w:t xml:space="preserve"> </w:t>
      </w:r>
      <w:r>
        <w:rPr>
          <w:rFonts w:hint="eastAsia"/>
          <w:sz w:val="24"/>
        </w:rPr>
        <w:t>所</w:t>
      </w:r>
      <w:r>
        <w:rPr>
          <w:rFonts w:hint="eastAsia"/>
          <w:sz w:val="24"/>
          <w:lang w:val="en-US" w:eastAsia="zh-CN"/>
        </w:rPr>
        <w:t xml:space="preserve"> </w:t>
      </w:r>
      <w:r>
        <w:rPr>
          <w:rFonts w:hint="eastAsia"/>
          <w:sz w:val="24"/>
        </w:rPr>
        <w:t>地：</w:t>
      </w:r>
      <w:r>
        <w:rPr>
          <w:sz w:val="24"/>
          <w:u w:val="single"/>
        </w:rPr>
        <w:t xml:space="preserve">          </w:t>
      </w:r>
      <w:r>
        <w:rPr>
          <w:rFonts w:hint="eastAsia"/>
          <w:sz w:val="24"/>
          <w:u w:val="single"/>
        </w:rPr>
        <w:t>　　　　　　　　　　　　</w:t>
      </w:r>
      <w:r>
        <w:rPr>
          <w:rFonts w:hint="eastAsia"/>
          <w:sz w:val="24"/>
          <w:u w:val="none"/>
        </w:rPr>
        <w:t>　　　　　　　　　　</w:t>
      </w:r>
      <w:r>
        <w:rPr>
          <w:sz w:val="24"/>
          <w:u w:val="none"/>
        </w:rPr>
        <w:t xml:space="preserve">            </w:t>
      </w:r>
      <w:r>
        <w:rPr>
          <w:sz w:val="24"/>
        </w:rPr>
        <w:t xml:space="preserve">  </w:t>
      </w:r>
    </w:p>
    <w:p w14:paraId="1B93DF98">
      <w:pPr>
        <w:spacing w:line="360" w:lineRule="auto"/>
        <w:jc w:val="left"/>
        <w:rPr>
          <w:sz w:val="24"/>
        </w:rPr>
      </w:pPr>
      <w:r>
        <w:rPr>
          <w:rFonts w:hint="eastAsia"/>
          <w:sz w:val="24"/>
        </w:rPr>
        <w:t>邮</w:t>
      </w:r>
      <w:r>
        <w:rPr>
          <w:rFonts w:hint="eastAsia"/>
          <w:sz w:val="24"/>
          <w:lang w:val="en-US" w:eastAsia="zh-CN"/>
        </w:rPr>
        <w:t xml:space="preserve">    </w:t>
      </w:r>
      <w:r>
        <w:rPr>
          <w:rFonts w:hint="eastAsia"/>
          <w:sz w:val="24"/>
        </w:rPr>
        <w:t>编：</w:t>
      </w:r>
      <w:r>
        <w:rPr>
          <w:sz w:val="24"/>
        </w:rPr>
        <w:t xml:space="preserve"> </w:t>
      </w:r>
      <w:r>
        <w:rPr>
          <w:sz w:val="24"/>
          <w:u w:val="single"/>
        </w:rPr>
        <w:t>          </w:t>
      </w:r>
      <w:r>
        <w:rPr>
          <w:rFonts w:hint="eastAsia"/>
          <w:sz w:val="24"/>
          <w:u w:val="single"/>
        </w:rPr>
        <w:t>　　　　　　　　　　　　</w:t>
      </w:r>
      <w:r>
        <w:rPr>
          <w:rFonts w:hint="eastAsia"/>
          <w:sz w:val="24"/>
          <w:u w:val="none"/>
        </w:rPr>
        <w:t>　　　　　　　　</w:t>
      </w:r>
      <w:r>
        <w:rPr>
          <w:sz w:val="24"/>
          <w:u w:val="none"/>
        </w:rPr>
        <w:t xml:space="preserve">              </w:t>
      </w:r>
      <w:r>
        <w:rPr>
          <w:sz w:val="24"/>
        </w:rPr>
        <w:t xml:space="preserve">    </w:t>
      </w:r>
    </w:p>
    <w:p w14:paraId="6015265A">
      <w:pPr>
        <w:spacing w:line="360" w:lineRule="auto"/>
        <w:jc w:val="left"/>
        <w:rPr>
          <w:sz w:val="24"/>
        </w:rPr>
      </w:pPr>
      <w:r>
        <w:rPr>
          <w:rFonts w:hint="eastAsia"/>
          <w:sz w:val="24"/>
        </w:rPr>
        <w:t>法定代表人：</w:t>
      </w:r>
      <w:r>
        <w:rPr>
          <w:sz w:val="24"/>
          <w:u w:val="single"/>
        </w:rPr>
        <w:t xml:space="preserve">          </w:t>
      </w:r>
      <w:r>
        <w:rPr>
          <w:rFonts w:hint="eastAsia"/>
          <w:sz w:val="24"/>
          <w:u w:val="single"/>
        </w:rPr>
        <w:t>　　　　　　　　　　　</w:t>
      </w:r>
      <w:r>
        <w:rPr>
          <w:rFonts w:hint="eastAsia"/>
          <w:sz w:val="24"/>
          <w:u w:val="none"/>
        </w:rPr>
        <w:t>　　　　　　　　　</w:t>
      </w:r>
      <w:r>
        <w:rPr>
          <w:sz w:val="24"/>
          <w:u w:val="none"/>
        </w:rPr>
        <w:t xml:space="preserve">            </w:t>
      </w:r>
      <w:r>
        <w:rPr>
          <w:sz w:val="24"/>
        </w:rPr>
        <w:t xml:space="preserve">   </w:t>
      </w:r>
    </w:p>
    <w:p w14:paraId="7C2C746A">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u w:val="none"/>
        </w:rPr>
        <w:t>　　　　　　　</w:t>
      </w:r>
      <w:r>
        <w:rPr>
          <w:sz w:val="24"/>
          <w:u w:val="none"/>
        </w:rPr>
        <w:t xml:space="preserve">           </w:t>
      </w:r>
      <w:r>
        <w:rPr>
          <w:sz w:val="24"/>
        </w:rPr>
        <w:t>       </w:t>
      </w:r>
    </w:p>
    <w:p w14:paraId="7443C111">
      <w:pPr>
        <w:spacing w:line="360" w:lineRule="auto"/>
        <w:jc w:val="left"/>
        <w:rPr>
          <w:sz w:val="24"/>
        </w:rPr>
      </w:pPr>
      <w:r>
        <w:rPr>
          <w:rFonts w:hint="eastAsia"/>
          <w:sz w:val="24"/>
        </w:rPr>
        <w:t>异议人授权代表：</w:t>
      </w:r>
      <w:r>
        <w:rPr>
          <w:sz w:val="24"/>
          <w:u w:val="single"/>
        </w:rPr>
        <w:t>               </w:t>
      </w:r>
      <w:r>
        <w:rPr>
          <w:rFonts w:hint="eastAsia"/>
          <w:sz w:val="24"/>
          <w:u w:val="single"/>
        </w:rPr>
        <w:t>　　　　　　　　</w:t>
      </w:r>
      <w:r>
        <w:rPr>
          <w:sz w:val="24"/>
        </w:rPr>
        <w:t>   </w:t>
      </w:r>
    </w:p>
    <w:p w14:paraId="6FEFD0A2">
      <w:pPr>
        <w:spacing w:line="360" w:lineRule="auto"/>
        <w:jc w:val="left"/>
        <w:rPr>
          <w:sz w:val="24"/>
        </w:rPr>
      </w:pPr>
      <w:r>
        <w:rPr>
          <w:rFonts w:hint="eastAsia"/>
          <w:sz w:val="24"/>
        </w:rPr>
        <w:t>性</w:t>
      </w:r>
      <w:r>
        <w:rPr>
          <w:rFonts w:hint="eastAsia"/>
          <w:sz w:val="24"/>
          <w:lang w:val="en-US" w:eastAsia="zh-CN"/>
        </w:rPr>
        <w:t xml:space="preserve">    </w:t>
      </w:r>
      <w:r>
        <w:rPr>
          <w:rFonts w:hint="eastAsia"/>
          <w:sz w:val="24"/>
        </w:rPr>
        <w:t>别：</w:t>
      </w:r>
      <w:r>
        <w:rPr>
          <w:sz w:val="24"/>
          <w:u w:val="single"/>
        </w:rPr>
        <w:t xml:space="preserve">      </w:t>
      </w:r>
      <w:r>
        <w:rPr>
          <w:rFonts w:hint="eastAsia"/>
          <w:sz w:val="24"/>
          <w:u w:val="single"/>
        </w:rPr>
        <w:t>　　　　　　　　　</w:t>
      </w:r>
      <w:r>
        <w:rPr>
          <w:sz w:val="24"/>
          <w:u w:val="single"/>
        </w:rPr>
        <w:t xml:space="preserve">   </w:t>
      </w:r>
      <w:r>
        <w:rPr>
          <w:rFonts w:hint="eastAsia"/>
          <w:sz w:val="24"/>
          <w:u w:val="single"/>
          <w:lang w:val="en-US" w:eastAsia="zh-CN"/>
        </w:rPr>
        <w:t xml:space="preserve">     </w:t>
      </w:r>
      <w:r>
        <w:rPr>
          <w:sz w:val="24"/>
          <w:u w:val="single"/>
        </w:rPr>
        <w:t>   </w:t>
      </w:r>
      <w:r>
        <w:rPr>
          <w:sz w:val="24"/>
        </w:rPr>
        <w:t xml:space="preserve">     </w:t>
      </w:r>
    </w:p>
    <w:p w14:paraId="020A692A">
      <w:pPr>
        <w:spacing w:line="360" w:lineRule="auto"/>
        <w:jc w:val="left"/>
        <w:rPr>
          <w:sz w:val="24"/>
        </w:rPr>
      </w:pPr>
      <w:r>
        <w:rPr>
          <w:rFonts w:hint="eastAsia"/>
          <w:sz w:val="24"/>
        </w:rPr>
        <w:t>年</w:t>
      </w:r>
      <w:r>
        <w:rPr>
          <w:rFonts w:hint="eastAsia"/>
          <w:sz w:val="24"/>
          <w:lang w:val="en-US" w:eastAsia="zh-CN"/>
        </w:rPr>
        <w:t xml:space="preserve">    </w:t>
      </w:r>
      <w:r>
        <w:rPr>
          <w:rFonts w:hint="eastAsia"/>
          <w:sz w:val="24"/>
        </w:rPr>
        <w:t>龄：</w:t>
      </w:r>
      <w:r>
        <w:rPr>
          <w:sz w:val="24"/>
          <w:u w:val="single"/>
        </w:rPr>
        <w:t xml:space="preserve">             </w:t>
      </w:r>
      <w:r>
        <w:rPr>
          <w:rFonts w:hint="eastAsia"/>
          <w:sz w:val="24"/>
          <w:u w:val="single"/>
        </w:rPr>
        <w:t>　　　　　　</w:t>
      </w:r>
      <w:r>
        <w:rPr>
          <w:rFonts w:hint="eastAsia"/>
          <w:sz w:val="24"/>
          <w:u w:val="single"/>
          <w:lang w:val="en-US" w:eastAsia="zh-CN"/>
        </w:rPr>
        <w:t xml:space="preserve">      </w:t>
      </w:r>
      <w:r>
        <w:rPr>
          <w:rFonts w:hint="eastAsia"/>
          <w:sz w:val="24"/>
          <w:u w:val="single"/>
        </w:rPr>
        <w:t>　　</w:t>
      </w:r>
      <w:r>
        <w:rPr>
          <w:rFonts w:hint="eastAsia"/>
          <w:sz w:val="24"/>
        </w:rPr>
        <w:t>　</w:t>
      </w:r>
      <w:r>
        <w:rPr>
          <w:sz w:val="24"/>
        </w:rPr>
        <w:t xml:space="preserve">      </w:t>
      </w:r>
    </w:p>
    <w:p w14:paraId="751C9096">
      <w:pPr>
        <w:spacing w:line="360" w:lineRule="auto"/>
        <w:jc w:val="left"/>
        <w:rPr>
          <w:sz w:val="24"/>
        </w:rPr>
      </w:pPr>
      <w:r>
        <w:rPr>
          <w:rFonts w:hint="eastAsia"/>
          <w:sz w:val="24"/>
        </w:rPr>
        <w:t>住</w:t>
      </w:r>
      <w:r>
        <w:rPr>
          <w:rFonts w:hint="eastAsia"/>
          <w:sz w:val="24"/>
          <w:lang w:val="en-US" w:eastAsia="zh-CN"/>
        </w:rPr>
        <w:t xml:space="preserve">    </w:t>
      </w:r>
      <w:r>
        <w:rPr>
          <w:rFonts w:hint="eastAsia"/>
          <w:sz w:val="24"/>
        </w:rPr>
        <w:t>址：</w:t>
      </w:r>
      <w:r>
        <w:rPr>
          <w:sz w:val="24"/>
          <w:u w:val="single"/>
        </w:rPr>
        <w:t xml:space="preserve">      </w:t>
      </w:r>
      <w:r>
        <w:rPr>
          <w:rFonts w:hint="eastAsia"/>
          <w:sz w:val="24"/>
          <w:u w:val="single"/>
        </w:rPr>
        <w:t>　　　　　　　　　　　　　　</w:t>
      </w:r>
      <w:r>
        <w:rPr>
          <w:rFonts w:hint="eastAsia"/>
          <w:sz w:val="24"/>
          <w:u w:val="none"/>
        </w:rPr>
        <w:t>　　　　　　　　　　</w:t>
      </w:r>
      <w:r>
        <w:rPr>
          <w:sz w:val="24"/>
          <w:u w:val="none"/>
        </w:rPr>
        <w:t xml:space="preserve">          </w:t>
      </w:r>
      <w:r>
        <w:rPr>
          <w:sz w:val="24"/>
        </w:rPr>
        <w:t> </w:t>
      </w:r>
    </w:p>
    <w:p w14:paraId="67A1E818">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u w:val="none"/>
        </w:rPr>
        <w:t>　　</w:t>
      </w:r>
      <w:r>
        <w:rPr>
          <w:sz w:val="24"/>
          <w:u w:val="none"/>
        </w:rPr>
        <w:t xml:space="preserve">     </w:t>
      </w:r>
      <w:r>
        <w:rPr>
          <w:rFonts w:hint="eastAsia"/>
          <w:sz w:val="24"/>
          <w:u w:val="none"/>
        </w:rPr>
        <w:t>　　　　　</w:t>
      </w:r>
      <w:r>
        <w:rPr>
          <w:sz w:val="24"/>
          <w:u w:val="none"/>
        </w:rPr>
        <w:t xml:space="preserve">        </w:t>
      </w:r>
      <w:r>
        <w:rPr>
          <w:sz w:val="24"/>
        </w:rPr>
        <w:t xml:space="preserve">     </w:t>
      </w:r>
    </w:p>
    <w:p w14:paraId="34EBAF87">
      <w:pPr>
        <w:spacing w:line="360" w:lineRule="auto"/>
        <w:jc w:val="left"/>
        <w:rPr>
          <w:sz w:val="24"/>
          <w:u w:val="single"/>
        </w:rPr>
      </w:pPr>
      <w:r>
        <w:rPr>
          <w:rFonts w:hint="eastAsia"/>
          <w:sz w:val="24"/>
        </w:rPr>
        <w:t>提起异议事项的基本事实</w:t>
      </w:r>
      <w:r>
        <w:rPr>
          <w:rFonts w:hint="eastAsia"/>
          <w:sz w:val="24"/>
          <w:u w:val="none"/>
        </w:rPr>
        <w:t>：</w:t>
      </w:r>
      <w:r>
        <w:rPr>
          <w:sz w:val="24"/>
          <w:u w:val="single"/>
        </w:rPr>
        <w:t xml:space="preserve">       </w:t>
      </w:r>
      <w:r>
        <w:rPr>
          <w:rFonts w:hint="eastAsia"/>
          <w:sz w:val="24"/>
          <w:u w:val="single"/>
        </w:rPr>
        <w:t>　　　　　　　　　　　　　　　　</w:t>
      </w:r>
      <w:r>
        <w:rPr>
          <w:sz w:val="24"/>
          <w:u w:val="single"/>
        </w:rPr>
        <w:t xml:space="preserve">             </w:t>
      </w:r>
    </w:p>
    <w:p w14:paraId="77E79558">
      <w:pPr>
        <w:spacing w:line="360" w:lineRule="auto"/>
        <w:jc w:val="left"/>
        <w:rPr>
          <w:sz w:val="24"/>
        </w:rPr>
      </w:pPr>
      <w:r>
        <w:rPr>
          <w:sz w:val="24"/>
          <w:u w:val="single"/>
        </w:rPr>
        <w:t>                                                                                          </w:t>
      </w:r>
      <w:r>
        <w:rPr>
          <w:rFonts w:hint="eastAsia"/>
          <w:sz w:val="24"/>
        </w:rPr>
        <w:t>。</w:t>
      </w:r>
    </w:p>
    <w:p w14:paraId="6817951B">
      <w:pPr>
        <w:spacing w:line="360" w:lineRule="auto"/>
        <w:jc w:val="left"/>
        <w:rPr>
          <w:sz w:val="24"/>
          <w:u w:val="single"/>
        </w:rPr>
      </w:pPr>
      <w:r>
        <w:rPr>
          <w:rFonts w:hint="eastAsia"/>
          <w:sz w:val="24"/>
        </w:rPr>
        <w:t>相关请求及主张：</w:t>
      </w:r>
      <w:r>
        <w:rPr>
          <w:sz w:val="24"/>
          <w:u w:val="single"/>
        </w:rPr>
        <w:t xml:space="preserve">             </w:t>
      </w:r>
      <w:r>
        <w:rPr>
          <w:rFonts w:hint="eastAsia"/>
          <w:sz w:val="24"/>
          <w:u w:val="single"/>
        </w:rPr>
        <w:t>　　　　　　　　　　　　　　</w:t>
      </w:r>
      <w:r>
        <w:rPr>
          <w:sz w:val="24"/>
          <w:u w:val="single"/>
        </w:rPr>
        <w:t xml:space="preserve">          </w:t>
      </w:r>
      <w:r>
        <w:rPr>
          <w:rFonts w:hint="eastAsia"/>
          <w:sz w:val="24"/>
          <w:u w:val="single"/>
          <w:lang w:val="en-US" w:eastAsia="zh-CN"/>
        </w:rPr>
        <w:t xml:space="preserve">   </w:t>
      </w:r>
      <w:r>
        <w:rPr>
          <w:sz w:val="24"/>
          <w:u w:val="single"/>
        </w:rPr>
        <w:t xml:space="preserve">          </w:t>
      </w:r>
    </w:p>
    <w:p w14:paraId="1BB53EEC">
      <w:pPr>
        <w:spacing w:line="360" w:lineRule="auto"/>
        <w:jc w:val="left"/>
        <w:rPr>
          <w:rFonts w:hint="eastAsia" w:eastAsia="宋体"/>
          <w:sz w:val="24"/>
          <w:u w:val="single"/>
          <w:lang w:eastAsia="zh-CN"/>
        </w:rPr>
      </w:pPr>
      <w:r>
        <w:rPr>
          <w:sz w:val="24"/>
          <w:u w:val="single"/>
        </w:rPr>
        <w:t xml:space="preserve">                </w:t>
      </w:r>
      <w:r>
        <w:rPr>
          <w:rFonts w:hint="eastAsia"/>
          <w:sz w:val="24"/>
          <w:u w:val="single"/>
        </w:rPr>
        <w:t>　　　　　　　　　　　　　　　　　　　　</w:t>
      </w:r>
      <w:r>
        <w:rPr>
          <w:rFonts w:hint="eastAsia"/>
          <w:sz w:val="24"/>
          <w:u w:val="single"/>
          <w:lang w:val="en-US" w:eastAsia="zh-CN"/>
        </w:rPr>
        <w:t xml:space="preserve">    </w:t>
      </w:r>
      <w:r>
        <w:rPr>
          <w:sz w:val="24"/>
          <w:u w:val="single"/>
        </w:rPr>
        <w:t xml:space="preserve">              </w:t>
      </w:r>
      <w:r>
        <w:rPr>
          <w:rFonts w:hint="eastAsia"/>
          <w:sz w:val="24"/>
          <w:u w:val="none"/>
          <w:lang w:eastAsia="zh-CN"/>
        </w:rPr>
        <w:t>。</w:t>
      </w:r>
    </w:p>
    <w:p w14:paraId="79415B8E">
      <w:pPr>
        <w:spacing w:line="360" w:lineRule="auto"/>
        <w:jc w:val="left"/>
        <w:rPr>
          <w:sz w:val="24"/>
        </w:rPr>
      </w:pPr>
      <w:r>
        <w:rPr>
          <w:rFonts w:hint="eastAsia"/>
          <w:sz w:val="24"/>
        </w:rPr>
        <w:t>有效线索和相关证明材料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rPr>
        <w:t>。</w:t>
      </w:r>
    </w:p>
    <w:p w14:paraId="3105B4B2">
      <w:pPr>
        <w:spacing w:line="360" w:lineRule="auto"/>
        <w:jc w:val="left"/>
        <w:rPr>
          <w:sz w:val="24"/>
        </w:rPr>
      </w:pPr>
      <w:r>
        <w:rPr>
          <w:rFonts w:hint="eastAsia"/>
          <w:sz w:val="24"/>
        </w:rPr>
        <w:t>异议人与提起项目有利害关系的证明材料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w:t>
      </w:r>
    </w:p>
    <w:p w14:paraId="5E0A4BDE">
      <w:pPr>
        <w:pStyle w:val="17"/>
        <w:spacing w:line="360" w:lineRule="auto"/>
        <w:jc w:val="left"/>
        <w:rPr>
          <w:sz w:val="24"/>
        </w:rPr>
      </w:pPr>
    </w:p>
    <w:p w14:paraId="0E72CDA4">
      <w:pPr>
        <w:pStyle w:val="17"/>
        <w:adjustRightInd w:val="0"/>
        <w:snapToGrid w:val="0"/>
        <w:spacing w:line="360" w:lineRule="auto"/>
        <w:jc w:val="left"/>
        <w:rPr>
          <w:sz w:val="24"/>
        </w:rPr>
      </w:pPr>
      <w:r>
        <w:rPr>
          <w:rFonts w:hint="eastAsia"/>
          <w:sz w:val="24"/>
        </w:rPr>
        <w:t>此致</w:t>
      </w:r>
    </w:p>
    <w:p w14:paraId="5EFABE7E">
      <w:pPr>
        <w:adjustRightInd w:val="0"/>
        <w:snapToGrid w:val="0"/>
        <w:spacing w:line="360" w:lineRule="auto"/>
        <w:jc w:val="left"/>
        <w:rPr>
          <w:sz w:val="24"/>
          <w:u w:val="single"/>
        </w:rPr>
      </w:pPr>
      <w:r>
        <w:rPr>
          <w:sz w:val="24"/>
        </w:rPr>
        <w:t xml:space="preserve">  </w:t>
      </w:r>
      <w:r>
        <w:rPr>
          <w:rFonts w:hint="eastAsia"/>
          <w:sz w:val="24"/>
          <w:u w:val="single"/>
          <w:lang w:val="en-US" w:eastAsia="zh-CN"/>
        </w:rPr>
        <w:t xml:space="preserve">    </w:t>
      </w:r>
      <w:r>
        <w:rPr>
          <w:rFonts w:hint="eastAsia"/>
          <w:sz w:val="24"/>
          <w:u w:val="single"/>
        </w:rPr>
        <w:t>（招标人）</w:t>
      </w:r>
      <w:r>
        <w:rPr>
          <w:sz w:val="24"/>
          <w:u w:val="single"/>
        </w:rPr>
        <w:t xml:space="preserve">     </w:t>
      </w:r>
    </w:p>
    <w:p w14:paraId="61C2EA24">
      <w:pPr>
        <w:pStyle w:val="20"/>
        <w:tabs>
          <w:tab w:val="left" w:pos="6270"/>
        </w:tabs>
        <w:spacing w:line="360" w:lineRule="auto"/>
        <w:ind w:right="103"/>
      </w:pPr>
      <w:r>
        <w:t xml:space="preserve">                          </w:t>
      </w:r>
    </w:p>
    <w:p w14:paraId="3DCB2D35">
      <w:pPr>
        <w:pStyle w:val="20"/>
        <w:tabs>
          <w:tab w:val="left" w:pos="6270"/>
        </w:tabs>
        <w:spacing w:line="360" w:lineRule="auto"/>
        <w:ind w:right="103" w:firstLine="3840" w:firstLineChars="1600"/>
      </w:pPr>
      <w:r>
        <w:rPr>
          <w:rFonts w:cs="Tahoma"/>
          <w:kern w:val="0"/>
        </w:rPr>
        <w:t>异议人（盖单位</w:t>
      </w:r>
      <w:r>
        <w:rPr>
          <w:rFonts w:hint="eastAsia" w:cs="Tahoma"/>
          <w:kern w:val="0"/>
        </w:rPr>
        <w:t>章</w:t>
      </w:r>
      <w:r>
        <w:rPr>
          <w:rFonts w:cs="Tahoma"/>
          <w:kern w:val="0"/>
        </w:rPr>
        <w:t>）</w:t>
      </w:r>
      <w:r>
        <w:rPr>
          <w:rFonts w:hint="eastAsia"/>
        </w:rPr>
        <w:t>：</w:t>
      </w:r>
      <w:r>
        <w:rPr>
          <w:u w:val="single"/>
        </w:rPr>
        <w:t xml:space="preserve">            </w:t>
      </w:r>
      <w:r>
        <w:rPr>
          <w:rFonts w:hint="eastAsia"/>
          <w:u w:val="single"/>
          <w:lang w:val="en-US" w:eastAsia="zh-CN"/>
        </w:rPr>
        <w:t xml:space="preserve">            </w:t>
      </w:r>
      <w:r>
        <w:rPr>
          <w:u w:val="single"/>
        </w:rPr>
        <w:t xml:space="preserve">     </w:t>
      </w:r>
    </w:p>
    <w:p w14:paraId="67643111">
      <w:pPr>
        <w:widowControl/>
        <w:spacing w:line="360" w:lineRule="auto"/>
        <w:jc w:val="right"/>
        <w:rPr>
          <w:rFonts w:ascii="宋体" w:hAnsi="宋体" w:cs="Tahoma"/>
          <w:kern w:val="0"/>
          <w:sz w:val="24"/>
        </w:rPr>
      </w:pPr>
      <w:r>
        <w:rPr>
          <w:rFonts w:ascii="宋体" w:hAnsi="宋体" w:cs="Tahoma"/>
          <w:kern w:val="0"/>
          <w:sz w:val="24"/>
        </w:rPr>
        <w:t>法定代表人或授权代表</w:t>
      </w:r>
      <w:r>
        <w:rPr>
          <w:rFonts w:hint="eastAsia" w:hAnsi="宋体"/>
          <w:sz w:val="24"/>
        </w:rPr>
        <w:t>（</w:t>
      </w:r>
      <w:r>
        <w:rPr>
          <w:rFonts w:hint="eastAsia"/>
          <w:sz w:val="24"/>
        </w:rPr>
        <w:t>签字</w:t>
      </w:r>
      <w:r>
        <w:rPr>
          <w:rFonts w:hint="eastAsia" w:hAnsi="宋体"/>
          <w:sz w:val="24"/>
        </w:rPr>
        <w:t>）</w:t>
      </w:r>
      <w:r>
        <w:rPr>
          <w:rFonts w:ascii="宋体" w:hAnsi="宋体" w:cs="Tahoma"/>
          <w:kern w:val="0"/>
          <w:sz w:val="24"/>
        </w:rPr>
        <w:t>：</w:t>
      </w:r>
      <w:r>
        <w:rPr>
          <w:rFonts w:ascii="宋体" w:hAnsi="宋体" w:cs="Tahoma"/>
          <w:kern w:val="0"/>
          <w:sz w:val="24"/>
          <w:u w:val="single"/>
        </w:rPr>
        <w:t> 　　　　　　　   </w:t>
      </w:r>
    </w:p>
    <w:p w14:paraId="728396B0">
      <w:pPr>
        <w:widowControl/>
        <w:spacing w:line="360" w:lineRule="auto"/>
        <w:jc w:val="right"/>
        <w:rPr>
          <w:rFonts w:ascii="宋体" w:hAnsi="宋体" w:cs="Tahoma"/>
          <w:kern w:val="0"/>
          <w:sz w:val="24"/>
        </w:rPr>
      </w:pPr>
      <w:r>
        <w:rPr>
          <w:rFonts w:ascii="宋体" w:hAnsi="宋体" w:cs="Tahoma"/>
          <w:kern w:val="0"/>
          <w:sz w:val="24"/>
          <w:u w:val="single"/>
        </w:rPr>
        <w:t xml:space="preserve">           </w:t>
      </w:r>
      <w:r>
        <w:rPr>
          <w:rFonts w:ascii="宋体" w:hAnsi="宋体" w:cs="Tahoma"/>
          <w:kern w:val="0"/>
          <w:sz w:val="24"/>
        </w:rPr>
        <w:t xml:space="preserve">年 </w:t>
      </w:r>
      <w:r>
        <w:rPr>
          <w:rFonts w:ascii="宋体" w:hAnsi="宋体" w:cs="Tahoma"/>
          <w:kern w:val="0"/>
          <w:sz w:val="24"/>
          <w:u w:val="single"/>
        </w:rPr>
        <w:t xml:space="preserve">　　 </w:t>
      </w:r>
      <w:r>
        <w:rPr>
          <w:rFonts w:ascii="宋体" w:hAnsi="宋体" w:cs="Tahoma"/>
          <w:kern w:val="0"/>
          <w:sz w:val="24"/>
        </w:rPr>
        <w:t>月</w:t>
      </w:r>
      <w:r>
        <w:rPr>
          <w:rFonts w:ascii="宋体" w:hAnsi="宋体" w:cs="Tahoma"/>
          <w:kern w:val="0"/>
          <w:sz w:val="24"/>
          <w:u w:val="single"/>
        </w:rPr>
        <w:t xml:space="preserve"> 　　</w:t>
      </w:r>
      <w:r>
        <w:rPr>
          <w:rFonts w:ascii="宋体" w:hAnsi="宋体" w:cs="Tahoma"/>
          <w:kern w:val="0"/>
          <w:sz w:val="24"/>
        </w:rPr>
        <w:t>日</w:t>
      </w:r>
    </w:p>
    <w:p w14:paraId="09DD544F">
      <w:pPr>
        <w:rPr>
          <w:rFonts w:ascii="黑体" w:hAnsi="黑体"/>
          <w:sz w:val="24"/>
        </w:rPr>
      </w:pPr>
      <w:bookmarkStart w:id="647" w:name="_Toc53685649"/>
      <w:r>
        <w:rPr>
          <w:rFonts w:ascii="黑体" w:hAnsi="黑体"/>
          <w:sz w:val="24"/>
        </w:rPr>
        <w:br w:type="page"/>
      </w:r>
    </w:p>
    <w:p w14:paraId="019A1D44">
      <w:pPr>
        <w:pStyle w:val="3"/>
        <w:spacing w:before="240" w:after="240"/>
        <w:rPr>
          <w:rFonts w:ascii="黑体" w:hAnsi="黑体"/>
          <w:b w:val="0"/>
          <w:sz w:val="28"/>
          <w:szCs w:val="28"/>
        </w:rPr>
      </w:pPr>
      <w:r>
        <w:rPr>
          <w:rFonts w:ascii="黑体" w:hAnsi="黑体"/>
          <w:b w:val="0"/>
          <w:sz w:val="28"/>
          <w:szCs w:val="28"/>
        </w:rPr>
        <w:t>附件</w:t>
      </w:r>
      <w:r>
        <w:rPr>
          <w:rFonts w:hint="eastAsia" w:ascii="黑体" w:hAnsi="黑体"/>
          <w:b w:val="0"/>
          <w:sz w:val="28"/>
          <w:szCs w:val="28"/>
        </w:rPr>
        <w:t>八</w:t>
      </w:r>
      <w:r>
        <w:rPr>
          <w:rFonts w:ascii="黑体" w:hAnsi="黑体"/>
          <w:b w:val="0"/>
          <w:sz w:val="28"/>
          <w:szCs w:val="28"/>
        </w:rPr>
        <w:t xml:space="preserve">  </w:t>
      </w:r>
      <w:r>
        <w:rPr>
          <w:rFonts w:hint="eastAsia" w:ascii="黑体" w:hAnsi="黑体"/>
          <w:b w:val="0"/>
          <w:sz w:val="28"/>
          <w:szCs w:val="28"/>
        </w:rPr>
        <w:t>投诉书</w:t>
      </w:r>
      <w:bookmarkEnd w:id="647"/>
    </w:p>
    <w:p w14:paraId="2DEA6D08">
      <w:pPr>
        <w:spacing w:line="360" w:lineRule="auto"/>
        <w:jc w:val="center"/>
        <w:rPr>
          <w:sz w:val="24"/>
        </w:rPr>
      </w:pPr>
      <w:r>
        <w:rPr>
          <w:rFonts w:ascii="黑体" w:hAnsi="黑体" w:eastAsia="黑体"/>
          <w:sz w:val="28"/>
          <w:szCs w:val="28"/>
        </w:rPr>
        <w:t>投 诉 书</w:t>
      </w:r>
    </w:p>
    <w:p w14:paraId="35BB52E0">
      <w:pPr>
        <w:spacing w:line="360" w:lineRule="auto"/>
        <w:ind w:firstLine="480" w:firstLineChars="200"/>
        <w:rPr>
          <w:sz w:val="24"/>
        </w:rPr>
      </w:pPr>
      <w:r>
        <w:rPr>
          <w:rFonts w:hint="eastAsia"/>
          <w:sz w:val="24"/>
        </w:rPr>
        <w:t>就所投诉事项，投诉人已于</w:t>
      </w:r>
      <w:r>
        <w:rPr>
          <w:sz w:val="24"/>
          <w:u w:val="single"/>
        </w:rPr>
        <w:t>         </w:t>
      </w:r>
      <w:r>
        <w:rPr>
          <w:rFonts w:hint="eastAsia"/>
          <w:sz w:val="24"/>
        </w:rPr>
        <w:t>年</w:t>
      </w:r>
      <w:r>
        <w:rPr>
          <w:sz w:val="24"/>
          <w:u w:val="single"/>
        </w:rPr>
        <w:t xml:space="preserve">  </w:t>
      </w:r>
      <w:r>
        <w:rPr>
          <w:rFonts w:hint="eastAsia"/>
          <w:sz w:val="24"/>
          <w:u w:val="single"/>
        </w:rPr>
        <w:t>　</w:t>
      </w:r>
      <w:r>
        <w:rPr>
          <w:sz w:val="24"/>
          <w:u w:val="single"/>
        </w:rPr>
        <w:t> </w:t>
      </w:r>
      <w:r>
        <w:rPr>
          <w:rFonts w:hint="eastAsia"/>
          <w:sz w:val="24"/>
        </w:rPr>
        <w:t>月</w:t>
      </w:r>
      <w:r>
        <w:rPr>
          <w:sz w:val="24"/>
          <w:u w:val="single"/>
        </w:rPr>
        <w:t> </w:t>
      </w:r>
      <w:r>
        <w:rPr>
          <w:rFonts w:hint="eastAsia"/>
          <w:sz w:val="24"/>
          <w:u w:val="single"/>
        </w:rPr>
        <w:t>　</w:t>
      </w:r>
      <w:r>
        <w:rPr>
          <w:sz w:val="24"/>
          <w:u w:val="single"/>
        </w:rPr>
        <w:t xml:space="preserve">  </w:t>
      </w:r>
      <w:r>
        <w:rPr>
          <w:rFonts w:hint="eastAsia"/>
          <w:sz w:val="24"/>
        </w:rPr>
        <w:t>日向招标人提出异议，并于</w:t>
      </w:r>
      <w:r>
        <w:rPr>
          <w:sz w:val="24"/>
          <w:u w:val="single"/>
        </w:rPr>
        <w:t>         </w:t>
      </w:r>
      <w:r>
        <w:rPr>
          <w:rFonts w:hint="eastAsia"/>
          <w:sz w:val="24"/>
        </w:rPr>
        <w:t>年</w:t>
      </w:r>
      <w:r>
        <w:rPr>
          <w:sz w:val="24"/>
          <w:u w:val="single"/>
        </w:rPr>
        <w:t>     </w:t>
      </w:r>
      <w:r>
        <w:rPr>
          <w:rFonts w:hint="eastAsia"/>
          <w:sz w:val="24"/>
        </w:rPr>
        <w:t>月</w:t>
      </w:r>
      <w:r>
        <w:rPr>
          <w:sz w:val="24"/>
          <w:u w:val="single"/>
        </w:rPr>
        <w:t> </w:t>
      </w:r>
      <w:r>
        <w:rPr>
          <w:rFonts w:hint="eastAsia"/>
          <w:sz w:val="24"/>
          <w:u w:val="single"/>
        </w:rPr>
        <w:t>　</w:t>
      </w:r>
      <w:r>
        <w:rPr>
          <w:sz w:val="24"/>
          <w:u w:val="single"/>
        </w:rPr>
        <w:t xml:space="preserve">  </w:t>
      </w:r>
      <w:r>
        <w:rPr>
          <w:rFonts w:hint="eastAsia"/>
          <w:sz w:val="24"/>
        </w:rPr>
        <w:t>日收到招标人书面答复（后附异议及答复材料）。</w:t>
      </w:r>
    </w:p>
    <w:p w14:paraId="04049026">
      <w:pPr>
        <w:spacing w:line="360" w:lineRule="auto"/>
        <w:rPr>
          <w:sz w:val="24"/>
        </w:rPr>
      </w:pPr>
      <w:r>
        <w:rPr>
          <w:rFonts w:hint="eastAsia"/>
          <w:sz w:val="24"/>
        </w:rPr>
        <w:t>投</w:t>
      </w:r>
      <w:r>
        <w:rPr>
          <w:rFonts w:hint="eastAsia"/>
          <w:sz w:val="24"/>
          <w:lang w:val="en-US" w:eastAsia="zh-CN"/>
        </w:rPr>
        <w:t xml:space="preserve"> </w:t>
      </w:r>
      <w:r>
        <w:rPr>
          <w:rFonts w:hint="eastAsia"/>
          <w:sz w:val="24"/>
        </w:rPr>
        <w:t>诉</w:t>
      </w:r>
      <w:r>
        <w:rPr>
          <w:rFonts w:hint="eastAsia"/>
          <w:sz w:val="24"/>
          <w:lang w:val="en-US" w:eastAsia="zh-CN"/>
        </w:rPr>
        <w:t xml:space="preserve"> </w:t>
      </w:r>
      <w:r>
        <w:rPr>
          <w:rFonts w:hint="eastAsia"/>
          <w:sz w:val="24"/>
        </w:rPr>
        <w:t>人：</w:t>
      </w:r>
      <w:r>
        <w:rPr>
          <w:sz w:val="24"/>
          <w:u w:val="single"/>
        </w:rPr>
        <w:t>                                       </w:t>
      </w:r>
      <w:r>
        <w:rPr>
          <w:sz w:val="24"/>
          <w:u w:val="none"/>
        </w:rPr>
        <w:t xml:space="preserve">                                      </w:t>
      </w:r>
      <w:r>
        <w:rPr>
          <w:rFonts w:hint="eastAsia"/>
          <w:sz w:val="24"/>
        </w:rPr>
        <w:t>　　　　</w:t>
      </w:r>
    </w:p>
    <w:p w14:paraId="00FAE76A">
      <w:pPr>
        <w:spacing w:line="360" w:lineRule="auto"/>
        <w:rPr>
          <w:sz w:val="24"/>
          <w:u w:val="none"/>
        </w:rPr>
      </w:pPr>
      <w:r>
        <w:rPr>
          <w:rFonts w:hint="eastAsia"/>
          <w:sz w:val="24"/>
        </w:rPr>
        <w:t>住</w:t>
      </w:r>
      <w:r>
        <w:rPr>
          <w:rFonts w:hint="eastAsia"/>
          <w:sz w:val="24"/>
          <w:lang w:val="en-US" w:eastAsia="zh-CN"/>
        </w:rPr>
        <w:t xml:space="preserve"> </w:t>
      </w:r>
      <w:r>
        <w:rPr>
          <w:rFonts w:hint="eastAsia"/>
          <w:sz w:val="24"/>
        </w:rPr>
        <w:t>所</w:t>
      </w:r>
      <w:r>
        <w:rPr>
          <w:rFonts w:hint="eastAsia"/>
          <w:sz w:val="24"/>
          <w:lang w:val="en-US" w:eastAsia="zh-CN"/>
        </w:rPr>
        <w:t xml:space="preserve"> </w:t>
      </w:r>
      <w:r>
        <w:rPr>
          <w:rFonts w:hint="eastAsia"/>
          <w:sz w:val="24"/>
        </w:rPr>
        <w:t>地：</w:t>
      </w:r>
      <w:r>
        <w:rPr>
          <w:sz w:val="24"/>
          <w:u w:val="single"/>
        </w:rPr>
        <w:t>                                       </w:t>
      </w:r>
      <w:r>
        <w:rPr>
          <w:sz w:val="24"/>
          <w:u w:val="none"/>
        </w:rPr>
        <w:t xml:space="preserve">                                       </w:t>
      </w:r>
    </w:p>
    <w:p w14:paraId="5F5BB07E">
      <w:pPr>
        <w:spacing w:line="360" w:lineRule="auto"/>
        <w:rPr>
          <w:sz w:val="24"/>
          <w:u w:val="none"/>
        </w:rPr>
      </w:pPr>
      <w:r>
        <w:rPr>
          <w:rFonts w:hint="eastAsia"/>
          <w:sz w:val="24"/>
        </w:rPr>
        <w:t>邮</w:t>
      </w:r>
      <w:r>
        <w:rPr>
          <w:rFonts w:hint="eastAsia"/>
          <w:sz w:val="24"/>
          <w:lang w:val="en-US" w:eastAsia="zh-CN"/>
        </w:rPr>
        <w:t xml:space="preserve">    </w:t>
      </w:r>
      <w:r>
        <w:rPr>
          <w:rFonts w:hint="eastAsia"/>
          <w:sz w:val="24"/>
        </w:rPr>
        <w:t>编：</w:t>
      </w:r>
      <w:r>
        <w:rPr>
          <w:sz w:val="24"/>
          <w:u w:val="single"/>
        </w:rPr>
        <w:t xml:space="preserve">                                       </w:t>
      </w:r>
      <w:r>
        <w:rPr>
          <w:sz w:val="24"/>
          <w:u w:val="none"/>
        </w:rPr>
        <w:t xml:space="preserve">                                      </w:t>
      </w:r>
    </w:p>
    <w:p w14:paraId="6B6F9243">
      <w:pPr>
        <w:spacing w:line="360" w:lineRule="auto"/>
        <w:rPr>
          <w:sz w:val="24"/>
        </w:rPr>
      </w:pPr>
      <w:r>
        <w:rPr>
          <w:rFonts w:hint="eastAsia"/>
          <w:sz w:val="24"/>
        </w:rPr>
        <w:t>法定代表人：</w:t>
      </w:r>
      <w:r>
        <w:rPr>
          <w:sz w:val="24"/>
          <w:u w:val="single"/>
        </w:rPr>
        <w:t xml:space="preserve">                                   </w:t>
      </w:r>
      <w:r>
        <w:rPr>
          <w:sz w:val="24"/>
          <w:u w:val="none"/>
        </w:rPr>
        <w:t xml:space="preserve">                                   </w:t>
      </w:r>
    </w:p>
    <w:p w14:paraId="2AB3D9B5">
      <w:pPr>
        <w:spacing w:line="360" w:lineRule="auto"/>
        <w:rPr>
          <w:sz w:val="24"/>
        </w:rPr>
      </w:pPr>
      <w:r>
        <w:rPr>
          <w:rFonts w:hint="eastAsia"/>
          <w:sz w:val="24"/>
        </w:rPr>
        <w:t>联系电话：</w:t>
      </w:r>
      <w:r>
        <w:rPr>
          <w:sz w:val="24"/>
          <w:u w:val="single"/>
        </w:rPr>
        <w:t xml:space="preserve">                                        </w:t>
      </w:r>
      <w:r>
        <w:rPr>
          <w:sz w:val="24"/>
          <w:u w:val="none"/>
        </w:rPr>
        <w:t>                                 </w:t>
      </w:r>
    </w:p>
    <w:p w14:paraId="798507C6">
      <w:pPr>
        <w:spacing w:line="360" w:lineRule="auto"/>
        <w:rPr>
          <w:sz w:val="24"/>
        </w:rPr>
      </w:pPr>
      <w:r>
        <w:rPr>
          <w:rFonts w:hint="eastAsia"/>
          <w:sz w:val="24"/>
        </w:rPr>
        <w:t>投诉人授权代表：</w:t>
      </w:r>
      <w:r>
        <w:rPr>
          <w:sz w:val="24"/>
          <w:u w:val="single"/>
        </w:rPr>
        <w:t xml:space="preserve">                            </w:t>
      </w:r>
      <w:r>
        <w:rPr>
          <w:sz w:val="24"/>
          <w:u w:val="none"/>
        </w:rPr>
        <w:t xml:space="preserve">                                    </w:t>
      </w:r>
    </w:p>
    <w:p w14:paraId="176DA033">
      <w:pPr>
        <w:spacing w:line="360" w:lineRule="auto"/>
        <w:rPr>
          <w:sz w:val="24"/>
          <w:u w:val="single"/>
        </w:rPr>
      </w:pPr>
      <w:r>
        <w:rPr>
          <w:rFonts w:hint="eastAsia"/>
          <w:sz w:val="24"/>
        </w:rPr>
        <w:t>性</w:t>
      </w:r>
      <w:r>
        <w:rPr>
          <w:rFonts w:hint="eastAsia"/>
          <w:sz w:val="24"/>
          <w:lang w:val="en-US" w:eastAsia="zh-CN"/>
        </w:rPr>
        <w:t xml:space="preserve">    </w:t>
      </w:r>
      <w:r>
        <w:rPr>
          <w:rFonts w:hint="eastAsia"/>
          <w:sz w:val="24"/>
        </w:rPr>
        <w:t>别：</w:t>
      </w:r>
      <w:r>
        <w:rPr>
          <w:sz w:val="24"/>
          <w:u w:val="single"/>
        </w:rPr>
        <w:t xml:space="preserve">                        </w:t>
      </w:r>
      <w:r>
        <w:rPr>
          <w:rFonts w:hint="eastAsia"/>
          <w:sz w:val="24"/>
          <w:u w:val="single"/>
          <w:lang w:val="en-US" w:eastAsia="zh-CN"/>
        </w:rPr>
        <w:t xml:space="preserve">  </w:t>
      </w:r>
      <w:r>
        <w:rPr>
          <w:sz w:val="24"/>
          <w:u w:val="single"/>
        </w:rPr>
        <w:t xml:space="preserve">     </w:t>
      </w:r>
    </w:p>
    <w:p w14:paraId="145A0A2B">
      <w:pPr>
        <w:spacing w:line="360" w:lineRule="auto"/>
        <w:rPr>
          <w:sz w:val="24"/>
          <w:u w:val="single"/>
        </w:rPr>
      </w:pPr>
      <w:r>
        <w:rPr>
          <w:rFonts w:hint="eastAsia"/>
          <w:sz w:val="24"/>
        </w:rPr>
        <w:t>年</w:t>
      </w:r>
      <w:r>
        <w:rPr>
          <w:rFonts w:hint="eastAsia"/>
          <w:sz w:val="24"/>
          <w:lang w:val="en-US" w:eastAsia="zh-CN"/>
        </w:rPr>
        <w:t xml:space="preserve">    </w:t>
      </w:r>
      <w:r>
        <w:rPr>
          <w:rFonts w:hint="eastAsia"/>
          <w:sz w:val="24"/>
        </w:rPr>
        <w:t>龄：</w:t>
      </w:r>
      <w:r>
        <w:rPr>
          <w:sz w:val="24"/>
          <w:u w:val="single"/>
        </w:rPr>
        <w:t xml:space="preserve">                       </w:t>
      </w:r>
      <w:r>
        <w:rPr>
          <w:rFonts w:hint="eastAsia"/>
          <w:sz w:val="24"/>
          <w:u w:val="single"/>
          <w:lang w:val="en-US" w:eastAsia="zh-CN"/>
        </w:rPr>
        <w:t xml:space="preserve">      </w:t>
      </w:r>
      <w:r>
        <w:rPr>
          <w:sz w:val="24"/>
          <w:u w:val="single"/>
        </w:rPr>
        <w:t xml:space="preserve">  </w:t>
      </w:r>
    </w:p>
    <w:p w14:paraId="07C31971">
      <w:pPr>
        <w:spacing w:line="360" w:lineRule="auto"/>
        <w:rPr>
          <w:sz w:val="24"/>
        </w:rPr>
      </w:pPr>
      <w:r>
        <w:rPr>
          <w:rFonts w:hint="eastAsia"/>
          <w:sz w:val="24"/>
        </w:rPr>
        <w:t>住</w:t>
      </w:r>
      <w:r>
        <w:rPr>
          <w:rFonts w:hint="eastAsia"/>
          <w:sz w:val="24"/>
          <w:lang w:val="en-US" w:eastAsia="zh-CN"/>
        </w:rPr>
        <w:t xml:space="preserve">    </w:t>
      </w:r>
      <w:r>
        <w:rPr>
          <w:rFonts w:hint="eastAsia"/>
          <w:sz w:val="24"/>
        </w:rPr>
        <w:t>址：</w:t>
      </w:r>
      <w:r>
        <w:rPr>
          <w:sz w:val="24"/>
          <w:u w:val="single"/>
        </w:rPr>
        <w:t>                                      </w:t>
      </w:r>
      <w:r>
        <w:rPr>
          <w:sz w:val="24"/>
          <w:u w:val="none"/>
        </w:rPr>
        <w:t xml:space="preserve">                                         </w:t>
      </w:r>
    </w:p>
    <w:p w14:paraId="29544C02">
      <w:pPr>
        <w:spacing w:line="360" w:lineRule="auto"/>
        <w:rPr>
          <w:sz w:val="24"/>
        </w:rPr>
      </w:pPr>
      <w:r>
        <w:rPr>
          <w:rFonts w:hint="eastAsia"/>
          <w:sz w:val="24"/>
        </w:rPr>
        <w:t>联系电话：</w:t>
      </w:r>
      <w:r>
        <w:rPr>
          <w:sz w:val="24"/>
          <w:u w:val="single"/>
        </w:rPr>
        <w:t xml:space="preserve">                                       </w:t>
      </w:r>
      <w:r>
        <w:rPr>
          <w:sz w:val="24"/>
          <w:u w:val="none"/>
        </w:rPr>
        <w:t>                                    </w:t>
      </w:r>
      <w:r>
        <w:rPr>
          <w:sz w:val="24"/>
        </w:rPr>
        <w:t> </w:t>
      </w:r>
    </w:p>
    <w:p w14:paraId="2A2FB39D">
      <w:pPr>
        <w:spacing w:line="360" w:lineRule="auto"/>
        <w:rPr>
          <w:sz w:val="24"/>
        </w:rPr>
      </w:pPr>
      <w:r>
        <w:rPr>
          <w:rFonts w:hint="eastAsia"/>
          <w:sz w:val="24"/>
        </w:rPr>
        <w:t>被投诉人：</w:t>
      </w:r>
      <w:r>
        <w:rPr>
          <w:sz w:val="24"/>
          <w:u w:val="single"/>
        </w:rPr>
        <w:t xml:space="preserve">                                      </w:t>
      </w:r>
      <w:r>
        <w:rPr>
          <w:sz w:val="24"/>
          <w:u w:val="none"/>
        </w:rPr>
        <w:t>                                    </w:t>
      </w:r>
    </w:p>
    <w:p w14:paraId="3332C21F">
      <w:pPr>
        <w:spacing w:line="360" w:lineRule="auto"/>
        <w:rPr>
          <w:sz w:val="24"/>
          <w:u w:val="none"/>
        </w:rPr>
      </w:pPr>
      <w:r>
        <w:rPr>
          <w:rFonts w:hint="eastAsia"/>
          <w:sz w:val="24"/>
        </w:rPr>
        <w:t>住</w:t>
      </w:r>
      <w:r>
        <w:rPr>
          <w:rFonts w:hint="eastAsia"/>
          <w:sz w:val="24"/>
          <w:lang w:val="en-US" w:eastAsia="zh-CN"/>
        </w:rPr>
        <w:t xml:space="preserve"> </w:t>
      </w:r>
      <w:r>
        <w:rPr>
          <w:rFonts w:hint="eastAsia"/>
          <w:sz w:val="24"/>
        </w:rPr>
        <w:t>所</w:t>
      </w:r>
      <w:r>
        <w:rPr>
          <w:rFonts w:hint="eastAsia"/>
          <w:sz w:val="24"/>
          <w:lang w:val="en-US" w:eastAsia="zh-CN"/>
        </w:rPr>
        <w:t xml:space="preserve"> </w:t>
      </w:r>
      <w:r>
        <w:rPr>
          <w:rFonts w:hint="eastAsia"/>
          <w:sz w:val="24"/>
        </w:rPr>
        <w:t>地：</w:t>
      </w:r>
      <w:r>
        <w:rPr>
          <w:sz w:val="24"/>
        </w:rPr>
        <w:t>  </w:t>
      </w:r>
      <w:r>
        <w:rPr>
          <w:sz w:val="24"/>
          <w:u w:val="single"/>
        </w:rPr>
        <w:t xml:space="preserve">                                       </w:t>
      </w:r>
      <w:r>
        <w:rPr>
          <w:sz w:val="24"/>
          <w:u w:val="none"/>
        </w:rPr>
        <w:t xml:space="preserve">                                   </w:t>
      </w:r>
    </w:p>
    <w:p w14:paraId="514035F6">
      <w:pPr>
        <w:spacing w:line="360" w:lineRule="auto"/>
        <w:rPr>
          <w:sz w:val="24"/>
        </w:rPr>
      </w:pPr>
      <w:r>
        <w:rPr>
          <w:rFonts w:hint="eastAsia"/>
          <w:sz w:val="24"/>
        </w:rPr>
        <w:t>邮</w:t>
      </w:r>
      <w:r>
        <w:rPr>
          <w:rFonts w:hint="eastAsia"/>
          <w:sz w:val="24"/>
          <w:lang w:val="en-US" w:eastAsia="zh-CN"/>
        </w:rPr>
        <w:t xml:space="preserve">    </w:t>
      </w:r>
      <w:r>
        <w:rPr>
          <w:rFonts w:hint="eastAsia"/>
          <w:sz w:val="24"/>
        </w:rPr>
        <w:t>编：</w:t>
      </w:r>
      <w:r>
        <w:rPr>
          <w:sz w:val="24"/>
        </w:rPr>
        <w:t xml:space="preserve">  </w:t>
      </w:r>
      <w:r>
        <w:rPr>
          <w:sz w:val="24"/>
          <w:u w:val="single"/>
        </w:rPr>
        <w:t>                                      </w:t>
      </w:r>
      <w:r>
        <w:rPr>
          <w:sz w:val="24"/>
          <w:u w:val="none"/>
        </w:rPr>
        <w:t xml:space="preserve">                                        </w:t>
      </w:r>
      <w:r>
        <w:rPr>
          <w:sz w:val="24"/>
        </w:rPr>
        <w:t> </w:t>
      </w:r>
    </w:p>
    <w:p w14:paraId="4CDD16F1">
      <w:pPr>
        <w:spacing w:line="360" w:lineRule="auto"/>
        <w:rPr>
          <w:sz w:val="24"/>
          <w:u w:val="none"/>
        </w:rPr>
      </w:pPr>
      <w:r>
        <w:rPr>
          <w:rFonts w:hint="eastAsia"/>
          <w:sz w:val="24"/>
        </w:rPr>
        <w:t>法定代表人：</w:t>
      </w:r>
      <w:r>
        <w:rPr>
          <w:sz w:val="24"/>
          <w:u w:val="single"/>
        </w:rPr>
        <w:t xml:space="preserve">                                     </w:t>
      </w:r>
      <w:r>
        <w:rPr>
          <w:sz w:val="24"/>
          <w:u w:val="none"/>
        </w:rPr>
        <w:t>                                    </w:t>
      </w:r>
    </w:p>
    <w:p w14:paraId="6B7EA88B">
      <w:pPr>
        <w:spacing w:line="360" w:lineRule="auto"/>
        <w:rPr>
          <w:sz w:val="24"/>
        </w:rPr>
      </w:pPr>
      <w:r>
        <w:rPr>
          <w:rFonts w:hint="eastAsia"/>
          <w:sz w:val="24"/>
        </w:rPr>
        <w:t>联系电话：</w:t>
      </w:r>
      <w:r>
        <w:rPr>
          <w:sz w:val="24"/>
          <w:u w:val="single"/>
        </w:rPr>
        <w:t xml:space="preserve">                                         </w:t>
      </w:r>
      <w:r>
        <w:rPr>
          <w:sz w:val="24"/>
          <w:u w:val="none"/>
        </w:rPr>
        <w:t xml:space="preserve">                                 </w:t>
      </w:r>
    </w:p>
    <w:p w14:paraId="4C43A7F5">
      <w:pPr>
        <w:spacing w:line="360" w:lineRule="auto"/>
        <w:rPr>
          <w:rFonts w:hint="eastAsia" w:eastAsia="宋体"/>
          <w:sz w:val="24"/>
          <w:u w:val="single"/>
          <w:lang w:eastAsia="zh-CN"/>
        </w:rPr>
      </w:pPr>
      <w:r>
        <w:rPr>
          <w:rFonts w:hint="eastAsia"/>
          <w:sz w:val="24"/>
        </w:rPr>
        <w:t>投诉事项的基本事实：</w:t>
      </w:r>
      <w:r>
        <w:rPr>
          <w:sz w:val="24"/>
          <w:u w:val="single"/>
        </w:rPr>
        <w:t>                                                            </w:t>
      </w:r>
      <w:r>
        <w:rPr>
          <w:rFonts w:hint="eastAsia"/>
          <w:sz w:val="24"/>
          <w:u w:val="none"/>
          <w:lang w:eastAsia="zh-CN"/>
        </w:rPr>
        <w:t>。</w:t>
      </w:r>
    </w:p>
    <w:p w14:paraId="08BCE1F1">
      <w:pPr>
        <w:spacing w:line="360" w:lineRule="auto"/>
        <w:rPr>
          <w:rFonts w:hint="default" w:eastAsia="宋体"/>
          <w:sz w:val="24"/>
          <w:u w:val="single"/>
          <w:lang w:val="en-US" w:eastAsia="zh-CN"/>
        </w:rPr>
      </w:pPr>
      <w:r>
        <w:rPr>
          <w:rFonts w:hint="eastAsia"/>
          <w:sz w:val="24"/>
        </w:rPr>
        <w:t>相关请求及主张</w:t>
      </w:r>
      <w:r>
        <w:rPr>
          <w:rFonts w:hint="eastAsia"/>
          <w:sz w:val="24"/>
          <w:u w:val="none"/>
        </w:rPr>
        <w:t>：</w:t>
      </w:r>
      <w:r>
        <w:rPr>
          <w:sz w:val="24"/>
          <w:u w:val="single"/>
        </w:rPr>
        <w:t xml:space="preserve">                                                  </w:t>
      </w:r>
      <w:r>
        <w:rPr>
          <w:rFonts w:hint="eastAsia"/>
          <w:sz w:val="24"/>
          <w:u w:val="single"/>
          <w:lang w:val="en-US" w:eastAsia="zh-CN"/>
        </w:rPr>
        <w:t xml:space="preserve"> </w:t>
      </w:r>
      <w:r>
        <w:rPr>
          <w:sz w:val="24"/>
          <w:u w:val="single"/>
        </w:rPr>
        <w:t>           </w:t>
      </w:r>
      <w:r>
        <w:rPr>
          <w:rFonts w:hint="eastAsia"/>
          <w:sz w:val="24"/>
          <w:u w:val="single"/>
          <w:lang w:val="en-US" w:eastAsia="zh-CN"/>
        </w:rPr>
        <w:t xml:space="preserve">    </w:t>
      </w:r>
      <w:r>
        <w:rPr>
          <w:rFonts w:hint="eastAsia"/>
          <w:sz w:val="24"/>
          <w:u w:val="none"/>
          <w:lang w:val="en-US" w:eastAsia="zh-CN"/>
        </w:rPr>
        <w:t>。</w:t>
      </w:r>
    </w:p>
    <w:p w14:paraId="68D666F7">
      <w:pPr>
        <w:spacing w:line="360" w:lineRule="auto"/>
        <w:rPr>
          <w:rFonts w:hint="eastAsia" w:eastAsia="宋体"/>
          <w:sz w:val="24"/>
          <w:lang w:eastAsia="zh-CN"/>
        </w:rPr>
      </w:pPr>
      <w:r>
        <w:rPr>
          <w:rFonts w:hint="eastAsia"/>
          <w:sz w:val="24"/>
        </w:rPr>
        <w:t>有效线索和相关证明材料：</w:t>
      </w:r>
      <w:r>
        <w:rPr>
          <w:sz w:val="24"/>
          <w:u w:val="single"/>
        </w:rPr>
        <w:t>                                      </w:t>
      </w:r>
      <w:r>
        <w:rPr>
          <w:rFonts w:hint="eastAsia"/>
          <w:sz w:val="24"/>
          <w:u w:val="single"/>
          <w:lang w:val="en-US" w:eastAsia="zh-CN"/>
        </w:rPr>
        <w:t xml:space="preserve"> </w:t>
      </w:r>
      <w:r>
        <w:rPr>
          <w:sz w:val="24"/>
          <w:u w:val="single"/>
        </w:rPr>
        <w:t xml:space="preserve">            </w:t>
      </w:r>
      <w:r>
        <w:rPr>
          <w:rFonts w:hint="eastAsia"/>
          <w:sz w:val="24"/>
          <w:u w:val="single"/>
          <w:lang w:val="en-US" w:eastAsia="zh-CN"/>
        </w:rPr>
        <w:t xml:space="preserve">  </w:t>
      </w:r>
      <w:r>
        <w:rPr>
          <w:sz w:val="24"/>
          <w:u w:val="single"/>
        </w:rPr>
        <w:t>   </w:t>
      </w:r>
      <w:r>
        <w:rPr>
          <w:rFonts w:hint="eastAsia"/>
          <w:sz w:val="24"/>
          <w:lang w:eastAsia="zh-CN"/>
        </w:rPr>
        <w:t>。</w:t>
      </w:r>
    </w:p>
    <w:p w14:paraId="4E86CD01">
      <w:pPr>
        <w:spacing w:line="360" w:lineRule="auto"/>
        <w:jc w:val="left"/>
        <w:rPr>
          <w:rFonts w:hint="eastAsia" w:eastAsia="宋体"/>
          <w:sz w:val="24"/>
          <w:lang w:val="en-US" w:eastAsia="zh-CN"/>
        </w:rPr>
      </w:pPr>
      <w:r>
        <w:rPr>
          <w:rFonts w:hint="eastAsia"/>
          <w:sz w:val="24"/>
        </w:rPr>
        <w:t>投诉人与投诉项目有利害关系的证明材料：</w:t>
      </w:r>
      <w:r>
        <w:rPr>
          <w:sz w:val="24"/>
          <w:u w:val="single"/>
        </w:rPr>
        <w:t>                  </w:t>
      </w:r>
      <w:r>
        <w:rPr>
          <w:rFonts w:hint="eastAsia"/>
          <w:sz w:val="24"/>
          <w:u w:val="single"/>
          <w:lang w:val="en-US" w:eastAsia="zh-CN"/>
        </w:rPr>
        <w:t xml:space="preserve"> </w:t>
      </w:r>
      <w:r>
        <w:rPr>
          <w:sz w:val="24"/>
          <w:u w:val="single"/>
        </w:rPr>
        <w:t xml:space="preserve">            </w:t>
      </w:r>
      <w:r>
        <w:rPr>
          <w:rFonts w:hint="eastAsia"/>
          <w:sz w:val="24"/>
          <w:u w:val="single"/>
          <w:lang w:val="en-US" w:eastAsia="zh-CN"/>
        </w:rPr>
        <w:t xml:space="preserve"> </w:t>
      </w:r>
      <w:r>
        <w:rPr>
          <w:rFonts w:hint="eastAsia"/>
          <w:sz w:val="24"/>
          <w:u w:val="none"/>
          <w:lang w:val="en-US" w:eastAsia="zh-CN"/>
        </w:rPr>
        <w:t>。</w:t>
      </w:r>
    </w:p>
    <w:p w14:paraId="6E74985B">
      <w:pPr>
        <w:pStyle w:val="17"/>
        <w:rPr>
          <w:sz w:val="24"/>
        </w:rPr>
      </w:pPr>
    </w:p>
    <w:p w14:paraId="52DA56C7">
      <w:pPr>
        <w:pStyle w:val="17"/>
        <w:ind w:firstLine="240" w:firstLineChars="100"/>
        <w:rPr>
          <w:sz w:val="24"/>
        </w:rPr>
      </w:pPr>
      <w:r>
        <w:rPr>
          <w:rFonts w:hint="eastAsia"/>
          <w:sz w:val="24"/>
        </w:rPr>
        <w:t>此致</w:t>
      </w:r>
    </w:p>
    <w:p w14:paraId="6BF35166">
      <w:pPr>
        <w:pStyle w:val="19"/>
        <w:ind w:left="420" w:leftChars="200"/>
        <w:rPr>
          <w:sz w:val="24"/>
        </w:rPr>
      </w:pPr>
    </w:p>
    <w:p w14:paraId="45FA885A">
      <w:pPr>
        <w:ind w:firstLine="240" w:firstLineChars="100"/>
        <w:rPr>
          <w:sz w:val="24"/>
        </w:rPr>
      </w:pPr>
      <w:r>
        <w:rPr>
          <w:rFonts w:hint="eastAsia"/>
          <w:sz w:val="24"/>
          <w:u w:val="single"/>
          <w:lang w:val="en-US" w:eastAsia="zh-CN"/>
        </w:rPr>
        <w:t xml:space="preserve">   </w:t>
      </w:r>
      <w:r>
        <w:rPr>
          <w:rFonts w:hint="eastAsia"/>
          <w:sz w:val="24"/>
          <w:u w:val="single"/>
        </w:rPr>
        <w:t>（投诉受理机关）　</w:t>
      </w:r>
      <w:r>
        <w:rPr>
          <w:sz w:val="24"/>
          <w:u w:val="single"/>
        </w:rPr>
        <w:t>   </w:t>
      </w:r>
      <w:r>
        <w:rPr>
          <w:sz w:val="24"/>
        </w:rPr>
        <w:t xml:space="preserve">             </w:t>
      </w:r>
    </w:p>
    <w:p w14:paraId="691D333C">
      <w:pPr>
        <w:spacing w:line="360" w:lineRule="auto"/>
        <w:ind w:firstLine="3480" w:firstLineChars="1450"/>
        <w:rPr>
          <w:rFonts w:hint="eastAsia" w:eastAsia="宋体"/>
          <w:sz w:val="24"/>
          <w:lang w:val="en-US" w:eastAsia="zh-CN"/>
        </w:rPr>
      </w:pPr>
      <w:r>
        <w:rPr>
          <w:rFonts w:hint="eastAsia"/>
          <w:sz w:val="24"/>
          <w:lang w:val="en-US" w:eastAsia="zh-CN"/>
        </w:rPr>
        <w:t xml:space="preserve"> </w:t>
      </w:r>
    </w:p>
    <w:p w14:paraId="25BCA1C8">
      <w:pPr>
        <w:spacing w:line="360" w:lineRule="auto"/>
        <w:ind w:firstLine="3480" w:firstLineChars="1450"/>
        <w:rPr>
          <w:sz w:val="24"/>
          <w:u w:val="single"/>
        </w:rPr>
      </w:pPr>
      <w:r>
        <w:rPr>
          <w:rFonts w:hint="eastAsia"/>
          <w:sz w:val="24"/>
        </w:rPr>
        <w:t>投诉人（</w:t>
      </w:r>
      <w:r>
        <w:rPr>
          <w:rFonts w:hint="eastAsia"/>
          <w:sz w:val="24"/>
          <w:lang w:val="en-US" w:eastAsia="zh-CN"/>
        </w:rPr>
        <w:t>盖</w:t>
      </w:r>
      <w:r>
        <w:rPr>
          <w:rFonts w:hint="eastAsia"/>
          <w:sz w:val="24"/>
        </w:rPr>
        <w:t>单位章）：</w:t>
      </w:r>
      <w:r>
        <w:rPr>
          <w:sz w:val="24"/>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lang w:val="en-US" w:eastAsia="zh-CN"/>
        </w:rPr>
        <w:t xml:space="preserve"> </w:t>
      </w:r>
      <w:r>
        <w:rPr>
          <w:sz w:val="24"/>
          <w:u w:val="single"/>
        </w:rPr>
        <w:t xml:space="preserve">      </w:t>
      </w:r>
    </w:p>
    <w:p w14:paraId="37BD1D9C">
      <w:pPr>
        <w:spacing w:line="360" w:lineRule="auto"/>
        <w:ind w:firstLine="3360" w:firstLineChars="1400"/>
        <w:rPr>
          <w:sz w:val="24"/>
        </w:rPr>
      </w:pPr>
      <w:r>
        <w:rPr>
          <w:rFonts w:hint="eastAsia"/>
          <w:sz w:val="24"/>
        </w:rPr>
        <w:t>法定代表人或授权代表（签字）</w:t>
      </w:r>
      <w:r>
        <w:rPr>
          <w:rFonts w:hint="eastAsia"/>
          <w:sz w:val="24"/>
          <w:lang w:eastAsia="zh-CN"/>
        </w:rPr>
        <w:t>：</w:t>
      </w:r>
      <w:r>
        <w:rPr>
          <w:sz w:val="24"/>
        </w:rPr>
        <w:t> </w:t>
      </w:r>
      <w:r>
        <w:rPr>
          <w:sz w:val="24"/>
          <w:u w:val="single"/>
        </w:rPr>
        <w:t xml:space="preserve">         </w:t>
      </w:r>
      <w:r>
        <w:rPr>
          <w:rFonts w:hint="eastAsia"/>
          <w:sz w:val="24"/>
          <w:u w:val="single"/>
          <w:lang w:val="en-US" w:eastAsia="zh-CN"/>
        </w:rPr>
        <w:t xml:space="preserve">  </w:t>
      </w:r>
      <w:r>
        <w:rPr>
          <w:sz w:val="24"/>
          <w:u w:val="single"/>
        </w:rPr>
        <w:t xml:space="preserve">     </w:t>
      </w:r>
      <w:r>
        <w:rPr>
          <w:sz w:val="24"/>
        </w:rPr>
        <w:t xml:space="preserve">  </w:t>
      </w:r>
    </w:p>
    <w:p w14:paraId="5A8CC588">
      <w:pPr>
        <w:spacing w:line="360" w:lineRule="auto"/>
        <w:jc w:val="center"/>
      </w:pPr>
      <w:r>
        <w:rPr>
          <w:rFonts w:hint="eastAsia"/>
          <w:sz w:val="24"/>
          <w:lang w:val="en-US" w:eastAsia="zh-CN"/>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日</w:t>
      </w:r>
    </w:p>
    <w:bookmarkEnd w:id="123"/>
    <w:p w14:paraId="7BB5D59D">
      <w:pPr>
        <w:rPr>
          <w:b/>
          <w:bCs/>
          <w:kern w:val="0"/>
        </w:rPr>
      </w:pPr>
    </w:p>
    <w:p w14:paraId="5F753A92">
      <w:pPr>
        <w:widowControl/>
        <w:spacing w:line="360" w:lineRule="auto"/>
        <w:jc w:val="center"/>
        <w:rPr>
          <w:rFonts w:ascii="宋体" w:hAnsi="宋体"/>
          <w:b/>
          <w:bCs/>
          <w:kern w:val="0"/>
          <w:sz w:val="48"/>
          <w:szCs w:val="48"/>
        </w:rPr>
      </w:pPr>
    </w:p>
    <w:p w14:paraId="7E916338">
      <w:pPr>
        <w:widowControl/>
        <w:spacing w:line="360" w:lineRule="auto"/>
        <w:jc w:val="center"/>
        <w:rPr>
          <w:rFonts w:ascii="宋体" w:hAnsi="宋体"/>
          <w:b/>
          <w:bCs/>
          <w:kern w:val="0"/>
          <w:sz w:val="48"/>
          <w:szCs w:val="48"/>
        </w:rPr>
      </w:pPr>
    </w:p>
    <w:p w14:paraId="68BECDE9">
      <w:pPr>
        <w:widowControl/>
        <w:spacing w:line="360" w:lineRule="auto"/>
        <w:rPr>
          <w:rFonts w:ascii="宋体" w:hAnsi="宋体"/>
          <w:b/>
          <w:bCs/>
          <w:kern w:val="0"/>
          <w:sz w:val="48"/>
          <w:szCs w:val="48"/>
        </w:rPr>
      </w:pPr>
    </w:p>
    <w:p w14:paraId="38112683">
      <w:pPr>
        <w:widowControl/>
        <w:spacing w:line="360" w:lineRule="auto"/>
        <w:rPr>
          <w:rFonts w:ascii="宋体" w:hAnsi="宋体"/>
          <w:b/>
          <w:bCs/>
          <w:kern w:val="0"/>
          <w:sz w:val="48"/>
          <w:szCs w:val="48"/>
        </w:rPr>
      </w:pPr>
    </w:p>
    <w:p w14:paraId="0110EB1B">
      <w:pPr>
        <w:widowControl/>
        <w:spacing w:line="360" w:lineRule="auto"/>
        <w:rPr>
          <w:rFonts w:ascii="宋体" w:hAnsi="宋体"/>
          <w:b/>
          <w:bCs/>
          <w:kern w:val="0"/>
          <w:sz w:val="48"/>
          <w:szCs w:val="48"/>
        </w:rPr>
      </w:pPr>
    </w:p>
    <w:p w14:paraId="634044C4">
      <w:pPr>
        <w:pStyle w:val="2"/>
        <w:spacing w:before="120" w:after="120" w:line="480" w:lineRule="auto"/>
        <w:jc w:val="center"/>
        <w:rPr>
          <w:rStyle w:val="175"/>
          <w:b w:val="0"/>
          <w:bCs w:val="0"/>
          <w:szCs w:val="52"/>
        </w:rPr>
      </w:pPr>
      <w:bookmarkStart w:id="648" w:name="_Toc53685650"/>
      <w:r>
        <w:rPr>
          <w:rStyle w:val="175"/>
          <w:rFonts w:hint="eastAsia"/>
          <w:b w:val="0"/>
          <w:bCs w:val="0"/>
          <w:szCs w:val="52"/>
        </w:rPr>
        <w:t>第三章</w:t>
      </w:r>
      <w:r>
        <w:rPr>
          <w:rStyle w:val="175"/>
          <w:b w:val="0"/>
          <w:bCs w:val="0"/>
          <w:szCs w:val="52"/>
        </w:rPr>
        <w:t xml:space="preserve">  </w:t>
      </w:r>
      <w:r>
        <w:rPr>
          <w:rStyle w:val="175"/>
          <w:rFonts w:hint="eastAsia"/>
          <w:b w:val="0"/>
          <w:bCs w:val="0"/>
          <w:szCs w:val="52"/>
        </w:rPr>
        <w:t>评标办法</w:t>
      </w:r>
      <w:bookmarkEnd w:id="648"/>
    </w:p>
    <w:p w14:paraId="0A9B71BE">
      <w:pPr>
        <w:widowControl/>
        <w:spacing w:line="360" w:lineRule="auto"/>
        <w:ind w:firstLine="1124" w:firstLineChars="400"/>
        <w:rPr>
          <w:rFonts w:ascii="宋体" w:hAnsi="宋体" w:cs="宋体"/>
          <w:b/>
          <w:kern w:val="0"/>
          <w:sz w:val="28"/>
          <w:szCs w:val="28"/>
        </w:rPr>
      </w:pPr>
      <w:r>
        <w:rPr>
          <w:rFonts w:hint="eastAsia" w:ascii="宋体" w:hAnsi="宋体" w:cs="宋体"/>
          <w:b/>
          <w:kern w:val="0"/>
          <w:sz w:val="28"/>
          <w:szCs w:val="28"/>
        </w:rPr>
        <w:t>□</w:t>
      </w:r>
      <w:r>
        <w:rPr>
          <w:rFonts w:ascii="宋体" w:hAnsi="宋体" w:cs="宋体"/>
          <w:b/>
          <w:kern w:val="0"/>
          <w:sz w:val="28"/>
          <w:szCs w:val="28"/>
        </w:rPr>
        <w:t xml:space="preserve"> </w:t>
      </w:r>
      <w:r>
        <w:rPr>
          <w:rFonts w:hint="eastAsia" w:ascii="宋体" w:hAnsi="宋体" w:cs="宋体"/>
          <w:b/>
          <w:kern w:val="0"/>
          <w:sz w:val="28"/>
          <w:szCs w:val="28"/>
        </w:rPr>
        <w:t>技术评分最低标价法</w:t>
      </w:r>
    </w:p>
    <w:p w14:paraId="27F6B51B">
      <w:pPr>
        <w:widowControl/>
        <w:spacing w:line="360" w:lineRule="auto"/>
        <w:ind w:firstLine="1124" w:firstLineChars="400"/>
        <w:rPr>
          <w:rFonts w:ascii="宋体" w:hAnsi="宋体" w:cs="宋体"/>
          <w:b/>
          <w:kern w:val="0"/>
          <w:sz w:val="28"/>
          <w:szCs w:val="28"/>
        </w:rPr>
      </w:pPr>
      <w:r>
        <w:rPr>
          <w:rFonts w:hint="eastAsia" w:ascii="宋体" w:hAnsi="宋体" w:cs="宋体"/>
          <w:b/>
          <w:kern w:val="0"/>
          <w:sz w:val="28"/>
          <w:szCs w:val="28"/>
        </w:rPr>
        <w:t>□</w:t>
      </w:r>
      <w:r>
        <w:rPr>
          <w:rFonts w:ascii="宋体" w:hAnsi="宋体" w:cs="宋体"/>
          <w:b/>
          <w:kern w:val="0"/>
          <w:sz w:val="28"/>
          <w:szCs w:val="28"/>
        </w:rPr>
        <w:t xml:space="preserve"> </w:t>
      </w:r>
      <w:r>
        <w:rPr>
          <w:rFonts w:hint="eastAsia" w:ascii="宋体" w:hAnsi="宋体" w:cs="宋体"/>
          <w:b/>
          <w:kern w:val="0"/>
          <w:sz w:val="28"/>
          <w:szCs w:val="28"/>
        </w:rPr>
        <w:t>综合评分法</w:t>
      </w:r>
    </w:p>
    <w:p w14:paraId="69754471">
      <w:pPr>
        <w:widowControl/>
        <w:spacing w:line="360" w:lineRule="auto"/>
        <w:ind w:firstLine="1124" w:firstLineChars="400"/>
        <w:rPr>
          <w:rFonts w:ascii="宋体" w:hAnsi="宋体" w:cs="宋体"/>
          <w:b/>
          <w:kern w:val="0"/>
          <w:sz w:val="28"/>
          <w:szCs w:val="28"/>
        </w:rPr>
      </w:pPr>
      <w:r>
        <w:rPr>
          <w:rFonts w:hint="eastAsia" w:ascii="宋体" w:hAnsi="宋体" w:cs="宋体"/>
          <w:b/>
          <w:kern w:val="0"/>
          <w:sz w:val="28"/>
          <w:szCs w:val="28"/>
        </w:rPr>
        <w:t>□</w:t>
      </w:r>
      <w:r>
        <w:rPr>
          <w:rFonts w:ascii="宋体" w:hAnsi="宋体" w:cs="宋体"/>
          <w:b/>
          <w:kern w:val="0"/>
          <w:sz w:val="28"/>
          <w:szCs w:val="28"/>
        </w:rPr>
        <w:t xml:space="preserve"> </w:t>
      </w:r>
      <w:r>
        <w:rPr>
          <w:rFonts w:hint="eastAsia" w:ascii="宋体" w:hAnsi="宋体" w:cs="宋体"/>
          <w:b/>
          <w:kern w:val="0"/>
          <w:sz w:val="28"/>
          <w:szCs w:val="28"/>
        </w:rPr>
        <w:t>经评审的最低投标价法</w:t>
      </w:r>
    </w:p>
    <w:p w14:paraId="2C000E00">
      <w:pPr>
        <w:widowControl/>
        <w:spacing w:line="360" w:lineRule="auto"/>
        <w:ind w:firstLine="3200"/>
        <w:rPr>
          <w:rFonts w:ascii="宋体" w:hAnsi="宋体"/>
          <w:kern w:val="0"/>
          <w:sz w:val="32"/>
          <w:szCs w:val="32"/>
        </w:rPr>
      </w:pPr>
    </w:p>
    <w:p w14:paraId="58A80E32">
      <w:pPr>
        <w:widowControl/>
        <w:rPr>
          <w:rFonts w:ascii="宋体" w:hAnsi="宋体"/>
          <w:kern w:val="0"/>
          <w:szCs w:val="21"/>
        </w:rPr>
      </w:pPr>
    </w:p>
    <w:p w14:paraId="57AC1F4C">
      <w:pPr>
        <w:widowControl/>
        <w:rPr>
          <w:rFonts w:ascii="宋体" w:hAnsi="宋体"/>
          <w:kern w:val="0"/>
          <w:szCs w:val="21"/>
        </w:rPr>
      </w:pPr>
      <w:r>
        <w:rPr>
          <w:rFonts w:ascii="宋体" w:hAnsi="宋体"/>
          <w:kern w:val="0"/>
          <w:szCs w:val="21"/>
        </w:rPr>
        <w:t xml:space="preserve"> </w:t>
      </w:r>
    </w:p>
    <w:p w14:paraId="3A6A5D51">
      <w:pPr>
        <w:widowControl/>
        <w:rPr>
          <w:rFonts w:ascii="宋体" w:hAnsi="宋体"/>
          <w:kern w:val="0"/>
          <w:szCs w:val="21"/>
        </w:rPr>
      </w:pPr>
      <w:r>
        <w:rPr>
          <w:rFonts w:ascii="宋体" w:hAnsi="宋体"/>
          <w:kern w:val="0"/>
          <w:szCs w:val="21"/>
        </w:rPr>
        <w:t xml:space="preserve"> </w:t>
      </w:r>
    </w:p>
    <w:p w14:paraId="2B8B5AF4">
      <w:pPr>
        <w:widowControl/>
        <w:rPr>
          <w:rFonts w:ascii="宋体" w:hAnsi="宋体"/>
          <w:kern w:val="0"/>
          <w:szCs w:val="21"/>
        </w:rPr>
      </w:pPr>
      <w:r>
        <w:rPr>
          <w:rFonts w:ascii="宋体" w:hAnsi="宋体"/>
          <w:kern w:val="0"/>
          <w:szCs w:val="21"/>
        </w:rPr>
        <w:t xml:space="preserve"> </w:t>
      </w:r>
    </w:p>
    <w:p w14:paraId="0D462C48">
      <w:pPr>
        <w:widowControl/>
        <w:rPr>
          <w:rFonts w:ascii="宋体" w:hAnsi="宋体"/>
          <w:kern w:val="0"/>
          <w:szCs w:val="21"/>
        </w:rPr>
      </w:pPr>
      <w:r>
        <w:rPr>
          <w:rFonts w:ascii="宋体" w:hAnsi="宋体"/>
          <w:kern w:val="0"/>
          <w:szCs w:val="21"/>
        </w:rPr>
        <w:t xml:space="preserve"> </w:t>
      </w:r>
    </w:p>
    <w:p w14:paraId="551B78A4">
      <w:pPr>
        <w:widowControl/>
        <w:rPr>
          <w:rFonts w:ascii="宋体" w:hAnsi="宋体"/>
          <w:kern w:val="0"/>
          <w:szCs w:val="21"/>
        </w:rPr>
      </w:pPr>
      <w:r>
        <w:rPr>
          <w:rFonts w:ascii="宋体" w:hAnsi="宋体"/>
          <w:kern w:val="0"/>
          <w:szCs w:val="21"/>
        </w:rPr>
        <w:t xml:space="preserve"> </w:t>
      </w:r>
    </w:p>
    <w:p w14:paraId="53E33196">
      <w:pPr>
        <w:widowControl/>
        <w:rPr>
          <w:rFonts w:ascii="宋体" w:hAnsi="宋体"/>
          <w:kern w:val="0"/>
          <w:szCs w:val="21"/>
        </w:rPr>
      </w:pPr>
    </w:p>
    <w:p w14:paraId="3C89DBB3">
      <w:pPr>
        <w:widowControl/>
        <w:rPr>
          <w:rFonts w:ascii="宋体" w:hAnsi="宋体"/>
          <w:kern w:val="0"/>
          <w:szCs w:val="21"/>
        </w:rPr>
      </w:pPr>
    </w:p>
    <w:p w14:paraId="77A74347">
      <w:pPr>
        <w:widowControl/>
        <w:rPr>
          <w:rFonts w:ascii="宋体" w:hAnsi="宋体"/>
          <w:kern w:val="0"/>
          <w:szCs w:val="21"/>
        </w:rPr>
      </w:pPr>
    </w:p>
    <w:p w14:paraId="43722419">
      <w:pPr>
        <w:widowControl/>
        <w:rPr>
          <w:rFonts w:ascii="宋体" w:hAnsi="宋体"/>
          <w:kern w:val="0"/>
          <w:szCs w:val="21"/>
        </w:rPr>
      </w:pPr>
    </w:p>
    <w:p w14:paraId="6D655FC9">
      <w:pPr>
        <w:widowControl/>
        <w:rPr>
          <w:rFonts w:ascii="宋体" w:hAnsi="宋体"/>
          <w:kern w:val="0"/>
          <w:szCs w:val="21"/>
        </w:rPr>
      </w:pPr>
    </w:p>
    <w:p w14:paraId="136E162B">
      <w:pPr>
        <w:widowControl/>
        <w:rPr>
          <w:rFonts w:ascii="宋体" w:hAnsi="宋体"/>
          <w:kern w:val="0"/>
          <w:szCs w:val="21"/>
        </w:rPr>
      </w:pPr>
    </w:p>
    <w:p w14:paraId="1DC7180D">
      <w:pPr>
        <w:widowControl/>
        <w:rPr>
          <w:rFonts w:ascii="宋体" w:hAnsi="宋体"/>
          <w:kern w:val="0"/>
          <w:szCs w:val="21"/>
        </w:rPr>
      </w:pPr>
      <w:r>
        <w:rPr>
          <w:rFonts w:ascii="宋体" w:hAnsi="宋体"/>
          <w:kern w:val="0"/>
          <w:szCs w:val="21"/>
        </w:rPr>
        <w:t xml:space="preserve"> </w:t>
      </w:r>
    </w:p>
    <w:p w14:paraId="3ADA9AB0">
      <w:pPr>
        <w:widowControl/>
        <w:rPr>
          <w:rFonts w:ascii="宋体" w:hAnsi="宋体"/>
          <w:kern w:val="0"/>
          <w:szCs w:val="21"/>
        </w:rPr>
      </w:pPr>
      <w:r>
        <w:rPr>
          <w:rFonts w:ascii="宋体" w:hAnsi="宋体"/>
          <w:kern w:val="0"/>
          <w:szCs w:val="21"/>
        </w:rPr>
        <w:t xml:space="preserve"> </w:t>
      </w:r>
    </w:p>
    <w:p w14:paraId="2358F736">
      <w:pPr>
        <w:spacing w:before="120" w:after="120"/>
        <w:jc w:val="center"/>
        <w:rPr>
          <w:rStyle w:val="175"/>
          <w:b w:val="0"/>
          <w:bCs w:val="0"/>
          <w:szCs w:val="52"/>
        </w:rPr>
      </w:pPr>
      <w:bookmarkStart w:id="649" w:name="_Hlk51061639"/>
      <w:bookmarkStart w:id="650" w:name="_Toc53685651"/>
      <w:r>
        <w:rPr>
          <w:rStyle w:val="175"/>
          <w:b w:val="0"/>
          <w:bCs w:val="0"/>
          <w:szCs w:val="52"/>
        </w:rPr>
        <w:br w:type="page"/>
      </w:r>
    </w:p>
    <w:bookmarkEnd w:id="649"/>
    <w:bookmarkEnd w:id="650"/>
    <w:p w14:paraId="0E38016B">
      <w:pPr>
        <w:pStyle w:val="3"/>
        <w:adjustRightInd w:val="0"/>
        <w:snapToGrid w:val="0"/>
        <w:spacing w:before="0" w:beforeLines="0" w:after="0" w:afterLines="0" w:line="360" w:lineRule="auto"/>
        <w:jc w:val="center"/>
        <w:rPr>
          <w:rFonts w:ascii="黑体" w:hAnsi="黑体" w:cs="宋体"/>
          <w:bCs w:val="0"/>
          <w:sz w:val="36"/>
          <w:szCs w:val="36"/>
        </w:rPr>
      </w:pPr>
      <w:bookmarkStart w:id="651" w:name="_Toc53685666"/>
      <w:r>
        <w:rPr>
          <w:rStyle w:val="175"/>
          <w:rFonts w:hint="eastAsia"/>
          <w:b w:val="0"/>
          <w:bCs w:val="0"/>
          <w:sz w:val="36"/>
          <w:szCs w:val="36"/>
        </w:rPr>
        <w:t>第三章</w:t>
      </w:r>
      <w:r>
        <w:rPr>
          <w:rStyle w:val="175"/>
          <w:b w:val="0"/>
          <w:bCs w:val="0"/>
          <w:sz w:val="36"/>
          <w:szCs w:val="36"/>
        </w:rPr>
        <w:t xml:space="preserve">  </w:t>
      </w:r>
      <w:r>
        <w:rPr>
          <w:rStyle w:val="175"/>
          <w:rFonts w:hint="eastAsia"/>
          <w:b w:val="0"/>
          <w:bCs w:val="0"/>
          <w:sz w:val="36"/>
          <w:szCs w:val="36"/>
        </w:rPr>
        <w:t>评标办</w:t>
      </w:r>
      <w:r>
        <w:rPr>
          <w:rStyle w:val="175"/>
          <w:rFonts w:hint="eastAsia" w:ascii="Times New Roman" w:hAnsi="Times New Roman"/>
          <w:b w:val="0"/>
          <w:bCs w:val="0"/>
          <w:sz w:val="36"/>
          <w:szCs w:val="36"/>
        </w:rPr>
        <w:t>法（技术评分最低标价法）</w:t>
      </w:r>
    </w:p>
    <w:p w14:paraId="5A19556B">
      <w:pPr>
        <w:pStyle w:val="3"/>
        <w:adjustRightInd w:val="0"/>
        <w:snapToGrid w:val="0"/>
        <w:spacing w:before="0" w:beforeLines="0" w:after="0" w:afterLines="0" w:line="360" w:lineRule="auto"/>
        <w:jc w:val="left"/>
        <w:rPr>
          <w:rFonts w:ascii="黑体" w:hAnsi="黑体" w:cs="黑体"/>
          <w:szCs w:val="28"/>
        </w:rPr>
      </w:pPr>
      <w:r>
        <w:rPr>
          <w:rFonts w:ascii="黑体" w:hAnsi="黑体" w:cs="黑体"/>
          <w:szCs w:val="28"/>
        </w:rPr>
        <w:t>评标办法前附表</w:t>
      </w:r>
      <w:bookmarkEnd w:id="651"/>
    </w:p>
    <w:p w14:paraId="0BAD54F4">
      <w:pPr>
        <w:widowControl/>
        <w:spacing w:line="360" w:lineRule="auto"/>
        <w:ind w:firstLine="357"/>
        <w:rPr>
          <w:rFonts w:ascii="宋体" w:hAnsi="宋体"/>
          <w:kern w:val="0"/>
          <w:sz w:val="24"/>
        </w:rPr>
      </w:pPr>
      <w:r>
        <w:rPr>
          <w:rFonts w:hint="eastAsia"/>
          <w:sz w:val="24"/>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818" w:type="dxa"/>
        <w:tblInd w:w="-34" w:type="dxa"/>
        <w:tblLayout w:type="fixed"/>
        <w:tblCellMar>
          <w:top w:w="0" w:type="dxa"/>
          <w:left w:w="108" w:type="dxa"/>
          <w:bottom w:w="0" w:type="dxa"/>
          <w:right w:w="108" w:type="dxa"/>
        </w:tblCellMar>
      </w:tblPr>
      <w:tblGrid>
        <w:gridCol w:w="745"/>
        <w:gridCol w:w="813"/>
        <w:gridCol w:w="2212"/>
        <w:gridCol w:w="5014"/>
        <w:gridCol w:w="34"/>
      </w:tblGrid>
      <w:tr w14:paraId="71B7CA08">
        <w:tblPrEx>
          <w:tblCellMar>
            <w:top w:w="0" w:type="dxa"/>
            <w:left w:w="108" w:type="dxa"/>
            <w:bottom w:w="0" w:type="dxa"/>
            <w:right w:w="108" w:type="dxa"/>
          </w:tblCellMar>
        </w:tblPrEx>
        <w:trPr>
          <w:trHeight w:val="461" w:hRule="atLeast"/>
          <w:tblHeader/>
        </w:trPr>
        <w:tc>
          <w:tcPr>
            <w:tcW w:w="1558" w:type="dxa"/>
            <w:gridSpan w:val="2"/>
            <w:tcBorders>
              <w:top w:val="single" w:color="000000" w:sz="4" w:space="0"/>
              <w:left w:val="single" w:color="000000" w:sz="4" w:space="0"/>
              <w:bottom w:val="single" w:color="000000" w:sz="4" w:space="0"/>
              <w:right w:val="single" w:color="000000" w:sz="4" w:space="0"/>
            </w:tcBorders>
            <w:vAlign w:val="center"/>
          </w:tcPr>
          <w:p w14:paraId="40B1DDE5">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7260" w:type="dxa"/>
            <w:gridSpan w:val="3"/>
            <w:tcBorders>
              <w:top w:val="single" w:color="000000" w:sz="4" w:space="0"/>
              <w:left w:val="nil"/>
              <w:bottom w:val="single" w:color="000000" w:sz="4" w:space="0"/>
              <w:right w:val="single" w:color="000000" w:sz="4" w:space="0"/>
            </w:tcBorders>
            <w:vAlign w:val="center"/>
          </w:tcPr>
          <w:p w14:paraId="1CB89F7D">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评审因素与评审标准</w:t>
            </w:r>
          </w:p>
        </w:tc>
      </w:tr>
      <w:tr w14:paraId="4133EB2F">
        <w:tblPrEx>
          <w:tblCellMar>
            <w:top w:w="0" w:type="dxa"/>
            <w:left w:w="108" w:type="dxa"/>
            <w:bottom w:w="0" w:type="dxa"/>
            <w:right w:w="108" w:type="dxa"/>
          </w:tblCellMar>
        </w:tblPrEx>
        <w:trPr>
          <w:trHeight w:val="364" w:hRule="atLeast"/>
        </w:trPr>
        <w:tc>
          <w:tcPr>
            <w:tcW w:w="745" w:type="dxa"/>
            <w:tcBorders>
              <w:top w:val="nil"/>
              <w:left w:val="single" w:color="000000" w:sz="4" w:space="0"/>
              <w:bottom w:val="single" w:color="auto" w:sz="4" w:space="0"/>
              <w:right w:val="single" w:color="000000" w:sz="4" w:space="0"/>
            </w:tcBorders>
            <w:vAlign w:val="center"/>
          </w:tcPr>
          <w:p w14:paraId="14CF3ACE">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813" w:type="dxa"/>
            <w:tcBorders>
              <w:top w:val="single" w:color="000000" w:sz="4" w:space="0"/>
              <w:left w:val="nil"/>
              <w:bottom w:val="single" w:color="auto" w:sz="4" w:space="0"/>
              <w:right w:val="single" w:color="000000" w:sz="4" w:space="0"/>
            </w:tcBorders>
            <w:vAlign w:val="center"/>
          </w:tcPr>
          <w:p w14:paraId="7A8A21E7">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评标方法</w:t>
            </w:r>
          </w:p>
        </w:tc>
        <w:tc>
          <w:tcPr>
            <w:tcW w:w="7260" w:type="dxa"/>
            <w:gridSpan w:val="3"/>
            <w:tcBorders>
              <w:top w:val="single" w:color="000000" w:sz="4" w:space="0"/>
              <w:left w:val="nil"/>
              <w:bottom w:val="single" w:color="000000" w:sz="4" w:space="0"/>
              <w:right w:val="single" w:color="000000" w:sz="4" w:space="0"/>
            </w:tcBorders>
            <w:vAlign w:val="center"/>
          </w:tcPr>
          <w:p w14:paraId="7E9D80E3">
            <w:pPr>
              <w:widowControl/>
              <w:adjustRightInd w:val="0"/>
              <w:snapToGrid w:val="0"/>
              <w:spacing w:line="400" w:lineRule="exact"/>
              <w:rPr>
                <w:rFonts w:ascii="宋体" w:hAnsi="宋体"/>
                <w:b/>
                <w:kern w:val="0"/>
                <w:szCs w:val="21"/>
              </w:rPr>
            </w:pPr>
            <w:r>
              <w:rPr>
                <w:rFonts w:ascii="宋体" w:hAnsi="宋体"/>
                <w:b/>
                <w:kern w:val="0"/>
                <w:szCs w:val="21"/>
              </w:rPr>
              <w:t>1.</w:t>
            </w:r>
            <w:r>
              <w:rPr>
                <w:rFonts w:hint="eastAsia" w:ascii="宋体" w:hAnsi="宋体"/>
                <w:b/>
                <w:kern w:val="0"/>
                <w:szCs w:val="21"/>
              </w:rPr>
              <w:t>本次评标采用技术评分最低标价法，推荐中标候选人具体原则为：</w:t>
            </w:r>
          </w:p>
          <w:p w14:paraId="32357F63">
            <w:pPr>
              <w:widowControl/>
              <w:adjustRightInd w:val="0"/>
              <w:snapToGrid w:val="0"/>
              <w:spacing w:line="40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 xml:space="preserve"> </w:t>
            </w:r>
            <w:r>
              <w:rPr>
                <w:rFonts w:hint="eastAsia" w:ascii="宋体" w:hAnsi="宋体" w:cs="宋体"/>
                <w:b/>
                <w:kern w:val="0"/>
                <w:szCs w:val="21"/>
              </w:rPr>
              <w:t>允许中</w:t>
            </w:r>
            <w:r>
              <w:rPr>
                <w:rFonts w:ascii="宋体" w:hAnsi="宋体" w:cs="宋体"/>
                <w:b/>
                <w:kern w:val="0"/>
                <w:szCs w:val="21"/>
              </w:rPr>
              <w:t>1个标段时适用</w:t>
            </w:r>
          </w:p>
          <w:p w14:paraId="283CE567">
            <w:pPr>
              <w:widowControl/>
              <w:adjustRightInd w:val="0"/>
              <w:snapToGrid w:val="0"/>
              <w:spacing w:line="400" w:lineRule="exact"/>
              <w:ind w:firstLine="210" w:firstLineChars="100"/>
              <w:rPr>
                <w:rFonts w:ascii="宋体" w:hAnsi="宋体"/>
                <w:kern w:val="0"/>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kern w:val="0"/>
                <w:szCs w:val="21"/>
              </w:rPr>
              <w:t>评标委员会对通过第一个信封（商务及技术文件）和第二个信封（报价文件）评审的所有投标人，按照评标价由低到高进行排序。若多个投标人评标价相同时，评标委员会依次按照以下原则排序：</w:t>
            </w:r>
          </w:p>
          <w:p w14:paraId="6DA8C3AF">
            <w:pPr>
              <w:widowControl/>
              <w:spacing w:line="380" w:lineRule="exact"/>
              <w:ind w:firstLine="420" w:firstLineChars="200"/>
              <w:rPr>
                <w:rFonts w:ascii="宋体" w:hAnsi="宋体"/>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1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cs="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szCs w:val="21"/>
                <w:lang w:val="en-US" w:eastAsia="zh-CN"/>
              </w:rPr>
              <w:t>高的优先</w:t>
            </w:r>
            <w:r>
              <w:rPr>
                <w:rFonts w:hint="eastAsia" w:ascii="宋体" w:hAnsi="宋体"/>
                <w:szCs w:val="21"/>
              </w:rPr>
              <w:t>；</w:t>
            </w:r>
          </w:p>
          <w:p w14:paraId="5DE7336A">
            <w:pPr>
              <w:widowControl/>
              <w:spacing w:line="380" w:lineRule="exact"/>
              <w:ind w:firstLine="630" w:firstLineChars="300"/>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szCs w:val="21"/>
                <w:lang w:val="en-US" w:eastAsia="zh-CN"/>
              </w:rPr>
              <w:t>高的优先</w:t>
            </w:r>
            <w:r>
              <w:rPr>
                <w:rFonts w:hint="eastAsia" w:ascii="宋体" w:hAnsi="宋体"/>
                <w:szCs w:val="21"/>
              </w:rPr>
              <w:t>；</w:t>
            </w:r>
          </w:p>
          <w:p w14:paraId="4CB40085">
            <w:pPr>
              <w:widowControl/>
              <w:adjustRightInd w:val="0"/>
              <w:snapToGrid w:val="0"/>
              <w:spacing w:line="400" w:lineRule="exact"/>
              <w:ind w:firstLine="638" w:firstLineChars="304"/>
              <w:jc w:val="left"/>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u w:val="none"/>
              </w:rPr>
              <w:t>四川省重点公路养护工程从业单位信用</w:t>
            </w:r>
            <w:r>
              <w:rPr>
                <w:rFonts w:hint="eastAsia" w:ascii="宋体" w:hAnsi="宋体"/>
                <w:szCs w:val="21"/>
                <w:u w:val="none"/>
                <w:lang w:val="en-US" w:eastAsia="zh-CN"/>
              </w:rPr>
              <w:t>评价等级</w:t>
            </w:r>
            <w:r>
              <w:rPr>
                <w:rFonts w:hint="eastAsia" w:ascii="宋体" w:hAnsi="宋体"/>
                <w:szCs w:val="21"/>
                <w:lang w:val="en-US" w:eastAsia="zh-CN"/>
              </w:rPr>
              <w:t>高的优先</w:t>
            </w:r>
            <w:r>
              <w:rPr>
                <w:rFonts w:hint="eastAsia" w:ascii="宋体" w:hAnsi="宋体"/>
                <w:szCs w:val="21"/>
                <w:u w:val="none"/>
                <w:lang w:val="en-US" w:eastAsia="zh-CN"/>
              </w:rPr>
              <w:t>；</w:t>
            </w:r>
          </w:p>
          <w:p w14:paraId="6D3EE1CC">
            <w:pPr>
              <w:widowControl/>
              <w:adjustRightInd w:val="0"/>
              <w:snapToGrid w:val="0"/>
              <w:spacing w:line="400" w:lineRule="exact"/>
              <w:ind w:left="0" w:leftChars="0" w:firstLine="420" w:firstLineChars="200"/>
              <w:rPr>
                <w:rFonts w:ascii="宋体" w:hAnsi="宋体"/>
                <w:kern w:val="0"/>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kern w:val="0"/>
                <w:szCs w:val="21"/>
              </w:rPr>
              <w:t>第一个信封综合得分高的优先；</w:t>
            </w:r>
          </w:p>
          <w:p w14:paraId="140D2BAB">
            <w:pPr>
              <w:widowControl/>
              <w:adjustRightInd w:val="0"/>
              <w:snapToGrid w:val="0"/>
              <w:spacing w:line="400" w:lineRule="exact"/>
              <w:ind w:firstLine="420" w:firstLineChars="200"/>
              <w:rPr>
                <w:rFonts w:ascii="宋体" w:hAnsi="宋体"/>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3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③</w:t>
            </w:r>
            <w:r>
              <w:rPr>
                <w:rFonts w:ascii="宋体" w:hAnsi="宋体"/>
                <w:kern w:val="0"/>
                <w:szCs w:val="21"/>
              </w:rPr>
              <w:fldChar w:fldCharType="end"/>
            </w:r>
            <w:r>
              <w:rPr>
                <w:rFonts w:hint="eastAsia" w:ascii="宋体" w:hAnsi="宋体"/>
                <w:kern w:val="0"/>
                <w:szCs w:val="21"/>
              </w:rPr>
              <w:t>投标人财务评审中近一年度净资产高的优先</w:t>
            </w:r>
            <w:r>
              <w:rPr>
                <w:rFonts w:hint="eastAsia" w:ascii="宋体" w:hAnsi="宋体"/>
                <w:szCs w:val="21"/>
              </w:rPr>
              <w:t>；</w:t>
            </w:r>
          </w:p>
          <w:p w14:paraId="288BCBE2">
            <w:pPr>
              <w:widowControl/>
              <w:adjustRightInd w:val="0"/>
              <w:snapToGrid w:val="0"/>
              <w:spacing w:line="400" w:lineRule="exact"/>
              <w:ind w:left="0" w:leftChars="0"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若上述情况都相同时，</w:t>
            </w:r>
            <w:r>
              <w:rPr>
                <w:rFonts w:hint="eastAsia" w:ascii="宋体" w:hAnsi="宋体"/>
                <w:kern w:val="0"/>
                <w:szCs w:val="21"/>
              </w:rPr>
              <w:t>则排序按照：</w:t>
            </w:r>
            <w:r>
              <w:rPr>
                <w:rFonts w:ascii="宋体" w:hAnsi="宋体"/>
                <w:kern w:val="0"/>
                <w:szCs w:val="21"/>
                <w:u w:val="single"/>
              </w:rPr>
              <w:t xml:space="preserve">           </w:t>
            </w:r>
            <w:r>
              <w:rPr>
                <w:rFonts w:hint="eastAsia" w:ascii="宋体" w:hAnsi="宋体"/>
                <w:kern w:val="0"/>
                <w:szCs w:val="21"/>
                <w:lang w:eastAsia="zh-CN"/>
              </w:rPr>
              <w:t>。</w:t>
            </w:r>
            <w:r>
              <w:rPr>
                <w:rFonts w:hint="eastAsia" w:ascii="宋体" w:hAnsi="宋体"/>
                <w:szCs w:val="21"/>
              </w:rPr>
              <w:t xml:space="preserve"> </w:t>
            </w:r>
          </w:p>
          <w:p w14:paraId="444B72D3">
            <w:pPr>
              <w:widowControl/>
              <w:adjustRightInd w:val="0"/>
              <w:snapToGrid w:val="0"/>
              <w:spacing w:line="400" w:lineRule="exact"/>
              <w:ind w:left="0" w:leftChars="0" w:firstLine="210" w:firstLineChars="100"/>
              <w:rPr>
                <w:rFonts w:hint="eastAsia" w:ascii="宋体" w:hAnsi="宋体"/>
                <w:szCs w:val="21"/>
              </w:rPr>
            </w:pPr>
            <w:r>
              <w:rPr>
                <w:rFonts w:hint="eastAsia" w:ascii="宋体" w:hAnsi="宋体"/>
                <w:kern w:val="0"/>
                <w:szCs w:val="21"/>
                <w:lang w:val="en-US" w:eastAsia="zh-CN"/>
              </w:rPr>
              <w:t>注：</w:t>
            </w:r>
            <w:r>
              <w:rPr>
                <w:rFonts w:hint="eastAsia" w:ascii="宋体" w:hAnsi="宋体"/>
                <w:kern w:val="0"/>
                <w:szCs w:val="21"/>
              </w:rPr>
              <w:t>联合体投标的，以牵头人为准</w:t>
            </w:r>
            <w:r>
              <w:rPr>
                <w:rFonts w:hint="eastAsia" w:ascii="宋体" w:hAnsi="宋体"/>
                <w:kern w:val="0"/>
                <w:szCs w:val="21"/>
                <w:lang w:eastAsia="zh-CN"/>
              </w:rPr>
              <w:t>。</w:t>
            </w:r>
          </w:p>
          <w:p w14:paraId="1AE971B6">
            <w:pPr>
              <w:widowControl/>
              <w:adjustRightInd w:val="0"/>
              <w:snapToGrid w:val="0"/>
              <w:spacing w:line="400" w:lineRule="exact"/>
              <w:ind w:firstLine="210" w:firstLineChars="100"/>
              <w:rPr>
                <w:rFonts w:ascii="宋体" w:hAnsi="宋体"/>
                <w:kern w:val="0"/>
                <w:szCs w:val="21"/>
              </w:rPr>
            </w:pPr>
            <w:r>
              <w:rPr>
                <w:rFonts w:hint="eastAsia" w:ascii="宋体" w:hAnsi="宋体" w:cs="宋体"/>
                <w:bCs/>
                <w:kern w:val="0"/>
                <w:szCs w:val="21"/>
              </w:rPr>
              <w:sym w:font="Wingdings 2" w:char="00A3"/>
            </w:r>
            <w:r>
              <w:rPr>
                <w:rFonts w:hint="eastAsia" w:ascii="宋体" w:hAnsi="宋体"/>
                <w:kern w:val="0"/>
                <w:szCs w:val="21"/>
              </w:rPr>
              <w:t>（</w:t>
            </w:r>
            <w:r>
              <w:rPr>
                <w:rFonts w:ascii="宋体" w:hAnsi="宋体"/>
                <w:kern w:val="0"/>
                <w:szCs w:val="21"/>
              </w:rPr>
              <w:t>2）</w:t>
            </w:r>
            <w:r>
              <w:rPr>
                <w:rFonts w:ascii="宋体" w:hAnsi="宋体"/>
              </w:rPr>
              <w:t>若同一投标人在</w:t>
            </w:r>
            <w:r>
              <w:rPr>
                <w:rFonts w:hint="eastAsia" w:ascii="宋体" w:hAnsi="宋体"/>
              </w:rPr>
              <w:t>2</w:t>
            </w:r>
            <w:r>
              <w:rPr>
                <w:rFonts w:ascii="宋体" w:hAnsi="宋体"/>
              </w:rPr>
              <w:t>个</w:t>
            </w:r>
            <w:r>
              <w:rPr>
                <w:rFonts w:hint="eastAsia" w:ascii="宋体" w:hAnsi="宋体"/>
              </w:rPr>
              <w:t>及以上</w:t>
            </w:r>
            <w:r>
              <w:rPr>
                <w:rFonts w:ascii="宋体" w:hAnsi="宋体"/>
              </w:rPr>
              <w:t>标段排序均第一</w:t>
            </w:r>
            <w:r>
              <w:rPr>
                <w:rFonts w:hint="eastAsia" w:ascii="宋体" w:hAnsi="宋体"/>
              </w:rPr>
              <w:t>，</w:t>
            </w:r>
            <w:r>
              <w:rPr>
                <w:rFonts w:ascii="宋体" w:hAnsi="宋体"/>
              </w:rPr>
              <w:t>按以下原则依次排序</w:t>
            </w:r>
            <w:r>
              <w:rPr>
                <w:rFonts w:ascii="宋体" w:hAnsi="宋体"/>
                <w:kern w:val="0"/>
                <w:szCs w:val="21"/>
              </w:rPr>
              <w:t>：</w:t>
            </w:r>
          </w:p>
          <w:p w14:paraId="0E4D3DBA">
            <w:pPr>
              <w:widowControl/>
              <w:numPr>
                <w:ilvl w:val="255"/>
                <w:numId w:val="0"/>
              </w:numPr>
              <w:adjustRightInd w:val="0"/>
              <w:snapToGrid w:val="0"/>
              <w:spacing w:line="400" w:lineRule="exact"/>
              <w:ind w:left="420" w:leftChars="200" w:firstLine="0" w:firstLineChars="0"/>
              <w:rPr>
                <w:rFonts w:ascii="宋体" w:hAnsi="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w:t>
            </w:r>
            <w:r>
              <w:rPr>
                <w:rFonts w:hint="eastAsia" w:ascii="宋体" w:hAnsi="宋体"/>
                <w:kern w:val="0"/>
                <w:szCs w:val="21"/>
              </w:rPr>
              <w:t>保留该投标人在评标价高的标段的第一排名，取消其在评标价低的标段的排名，其余投标人按</w:t>
            </w:r>
            <w:r>
              <w:rPr>
                <w:rFonts w:hint="eastAsia" w:ascii="宋体" w:hAnsi="宋体"/>
                <w:szCs w:val="21"/>
              </w:rPr>
              <w:t>评标价</w:t>
            </w:r>
            <w:r>
              <w:rPr>
                <w:rFonts w:hint="eastAsia" w:ascii="宋体" w:hAnsi="宋体"/>
                <w:kern w:val="0"/>
                <w:szCs w:val="21"/>
              </w:rPr>
              <w:t>由低到高重新排序。评标价也相同时，则排序按照：</w:t>
            </w:r>
            <w:r>
              <w:rPr>
                <w:rFonts w:ascii="宋体" w:hAnsi="宋体"/>
                <w:kern w:val="0"/>
                <w:szCs w:val="21"/>
                <w:u w:val="single"/>
              </w:rPr>
              <w:t xml:space="preserve">           </w:t>
            </w:r>
            <w:r>
              <w:rPr>
                <w:rFonts w:hint="eastAsia" w:ascii="宋体" w:hAnsi="宋体"/>
                <w:kern w:val="0"/>
                <w:szCs w:val="21"/>
              </w:rPr>
              <w:t>。</w:t>
            </w:r>
          </w:p>
          <w:p w14:paraId="0170AF71">
            <w:pPr>
              <w:widowControl/>
              <w:adjustRightInd w:val="0"/>
              <w:snapToGrid w:val="0"/>
              <w:spacing w:line="400" w:lineRule="exact"/>
              <w:ind w:firstLine="420" w:firstLineChars="200"/>
              <w:rPr>
                <w:rFonts w:ascii="宋体" w:hAnsi="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ascii="宋体" w:hAnsi="宋体"/>
                <w:kern w:val="0"/>
                <w:szCs w:val="21"/>
                <w:u w:val="single"/>
              </w:rPr>
              <w:t xml:space="preserve">          </w:t>
            </w:r>
            <w:r>
              <w:rPr>
                <w:rFonts w:hint="eastAsia" w:ascii="宋体" w:hAnsi="宋体"/>
                <w:kern w:val="0"/>
                <w:szCs w:val="21"/>
              </w:rPr>
              <w:t>。</w:t>
            </w:r>
          </w:p>
          <w:p w14:paraId="4C7AF911">
            <w:pPr>
              <w:widowControl/>
              <w:adjustRightInd w:val="0"/>
              <w:snapToGrid w:val="0"/>
              <w:spacing w:line="400" w:lineRule="exact"/>
              <w:ind w:firstLine="210" w:firstLineChars="100"/>
              <w:rPr>
                <w:rFonts w:ascii="宋体" w:hAnsi="宋体"/>
                <w:kern w:val="0"/>
                <w:szCs w:val="21"/>
              </w:rPr>
            </w:pPr>
            <w:r>
              <w:rPr>
                <w:rFonts w:hint="eastAsia" w:ascii="宋体" w:hAnsi="宋体" w:cs="宋体"/>
                <w:bCs/>
                <w:kern w:val="0"/>
                <w:szCs w:val="21"/>
              </w:rPr>
              <w:sym w:font="Wingdings 2" w:char="00A3"/>
            </w:r>
            <w:r>
              <w:rPr>
                <w:rFonts w:hint="eastAsia" w:ascii="宋体" w:hAnsi="宋体"/>
                <w:kern w:val="0"/>
                <w:szCs w:val="21"/>
              </w:rPr>
              <w:t>（3）</w:t>
            </w:r>
            <w:r>
              <w:rPr>
                <w:rFonts w:ascii="宋体" w:hAnsi="宋体"/>
              </w:rPr>
              <w:t>若同一投标人</w:t>
            </w:r>
            <w:r>
              <w:rPr>
                <w:rFonts w:hint="eastAsia" w:ascii="宋体" w:hAnsi="宋体"/>
              </w:rPr>
              <w:t>参与2</w:t>
            </w:r>
            <w:r>
              <w:rPr>
                <w:rFonts w:ascii="宋体" w:hAnsi="宋体"/>
              </w:rPr>
              <w:t>个</w:t>
            </w:r>
            <w:r>
              <w:rPr>
                <w:rFonts w:hint="eastAsia" w:ascii="宋体" w:hAnsi="宋体"/>
              </w:rPr>
              <w:t>及以上</w:t>
            </w:r>
            <w:r>
              <w:rPr>
                <w:rFonts w:ascii="宋体" w:hAnsi="宋体"/>
              </w:rPr>
              <w:t>标段</w:t>
            </w:r>
            <w:r>
              <w:rPr>
                <w:rFonts w:hint="eastAsia" w:ascii="宋体" w:hAnsi="宋体"/>
              </w:rPr>
              <w:t>的投标，</w:t>
            </w:r>
            <w:r>
              <w:rPr>
                <w:rFonts w:hint="eastAsia" w:ascii="宋体" w:hAnsi="宋体"/>
                <w:kern w:val="0"/>
                <w:szCs w:val="21"/>
              </w:rPr>
              <w:t>在其中一个标段已经推荐为第一中标候选人，则在其他标段不再作为中标候选人推荐，其余投标人按</w:t>
            </w:r>
            <w:r>
              <w:rPr>
                <w:rFonts w:hint="eastAsia" w:ascii="宋体" w:hAnsi="宋体"/>
                <w:szCs w:val="21"/>
              </w:rPr>
              <w:t>评标价</w:t>
            </w:r>
            <w:r>
              <w:rPr>
                <w:rFonts w:hint="eastAsia" w:ascii="宋体" w:hAnsi="宋体"/>
                <w:kern w:val="0"/>
                <w:szCs w:val="21"/>
              </w:rPr>
              <w:t>由低到高重新排序。</w:t>
            </w:r>
          </w:p>
          <w:p w14:paraId="470A3193">
            <w:pPr>
              <w:widowControl/>
              <w:adjustRightInd w:val="0"/>
              <w:snapToGrid w:val="0"/>
              <w:spacing w:line="400" w:lineRule="exact"/>
              <w:ind w:firstLine="210" w:firstLineChars="100"/>
              <w:rPr>
                <w:rFonts w:ascii="宋体" w:hAnsi="宋体" w:cs="宋体"/>
                <w:b/>
                <w:kern w:val="0"/>
                <w:szCs w:val="21"/>
              </w:rPr>
            </w:pPr>
            <w:r>
              <w:rPr>
                <w:rFonts w:hint="eastAsia" w:ascii="宋体" w:hAnsi="宋体"/>
                <w:kern w:val="0"/>
                <w:szCs w:val="21"/>
              </w:rPr>
              <w:t>（4）评标委员会按最终排序推荐前</w:t>
            </w:r>
            <w:r>
              <w:rPr>
                <w:rFonts w:ascii="宋体" w:hAnsi="宋体"/>
                <w:kern w:val="0"/>
                <w:szCs w:val="21"/>
              </w:rPr>
              <w:t>3名中标候选人（若不足3名，则按相应数量推荐）</w:t>
            </w:r>
            <w:r>
              <w:rPr>
                <w:rFonts w:hint="eastAsia" w:ascii="宋体" w:hAnsi="宋体"/>
                <w:kern w:val="0"/>
                <w:szCs w:val="21"/>
              </w:rPr>
              <w:t>。</w:t>
            </w:r>
          </w:p>
          <w:p w14:paraId="6EDF75AC">
            <w:pPr>
              <w:widowControl/>
              <w:adjustRightInd w:val="0"/>
              <w:snapToGrid w:val="0"/>
              <w:spacing w:line="40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 xml:space="preserve"> </w:t>
            </w:r>
            <w:r>
              <w:rPr>
                <w:rFonts w:hint="eastAsia" w:ascii="宋体" w:hAnsi="宋体" w:cs="宋体"/>
                <w:b/>
                <w:kern w:val="0"/>
                <w:szCs w:val="21"/>
              </w:rPr>
              <w:t>允许中</w:t>
            </w:r>
            <w:r>
              <w:rPr>
                <w:rFonts w:ascii="宋体" w:hAnsi="宋体" w:cs="宋体"/>
                <w:b/>
                <w:kern w:val="0"/>
                <w:szCs w:val="21"/>
              </w:rPr>
              <w:t>2个及以上标段适用</w:t>
            </w:r>
          </w:p>
          <w:p w14:paraId="13942E1F">
            <w:pPr>
              <w:widowControl/>
              <w:adjustRightInd w:val="0"/>
              <w:snapToGrid w:val="0"/>
              <w:spacing w:line="400" w:lineRule="exact"/>
              <w:ind w:firstLine="210" w:firstLineChars="100"/>
              <w:rPr>
                <w:rFonts w:ascii="宋体" w:hAnsi="宋体"/>
                <w:b/>
                <w:szCs w:val="21"/>
              </w:rPr>
            </w:pPr>
            <w:r>
              <w:rPr>
                <w:rFonts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rPr>
              <w:t xml:space="preserve">  </w:t>
            </w:r>
            <w:r>
              <w:rPr>
                <w:rFonts w:ascii="宋体" w:hAnsi="宋体"/>
                <w:b/>
                <w:szCs w:val="21"/>
              </w:rPr>
              <w:t xml:space="preserve">  </w:t>
            </w:r>
          </w:p>
          <w:p w14:paraId="38F60BBE">
            <w:pPr>
              <w:widowControl/>
              <w:adjustRightInd w:val="0"/>
              <w:snapToGrid w:val="0"/>
              <w:spacing w:line="400" w:lineRule="exact"/>
              <w:rPr>
                <w:rFonts w:ascii="宋体" w:hAnsi="宋体"/>
                <w:kern w:val="0"/>
                <w:szCs w:val="21"/>
                <w:u w:val="single"/>
              </w:rPr>
            </w:pPr>
            <w:r>
              <w:rPr>
                <w:rFonts w:ascii="宋体" w:hAnsi="宋体"/>
                <w:b w:val="0"/>
                <w:bCs/>
                <w:szCs w:val="21"/>
              </w:rPr>
              <w:t>2.</w:t>
            </w:r>
            <w:r>
              <w:rPr>
                <w:rFonts w:hint="eastAsia" w:ascii="宋体" w:hAnsi="宋体"/>
                <w:szCs w:val="21"/>
              </w:rPr>
              <w:t>在评标过程中，如有效投标不足</w:t>
            </w:r>
            <w:r>
              <w:rPr>
                <w:rFonts w:ascii="宋体" w:hAnsi="宋体"/>
                <w:szCs w:val="21"/>
              </w:rPr>
              <w:t>3</w:t>
            </w:r>
            <w:r>
              <w:rPr>
                <w:rFonts w:hint="eastAsia" w:ascii="宋体" w:hAnsi="宋体"/>
                <w:szCs w:val="21"/>
              </w:rPr>
              <w:t>个，评标委员会应当对有效投标是否仍具有竞争性进行评审。评标委员会一致认为有效投标仍具有竞争性</w:t>
            </w:r>
            <w:r>
              <w:rPr>
                <w:rFonts w:hint="eastAsia"/>
                <w:szCs w:val="21"/>
              </w:rPr>
              <w:t>的，应当继续</w:t>
            </w:r>
          </w:p>
        </w:tc>
      </w:tr>
      <w:tr w14:paraId="618E578A">
        <w:tblPrEx>
          <w:tblCellMar>
            <w:top w:w="0" w:type="dxa"/>
            <w:left w:w="108" w:type="dxa"/>
            <w:bottom w:w="0" w:type="dxa"/>
            <w:right w:w="108" w:type="dxa"/>
          </w:tblCellMar>
        </w:tblPrEx>
        <w:trPr>
          <w:trHeight w:val="1269" w:hRule="atLeast"/>
        </w:trPr>
        <w:tc>
          <w:tcPr>
            <w:tcW w:w="745" w:type="dxa"/>
            <w:tcBorders>
              <w:top w:val="nil"/>
              <w:left w:val="single" w:color="000000" w:sz="4" w:space="0"/>
              <w:bottom w:val="single" w:color="auto" w:sz="4" w:space="0"/>
              <w:right w:val="single" w:color="000000" w:sz="4" w:space="0"/>
            </w:tcBorders>
            <w:vAlign w:val="center"/>
          </w:tcPr>
          <w:p w14:paraId="29259017">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813" w:type="dxa"/>
            <w:tcBorders>
              <w:top w:val="single" w:color="000000" w:sz="4" w:space="0"/>
              <w:left w:val="nil"/>
              <w:bottom w:val="single" w:color="auto" w:sz="4" w:space="0"/>
              <w:right w:val="single" w:color="000000" w:sz="4" w:space="0"/>
            </w:tcBorders>
            <w:vAlign w:val="center"/>
          </w:tcPr>
          <w:p w14:paraId="3D73FA65">
            <w:pPr>
              <w:pStyle w:val="299"/>
              <w:adjustRightInd w:val="0"/>
              <w:snapToGrid w:val="0"/>
              <w:spacing w:line="400" w:lineRule="exact"/>
              <w:jc w:val="center"/>
              <w:rPr>
                <w:rFonts w:ascii="宋体" w:hAnsi="宋体"/>
                <w:szCs w:val="21"/>
              </w:rPr>
            </w:pPr>
            <w:r>
              <w:rPr>
                <w:rFonts w:hint="eastAsia" w:ascii="宋体" w:hAnsi="宋体"/>
                <w:szCs w:val="21"/>
              </w:rPr>
              <w:t>评标方法</w:t>
            </w:r>
          </w:p>
        </w:tc>
        <w:tc>
          <w:tcPr>
            <w:tcW w:w="7260" w:type="dxa"/>
            <w:gridSpan w:val="3"/>
            <w:tcBorders>
              <w:top w:val="single" w:color="000000" w:sz="4" w:space="0"/>
              <w:left w:val="nil"/>
              <w:bottom w:val="single" w:color="auto" w:sz="4" w:space="0"/>
              <w:right w:val="single" w:color="000000" w:sz="4" w:space="0"/>
            </w:tcBorders>
            <w:vAlign w:val="center"/>
          </w:tcPr>
          <w:p w14:paraId="239B32AE">
            <w:pPr>
              <w:pStyle w:val="299"/>
              <w:adjustRightInd w:val="0"/>
              <w:snapToGrid w:val="0"/>
              <w:spacing w:line="400" w:lineRule="exact"/>
              <w:ind w:firstLine="0" w:firstLineChars="0"/>
              <w:rPr>
                <w:szCs w:val="21"/>
              </w:rPr>
            </w:pPr>
            <w:r>
              <w:rPr>
                <w:rFonts w:hint="eastAsia"/>
                <w:szCs w:val="21"/>
              </w:rPr>
              <w:t>推荐中标候选人，并在评标报告中予以说明。评标委员会对有效投标是否仍具有竞争性无法达成一致意见的，应当否决全部投标，并在评标报告中</w:t>
            </w:r>
            <w:r>
              <w:rPr>
                <w:rFonts w:hint="eastAsia"/>
                <w:szCs w:val="21"/>
                <w:lang w:val="en-US" w:eastAsia="zh-CN"/>
              </w:rPr>
              <w:t>作</w:t>
            </w:r>
            <w:r>
              <w:rPr>
                <w:rFonts w:hint="eastAsia"/>
                <w:szCs w:val="21"/>
              </w:rPr>
              <w:t>出说明。</w:t>
            </w:r>
          </w:p>
          <w:p w14:paraId="7EABC542">
            <w:pPr>
              <w:pStyle w:val="299"/>
              <w:numPr>
                <w:ilvl w:val="-1"/>
                <w:numId w:val="0"/>
              </w:numPr>
              <w:adjustRightInd w:val="0"/>
              <w:snapToGrid w:val="0"/>
              <w:spacing w:line="400" w:lineRule="exact"/>
              <w:rPr>
                <w:rFonts w:ascii="宋体" w:hAnsi="宋体" w:cs="宋体"/>
                <w:b/>
                <w:bCs/>
                <w:szCs w:val="21"/>
              </w:rPr>
            </w:pPr>
            <w:r>
              <w:rPr>
                <w:rFonts w:hint="eastAsia" w:ascii="宋体" w:hAnsi="宋体" w:cs="宋体"/>
                <w:b/>
                <w:bCs/>
                <w:szCs w:val="21"/>
              </w:rPr>
              <w:t>□ 3.协助评标</w:t>
            </w:r>
          </w:p>
          <w:p w14:paraId="14DE3F35">
            <w:pPr>
              <w:pStyle w:val="299"/>
              <w:numPr>
                <w:ilvl w:val="-1"/>
                <w:numId w:val="0"/>
              </w:numPr>
              <w:adjustRightInd w:val="0"/>
              <w:snapToGrid w:val="0"/>
              <w:spacing w:line="400" w:lineRule="exact"/>
              <w:ind w:firstLine="210" w:firstLineChars="100"/>
              <w:rPr>
                <w:rFonts w:ascii="宋体" w:hAnsi="宋体" w:cs="宋体"/>
                <w:szCs w:val="21"/>
              </w:rPr>
            </w:pPr>
            <w:r>
              <w:rPr>
                <w:rFonts w:hint="eastAsia" w:ascii="宋体" w:hAnsi="宋体" w:cs="宋体"/>
                <w:szCs w:val="21"/>
              </w:rPr>
              <w:t>招标人按照</w:t>
            </w:r>
            <w:r>
              <w:rPr>
                <w:rFonts w:hint="eastAsia" w:ascii="宋体" w:hAnsi="宋体" w:cs="宋体"/>
                <w:szCs w:val="21"/>
                <w:u w:val="single"/>
              </w:rPr>
              <w:t>《公路工程建设项目招标投标管理办法》（交通运输部令</w:t>
            </w:r>
            <w:r>
              <w:rPr>
                <w:rFonts w:ascii="宋体" w:hAnsi="宋体" w:cs="宋体"/>
                <w:szCs w:val="21"/>
                <w:u w:val="single"/>
              </w:rPr>
              <w:t>2015年第24号）、《公路工程建设项目评标工作细则》（交公路</w:t>
            </w:r>
            <w:r>
              <w:rPr>
                <w:rFonts w:hint="eastAsia" w:ascii="宋体" w:hAnsi="宋体" w:cs="宋体"/>
                <w:szCs w:val="21"/>
                <w:u w:val="single"/>
              </w:rPr>
              <w:t>规</w:t>
            </w:r>
            <w:r>
              <w:rPr>
                <w:rFonts w:ascii="宋体" w:hAnsi="宋体" w:cs="宋体"/>
                <w:szCs w:val="21"/>
                <w:u w:val="single"/>
              </w:rPr>
              <w:t>〔20</w:t>
            </w:r>
            <w:r>
              <w:rPr>
                <w:rFonts w:hint="eastAsia" w:ascii="宋体" w:hAnsi="宋体" w:cs="宋体"/>
                <w:szCs w:val="21"/>
                <w:u w:val="single"/>
              </w:rPr>
              <w:t>22</w:t>
            </w:r>
            <w:r>
              <w:rPr>
                <w:rFonts w:ascii="宋体" w:hAnsi="宋体" w:cs="宋体"/>
                <w:szCs w:val="21"/>
                <w:u w:val="single"/>
              </w:rPr>
              <w:t>〕</w:t>
            </w:r>
            <w:r>
              <w:rPr>
                <w:rFonts w:hint="eastAsia" w:ascii="宋体" w:hAnsi="宋体" w:cs="宋体"/>
                <w:szCs w:val="21"/>
                <w:u w:val="single"/>
              </w:rPr>
              <w:t>8</w:t>
            </w:r>
            <w:r>
              <w:rPr>
                <w:rFonts w:ascii="宋体" w:hAnsi="宋体" w:cs="宋体"/>
                <w:szCs w:val="21"/>
                <w:u w:val="single"/>
              </w:rPr>
              <w:t>号）、《四川省公路工程建设项目招标投标管理实施细则》（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规定，协助评标委员会工作并提供相关信息：</w:t>
            </w:r>
            <w:r>
              <w:rPr>
                <w:rFonts w:ascii="宋体" w:hAnsi="宋体" w:cs="宋体"/>
                <w:szCs w:val="21"/>
              </w:rPr>
              <w:t xml:space="preserve"> </w:t>
            </w:r>
          </w:p>
          <w:p w14:paraId="1420C476">
            <w:pPr>
              <w:pStyle w:val="299"/>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1）根据招标文件，编制评标使用的相应表格； </w:t>
            </w:r>
          </w:p>
          <w:p w14:paraId="246B2B8D">
            <w:pPr>
              <w:pStyle w:val="299"/>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对投标人的</w:t>
            </w:r>
            <w:r>
              <w:rPr>
                <w:rFonts w:hint="eastAsia" w:ascii="宋体" w:hAnsi="宋体" w:cs="宋体"/>
                <w:szCs w:val="21"/>
                <w:u w:val="single"/>
              </w:rPr>
              <w:t>资质、业绩、信誉和从业人员各类注册资格证书</w:t>
            </w:r>
            <w:r>
              <w:rPr>
                <w:rFonts w:hint="eastAsia" w:ascii="宋体" w:hAnsi="宋体" w:cs="宋体"/>
                <w:szCs w:val="21"/>
              </w:rPr>
              <w:t>等信息进行核实；</w:t>
            </w:r>
          </w:p>
          <w:p w14:paraId="7C52CF4B">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（3）对投标报价进行算术性校核；</w:t>
            </w:r>
          </w:p>
          <w:p w14:paraId="3440C246">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（4）以评标标准和方法为依据，列出投标文件相对于招标文件的所有偏差，并进行匿名归类汇总；</w:t>
            </w:r>
          </w:p>
          <w:p w14:paraId="0A890940">
            <w:pPr>
              <w:widowControl/>
              <w:tabs>
                <w:tab w:val="left" w:pos="3838"/>
              </w:tabs>
              <w:spacing w:line="400" w:lineRule="exact"/>
              <w:ind w:firstLine="210" w:firstLineChars="100"/>
              <w:rPr>
                <w:rFonts w:hint="eastAsia" w:ascii="宋体" w:hAnsi="宋体" w:cs="宋体"/>
                <w:szCs w:val="21"/>
              </w:rPr>
            </w:pPr>
            <w:r>
              <w:rPr>
                <w:rFonts w:hint="eastAsia" w:ascii="宋体" w:hAnsi="宋体" w:cs="宋体"/>
                <w:szCs w:val="21"/>
              </w:rPr>
              <w:t>（5）在评标过程中，对评标委员会各成员的评分表进行复核，统计汇总；对评标过程资料进行整理。</w:t>
            </w:r>
          </w:p>
          <w:p w14:paraId="66E26094">
            <w:pPr>
              <w:pStyle w:val="299"/>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招标人不得对投标文件作出任何评价，不得故意遗漏或者片面摘录，不得在评标委员会对所有偏差定性之前透露存有偏差的投标人名称。</w:t>
            </w:r>
          </w:p>
        </w:tc>
      </w:tr>
      <w:tr w14:paraId="76AD2B11">
        <w:tblPrEx>
          <w:tblCellMar>
            <w:top w:w="0" w:type="dxa"/>
            <w:left w:w="108" w:type="dxa"/>
            <w:bottom w:w="0" w:type="dxa"/>
            <w:right w:w="108" w:type="dxa"/>
          </w:tblCellMar>
        </w:tblPrEx>
        <w:trPr>
          <w:trHeight w:val="360"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68816761">
            <w:pPr>
              <w:pStyle w:val="26"/>
              <w:adjustRightInd w:val="0"/>
              <w:snapToGrid w:val="0"/>
              <w:spacing w:line="400" w:lineRule="exact"/>
              <w:ind w:left="-210" w:leftChars="-100" w:right="-210" w:rightChars="-100"/>
              <w:jc w:val="center"/>
              <w:rPr>
                <w:rFonts w:hAnsi="宋体" w:cs="Courier New"/>
              </w:rPr>
            </w:pPr>
            <w:r>
              <w:rPr>
                <w:rFonts w:hAnsi="宋体" w:cs="Courier New"/>
              </w:rPr>
              <w:t>2.1</w:t>
            </w:r>
          </w:p>
          <w:p w14:paraId="47660C76">
            <w:pPr>
              <w:pStyle w:val="26"/>
              <w:adjustRightInd w:val="0"/>
              <w:snapToGrid w:val="0"/>
              <w:spacing w:line="400" w:lineRule="exact"/>
              <w:ind w:left="-210" w:leftChars="-100" w:right="-210" w:rightChars="-100"/>
              <w:jc w:val="center"/>
              <w:rPr>
                <w:rFonts w:hAnsi="宋体" w:cs="Courier New"/>
              </w:rPr>
            </w:pPr>
            <w:r>
              <w:rPr>
                <w:rFonts w:hint="eastAsia" w:hAnsi="宋体" w:cs="Courier New"/>
              </w:rPr>
              <w:t>初步评</w:t>
            </w:r>
          </w:p>
          <w:p w14:paraId="75F56D13">
            <w:pPr>
              <w:pStyle w:val="26"/>
              <w:adjustRightInd w:val="0"/>
              <w:snapToGrid w:val="0"/>
              <w:spacing w:line="400" w:lineRule="exact"/>
              <w:ind w:left="-210" w:leftChars="-100" w:right="-210" w:rightChars="-100"/>
              <w:jc w:val="center"/>
              <w:rPr>
                <w:rFonts w:hAnsi="宋体" w:cs="Courier New"/>
              </w:rPr>
            </w:pPr>
            <w:r>
              <w:rPr>
                <w:rFonts w:hint="eastAsia" w:hAnsi="宋体" w:cs="Courier New"/>
              </w:rPr>
              <w:t>审标准</w:t>
            </w:r>
            <w:r>
              <w:rPr>
                <w:rFonts w:hAnsi="宋体" w:cs="Courier New"/>
              </w:rPr>
              <w:t xml:space="preserve">      </w:t>
            </w:r>
            <w:r>
              <w:rPr>
                <w:rFonts w:hint="eastAsia" w:hAnsi="宋体" w:cs="Courier New"/>
              </w:rPr>
              <w:t>（第一个</w:t>
            </w:r>
          </w:p>
          <w:p w14:paraId="0A782DE8">
            <w:pPr>
              <w:pStyle w:val="26"/>
              <w:adjustRightInd w:val="0"/>
              <w:snapToGrid w:val="0"/>
              <w:spacing w:line="400" w:lineRule="exact"/>
              <w:jc w:val="center"/>
              <w:rPr>
                <w:rFonts w:hAnsi="宋体" w:cs="Courier New"/>
              </w:rPr>
            </w:pPr>
            <w:r>
              <w:rPr>
                <w:rFonts w:hint="eastAsia" w:hAnsi="宋体" w:cs="Courier New"/>
              </w:rPr>
              <w:t>信封）</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14:paraId="7A2269E0">
            <w:pPr>
              <w:pStyle w:val="26"/>
              <w:adjustRightInd w:val="0"/>
              <w:snapToGrid w:val="0"/>
              <w:spacing w:line="400" w:lineRule="exact"/>
              <w:jc w:val="center"/>
              <w:rPr>
                <w:rFonts w:hAnsi="宋体" w:cs="Courier New"/>
              </w:rPr>
            </w:pPr>
            <w:r>
              <w:rPr>
                <w:rFonts w:hAnsi="宋体" w:cs="Courier New"/>
              </w:rPr>
              <w:t>2.1.1</w:t>
            </w:r>
          </w:p>
          <w:p w14:paraId="5770E4F6">
            <w:pPr>
              <w:pStyle w:val="26"/>
              <w:adjustRightInd w:val="0"/>
              <w:snapToGrid w:val="0"/>
              <w:spacing w:line="400" w:lineRule="exact"/>
              <w:jc w:val="center"/>
              <w:rPr>
                <w:rFonts w:hAnsi="宋体" w:cs="Courier New"/>
              </w:rPr>
            </w:pPr>
            <w:r>
              <w:rPr>
                <w:rFonts w:hint="eastAsia" w:hAnsi="宋体" w:cs="Courier New"/>
              </w:rPr>
              <w:t>形式评审标准</w:t>
            </w:r>
          </w:p>
        </w:tc>
        <w:tc>
          <w:tcPr>
            <w:tcW w:w="2212" w:type="dxa"/>
            <w:tcBorders>
              <w:top w:val="single" w:color="auto" w:sz="4" w:space="0"/>
              <w:bottom w:val="single" w:color="auto" w:sz="4" w:space="0"/>
              <w:right w:val="single" w:color="auto" w:sz="4" w:space="0"/>
            </w:tcBorders>
            <w:vAlign w:val="center"/>
          </w:tcPr>
          <w:p w14:paraId="3C841AAF">
            <w:pPr>
              <w:adjustRightInd w:val="0"/>
              <w:snapToGrid w:val="0"/>
              <w:spacing w:line="400" w:lineRule="exact"/>
              <w:rPr>
                <w:szCs w:val="21"/>
              </w:rPr>
            </w:pPr>
            <w:r>
              <w:rPr>
                <w:rFonts w:hint="eastAsia" w:ascii="宋体" w:hAnsi="宋体" w:cs="宋体"/>
                <w:szCs w:val="21"/>
              </w:rPr>
              <w:t>1.</w:t>
            </w:r>
            <w:r>
              <w:rPr>
                <w:rFonts w:hint="eastAsia"/>
                <w:szCs w:val="21"/>
              </w:rPr>
              <w:t>投标文件格式按照招标文件规定的格式、内容填写</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38314684">
            <w:pPr>
              <w:pStyle w:val="299"/>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）投标函按照招标文件的规定填报了招标项目名称、标段号、工期。</w:t>
            </w:r>
          </w:p>
          <w:p w14:paraId="32D28366">
            <w:pPr>
              <w:pStyle w:val="299"/>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）投标函附录的所有数据均符合招标文件的规定。</w:t>
            </w:r>
          </w:p>
          <w:p w14:paraId="46ADA93A">
            <w:pPr>
              <w:pStyle w:val="299"/>
              <w:adjustRightInd w:val="0"/>
              <w:snapToGrid w:val="0"/>
              <w:spacing w:line="400" w:lineRule="exact"/>
              <w:rPr>
                <w:szCs w:val="21"/>
              </w:rPr>
            </w:pPr>
            <w:r>
              <w:rPr>
                <w:rFonts w:hint="eastAsia" w:ascii="宋体" w:hAnsi="宋体"/>
                <w:szCs w:val="21"/>
              </w:rPr>
              <w:t>（</w:t>
            </w:r>
            <w:r>
              <w:rPr>
                <w:rFonts w:ascii="宋体" w:hAnsi="宋体"/>
                <w:szCs w:val="21"/>
              </w:rPr>
              <w:t>3</w:t>
            </w:r>
            <w:r>
              <w:rPr>
                <w:rFonts w:hint="eastAsia" w:ascii="宋体" w:hAnsi="宋体"/>
                <w:szCs w:val="21"/>
              </w:rPr>
              <w:t>）投标文件组成齐全完整、内容均按规定填写。</w:t>
            </w:r>
          </w:p>
        </w:tc>
      </w:tr>
      <w:tr w14:paraId="7C44B801">
        <w:tblPrEx>
          <w:tblCellMar>
            <w:top w:w="0" w:type="dxa"/>
            <w:left w:w="108" w:type="dxa"/>
            <w:bottom w:w="0" w:type="dxa"/>
            <w:right w:w="108" w:type="dxa"/>
          </w:tblCellMar>
        </w:tblPrEx>
        <w:trPr>
          <w:trHeight w:val="36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64F9AD98">
            <w:pPr>
              <w:pStyle w:val="26"/>
              <w:adjustRightInd w:val="0"/>
              <w:snapToGrid w:val="0"/>
              <w:spacing w:line="400" w:lineRule="exact"/>
              <w:jc w:val="center"/>
              <w:rPr>
                <w:rFonts w:hAnsi="宋体" w:cs="Courier New"/>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5FAE3E4C">
            <w:pPr>
              <w:pStyle w:val="26"/>
              <w:adjustRightInd w:val="0"/>
              <w:snapToGrid w:val="0"/>
              <w:spacing w:line="400" w:lineRule="exact"/>
              <w:jc w:val="center"/>
              <w:rPr>
                <w:rFonts w:hAnsi="宋体" w:cs="Courier New"/>
              </w:rPr>
            </w:pPr>
          </w:p>
        </w:tc>
        <w:tc>
          <w:tcPr>
            <w:tcW w:w="2212" w:type="dxa"/>
            <w:tcBorders>
              <w:top w:val="single" w:color="auto" w:sz="4" w:space="0"/>
              <w:bottom w:val="single" w:color="auto" w:sz="4" w:space="0"/>
            </w:tcBorders>
            <w:vAlign w:val="center"/>
          </w:tcPr>
          <w:p w14:paraId="0022A7D0">
            <w:pPr>
              <w:adjustRightInd w:val="0"/>
              <w:snapToGrid w:val="0"/>
              <w:spacing w:line="400" w:lineRule="exact"/>
              <w:rPr>
                <w:rFonts w:ascii="宋体" w:hAnsi="宋体"/>
                <w:kern w:val="0"/>
                <w:szCs w:val="21"/>
              </w:rPr>
            </w:pPr>
            <w:r>
              <w:rPr>
                <w:rFonts w:ascii="宋体" w:hAnsi="宋体" w:cs="宋体"/>
                <w:szCs w:val="21"/>
              </w:rPr>
              <w:t>2</w:t>
            </w:r>
            <w:r>
              <w:rPr>
                <w:rFonts w:hint="eastAsia" w:ascii="宋体" w:hAnsi="宋体" w:cs="宋体"/>
                <w:szCs w:val="21"/>
                <w:lang w:val="en-US" w:eastAsia="zh-CN"/>
              </w:rPr>
              <w:t>.</w:t>
            </w:r>
            <w:r>
              <w:rPr>
                <w:rFonts w:hint="eastAsia" w:ascii="宋体" w:hAnsi="宋体" w:cs="宋体"/>
                <w:szCs w:val="21"/>
              </w:rPr>
              <w:t>投标文件上法定代表人或其委托代理人的电子签名章或个人电子印章、投标人的单位电子印章盖章齐全，符合招标文件规定</w:t>
            </w:r>
          </w:p>
        </w:tc>
        <w:tc>
          <w:tcPr>
            <w:tcW w:w="5048" w:type="dxa"/>
            <w:gridSpan w:val="2"/>
            <w:tcBorders>
              <w:top w:val="single" w:color="auto" w:sz="4" w:space="0"/>
              <w:left w:val="single" w:color="auto" w:sz="4" w:space="0"/>
              <w:bottom w:val="single" w:color="auto" w:sz="4" w:space="0"/>
              <w:right w:val="single" w:color="000000" w:sz="4" w:space="0"/>
            </w:tcBorders>
            <w:vAlign w:val="center"/>
          </w:tcPr>
          <w:p w14:paraId="6223A6C5">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1）投标函</w:t>
            </w:r>
            <w:r>
              <w:rPr>
                <w:rFonts w:hint="eastAsia" w:ascii="宋体" w:hAnsi="宋体"/>
                <w:szCs w:val="21"/>
              </w:rPr>
              <w:t>及投标文件格式</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ascii="宋体" w:hAnsi="宋体"/>
                <w:szCs w:val="21"/>
              </w:rPr>
              <w:t>及投标文件格式</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w:t>
            </w:r>
            <w:r>
              <w:rPr>
                <w:rFonts w:hint="eastAsia" w:ascii="宋体" w:hAnsi="宋体" w:cs="宋体"/>
                <w:szCs w:val="21"/>
              </w:rPr>
              <w:t>或其委托代理人</w:t>
            </w:r>
            <w:r>
              <w:rPr>
                <w:rFonts w:ascii="宋体" w:hAnsi="宋体" w:cs="宋体"/>
                <w:szCs w:val="21"/>
              </w:rPr>
              <w:t>的</w:t>
            </w:r>
            <w:r>
              <w:rPr>
                <w:rFonts w:hint="eastAsia" w:ascii="宋体" w:hAnsi="宋体" w:cs="宋体"/>
                <w:szCs w:val="21"/>
              </w:rPr>
              <w:t>个人电子签名章或个人电子印章。</w:t>
            </w:r>
          </w:p>
          <w:p w14:paraId="7B199BE4">
            <w:pPr>
              <w:adjustRightInd w:val="0"/>
              <w:snapToGrid w:val="0"/>
              <w:spacing w:line="400" w:lineRule="exact"/>
              <w:rPr>
                <w:rFonts w:ascii="宋体" w:hAnsi="宋体"/>
                <w:kern w:val="0"/>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w:t>
            </w:r>
            <w:r>
              <w:rPr>
                <w:rFonts w:ascii="宋体" w:hAnsi="宋体" w:cs="宋体"/>
                <w:szCs w:val="21"/>
              </w:rPr>
              <w:t>联合体</w:t>
            </w:r>
            <w:r>
              <w:rPr>
                <w:rFonts w:hint="eastAsia" w:ascii="宋体" w:hAnsi="宋体" w:cs="宋体"/>
                <w:szCs w:val="21"/>
              </w:rPr>
              <w:t>形式</w:t>
            </w:r>
            <w:r>
              <w:rPr>
                <w:rFonts w:ascii="宋体" w:hAnsi="宋体" w:cs="宋体"/>
                <w:szCs w:val="21"/>
              </w:rPr>
              <w:t>投标的，投标函由联合体牵头人按</w:t>
            </w:r>
            <w:r>
              <w:rPr>
                <w:rFonts w:hint="eastAsia" w:ascii="宋体" w:hAnsi="宋体" w:cs="宋体"/>
                <w:szCs w:val="21"/>
              </w:rPr>
              <w:t>上述要求完成签字、盖章。</w:t>
            </w:r>
          </w:p>
        </w:tc>
      </w:tr>
      <w:tr w14:paraId="6A905481">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14:paraId="5F8BD38F">
            <w:pPr>
              <w:pStyle w:val="26"/>
              <w:adjustRightInd w:val="0"/>
              <w:snapToGrid w:val="0"/>
              <w:spacing w:line="400" w:lineRule="exact"/>
              <w:jc w:val="center"/>
              <w:rPr>
                <w:rFonts w:hAnsi="宋体" w:cs="Courier New"/>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3CF9E13E">
            <w:pPr>
              <w:pStyle w:val="26"/>
              <w:adjustRightInd w:val="0"/>
              <w:snapToGrid w:val="0"/>
              <w:spacing w:line="400" w:lineRule="exact"/>
              <w:jc w:val="center"/>
              <w:rPr>
                <w:rFonts w:hAnsi="宋体" w:cs="Courier New"/>
              </w:rPr>
            </w:pPr>
          </w:p>
        </w:tc>
        <w:tc>
          <w:tcPr>
            <w:tcW w:w="2212" w:type="dxa"/>
            <w:tcBorders>
              <w:top w:val="single" w:color="auto" w:sz="4" w:space="0"/>
              <w:left w:val="single" w:color="auto" w:sz="4" w:space="0"/>
              <w:bottom w:val="single" w:color="auto" w:sz="4" w:space="0"/>
              <w:right w:val="single" w:color="auto" w:sz="4" w:space="0"/>
            </w:tcBorders>
            <w:vAlign w:val="center"/>
          </w:tcPr>
          <w:p w14:paraId="6FE10535">
            <w:pPr>
              <w:adjustRightInd w:val="0"/>
              <w:snapToGrid w:val="0"/>
              <w:spacing w:line="400" w:lineRule="exact"/>
              <w:rPr>
                <w:rFonts w:ascii="宋体" w:hAnsi="宋体"/>
                <w:kern w:val="0"/>
                <w:szCs w:val="21"/>
              </w:rPr>
            </w:pPr>
            <w:r>
              <w:rPr>
                <w:rFonts w:ascii="宋体" w:hAnsi="宋体"/>
                <w:kern w:val="0"/>
                <w:szCs w:val="21"/>
              </w:rPr>
              <w:t>3</w:t>
            </w:r>
            <w:r>
              <w:rPr>
                <w:rFonts w:hint="eastAsia" w:ascii="宋体" w:hAnsi="宋体"/>
                <w:kern w:val="0"/>
                <w:szCs w:val="21"/>
              </w:rPr>
              <w:t>．投标人按照招标文件规定的金额、形式、时效、内容提供了投标保证金</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6587611C">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1）投标保证金金额符合</w:t>
            </w:r>
            <w:r>
              <w:rPr>
                <w:rFonts w:hint="eastAsia" w:ascii="宋体" w:hAnsi="宋体"/>
                <w:szCs w:val="21"/>
              </w:rPr>
              <w:t>第二章“投标人须知”前附表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，且投标保证金有效期不少于投标有效期</w:t>
            </w:r>
            <w:r>
              <w:rPr>
                <w:rFonts w:hint="eastAsia" w:ascii="宋体" w:hAnsi="宋体"/>
                <w:kern w:val="0"/>
                <w:szCs w:val="21"/>
              </w:rPr>
              <w:t>。</w:t>
            </w:r>
          </w:p>
          <w:p w14:paraId="10BB54DC">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2）采用现金或支票形式担保，投标保证金由投标人基本账户</w:t>
            </w:r>
            <w:r>
              <w:rPr>
                <w:rFonts w:hint="eastAsia" w:ascii="宋体" w:hAnsi="宋体"/>
                <w:kern w:val="0"/>
                <w:szCs w:val="21"/>
              </w:rPr>
              <w:t>或基本存款账户</w:t>
            </w:r>
            <w:r>
              <w:rPr>
                <w:rFonts w:ascii="宋体" w:hAnsi="宋体"/>
                <w:kern w:val="0"/>
                <w:szCs w:val="21"/>
              </w:rPr>
              <w:t>汇出，并在规定时间到达招标人指定账户</w:t>
            </w:r>
            <w:r>
              <w:rPr>
                <w:rFonts w:hint="eastAsia" w:ascii="宋体" w:hAnsi="宋体"/>
                <w:kern w:val="0"/>
                <w:szCs w:val="21"/>
              </w:rPr>
              <w:t>。</w:t>
            </w:r>
          </w:p>
          <w:p w14:paraId="5F819D6A">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，均满足</w:t>
            </w:r>
            <w:r>
              <w:rPr>
                <w:rFonts w:hint="eastAsia" w:ascii="宋体" w:hAnsi="宋体"/>
                <w:szCs w:val="21"/>
              </w:rPr>
              <w:t>第二章“投标人须知”前附表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w:t>
            </w:r>
            <w:r>
              <w:rPr>
                <w:rFonts w:ascii="宋体" w:hAnsi="宋体"/>
                <w:szCs w:val="21"/>
              </w:rPr>
              <w:t>其提交的内容</w:t>
            </w:r>
            <w:r>
              <w:rPr>
                <w:rFonts w:hint="eastAsia" w:ascii="宋体" w:hAnsi="宋体"/>
                <w:szCs w:val="21"/>
              </w:rPr>
              <w:t>不得作出降低担保效力的实质性修改</w:t>
            </w:r>
            <w:r>
              <w:rPr>
                <w:rFonts w:hint="eastAsia" w:ascii="宋体" w:hAnsi="宋体"/>
                <w:kern w:val="0"/>
                <w:szCs w:val="21"/>
              </w:rPr>
              <w:t>。</w:t>
            </w:r>
          </w:p>
          <w:p w14:paraId="7F94B0F8">
            <w:pPr>
              <w:pStyle w:val="299"/>
              <w:adjustRightInd w:val="0"/>
              <w:snapToGrid w:val="0"/>
              <w:spacing w:line="400" w:lineRule="exact"/>
              <w:rPr>
                <w:rFonts w:ascii="宋体" w:hAnsi="宋体"/>
                <w:szCs w:val="21"/>
                <w:u w:val="single"/>
              </w:rPr>
            </w:pPr>
            <w:r>
              <w:rPr>
                <w:rFonts w:hint="eastAsia" w:ascii="宋体" w:hAnsi="宋体"/>
                <w:b/>
                <w:szCs w:val="21"/>
              </w:rPr>
              <w:t>□</w:t>
            </w:r>
            <w:r>
              <w:rPr>
                <w:rFonts w:hint="eastAsia" w:ascii="宋体" w:hAnsi="宋体"/>
                <w:szCs w:val="21"/>
              </w:rPr>
              <w:t>（</w:t>
            </w:r>
            <w:r>
              <w:rPr>
                <w:rFonts w:ascii="宋体" w:hAnsi="宋体"/>
                <w:szCs w:val="21"/>
              </w:rPr>
              <w:t>4）若采用上述情形以外的形式提交投标保证金的，应符合的要求：</w:t>
            </w:r>
            <w:r>
              <w:rPr>
                <w:rFonts w:ascii="宋体" w:hAnsi="宋体"/>
                <w:szCs w:val="21"/>
                <w:u w:val="single"/>
              </w:rPr>
              <w:t xml:space="preserve">           </w:t>
            </w:r>
            <w:r>
              <w:rPr>
                <w:rFonts w:ascii="宋体" w:hAnsi="宋体"/>
                <w:szCs w:val="21"/>
              </w:rPr>
              <w:t>。</w:t>
            </w:r>
          </w:p>
          <w:p w14:paraId="2B96AF81">
            <w:pPr>
              <w:widowControl/>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szCs w:val="21"/>
              </w:rPr>
              <w:t>（</w:t>
            </w:r>
            <w:r>
              <w:rPr>
                <w:rFonts w:ascii="宋体" w:hAnsi="宋体"/>
                <w:szCs w:val="21"/>
              </w:rPr>
              <w:t>5）</w:t>
            </w:r>
            <w:r>
              <w:rPr>
                <w:rFonts w:hint="eastAsia" w:ascii="宋体" w:hAnsi="宋体"/>
                <w:szCs w:val="21"/>
              </w:rPr>
              <w:t>以</w:t>
            </w:r>
            <w:r>
              <w:rPr>
                <w:rFonts w:hint="eastAsia" w:ascii="宋体" w:hAnsi="宋体"/>
                <w:kern w:val="0"/>
                <w:szCs w:val="21"/>
              </w:rPr>
              <w:t>联合体形式投标的，投标保证金应由联合体牵头人提交。</w:t>
            </w:r>
          </w:p>
        </w:tc>
      </w:tr>
      <w:tr w14:paraId="4F82F544">
        <w:tblPrEx>
          <w:tblCellMar>
            <w:top w:w="0" w:type="dxa"/>
            <w:left w:w="108" w:type="dxa"/>
            <w:bottom w:w="0" w:type="dxa"/>
            <w:right w:w="108" w:type="dxa"/>
          </w:tblCellMar>
        </w:tblPrEx>
        <w:tc>
          <w:tcPr>
            <w:tcW w:w="745" w:type="dxa"/>
            <w:vMerge w:val="restart"/>
            <w:tcBorders>
              <w:top w:val="single" w:color="auto" w:sz="4" w:space="0"/>
              <w:left w:val="single" w:color="auto" w:sz="4" w:space="0"/>
              <w:bottom w:val="single" w:color="auto" w:sz="4" w:space="0"/>
              <w:right w:val="single" w:color="auto" w:sz="4" w:space="0"/>
            </w:tcBorders>
            <w:vAlign w:val="center"/>
          </w:tcPr>
          <w:p w14:paraId="714ABAC4">
            <w:pPr>
              <w:pStyle w:val="26"/>
              <w:adjustRightInd w:val="0"/>
              <w:snapToGrid w:val="0"/>
              <w:spacing w:line="400" w:lineRule="exact"/>
              <w:jc w:val="center"/>
              <w:rPr>
                <w:rFonts w:hAnsi="宋体" w:cs="Courier New"/>
              </w:rPr>
            </w:pPr>
            <w:r>
              <w:rPr>
                <w:rFonts w:hAnsi="宋体" w:cs="Courier New"/>
              </w:rPr>
              <w:t>2.1</w:t>
            </w:r>
          </w:p>
          <w:p w14:paraId="72B02A4F">
            <w:pPr>
              <w:pStyle w:val="26"/>
              <w:adjustRightInd w:val="0"/>
              <w:snapToGrid w:val="0"/>
              <w:spacing w:line="400" w:lineRule="exact"/>
              <w:jc w:val="center"/>
              <w:rPr>
                <w:rFonts w:hAnsi="宋体" w:cs="Courier New"/>
              </w:rPr>
            </w:pPr>
            <w:r>
              <w:rPr>
                <w:rFonts w:hint="eastAsia" w:hAnsi="宋体" w:cs="Courier New"/>
              </w:rPr>
              <w:t>初步评审标准</w:t>
            </w:r>
            <w:r>
              <w:rPr>
                <w:rFonts w:hAnsi="宋体" w:cs="Courier New"/>
              </w:rPr>
              <w:t xml:space="preserve">      </w:t>
            </w:r>
            <w:r>
              <w:rPr>
                <w:rFonts w:hint="eastAsia" w:hAnsi="宋体" w:cs="Courier New"/>
              </w:rPr>
              <w:t>（第一个信封）</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14:paraId="30590814">
            <w:pPr>
              <w:pStyle w:val="26"/>
              <w:adjustRightInd w:val="0"/>
              <w:snapToGrid w:val="0"/>
              <w:spacing w:line="400" w:lineRule="exact"/>
              <w:jc w:val="center"/>
              <w:rPr>
                <w:rFonts w:hAnsi="宋体" w:cs="Courier New"/>
              </w:rPr>
            </w:pPr>
            <w:r>
              <w:rPr>
                <w:rFonts w:hAnsi="宋体" w:cs="Courier New"/>
              </w:rPr>
              <w:t>2.1.1</w:t>
            </w:r>
          </w:p>
          <w:p w14:paraId="3F084BD8">
            <w:pPr>
              <w:pStyle w:val="26"/>
              <w:adjustRightInd w:val="0"/>
              <w:snapToGrid w:val="0"/>
              <w:spacing w:line="400" w:lineRule="exact"/>
              <w:jc w:val="center"/>
              <w:rPr>
                <w:rFonts w:hAnsi="宋体" w:cs="Courier New"/>
              </w:rPr>
            </w:pPr>
            <w:r>
              <w:rPr>
                <w:rFonts w:hint="eastAsia" w:hAnsi="宋体" w:cs="Courier New"/>
              </w:rPr>
              <w:t>形式评审标准</w:t>
            </w:r>
          </w:p>
        </w:tc>
        <w:tc>
          <w:tcPr>
            <w:tcW w:w="2212" w:type="dxa"/>
            <w:tcBorders>
              <w:top w:val="single" w:color="auto" w:sz="4" w:space="0"/>
              <w:left w:val="single" w:color="auto" w:sz="4" w:space="0"/>
              <w:bottom w:val="single" w:color="auto" w:sz="4" w:space="0"/>
              <w:right w:val="single" w:color="auto" w:sz="4" w:space="0"/>
            </w:tcBorders>
            <w:vAlign w:val="center"/>
          </w:tcPr>
          <w:p w14:paraId="5B16D880">
            <w:pPr>
              <w:adjustRightInd w:val="0"/>
              <w:snapToGrid w:val="0"/>
              <w:spacing w:line="400" w:lineRule="exact"/>
              <w:rPr>
                <w:rFonts w:ascii="宋体" w:hAnsi="宋体"/>
                <w:kern w:val="0"/>
                <w:szCs w:val="21"/>
              </w:rPr>
            </w:pPr>
            <w:r>
              <w:rPr>
                <w:rFonts w:ascii="宋体" w:hAnsi="宋体"/>
                <w:szCs w:val="21"/>
              </w:rPr>
              <w:t>4</w:t>
            </w:r>
            <w:r>
              <w:rPr>
                <w:rFonts w:hint="eastAsia" w:ascii="宋体" w:hAnsi="宋体"/>
                <w:szCs w:val="21"/>
              </w:rPr>
              <w:t>．如由投标人法定代表人的委托代理人签署投标文件的，提供的相关证明材料符合招标文件要求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法定代表人的</w:t>
            </w:r>
            <w:r>
              <w:rPr>
                <w:rFonts w:ascii="宋体" w:hAnsi="宋体"/>
                <w:szCs w:val="21"/>
              </w:rPr>
              <w:t>委托</w:t>
            </w:r>
            <w:r>
              <w:rPr>
                <w:rFonts w:hint="eastAsia" w:ascii="宋体" w:hAnsi="宋体"/>
                <w:szCs w:val="21"/>
              </w:rPr>
              <w:t>代理人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264B973B">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1）提交了授权委托书</w:t>
            </w:r>
            <w:r>
              <w:rPr>
                <w:rFonts w:hint="eastAsia" w:ascii="宋体" w:hAnsi="宋体"/>
                <w:szCs w:val="21"/>
              </w:rPr>
              <w:t>。</w:t>
            </w:r>
          </w:p>
          <w:p w14:paraId="40EF9292">
            <w:pPr>
              <w:adjustRightInd w:val="0"/>
              <w:snapToGrid w:val="0"/>
              <w:spacing w:line="400" w:lineRule="exact"/>
              <w:rPr>
                <w:rFonts w:hint="eastAsia" w:ascii="宋体" w:hAnsi="宋体"/>
                <w:szCs w:val="21"/>
              </w:rPr>
            </w:pPr>
            <w:r>
              <w:rPr>
                <w:rFonts w:hint="eastAsia" w:ascii="宋体" w:hAnsi="宋体"/>
                <w:szCs w:val="21"/>
              </w:rPr>
              <w:t>（</w:t>
            </w:r>
            <w:r>
              <w:rPr>
                <w:rFonts w:ascii="宋体" w:hAnsi="宋体"/>
                <w:szCs w:val="21"/>
              </w:rPr>
              <w:t>2）授权委托书上要求盖单位电子印章</w:t>
            </w:r>
            <w:r>
              <w:rPr>
                <w:rFonts w:hint="eastAsia" w:ascii="宋体" w:hAnsi="宋体"/>
                <w:szCs w:val="21"/>
              </w:rPr>
              <w:t>之处</w:t>
            </w:r>
            <w:r>
              <w:rPr>
                <w:rFonts w:ascii="宋体" w:hAnsi="宋体"/>
                <w:szCs w:val="21"/>
              </w:rPr>
              <w:t>，投标人均应使用单位CA数字证书加盖投标人的单位电子印章；要求法定代表人签字</w:t>
            </w:r>
            <w:r>
              <w:rPr>
                <w:rFonts w:hint="eastAsia" w:ascii="宋体" w:hAnsi="宋体"/>
                <w:szCs w:val="21"/>
              </w:rPr>
              <w:t>之处</w:t>
            </w:r>
            <w:r>
              <w:rPr>
                <w:rFonts w:ascii="宋体" w:hAnsi="宋体"/>
                <w:szCs w:val="21"/>
              </w:rPr>
              <w:t>，投标人均应使用个人CA数字证书加盖投标人法定代表人的个人电子签名章或个人电子印章；要求委托代理人签字</w:t>
            </w:r>
            <w:r>
              <w:rPr>
                <w:rFonts w:hint="eastAsia" w:ascii="宋体" w:hAnsi="宋体"/>
                <w:szCs w:val="21"/>
              </w:rPr>
              <w:t>之处</w:t>
            </w:r>
            <w:r>
              <w:rPr>
                <w:rFonts w:ascii="宋体" w:hAnsi="宋体"/>
                <w:szCs w:val="21"/>
              </w:rPr>
              <w:t>，</w:t>
            </w:r>
            <w:r>
              <w:rPr>
                <w:rFonts w:asciiTheme="minorEastAsia" w:hAnsiTheme="minorEastAsia" w:eastAsiaTheme="minorEastAsia"/>
                <w:szCs w:val="21"/>
              </w:rPr>
              <w:t>投标人均应使用单位CA</w:t>
            </w:r>
            <w:r>
              <w:rPr>
                <w:rFonts w:hint="eastAsia" w:asciiTheme="minorEastAsia" w:hAnsiTheme="minorEastAsia" w:eastAsiaTheme="minorEastAsia"/>
                <w:szCs w:val="21"/>
              </w:rPr>
              <w:t>数字证书</w:t>
            </w:r>
            <w:r>
              <w:rPr>
                <w:rFonts w:hint="eastAsia" w:ascii="宋体" w:hAnsi="宋体"/>
                <w:szCs w:val="21"/>
              </w:rPr>
              <w:t>加盖委托代理人个人电子签名章或个人电子印章。</w:t>
            </w:r>
          </w:p>
          <w:p w14:paraId="3234A540">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3）授权委托书中委托代理人只能是一个人，且不能再授予他人</w:t>
            </w:r>
            <w:r>
              <w:rPr>
                <w:rFonts w:hint="eastAsia" w:ascii="宋体" w:hAnsi="宋体"/>
                <w:szCs w:val="21"/>
              </w:rPr>
              <w:t>。</w:t>
            </w:r>
          </w:p>
          <w:p w14:paraId="0EA12F0F">
            <w:pPr>
              <w:pStyle w:val="299"/>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4）授权委托书后应附法定代表人和委托代理人身份证</w:t>
            </w:r>
            <w:r>
              <w:rPr>
                <w:rFonts w:hint="eastAsia" w:ascii="宋体" w:hAnsi="宋体" w:cs="宋体"/>
                <w:szCs w:val="21"/>
              </w:rPr>
              <w:t>原件原色扫描件</w:t>
            </w:r>
            <w:r>
              <w:rPr>
                <w:rFonts w:hint="eastAsia" w:ascii="宋体" w:hAnsi="宋体"/>
                <w:szCs w:val="21"/>
              </w:rPr>
              <w:t>，且身份证原件</w:t>
            </w:r>
            <w:r>
              <w:rPr>
                <w:rFonts w:ascii="宋体" w:hAnsi="宋体"/>
                <w:szCs w:val="21"/>
              </w:rPr>
              <w:t>原色</w:t>
            </w:r>
            <w:r>
              <w:rPr>
                <w:rFonts w:hint="eastAsia" w:ascii="宋体" w:hAnsi="宋体"/>
                <w:szCs w:val="21"/>
              </w:rPr>
              <w:t>扫描件应清晰、有效。</w:t>
            </w:r>
          </w:p>
          <w:p w14:paraId="42D825B0">
            <w:pPr>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szCs w:val="21"/>
              </w:rPr>
              <w:t>（</w:t>
            </w:r>
            <w:r>
              <w:rPr>
                <w:rFonts w:ascii="宋体" w:hAnsi="宋体"/>
                <w:szCs w:val="21"/>
              </w:rPr>
              <w:t>5</w:t>
            </w:r>
            <w:r>
              <w:rPr>
                <w:rFonts w:hint="eastAsia" w:ascii="宋体" w:hAnsi="宋体"/>
                <w:szCs w:val="21"/>
              </w:rPr>
              <w:t>）以联合体形式投标的，其授权委托书应由联合体牵头人按上述规定出具。</w:t>
            </w:r>
          </w:p>
        </w:tc>
      </w:tr>
      <w:tr w14:paraId="78036A32">
        <w:tblPrEx>
          <w:tblCellMar>
            <w:top w:w="0" w:type="dxa"/>
            <w:left w:w="108" w:type="dxa"/>
            <w:bottom w:w="0" w:type="dxa"/>
            <w:right w:w="108" w:type="dxa"/>
          </w:tblCellMar>
        </w:tblPrEx>
        <w:tc>
          <w:tcPr>
            <w:tcW w:w="745" w:type="dxa"/>
            <w:vMerge w:val="continue"/>
            <w:tcBorders>
              <w:top w:val="single" w:color="auto" w:sz="4" w:space="0"/>
              <w:left w:val="single" w:color="auto" w:sz="4" w:space="0"/>
              <w:bottom w:val="single" w:color="auto" w:sz="4" w:space="0"/>
              <w:right w:val="single" w:color="auto" w:sz="4" w:space="0"/>
            </w:tcBorders>
            <w:vAlign w:val="center"/>
          </w:tcPr>
          <w:p w14:paraId="2A554B32">
            <w:pPr>
              <w:pStyle w:val="26"/>
              <w:adjustRightInd w:val="0"/>
              <w:snapToGrid w:val="0"/>
              <w:spacing w:line="400" w:lineRule="exact"/>
              <w:jc w:val="center"/>
              <w:rPr>
                <w:rFonts w:hAnsi="宋体" w:cs="Courier New"/>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11F7F1FD">
            <w:pPr>
              <w:pStyle w:val="26"/>
              <w:adjustRightInd w:val="0"/>
              <w:snapToGrid w:val="0"/>
              <w:spacing w:line="400" w:lineRule="exact"/>
              <w:jc w:val="center"/>
              <w:rPr>
                <w:rFonts w:hAnsi="宋体" w:cs="Courier New"/>
              </w:rPr>
            </w:pPr>
          </w:p>
        </w:tc>
        <w:tc>
          <w:tcPr>
            <w:tcW w:w="2212" w:type="dxa"/>
            <w:tcBorders>
              <w:top w:val="single" w:color="auto" w:sz="4" w:space="0"/>
              <w:left w:val="single" w:color="auto" w:sz="4" w:space="0"/>
              <w:bottom w:val="single" w:color="auto" w:sz="4" w:space="0"/>
              <w:right w:val="single" w:color="000000" w:sz="4" w:space="0"/>
            </w:tcBorders>
            <w:vAlign w:val="center"/>
          </w:tcPr>
          <w:p w14:paraId="78A7794D">
            <w:pPr>
              <w:widowControl/>
              <w:adjustRightInd w:val="0"/>
              <w:snapToGrid w:val="0"/>
              <w:spacing w:line="400" w:lineRule="exact"/>
              <w:rPr>
                <w:rFonts w:ascii="宋体" w:hAnsi="宋体"/>
                <w:szCs w:val="21"/>
              </w:rPr>
            </w:pPr>
            <w:r>
              <w:rPr>
                <w:rFonts w:ascii="宋体" w:hAnsi="宋体"/>
                <w:kern w:val="0"/>
                <w:szCs w:val="21"/>
              </w:rPr>
              <w:t>5</w:t>
            </w:r>
            <w:r>
              <w:rPr>
                <w:rFonts w:hint="eastAsia" w:ascii="宋体" w:hAnsi="宋体"/>
                <w:kern w:val="0"/>
                <w:szCs w:val="21"/>
              </w:rPr>
              <w:t>．投标人法定代表人若亲自签署投标文件的，提供的相关证明材料符合招标文件要求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048" w:type="dxa"/>
            <w:gridSpan w:val="2"/>
            <w:tcBorders>
              <w:top w:val="single" w:color="auto" w:sz="4" w:space="0"/>
              <w:left w:val="nil"/>
              <w:bottom w:val="single" w:color="auto" w:sz="4" w:space="0"/>
              <w:right w:val="single" w:color="000000" w:sz="4" w:space="0"/>
            </w:tcBorders>
            <w:vAlign w:val="center"/>
          </w:tcPr>
          <w:p w14:paraId="25AE4397">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1）提供法定代表人身份证明</w:t>
            </w:r>
            <w:r>
              <w:rPr>
                <w:rFonts w:hint="eastAsia" w:ascii="宋体" w:hAnsi="宋体"/>
                <w:bCs/>
                <w:szCs w:val="21"/>
              </w:rPr>
              <w:t>。</w:t>
            </w:r>
          </w:p>
          <w:p w14:paraId="7BACB087">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szCs w:val="21"/>
              </w:rPr>
              <w:t>法定代表人身份证明上要求盖单位电子印章之处，投标人均应使用单位</w:t>
            </w:r>
            <w:r>
              <w:rPr>
                <w:rFonts w:ascii="宋体" w:hAnsi="宋体"/>
                <w:szCs w:val="21"/>
              </w:rPr>
              <w:t>CA数字证书加盖投标人的单位电子印章；要求法定代表人签字</w:t>
            </w:r>
            <w:r>
              <w:rPr>
                <w:rFonts w:hint="eastAsia" w:ascii="宋体" w:hAnsi="宋体"/>
                <w:szCs w:val="21"/>
              </w:rPr>
              <w:t>之处</w:t>
            </w:r>
            <w:r>
              <w:rPr>
                <w:rFonts w:ascii="宋体" w:hAnsi="宋体"/>
                <w:szCs w:val="21"/>
              </w:rPr>
              <w:t>，投标人均应使用个人CA数字证书加盖投标人法定代表人</w:t>
            </w:r>
            <w:r>
              <w:rPr>
                <w:rFonts w:ascii="宋体" w:hAnsi="宋体" w:cs="宋体"/>
                <w:szCs w:val="21"/>
              </w:rPr>
              <w:t>的个人电子签名章或个人电子印章</w:t>
            </w:r>
            <w:r>
              <w:rPr>
                <w:rFonts w:hint="eastAsia" w:ascii="宋体" w:hAnsi="宋体"/>
                <w:szCs w:val="21"/>
              </w:rPr>
              <w:t>。</w:t>
            </w:r>
            <w:r>
              <w:rPr>
                <w:rFonts w:ascii="宋体" w:hAnsi="宋体"/>
                <w:bCs/>
                <w:szCs w:val="21"/>
              </w:rPr>
              <w:t xml:space="preserve"> </w:t>
            </w:r>
          </w:p>
          <w:p w14:paraId="68A37728">
            <w:pPr>
              <w:pStyle w:val="299"/>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3）法定代表人身份证明后应附法定代表人身份证</w:t>
            </w:r>
            <w:r>
              <w:rPr>
                <w:rFonts w:hint="eastAsia" w:ascii="宋体" w:hAnsi="宋体" w:cs="宋体"/>
                <w:szCs w:val="21"/>
              </w:rPr>
              <w:t>原件原色扫描件</w:t>
            </w:r>
            <w:r>
              <w:rPr>
                <w:rFonts w:hint="eastAsia" w:ascii="宋体" w:hAnsi="宋体"/>
                <w:bCs/>
                <w:szCs w:val="21"/>
              </w:rPr>
              <w:t>，且身份证原件原色扫描件应清晰</w:t>
            </w:r>
            <w:r>
              <w:rPr>
                <w:rFonts w:hint="eastAsia" w:ascii="宋体" w:hAnsi="宋体"/>
                <w:bCs/>
                <w:szCs w:val="21"/>
                <w:lang w:eastAsia="zh-CN"/>
              </w:rPr>
              <w:t>、</w:t>
            </w:r>
            <w:r>
              <w:rPr>
                <w:rFonts w:hint="eastAsia" w:ascii="宋体" w:hAnsi="宋体"/>
                <w:bCs/>
                <w:szCs w:val="21"/>
              </w:rPr>
              <w:t>有效。</w:t>
            </w:r>
          </w:p>
          <w:p w14:paraId="06B41FAB">
            <w:pPr>
              <w:adjustRightInd w:val="0"/>
              <w:snapToGrid w:val="0"/>
              <w:spacing w:line="400" w:lineRule="exact"/>
              <w:rPr>
                <w:rFonts w:ascii="宋体" w:hAnsi="宋体"/>
                <w:szCs w:val="21"/>
              </w:rPr>
            </w:pPr>
            <w:r>
              <w:rPr>
                <w:rFonts w:hint="eastAsia" w:ascii="宋体" w:hAnsi="宋体"/>
                <w:b/>
                <w:szCs w:val="21"/>
              </w:rPr>
              <w:t>□</w:t>
            </w:r>
            <w:r>
              <w:rPr>
                <w:rFonts w:hint="eastAsia" w:ascii="宋体" w:hAnsi="宋体"/>
                <w:szCs w:val="21"/>
              </w:rPr>
              <w:t>（</w:t>
            </w:r>
            <w:r>
              <w:rPr>
                <w:rFonts w:ascii="宋体" w:hAnsi="宋体"/>
                <w:szCs w:val="21"/>
              </w:rPr>
              <w:t>4</w:t>
            </w:r>
            <w:r>
              <w:rPr>
                <w:rFonts w:hint="eastAsia" w:ascii="宋体" w:hAnsi="宋体"/>
                <w:szCs w:val="21"/>
              </w:rPr>
              <w:t>）以</w:t>
            </w:r>
            <w:r>
              <w:rPr>
                <w:rFonts w:hint="eastAsia" w:ascii="宋体" w:hAnsi="宋体"/>
                <w:bCs/>
                <w:szCs w:val="21"/>
              </w:rPr>
              <w:t>联合体形式投标的，应由联合体牵头人按上述规定出具。</w:t>
            </w:r>
          </w:p>
        </w:tc>
      </w:tr>
      <w:tr w14:paraId="0BAD1822">
        <w:tblPrEx>
          <w:tblCellMar>
            <w:top w:w="0" w:type="dxa"/>
            <w:left w:w="108" w:type="dxa"/>
            <w:bottom w:w="0" w:type="dxa"/>
            <w:right w:w="108" w:type="dxa"/>
          </w:tblCellMar>
        </w:tblPrEx>
        <w:trPr>
          <w:trHeight w:val="913" w:hRule="atLeast"/>
        </w:trPr>
        <w:tc>
          <w:tcPr>
            <w:tcW w:w="745" w:type="dxa"/>
            <w:vMerge w:val="restart"/>
            <w:tcBorders>
              <w:top w:val="single" w:color="auto" w:sz="4" w:space="0"/>
              <w:left w:val="single" w:color="auto" w:sz="4" w:space="0"/>
              <w:right w:val="single" w:color="auto" w:sz="4" w:space="0"/>
            </w:tcBorders>
            <w:vAlign w:val="center"/>
          </w:tcPr>
          <w:p w14:paraId="1FFD1FC0">
            <w:pPr>
              <w:widowControl/>
              <w:adjustRightInd w:val="0"/>
              <w:snapToGrid w:val="0"/>
              <w:spacing w:line="400" w:lineRule="exact"/>
              <w:jc w:val="center"/>
              <w:rPr>
                <w:rFonts w:ascii="宋体" w:hAnsi="宋体" w:cs="宋体"/>
                <w:kern w:val="0"/>
                <w:szCs w:val="21"/>
              </w:rPr>
            </w:pPr>
            <w:r>
              <w:rPr>
                <w:rFonts w:ascii="宋体" w:hAnsi="宋体" w:cs="宋体"/>
                <w:kern w:val="0"/>
                <w:szCs w:val="21"/>
              </w:rPr>
              <w:t>2.1</w:t>
            </w:r>
          </w:p>
          <w:p w14:paraId="6EA6EB11">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初步评审标准</w:t>
            </w:r>
          </w:p>
          <w:p w14:paraId="3D6F8827">
            <w:pPr>
              <w:adjustRightInd w:val="0"/>
              <w:snapToGrid w:val="0"/>
              <w:spacing w:line="400" w:lineRule="exact"/>
              <w:ind w:left="-210" w:leftChars="-100" w:right="-210" w:rightChars="-100"/>
              <w:jc w:val="center"/>
              <w:rPr>
                <w:rFonts w:hint="eastAsia" w:hAnsi="宋体" w:eastAsia="宋体" w:cs="Courier New"/>
                <w:lang w:eastAsia="zh-CN"/>
              </w:rPr>
            </w:pPr>
            <w:r>
              <w:rPr>
                <w:rFonts w:hint="eastAsia" w:ascii="宋体" w:hAnsi="宋体" w:cs="宋体"/>
                <w:kern w:val="0"/>
                <w:szCs w:val="21"/>
              </w:rPr>
              <w:t>（第一个信封</w:t>
            </w:r>
            <w:r>
              <w:rPr>
                <w:rFonts w:hint="eastAsia" w:ascii="宋体" w:hAnsi="宋体" w:cs="宋体"/>
                <w:kern w:val="0"/>
                <w:szCs w:val="21"/>
                <w:lang w:eastAsia="zh-CN"/>
              </w:rPr>
              <w:t>）</w:t>
            </w:r>
          </w:p>
        </w:tc>
        <w:tc>
          <w:tcPr>
            <w:tcW w:w="813" w:type="dxa"/>
            <w:vMerge w:val="restart"/>
            <w:tcBorders>
              <w:top w:val="single" w:color="auto" w:sz="4" w:space="0"/>
              <w:left w:val="single" w:color="auto" w:sz="4" w:space="0"/>
              <w:right w:val="single" w:color="auto" w:sz="4" w:space="0"/>
            </w:tcBorders>
            <w:vAlign w:val="center"/>
          </w:tcPr>
          <w:p w14:paraId="2DEF4EFC">
            <w:pPr>
              <w:pStyle w:val="26"/>
              <w:adjustRightInd w:val="0"/>
              <w:snapToGrid w:val="0"/>
              <w:spacing w:line="400" w:lineRule="exact"/>
              <w:jc w:val="center"/>
              <w:rPr>
                <w:rFonts w:hAnsi="宋体" w:cs="Courier New"/>
              </w:rPr>
            </w:pPr>
            <w:r>
              <w:rPr>
                <w:rFonts w:hAnsi="宋体" w:cs="Courier New"/>
              </w:rPr>
              <w:t>2.1.1</w:t>
            </w:r>
          </w:p>
          <w:p w14:paraId="79223BBB">
            <w:pPr>
              <w:pStyle w:val="26"/>
              <w:adjustRightInd w:val="0"/>
              <w:snapToGrid w:val="0"/>
              <w:spacing w:line="400" w:lineRule="exact"/>
              <w:jc w:val="center"/>
              <w:rPr>
                <w:rFonts w:hAnsi="宋体" w:cs="Courier New"/>
              </w:rPr>
            </w:pPr>
            <w:r>
              <w:rPr>
                <w:rFonts w:hint="eastAsia" w:hAnsi="宋体" w:cs="Courier New"/>
              </w:rPr>
              <w:t>形式评审标准</w:t>
            </w:r>
          </w:p>
        </w:tc>
        <w:tc>
          <w:tcPr>
            <w:tcW w:w="2212" w:type="dxa"/>
            <w:tcBorders>
              <w:top w:val="single" w:color="auto" w:sz="4" w:space="0"/>
              <w:left w:val="single" w:color="auto" w:sz="4" w:space="0"/>
              <w:bottom w:val="single" w:color="auto" w:sz="4" w:space="0"/>
              <w:right w:val="single" w:color="auto" w:sz="4" w:space="0"/>
            </w:tcBorders>
            <w:vAlign w:val="center"/>
          </w:tcPr>
          <w:p w14:paraId="547080B3">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w:t>
            </w:r>
            <w:r>
              <w:rPr>
                <w:rFonts w:ascii="宋体" w:hAnsi="宋体"/>
                <w:kern w:val="0"/>
                <w:szCs w:val="21"/>
              </w:rPr>
              <w:t>6</w:t>
            </w:r>
            <w:r>
              <w:rPr>
                <w:rFonts w:hint="eastAsia" w:ascii="宋体" w:hAnsi="宋体"/>
                <w:kern w:val="0"/>
                <w:szCs w:val="21"/>
              </w:rPr>
              <w:t>．投标人以联合体形式投标时，联合体协议书满足招标文件的要求</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3A6A22B4">
            <w:pPr>
              <w:adjustRightInd w:val="0"/>
              <w:snapToGrid w:val="0"/>
              <w:spacing w:line="400" w:lineRule="exact"/>
              <w:rPr>
                <w:rFonts w:ascii="宋体" w:hAnsi="宋体"/>
                <w:bCs/>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按招标文件提供的格式和要求签订联合体协议书，且</w:t>
            </w:r>
            <w:r>
              <w:rPr>
                <w:rFonts w:hint="eastAsia" w:ascii="宋体" w:hAnsi="宋体" w:cs="宋体"/>
                <w:szCs w:val="21"/>
                <w:lang w:val="en-US" w:eastAsia="zh-CN"/>
              </w:rPr>
              <w:t>联合体协议书中的</w:t>
            </w:r>
            <w:r>
              <w:rPr>
                <w:rFonts w:hint="eastAsia" w:ascii="宋体" w:hAnsi="宋体" w:cs="宋体"/>
                <w:szCs w:val="21"/>
              </w:rPr>
              <w:t>签字、盖章符合第八章“投标文件格式”要求。</w:t>
            </w:r>
          </w:p>
        </w:tc>
      </w:tr>
      <w:tr w14:paraId="41BB8F4C">
        <w:tblPrEx>
          <w:tblCellMar>
            <w:top w:w="0" w:type="dxa"/>
            <w:left w:w="108" w:type="dxa"/>
            <w:bottom w:w="0" w:type="dxa"/>
            <w:right w:w="108" w:type="dxa"/>
          </w:tblCellMar>
        </w:tblPrEx>
        <w:trPr>
          <w:trHeight w:val="1341" w:hRule="atLeast"/>
        </w:trPr>
        <w:tc>
          <w:tcPr>
            <w:tcW w:w="745" w:type="dxa"/>
            <w:vMerge w:val="continue"/>
            <w:tcBorders>
              <w:left w:val="single" w:color="auto" w:sz="4" w:space="0"/>
              <w:right w:val="single" w:color="auto" w:sz="4" w:space="0"/>
            </w:tcBorders>
            <w:vAlign w:val="center"/>
          </w:tcPr>
          <w:p w14:paraId="2925FEA4">
            <w:pPr>
              <w:adjustRightInd w:val="0"/>
              <w:snapToGrid w:val="0"/>
              <w:spacing w:line="400" w:lineRule="exact"/>
              <w:ind w:left="-210" w:leftChars="-100" w:right="-210" w:rightChars="-100"/>
              <w:jc w:val="center"/>
              <w:rPr>
                <w:rFonts w:hAnsi="宋体" w:cs="Courier New"/>
              </w:rPr>
            </w:pPr>
          </w:p>
        </w:tc>
        <w:tc>
          <w:tcPr>
            <w:tcW w:w="813" w:type="dxa"/>
            <w:vMerge w:val="continue"/>
            <w:tcBorders>
              <w:left w:val="single" w:color="auto" w:sz="4" w:space="0"/>
              <w:bottom w:val="single" w:color="auto" w:sz="4" w:space="0"/>
              <w:right w:val="single" w:color="auto" w:sz="4" w:space="0"/>
            </w:tcBorders>
            <w:vAlign w:val="center"/>
          </w:tcPr>
          <w:p w14:paraId="0AC1F4F0">
            <w:pPr>
              <w:pStyle w:val="26"/>
              <w:adjustRightInd w:val="0"/>
              <w:snapToGrid w:val="0"/>
              <w:spacing w:line="400" w:lineRule="exact"/>
              <w:jc w:val="center"/>
              <w:rPr>
                <w:rFonts w:hAnsi="宋体" w:cs="Courier New"/>
              </w:rPr>
            </w:pPr>
          </w:p>
        </w:tc>
        <w:tc>
          <w:tcPr>
            <w:tcW w:w="2212" w:type="dxa"/>
            <w:tcBorders>
              <w:top w:val="single" w:color="auto" w:sz="4" w:space="0"/>
              <w:left w:val="single" w:color="auto" w:sz="4" w:space="0"/>
              <w:bottom w:val="single" w:color="auto" w:sz="4" w:space="0"/>
              <w:right w:val="single" w:color="auto" w:sz="4" w:space="0"/>
            </w:tcBorders>
            <w:vAlign w:val="center"/>
          </w:tcPr>
          <w:p w14:paraId="6C3F188E">
            <w:pPr>
              <w:widowControl/>
              <w:adjustRightInd w:val="0"/>
              <w:snapToGrid w:val="0"/>
              <w:spacing w:line="400" w:lineRule="exact"/>
              <w:rPr>
                <w:rFonts w:ascii="宋体" w:hAnsi="宋体"/>
                <w:kern w:val="0"/>
                <w:szCs w:val="21"/>
              </w:rPr>
            </w:pPr>
            <w:r>
              <w:rPr>
                <w:rFonts w:ascii="宋体" w:hAnsi="宋体"/>
                <w:kern w:val="0"/>
                <w:szCs w:val="21"/>
              </w:rPr>
              <w:t>7.投标文件应符合的其他规定</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6309CE36">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1）投标人如有分包计划，</w:t>
            </w:r>
            <w:r>
              <w:rPr>
                <w:rFonts w:hint="eastAsia" w:hAnsi="宋体"/>
                <w:lang w:val="en-US" w:eastAsia="zh-CN"/>
              </w:rPr>
              <w:t>应</w:t>
            </w:r>
            <w:r>
              <w:rPr>
                <w:rFonts w:ascii="宋体" w:hAnsi="宋体"/>
                <w:kern w:val="0"/>
                <w:szCs w:val="21"/>
              </w:rPr>
              <w:t>按第八章“投标文件格式”的要求填写“拟分包</w:t>
            </w:r>
            <w:r>
              <w:rPr>
                <w:rFonts w:hint="eastAsia" w:ascii="宋体" w:hAnsi="宋体"/>
                <w:kern w:val="0"/>
                <w:szCs w:val="21"/>
                <w:lang w:val="en-US" w:eastAsia="zh-CN"/>
              </w:rPr>
              <w:t>项目</w:t>
            </w:r>
            <w:r>
              <w:rPr>
                <w:rFonts w:ascii="宋体" w:hAnsi="宋体"/>
                <w:kern w:val="0"/>
                <w:szCs w:val="21"/>
              </w:rPr>
              <w:t>情况表”</w:t>
            </w:r>
            <w:r>
              <w:rPr>
                <w:rFonts w:hint="eastAsia" w:ascii="宋体" w:hAnsi="宋体"/>
                <w:kern w:val="0"/>
                <w:szCs w:val="21"/>
              </w:rPr>
              <w:t>。</w:t>
            </w:r>
          </w:p>
          <w:p w14:paraId="785ED249">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第一个信封（商务及技术文件）投标文件中未出现有关投标报价的内容。</w:t>
            </w:r>
          </w:p>
          <w:p w14:paraId="104D6089">
            <w:pPr>
              <w:adjustRightInd w:val="0"/>
              <w:snapToGrid w:val="0"/>
              <w:spacing w:line="400" w:lineRule="exact"/>
              <w:rPr>
                <w:rFonts w:ascii="宋体" w:hAnsi="宋体"/>
                <w:kern w:val="0"/>
                <w:szCs w:val="21"/>
              </w:rPr>
            </w:pPr>
            <w:r>
              <w:rPr>
                <w:rFonts w:hint="eastAsia" w:ascii="宋体" w:hAnsi="宋体"/>
                <w:kern w:val="0"/>
                <w:szCs w:val="21"/>
              </w:rPr>
              <w:t>（3）同一投标人对同一标段未提交两个以上不同的投标文件</w:t>
            </w:r>
            <w:r>
              <w:rPr>
                <w:rFonts w:hint="eastAsia"/>
              </w:rPr>
              <w:t>，但招标文件要求提交备选投标</w:t>
            </w:r>
            <w:r>
              <w:rPr>
                <w:rFonts w:hint="eastAsia"/>
                <w:lang w:val="en-US" w:eastAsia="zh-CN"/>
              </w:rPr>
              <w:t>方案</w:t>
            </w:r>
            <w:r>
              <w:rPr>
                <w:rFonts w:hint="eastAsia"/>
              </w:rPr>
              <w:t>的除外</w:t>
            </w:r>
            <w:r>
              <w:rPr>
                <w:rFonts w:hint="eastAsia" w:ascii="宋体" w:hAnsi="宋体"/>
                <w:kern w:val="0"/>
                <w:szCs w:val="21"/>
              </w:rPr>
              <w:t>。</w:t>
            </w:r>
          </w:p>
          <w:p w14:paraId="3A7D932B">
            <w:pPr>
              <w:adjustRightInd w:val="0"/>
              <w:snapToGrid w:val="0"/>
              <w:spacing w:line="400" w:lineRule="exact"/>
              <w:rPr>
                <w:rFonts w:ascii="宋体" w:hAnsi="宋体" w:cs="宋体"/>
                <w:szCs w:val="21"/>
              </w:rPr>
            </w:pPr>
            <w:r>
              <w:rPr>
                <w:rFonts w:hint="eastAsia" w:ascii="宋体" w:hAnsi="宋体"/>
                <w:kern w:val="0"/>
                <w:szCs w:val="21"/>
              </w:rPr>
              <w:t>（4）</w:t>
            </w:r>
            <w:r>
              <w:rPr>
                <w:rFonts w:hint="eastAsia" w:ascii="宋体" w:hAnsi="宋体" w:cs="宋体"/>
                <w:szCs w:val="21"/>
              </w:rPr>
              <w:t>投标人投标标段数量超过允许投标人投标标段数量时，相关投标均无效。</w:t>
            </w:r>
          </w:p>
          <w:p w14:paraId="0F23DF62">
            <w:pPr>
              <w:adjustRightInd w:val="0"/>
              <w:snapToGrid w:val="0"/>
              <w:spacing w:line="400" w:lineRule="exact"/>
              <w:ind w:firstLine="0" w:firstLineChars="0"/>
              <w:rPr>
                <w:rFonts w:ascii="宋体" w:hAnsi="宋体"/>
                <w:bCs/>
                <w:szCs w:val="21"/>
              </w:rPr>
            </w:pPr>
            <w:r>
              <w:rPr>
                <w:rFonts w:hint="eastAsia" w:ascii="宋体" w:hAnsi="宋体"/>
                <w:kern w:val="0"/>
                <w:szCs w:val="21"/>
                <w:u w:val="none"/>
              </w:rPr>
              <w:t>……</w:t>
            </w:r>
            <w:r>
              <w:rPr>
                <w:rFonts w:ascii="宋体" w:hAnsi="宋体"/>
                <w:kern w:val="0"/>
                <w:szCs w:val="21"/>
                <w:u w:val="none"/>
              </w:rPr>
              <w:t xml:space="preserve">   </w:t>
            </w:r>
          </w:p>
        </w:tc>
      </w:tr>
      <w:tr w14:paraId="7911A7F9">
        <w:tblPrEx>
          <w:tblCellMar>
            <w:top w:w="0" w:type="dxa"/>
            <w:left w:w="108" w:type="dxa"/>
            <w:bottom w:w="0" w:type="dxa"/>
            <w:right w:w="108" w:type="dxa"/>
          </w:tblCellMar>
        </w:tblPrEx>
        <w:tc>
          <w:tcPr>
            <w:tcW w:w="745" w:type="dxa"/>
            <w:vMerge w:val="continue"/>
            <w:tcBorders>
              <w:left w:val="single" w:color="auto" w:sz="4" w:space="0"/>
              <w:right w:val="single" w:color="auto" w:sz="4" w:space="0"/>
            </w:tcBorders>
            <w:vAlign w:val="center"/>
          </w:tcPr>
          <w:p w14:paraId="490CDF2C">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14:paraId="4377A43A">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2CCE9F2F">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资格评审标准</w:t>
            </w:r>
          </w:p>
        </w:tc>
        <w:tc>
          <w:tcPr>
            <w:tcW w:w="2212" w:type="dxa"/>
            <w:tcBorders>
              <w:top w:val="single" w:color="auto" w:sz="4" w:space="0"/>
              <w:left w:val="single" w:color="auto" w:sz="4" w:space="0"/>
              <w:bottom w:val="single" w:color="auto" w:sz="4" w:space="0"/>
              <w:right w:val="single" w:color="auto" w:sz="4" w:space="0"/>
            </w:tcBorders>
            <w:vAlign w:val="center"/>
          </w:tcPr>
          <w:p w14:paraId="59C5AFAA">
            <w:pPr>
              <w:widowControl/>
              <w:adjustRightInd w:val="0"/>
              <w:snapToGrid w:val="0"/>
              <w:spacing w:line="400" w:lineRule="exact"/>
              <w:rPr>
                <w:rFonts w:ascii="宋体" w:hAnsi="宋体"/>
                <w:kern w:val="0"/>
                <w:szCs w:val="21"/>
              </w:rPr>
            </w:pPr>
            <w:r>
              <w:rPr>
                <w:rFonts w:ascii="宋体" w:hAnsi="宋体"/>
                <w:kern w:val="0"/>
                <w:szCs w:val="21"/>
              </w:rPr>
              <w:t>1．投标人具备有效的营业执照、资质证书、安全生产许可证</w:t>
            </w:r>
            <w:r>
              <w:rPr>
                <w:rFonts w:hint="eastAsia" w:ascii="宋体" w:hAnsi="宋体"/>
                <w:kern w:val="0"/>
                <w:szCs w:val="21"/>
              </w:rPr>
              <w:t>（仅限施工企业）</w:t>
            </w:r>
            <w:r>
              <w:rPr>
                <w:rFonts w:ascii="宋体" w:hAnsi="宋体"/>
                <w:kern w:val="0"/>
                <w:szCs w:val="21"/>
              </w:rPr>
              <w:t>、基本账户开户许可证</w:t>
            </w:r>
            <w:r>
              <w:rPr>
                <w:rFonts w:hint="eastAsia" w:ascii="宋体" w:hAnsi="宋体" w:cs="宋体"/>
                <w:szCs w:val="21"/>
              </w:rPr>
              <w:t>或基本存款账户信息表</w:t>
            </w:r>
          </w:p>
        </w:tc>
        <w:tc>
          <w:tcPr>
            <w:tcW w:w="5048" w:type="dxa"/>
            <w:gridSpan w:val="2"/>
            <w:tcBorders>
              <w:top w:val="single" w:color="000000" w:sz="4" w:space="0"/>
              <w:left w:val="single" w:color="auto" w:sz="4" w:space="0"/>
              <w:bottom w:val="single" w:color="000000" w:sz="4" w:space="0"/>
              <w:right w:val="single" w:color="auto" w:sz="4" w:space="0"/>
            </w:tcBorders>
            <w:vAlign w:val="center"/>
          </w:tcPr>
          <w:p w14:paraId="40E639DB">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1）投标人的营业执照、资质证书、安全生产许可证、开户许可证</w:t>
            </w:r>
            <w:r>
              <w:rPr>
                <w:rFonts w:hint="eastAsia" w:ascii="宋体" w:hAnsi="宋体"/>
                <w:kern w:val="0"/>
                <w:szCs w:val="21"/>
              </w:rPr>
              <w:t>（</w:t>
            </w:r>
            <w:r>
              <w:rPr>
                <w:rFonts w:ascii="宋体" w:hAnsi="宋体"/>
                <w:kern w:val="0"/>
                <w:szCs w:val="21"/>
              </w:rPr>
              <w:t>基本账户</w:t>
            </w:r>
            <w:r>
              <w:rPr>
                <w:rFonts w:hint="eastAsia" w:ascii="宋体" w:hAnsi="宋体"/>
                <w:kern w:val="0"/>
                <w:szCs w:val="21"/>
              </w:rPr>
              <w:t>或基本存款账户）</w:t>
            </w:r>
            <w:r>
              <w:rPr>
                <w:rFonts w:hint="eastAsia" w:ascii="宋体" w:hAnsi="宋体" w:cs="宋体"/>
                <w:szCs w:val="21"/>
              </w:rPr>
              <w:t>或基本存款账户信息表</w:t>
            </w:r>
            <w:r>
              <w:rPr>
                <w:rFonts w:ascii="宋体" w:hAnsi="宋体"/>
                <w:kern w:val="0"/>
                <w:szCs w:val="21"/>
              </w:rPr>
              <w:t>有效</w:t>
            </w:r>
            <w:r>
              <w:rPr>
                <w:rFonts w:hint="eastAsia" w:ascii="宋体" w:hAnsi="宋体"/>
                <w:kern w:val="0"/>
                <w:szCs w:val="21"/>
              </w:rPr>
              <w:t>。</w:t>
            </w:r>
          </w:p>
          <w:p w14:paraId="73655AB1">
            <w:pPr>
              <w:widowControl/>
              <w:adjustRightInd w:val="0"/>
              <w:snapToGrid w:val="0"/>
              <w:spacing w:line="400" w:lineRule="exact"/>
              <w:rPr>
                <w:rFonts w:ascii="宋体" w:hAnsi="宋体"/>
                <w:szCs w:val="21"/>
              </w:rPr>
            </w:pPr>
            <w:r>
              <w:rPr>
                <w:rFonts w:hint="eastAsia" w:ascii="宋体" w:hAnsi="宋体"/>
                <w:kern w:val="0"/>
                <w:szCs w:val="21"/>
              </w:rPr>
              <w:t>（2）提供的证明材料符合第九章“</w:t>
            </w:r>
            <w:r>
              <w:rPr>
                <w:rFonts w:ascii="宋体" w:hAnsi="宋体"/>
                <w:kern w:val="0"/>
                <w:szCs w:val="21"/>
              </w:rPr>
              <w:t>投标文件格式</w:t>
            </w:r>
            <w:r>
              <w:rPr>
                <w:rFonts w:hint="eastAsia" w:ascii="宋体" w:hAnsi="宋体"/>
                <w:kern w:val="0"/>
                <w:szCs w:val="21"/>
              </w:rPr>
              <w:t>”资格审查资料“（一）投标人</w:t>
            </w:r>
            <w:r>
              <w:rPr>
                <w:rFonts w:ascii="宋体" w:hAnsi="宋体"/>
                <w:kern w:val="0"/>
                <w:szCs w:val="21"/>
              </w:rPr>
              <w:t>基本情况表</w:t>
            </w:r>
            <w:r>
              <w:rPr>
                <w:rFonts w:hint="eastAsia" w:ascii="宋体" w:hAnsi="宋体"/>
                <w:kern w:val="0"/>
                <w:szCs w:val="21"/>
              </w:rPr>
              <w:t>”的附件要求</w:t>
            </w:r>
            <w:r>
              <w:rPr>
                <w:rFonts w:hint="eastAsia" w:ascii="宋体" w:hAnsi="宋体" w:cs="宋体"/>
                <w:szCs w:val="21"/>
              </w:rPr>
              <w:t>。</w:t>
            </w:r>
          </w:p>
        </w:tc>
      </w:tr>
      <w:tr w14:paraId="500E1A36">
        <w:tblPrEx>
          <w:tblCellMar>
            <w:top w:w="0" w:type="dxa"/>
            <w:left w:w="108" w:type="dxa"/>
            <w:bottom w:w="0" w:type="dxa"/>
            <w:right w:w="108" w:type="dxa"/>
          </w:tblCellMar>
        </w:tblPrEx>
        <w:tc>
          <w:tcPr>
            <w:tcW w:w="745" w:type="dxa"/>
            <w:vMerge w:val="continue"/>
            <w:tcBorders>
              <w:left w:val="single" w:color="auto" w:sz="4" w:space="0"/>
              <w:bottom w:val="single" w:color="auto" w:sz="4" w:space="0"/>
              <w:right w:val="single" w:color="auto" w:sz="4" w:space="0"/>
            </w:tcBorders>
            <w:vAlign w:val="center"/>
          </w:tcPr>
          <w:p w14:paraId="3EBC9995">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10F472C4">
            <w:pPr>
              <w:adjustRightInd w:val="0"/>
              <w:snapToGrid w:val="0"/>
              <w:spacing w:line="400" w:lineRule="exact"/>
              <w:jc w:val="center"/>
              <w:rPr>
                <w:rFonts w:ascii="宋体" w:hAnsi="宋体" w:cs="宋体"/>
                <w:kern w:val="0"/>
                <w:szCs w:val="21"/>
              </w:rPr>
            </w:pPr>
          </w:p>
        </w:tc>
        <w:tc>
          <w:tcPr>
            <w:tcW w:w="2212" w:type="dxa"/>
            <w:tcBorders>
              <w:top w:val="single" w:color="auto" w:sz="4" w:space="0"/>
              <w:left w:val="single" w:color="auto" w:sz="4" w:space="0"/>
              <w:bottom w:val="single" w:color="auto" w:sz="4" w:space="0"/>
              <w:right w:val="single" w:color="auto" w:sz="4" w:space="0"/>
            </w:tcBorders>
            <w:vAlign w:val="center"/>
          </w:tcPr>
          <w:p w14:paraId="2C9DF1DC">
            <w:pPr>
              <w:widowControl/>
              <w:adjustRightInd w:val="0"/>
              <w:snapToGrid w:val="0"/>
              <w:spacing w:line="400" w:lineRule="exact"/>
              <w:rPr>
                <w:rFonts w:ascii="宋体" w:hAnsi="宋体"/>
                <w:kern w:val="0"/>
                <w:szCs w:val="21"/>
              </w:rPr>
            </w:pPr>
            <w:r>
              <w:rPr>
                <w:rFonts w:ascii="宋体" w:hAnsi="宋体" w:cs="宋体"/>
                <w:kern w:val="0"/>
                <w:szCs w:val="21"/>
              </w:rPr>
              <w:t>2．投标人的资质等级符合第二章“投标人须知”前附表第1.4.1项规定</w:t>
            </w:r>
          </w:p>
        </w:tc>
        <w:tc>
          <w:tcPr>
            <w:tcW w:w="5048" w:type="dxa"/>
            <w:gridSpan w:val="2"/>
            <w:tcBorders>
              <w:top w:val="single" w:color="000000" w:sz="4" w:space="0"/>
              <w:left w:val="single" w:color="auto" w:sz="4" w:space="0"/>
              <w:bottom w:val="single" w:color="auto" w:sz="4" w:space="0"/>
              <w:right w:val="single" w:color="auto" w:sz="4" w:space="0"/>
            </w:tcBorders>
            <w:vAlign w:val="center"/>
          </w:tcPr>
          <w:p w14:paraId="63DAAACC">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1）投标人</w:t>
            </w:r>
            <w:r>
              <w:rPr>
                <w:rFonts w:hint="eastAsia" w:ascii="宋体" w:hAnsi="宋体"/>
                <w:szCs w:val="21"/>
              </w:rPr>
              <w:t>的资质等级符合第二章“投标人须知”前附表第</w:t>
            </w:r>
            <w:r>
              <w:rPr>
                <w:rFonts w:ascii="宋体" w:hAnsi="宋体"/>
                <w:szCs w:val="21"/>
              </w:rPr>
              <w:t>1.4.1项规定。</w:t>
            </w:r>
          </w:p>
          <w:p w14:paraId="4347BF39">
            <w:pPr>
              <w:widowControl/>
              <w:adjustRightInd w:val="0"/>
              <w:snapToGrid w:val="0"/>
              <w:spacing w:line="400" w:lineRule="exact"/>
              <w:rPr>
                <w:rFonts w:ascii="宋体" w:hAnsi="宋体"/>
                <w:kern w:val="0"/>
                <w:szCs w:val="21"/>
              </w:rPr>
            </w:pPr>
            <w:r>
              <w:rPr>
                <w:rFonts w:hint="eastAsia" w:ascii="宋体" w:hAnsi="宋体"/>
                <w:szCs w:val="21"/>
              </w:rPr>
              <w:t>（</w:t>
            </w:r>
            <w:r>
              <w:rPr>
                <w:rFonts w:ascii="宋体" w:hAnsi="宋体"/>
                <w:szCs w:val="21"/>
              </w:rPr>
              <w:t>2）提供的证明材料符合</w:t>
            </w:r>
            <w:r>
              <w:rPr>
                <w:rFonts w:hint="eastAsia" w:ascii="宋体" w:hAnsi="宋体"/>
                <w:szCs w:val="21"/>
              </w:rPr>
              <w:t>第八章“投标文件格式”要求。</w:t>
            </w:r>
          </w:p>
        </w:tc>
      </w:tr>
      <w:tr w14:paraId="45F7DABA">
        <w:tblPrEx>
          <w:tblCellMar>
            <w:top w:w="0" w:type="dxa"/>
            <w:left w:w="108" w:type="dxa"/>
            <w:bottom w:w="0" w:type="dxa"/>
            <w:right w:w="108" w:type="dxa"/>
          </w:tblCellMar>
        </w:tblPrEx>
        <w:trPr>
          <w:trHeight w:val="567"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536E2F36">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2E73102B">
            <w:pPr>
              <w:adjustRightInd w:val="0"/>
              <w:snapToGrid w:val="0"/>
              <w:spacing w:line="400" w:lineRule="exact"/>
              <w:jc w:val="center"/>
              <w:rPr>
                <w:rFonts w:ascii="宋体" w:hAnsi="宋体" w:cs="宋体"/>
                <w:kern w:val="0"/>
                <w:szCs w:val="21"/>
              </w:rPr>
            </w:pPr>
          </w:p>
        </w:tc>
        <w:tc>
          <w:tcPr>
            <w:tcW w:w="2212" w:type="dxa"/>
            <w:tcBorders>
              <w:top w:val="single" w:color="auto" w:sz="4" w:space="0"/>
              <w:left w:val="single" w:color="auto" w:sz="4" w:space="0"/>
              <w:bottom w:val="single" w:color="auto" w:sz="4" w:space="0"/>
              <w:right w:val="single" w:color="auto" w:sz="4" w:space="0"/>
            </w:tcBorders>
            <w:vAlign w:val="center"/>
          </w:tcPr>
          <w:p w14:paraId="032EBCC8">
            <w:pPr>
              <w:widowControl/>
              <w:adjustRightInd w:val="0"/>
              <w:snapToGrid w:val="0"/>
              <w:spacing w:line="400" w:lineRule="exact"/>
              <w:rPr>
                <w:rFonts w:ascii="宋体" w:hAnsi="宋体"/>
                <w:kern w:val="0"/>
                <w:szCs w:val="21"/>
              </w:rPr>
            </w:pPr>
            <w:r>
              <w:rPr>
                <w:rFonts w:ascii="宋体" w:hAnsi="宋体" w:cs="宋体"/>
                <w:kern w:val="0"/>
                <w:szCs w:val="21"/>
              </w:rPr>
              <w:t>3.投标人的财务状况符合第二章“投标人须知”前附表第1.4.1项规定</w:t>
            </w:r>
          </w:p>
        </w:tc>
        <w:tc>
          <w:tcPr>
            <w:tcW w:w="5048" w:type="dxa"/>
            <w:gridSpan w:val="2"/>
            <w:tcBorders>
              <w:top w:val="single" w:color="auto" w:sz="4" w:space="0"/>
              <w:left w:val="single" w:color="auto" w:sz="4" w:space="0"/>
              <w:bottom w:val="single" w:color="auto" w:sz="4" w:space="0"/>
              <w:right w:val="single" w:color="000000" w:sz="4" w:space="0"/>
            </w:tcBorders>
            <w:vAlign w:val="center"/>
          </w:tcPr>
          <w:p w14:paraId="51439202">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的财务状况符合第二章“投标人须知”前附表第</w:t>
            </w:r>
            <w:r>
              <w:rPr>
                <w:rFonts w:ascii="宋体" w:hAnsi="宋体" w:cs="宋体"/>
                <w:kern w:val="0"/>
                <w:szCs w:val="21"/>
              </w:rPr>
              <w:t>1.4.1项规定。</w:t>
            </w:r>
          </w:p>
          <w:p w14:paraId="4F2E9F6F">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提供的证明材料符合第八章“投标文件格式”要求。</w:t>
            </w:r>
          </w:p>
        </w:tc>
      </w:tr>
      <w:tr w14:paraId="68E51457">
        <w:tblPrEx>
          <w:tblCellMar>
            <w:top w:w="0" w:type="dxa"/>
            <w:left w:w="108" w:type="dxa"/>
            <w:bottom w:w="0" w:type="dxa"/>
            <w:right w:w="108" w:type="dxa"/>
          </w:tblCellMar>
        </w:tblPrEx>
        <w:tc>
          <w:tcPr>
            <w:tcW w:w="745" w:type="dxa"/>
            <w:vMerge w:val="restart"/>
            <w:tcBorders>
              <w:top w:val="single" w:color="auto" w:sz="4" w:space="0"/>
              <w:left w:val="single" w:color="auto" w:sz="4" w:space="0"/>
              <w:bottom w:val="single" w:color="auto" w:sz="4" w:space="0"/>
              <w:right w:val="single" w:color="auto" w:sz="4" w:space="0"/>
            </w:tcBorders>
            <w:vAlign w:val="center"/>
          </w:tcPr>
          <w:p w14:paraId="6FB383FA">
            <w:pPr>
              <w:widowControl/>
              <w:adjustRightInd w:val="0"/>
              <w:snapToGrid w:val="0"/>
              <w:spacing w:line="400" w:lineRule="exact"/>
              <w:jc w:val="center"/>
              <w:rPr>
                <w:rFonts w:ascii="宋体" w:hAnsi="宋体" w:cs="宋体"/>
                <w:kern w:val="0"/>
                <w:szCs w:val="21"/>
              </w:rPr>
            </w:pPr>
            <w:r>
              <w:rPr>
                <w:rFonts w:ascii="宋体" w:hAnsi="宋体" w:cs="宋体"/>
                <w:kern w:val="0"/>
                <w:szCs w:val="21"/>
              </w:rPr>
              <w:t>2.1</w:t>
            </w:r>
          </w:p>
          <w:p w14:paraId="61023BA2">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初步评审标准</w:t>
            </w:r>
          </w:p>
          <w:p w14:paraId="2DF91C46">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（第一个</w:t>
            </w:r>
          </w:p>
          <w:p w14:paraId="2F5CB862">
            <w:pPr>
              <w:adjustRightInd w:val="0"/>
              <w:snapToGrid w:val="0"/>
              <w:spacing w:line="400" w:lineRule="exact"/>
              <w:ind w:left="-210" w:leftChars="-100" w:right="-210" w:rightChars="-100"/>
              <w:jc w:val="center"/>
              <w:rPr>
                <w:rFonts w:hint="eastAsia" w:ascii="宋体" w:hAnsi="宋体" w:eastAsia="宋体" w:cs="宋体"/>
                <w:kern w:val="0"/>
                <w:szCs w:val="21"/>
                <w:lang w:eastAsia="zh-CN"/>
              </w:rPr>
            </w:pPr>
            <w:r>
              <w:rPr>
                <w:rFonts w:hint="eastAsia" w:ascii="宋体" w:hAnsi="宋体" w:cs="宋体"/>
                <w:kern w:val="0"/>
                <w:szCs w:val="21"/>
              </w:rPr>
              <w:t>信封</w:t>
            </w:r>
            <w:r>
              <w:rPr>
                <w:rFonts w:hint="eastAsia" w:ascii="宋体" w:hAnsi="宋体" w:cs="宋体"/>
                <w:kern w:val="0"/>
                <w:szCs w:val="21"/>
                <w:lang w:eastAsia="zh-CN"/>
              </w:rPr>
              <w:t>）</w:t>
            </w:r>
          </w:p>
        </w:tc>
        <w:tc>
          <w:tcPr>
            <w:tcW w:w="813" w:type="dxa"/>
            <w:vMerge w:val="restart"/>
            <w:tcBorders>
              <w:top w:val="single" w:color="auto" w:sz="4" w:space="0"/>
              <w:left w:val="single" w:color="auto" w:sz="4" w:space="0"/>
              <w:right w:val="single" w:color="auto" w:sz="4" w:space="0"/>
            </w:tcBorders>
            <w:vAlign w:val="center"/>
          </w:tcPr>
          <w:p w14:paraId="3CD906DE">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4F0DC78F">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资格评审标准</w:t>
            </w:r>
          </w:p>
        </w:tc>
        <w:tc>
          <w:tcPr>
            <w:tcW w:w="2212" w:type="dxa"/>
            <w:tcBorders>
              <w:top w:val="single" w:color="auto" w:sz="4" w:space="0"/>
              <w:left w:val="single" w:color="auto" w:sz="4" w:space="0"/>
              <w:bottom w:val="single" w:color="auto" w:sz="4" w:space="0"/>
              <w:right w:val="single" w:color="auto" w:sz="4" w:space="0"/>
            </w:tcBorders>
            <w:vAlign w:val="center"/>
          </w:tcPr>
          <w:p w14:paraId="47257911">
            <w:pPr>
              <w:widowControl/>
              <w:adjustRightInd w:val="0"/>
              <w:snapToGrid w:val="0"/>
              <w:spacing w:line="400" w:lineRule="exact"/>
              <w:rPr>
                <w:rFonts w:ascii="宋体" w:hAnsi="宋体"/>
                <w:kern w:val="0"/>
                <w:szCs w:val="21"/>
              </w:rPr>
            </w:pPr>
            <w:r>
              <w:rPr>
                <w:rFonts w:ascii="宋体" w:hAnsi="宋体" w:cs="宋体"/>
                <w:kern w:val="0"/>
                <w:szCs w:val="21"/>
              </w:rPr>
              <w:t>4．投标人的类似项目业绩符合第二章“投标人须知”前附表第1.4.1项规定</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05AF4A49">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的类似项目业绩符合第二章“投标人须知”前附表第</w:t>
            </w:r>
            <w:r>
              <w:rPr>
                <w:rFonts w:ascii="宋体" w:hAnsi="宋体" w:cs="宋体"/>
                <w:kern w:val="0"/>
                <w:szCs w:val="21"/>
              </w:rPr>
              <w:t>1.4.1项规定。</w:t>
            </w:r>
          </w:p>
          <w:p w14:paraId="1D09B077">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提供的证明材料符合第八章“投标文件格式”要求。</w:t>
            </w:r>
          </w:p>
        </w:tc>
      </w:tr>
      <w:tr w14:paraId="3F143AFC">
        <w:tblPrEx>
          <w:tblCellMar>
            <w:top w:w="0" w:type="dxa"/>
            <w:left w:w="108" w:type="dxa"/>
            <w:bottom w:w="0" w:type="dxa"/>
            <w:right w:w="108" w:type="dxa"/>
          </w:tblCellMar>
        </w:tblPrEx>
        <w:trPr>
          <w:trHeight w:val="1762"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5F8A3F7B">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continue"/>
            <w:tcBorders>
              <w:left w:val="single" w:color="auto" w:sz="4" w:space="0"/>
              <w:right w:val="single" w:color="auto" w:sz="4" w:space="0"/>
            </w:tcBorders>
            <w:vAlign w:val="center"/>
          </w:tcPr>
          <w:p w14:paraId="1F336E79">
            <w:pPr>
              <w:adjustRightInd w:val="0"/>
              <w:snapToGrid w:val="0"/>
              <w:spacing w:line="400" w:lineRule="exact"/>
              <w:jc w:val="center"/>
              <w:rPr>
                <w:rFonts w:ascii="宋体" w:hAnsi="宋体" w:cs="宋体"/>
                <w:kern w:val="0"/>
                <w:szCs w:val="21"/>
              </w:rPr>
            </w:pPr>
          </w:p>
        </w:tc>
        <w:tc>
          <w:tcPr>
            <w:tcW w:w="2212" w:type="dxa"/>
            <w:tcBorders>
              <w:top w:val="single" w:color="auto" w:sz="4" w:space="0"/>
              <w:left w:val="single" w:color="auto" w:sz="4" w:space="0"/>
              <w:bottom w:val="single" w:color="auto" w:sz="4" w:space="0"/>
              <w:right w:val="single" w:color="auto" w:sz="4" w:space="0"/>
            </w:tcBorders>
            <w:vAlign w:val="center"/>
          </w:tcPr>
          <w:p w14:paraId="0BD4F84B">
            <w:pPr>
              <w:widowControl/>
              <w:adjustRightInd w:val="0"/>
              <w:snapToGrid w:val="0"/>
              <w:spacing w:line="400" w:lineRule="exact"/>
              <w:rPr>
                <w:rFonts w:ascii="宋体" w:hAnsi="宋体"/>
                <w:kern w:val="0"/>
                <w:szCs w:val="21"/>
              </w:rPr>
            </w:pPr>
            <w:r>
              <w:rPr>
                <w:rFonts w:ascii="宋体" w:hAnsi="宋体" w:cs="宋体"/>
                <w:kern w:val="0"/>
                <w:szCs w:val="21"/>
              </w:rPr>
              <w:t>5．投标人的信誉符合第二章“投标人须知”前附表第1.4.1项规定</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545A0DCB">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的信誉符合第二章“投标人须知”前附表第</w:t>
            </w:r>
            <w:r>
              <w:rPr>
                <w:rFonts w:ascii="宋体" w:hAnsi="宋体" w:cs="宋体"/>
                <w:kern w:val="0"/>
                <w:szCs w:val="21"/>
              </w:rPr>
              <w:t>1.4.1项规定。</w:t>
            </w:r>
          </w:p>
          <w:p w14:paraId="5FDB4EE0">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提供的证明材料符合第八章“投标文件格式”要求。</w:t>
            </w:r>
          </w:p>
        </w:tc>
      </w:tr>
      <w:tr w14:paraId="7607B530">
        <w:tblPrEx>
          <w:tblCellMar>
            <w:top w:w="0" w:type="dxa"/>
            <w:left w:w="108" w:type="dxa"/>
            <w:bottom w:w="0" w:type="dxa"/>
            <w:right w:w="108" w:type="dxa"/>
          </w:tblCellMar>
        </w:tblPrEx>
        <w:trPr>
          <w:trHeight w:val="1583"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53C473D8">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continue"/>
            <w:tcBorders>
              <w:left w:val="single" w:color="auto" w:sz="4" w:space="0"/>
              <w:right w:val="single" w:color="auto" w:sz="4" w:space="0"/>
            </w:tcBorders>
            <w:vAlign w:val="center"/>
          </w:tcPr>
          <w:p w14:paraId="52E26A1F">
            <w:pPr>
              <w:adjustRightInd w:val="0"/>
              <w:snapToGrid w:val="0"/>
              <w:spacing w:line="400" w:lineRule="exact"/>
              <w:jc w:val="center"/>
              <w:rPr>
                <w:rFonts w:ascii="宋体" w:hAnsi="宋体" w:cs="宋体"/>
                <w:kern w:val="0"/>
                <w:szCs w:val="21"/>
              </w:rPr>
            </w:pPr>
          </w:p>
        </w:tc>
        <w:tc>
          <w:tcPr>
            <w:tcW w:w="2212" w:type="dxa"/>
            <w:tcBorders>
              <w:top w:val="single" w:color="auto" w:sz="4" w:space="0"/>
              <w:left w:val="single" w:color="auto" w:sz="4" w:space="0"/>
              <w:bottom w:val="single" w:color="auto" w:sz="4" w:space="0"/>
              <w:right w:val="single" w:color="auto" w:sz="4" w:space="0"/>
            </w:tcBorders>
            <w:vAlign w:val="center"/>
          </w:tcPr>
          <w:p w14:paraId="08DC2A16">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6．</w:t>
            </w:r>
            <w:r>
              <w:rPr>
                <w:rFonts w:hint="eastAsia" w:ascii="宋体" w:hAnsi="宋体" w:cs="宋体"/>
                <w:kern w:val="0"/>
                <w:szCs w:val="21"/>
              </w:rPr>
              <w:t>投标人的主要人员符合第二章“投标人须知”前附表第</w:t>
            </w:r>
            <w:r>
              <w:rPr>
                <w:rFonts w:ascii="宋体" w:hAnsi="宋体" w:cs="宋体"/>
                <w:kern w:val="0"/>
                <w:szCs w:val="21"/>
              </w:rPr>
              <w:t>1.4.1项规定</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54FE9F66">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的主要人员符合第二章“投标人须知”前附表第</w:t>
            </w:r>
            <w:r>
              <w:rPr>
                <w:rFonts w:ascii="宋体" w:hAnsi="宋体" w:cs="宋体"/>
                <w:kern w:val="0"/>
                <w:szCs w:val="21"/>
              </w:rPr>
              <w:t>1.4.1项规定。</w:t>
            </w:r>
          </w:p>
          <w:p w14:paraId="5E4133C0">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提供的证明材料符合第八章“投标文件格式”要求。</w:t>
            </w:r>
          </w:p>
        </w:tc>
      </w:tr>
      <w:tr w14:paraId="759ABBCB">
        <w:tblPrEx>
          <w:tblCellMar>
            <w:top w:w="0" w:type="dxa"/>
            <w:left w:w="108" w:type="dxa"/>
            <w:bottom w:w="0" w:type="dxa"/>
            <w:right w:w="108" w:type="dxa"/>
          </w:tblCellMar>
        </w:tblPrEx>
        <w:trPr>
          <w:gridAfter w:val="1"/>
          <w:wAfter w:w="34" w:type="dxa"/>
          <w:trHeight w:val="1583"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1BC832F0">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continue"/>
            <w:tcBorders>
              <w:left w:val="single" w:color="auto" w:sz="4" w:space="0"/>
              <w:right w:val="single" w:color="auto" w:sz="4" w:space="0"/>
            </w:tcBorders>
            <w:vAlign w:val="center"/>
          </w:tcPr>
          <w:p w14:paraId="44677C17">
            <w:pPr>
              <w:adjustRightInd w:val="0"/>
              <w:snapToGrid w:val="0"/>
              <w:spacing w:line="400" w:lineRule="exact"/>
              <w:jc w:val="center"/>
              <w:rPr>
                <w:rFonts w:ascii="宋体" w:hAnsi="宋体" w:cs="宋体"/>
                <w:kern w:val="0"/>
                <w:szCs w:val="21"/>
              </w:rPr>
            </w:pPr>
          </w:p>
        </w:tc>
        <w:tc>
          <w:tcPr>
            <w:tcW w:w="2212" w:type="dxa"/>
            <w:tcBorders>
              <w:top w:val="single" w:color="auto" w:sz="4" w:space="0"/>
              <w:left w:val="single" w:color="auto" w:sz="4" w:space="0"/>
              <w:bottom w:val="single" w:color="auto" w:sz="4" w:space="0"/>
              <w:right w:val="single" w:color="auto" w:sz="4" w:space="0"/>
            </w:tcBorders>
            <w:vAlign w:val="center"/>
          </w:tcPr>
          <w:p w14:paraId="0D8D855D">
            <w:pPr>
              <w:widowControl/>
              <w:adjustRightInd w:val="0"/>
              <w:snapToGrid w:val="0"/>
              <w:spacing w:line="400" w:lineRule="exact"/>
              <w:rPr>
                <w:rFonts w:ascii="宋体" w:hAnsi="宋体"/>
                <w:bCs/>
                <w:szCs w:val="21"/>
              </w:rPr>
            </w:pPr>
            <w:r>
              <w:rPr>
                <w:rFonts w:hint="eastAsia" w:ascii="宋体" w:hAnsi="宋体" w:cs="宋体"/>
                <w:b/>
                <w:szCs w:val="21"/>
              </w:rPr>
              <w:t xml:space="preserve">□ </w:t>
            </w:r>
            <w:r>
              <w:rPr>
                <w:rFonts w:ascii="宋体" w:hAnsi="宋体"/>
                <w:bCs/>
                <w:szCs w:val="21"/>
              </w:rPr>
              <w:t>7</w:t>
            </w:r>
            <w:r>
              <w:rPr>
                <w:rFonts w:hint="eastAsia" w:ascii="宋体" w:hAnsi="宋体"/>
                <w:bCs/>
                <w:szCs w:val="21"/>
              </w:rPr>
              <w:t>．投标人的其他要求符合第二章“投标人须知前附表”第</w:t>
            </w:r>
            <w:r>
              <w:rPr>
                <w:rFonts w:ascii="宋体" w:hAnsi="宋体"/>
                <w:bCs/>
                <w:szCs w:val="21"/>
              </w:rPr>
              <w:t>1.4.1</w:t>
            </w:r>
            <w:r>
              <w:rPr>
                <w:rFonts w:hint="eastAsia" w:ascii="宋体" w:hAnsi="宋体"/>
                <w:bCs/>
                <w:szCs w:val="21"/>
              </w:rPr>
              <w:t>项规定</w:t>
            </w:r>
          </w:p>
        </w:tc>
        <w:tc>
          <w:tcPr>
            <w:tcW w:w="5014" w:type="dxa"/>
            <w:tcBorders>
              <w:top w:val="single" w:color="auto" w:sz="4" w:space="0"/>
              <w:left w:val="single" w:color="auto" w:sz="4" w:space="0"/>
              <w:bottom w:val="single" w:color="auto" w:sz="4" w:space="0"/>
              <w:right w:val="single" w:color="auto" w:sz="4" w:space="0"/>
            </w:tcBorders>
            <w:vAlign w:val="center"/>
          </w:tcPr>
          <w:p w14:paraId="57C875BD">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的其他要求符合第二章“投标人须知”前附表第</w:t>
            </w:r>
            <w:r>
              <w:rPr>
                <w:rFonts w:ascii="宋体" w:hAnsi="宋体" w:cs="宋体"/>
                <w:kern w:val="0"/>
                <w:szCs w:val="21"/>
              </w:rPr>
              <w:t>1.4.1项规定</w:t>
            </w:r>
            <w:r>
              <w:rPr>
                <w:rFonts w:hint="eastAsia" w:ascii="宋体" w:hAnsi="宋体" w:cs="宋体"/>
                <w:kern w:val="0"/>
                <w:szCs w:val="21"/>
              </w:rPr>
              <w:t>。</w:t>
            </w:r>
          </w:p>
          <w:p w14:paraId="120F415C">
            <w:pPr>
              <w:widowControl/>
              <w:adjustRightInd w:val="0"/>
              <w:snapToGrid w:val="0"/>
              <w:spacing w:line="400" w:lineRule="exact"/>
              <w:rPr>
                <w:rFonts w:hint="eastAsia" w:ascii="宋体" w:hAnsi="宋体" w:cs="宋体"/>
                <w:szCs w:val="21"/>
              </w:rPr>
            </w:pPr>
            <w:r>
              <w:rPr>
                <w:rFonts w:hint="eastAsia" w:ascii="宋体" w:hAnsi="宋体" w:cs="宋体"/>
                <w:kern w:val="0"/>
                <w:szCs w:val="21"/>
              </w:rPr>
              <w:t>（2）</w:t>
            </w:r>
            <w:r>
              <w:rPr>
                <w:rFonts w:ascii="宋体" w:hAnsi="宋体" w:cs="宋体"/>
                <w:kern w:val="0"/>
                <w:szCs w:val="21"/>
              </w:rPr>
              <w:t>且</w:t>
            </w:r>
            <w:r>
              <w:rPr>
                <w:rFonts w:hint="eastAsia" w:ascii="宋体" w:hAnsi="宋体" w:cs="宋体"/>
                <w:szCs w:val="21"/>
              </w:rPr>
              <w:t>提供的证明材料符合第八章“投标文件格式”要求。</w:t>
            </w:r>
          </w:p>
          <w:p w14:paraId="5A98AF26">
            <w:pPr>
              <w:widowControl/>
              <w:adjustRightInd w:val="0"/>
              <w:snapToGrid w:val="0"/>
              <w:spacing w:line="400" w:lineRule="exact"/>
              <w:ind w:firstLine="210" w:firstLineChars="100"/>
              <w:rPr>
                <w:rFonts w:hint="eastAsia" w:ascii="宋体" w:hAnsi="宋体" w:cs="宋体"/>
                <w:szCs w:val="21"/>
              </w:rPr>
            </w:pPr>
            <w:r>
              <w:rPr>
                <w:rFonts w:hint="eastAsia"/>
              </w:rPr>
              <w:t>注：</w:t>
            </w:r>
            <w:r>
              <w:rPr>
                <w:rFonts w:hint="eastAsia" w:ascii="宋体" w:hAnsi="宋体"/>
              </w:rPr>
              <w:t>此处指只有招标人设置了</w:t>
            </w:r>
            <w:r>
              <w:rPr>
                <w:rFonts w:ascii="宋体" w:hAnsi="宋体"/>
              </w:rPr>
              <w:t>投标人须知附录6资格审查条件（</w:t>
            </w:r>
            <w:r>
              <w:rPr>
                <w:rFonts w:hint="eastAsia" w:ascii="宋体" w:hAnsi="宋体"/>
              </w:rPr>
              <w:t>其他管理</w:t>
            </w:r>
            <w:r>
              <w:rPr>
                <w:rFonts w:ascii="宋体" w:hAnsi="宋体"/>
              </w:rPr>
              <w:t>和人技术人</w:t>
            </w:r>
            <w:r>
              <w:rPr>
                <w:rFonts w:hint="eastAsia" w:ascii="宋体" w:hAnsi="宋体"/>
              </w:rPr>
              <w:t>员最低要求</w:t>
            </w:r>
            <w:r>
              <w:rPr>
                <w:rFonts w:ascii="宋体" w:hAnsi="宋体"/>
              </w:rPr>
              <w:t>）</w:t>
            </w:r>
            <w:r>
              <w:rPr>
                <w:rFonts w:hint="eastAsia" w:ascii="宋体" w:hAnsi="宋体"/>
              </w:rPr>
              <w:t>或</w:t>
            </w:r>
            <w:r>
              <w:rPr>
                <w:rFonts w:ascii="宋体" w:hAnsi="宋体"/>
              </w:rPr>
              <w:t>附录7资格审查条件（</w:t>
            </w:r>
            <w:r>
              <w:rPr>
                <w:rFonts w:hint="eastAsia" w:ascii="宋体" w:hAnsi="宋体"/>
              </w:rPr>
              <w:t>主要机械设备和试验检测设备最低要求</w:t>
            </w:r>
            <w:r>
              <w:rPr>
                <w:rFonts w:ascii="宋体" w:hAnsi="宋体"/>
              </w:rPr>
              <w:t>）</w:t>
            </w:r>
            <w:r>
              <w:rPr>
                <w:rFonts w:hint="eastAsia" w:ascii="宋体" w:hAnsi="宋体"/>
              </w:rPr>
              <w:t>或附录</w:t>
            </w:r>
            <w:r>
              <w:rPr>
                <w:rFonts w:ascii="宋体" w:hAnsi="宋体"/>
              </w:rPr>
              <w:t>8</w:t>
            </w:r>
            <w:r>
              <w:rPr>
                <w:rFonts w:hint="eastAsia" w:ascii="宋体" w:hAnsi="宋体"/>
              </w:rPr>
              <w:t>资格审查条件（</w:t>
            </w:r>
            <w:r>
              <w:rPr>
                <w:rFonts w:hint="eastAsia" w:ascii="宋体" w:hAnsi="宋体"/>
                <w:szCs w:val="21"/>
              </w:rPr>
              <w:t>关键机电设备</w:t>
            </w:r>
            <w:r>
              <w:rPr>
                <w:rFonts w:ascii="宋体" w:hAnsi="宋体"/>
                <w:szCs w:val="21"/>
              </w:rPr>
              <w:t>主要</w:t>
            </w:r>
            <w:r>
              <w:rPr>
                <w:rFonts w:hint="eastAsia" w:ascii="宋体" w:hAnsi="宋体"/>
                <w:szCs w:val="21"/>
              </w:rPr>
              <w:t>技术性能</w:t>
            </w:r>
            <w:r>
              <w:rPr>
                <w:rFonts w:ascii="宋体" w:hAnsi="宋体"/>
                <w:szCs w:val="21"/>
              </w:rPr>
              <w:t>指标</w:t>
            </w:r>
            <w:r>
              <w:rPr>
                <w:rFonts w:hint="eastAsia" w:ascii="宋体" w:hAnsi="宋体"/>
                <w:szCs w:val="21"/>
              </w:rPr>
              <w:t>最低要求</w:t>
            </w:r>
            <w:r>
              <w:rPr>
                <w:rFonts w:hint="eastAsia" w:ascii="宋体" w:hAnsi="宋体"/>
              </w:rPr>
              <w:t>）时</w:t>
            </w:r>
            <w:r>
              <w:rPr>
                <w:rFonts w:ascii="宋体" w:hAnsi="宋体"/>
              </w:rPr>
              <w:t>对应</w:t>
            </w:r>
            <w:r>
              <w:rPr>
                <w:rFonts w:hint="eastAsia" w:ascii="宋体" w:hAnsi="宋体"/>
              </w:rPr>
              <w:t>的</w:t>
            </w:r>
            <w:r>
              <w:rPr>
                <w:rFonts w:ascii="宋体" w:hAnsi="宋体"/>
              </w:rPr>
              <w:t>资格评审标准</w:t>
            </w:r>
            <w:r>
              <w:rPr>
                <w:rFonts w:hint="eastAsia" w:ascii="宋体" w:hAnsi="宋体"/>
              </w:rPr>
              <w:t>。</w:t>
            </w:r>
          </w:p>
        </w:tc>
      </w:tr>
      <w:tr w14:paraId="70895DEF">
        <w:tblPrEx>
          <w:tblCellMar>
            <w:top w:w="0" w:type="dxa"/>
            <w:left w:w="108" w:type="dxa"/>
            <w:bottom w:w="0" w:type="dxa"/>
            <w:right w:w="108" w:type="dxa"/>
          </w:tblCellMar>
        </w:tblPrEx>
        <w:trPr>
          <w:trHeight w:val="516"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7F03F3B1">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continue"/>
            <w:tcBorders>
              <w:left w:val="single" w:color="auto" w:sz="4" w:space="0"/>
              <w:bottom w:val="single" w:color="auto" w:sz="4" w:space="0"/>
              <w:right w:val="single" w:color="auto" w:sz="4" w:space="0"/>
            </w:tcBorders>
            <w:vAlign w:val="center"/>
          </w:tcPr>
          <w:p w14:paraId="608C45B4">
            <w:pPr>
              <w:adjustRightInd w:val="0"/>
              <w:snapToGrid w:val="0"/>
              <w:spacing w:line="400" w:lineRule="exact"/>
              <w:jc w:val="center"/>
              <w:rPr>
                <w:rFonts w:ascii="宋体" w:hAnsi="宋体" w:cs="宋体"/>
                <w:kern w:val="0"/>
                <w:szCs w:val="21"/>
              </w:rPr>
            </w:pPr>
          </w:p>
        </w:tc>
        <w:tc>
          <w:tcPr>
            <w:tcW w:w="2212" w:type="dxa"/>
            <w:tcBorders>
              <w:top w:val="single" w:color="auto" w:sz="4" w:space="0"/>
              <w:left w:val="single" w:color="auto" w:sz="4" w:space="0"/>
              <w:bottom w:val="single" w:color="auto" w:sz="4" w:space="0"/>
              <w:right w:val="single" w:color="auto" w:sz="4" w:space="0"/>
            </w:tcBorders>
            <w:vAlign w:val="center"/>
          </w:tcPr>
          <w:p w14:paraId="25854C07">
            <w:pPr>
              <w:widowControl/>
              <w:adjustRightInd w:val="0"/>
              <w:snapToGrid w:val="0"/>
              <w:spacing w:line="400" w:lineRule="exact"/>
              <w:rPr>
                <w:rFonts w:ascii="宋体" w:hAnsi="宋体"/>
                <w:szCs w:val="21"/>
              </w:rPr>
            </w:pPr>
            <w:r>
              <w:rPr>
                <w:rFonts w:ascii="宋体" w:hAnsi="宋体"/>
                <w:szCs w:val="21"/>
              </w:rPr>
              <w:t>8．</w:t>
            </w:r>
            <w:r>
              <w:rPr>
                <w:rFonts w:ascii="宋体" w:hAnsi="宋体" w:cs="宋体"/>
                <w:szCs w:val="21"/>
              </w:rPr>
              <w:t>投标人</w:t>
            </w:r>
            <w:r>
              <w:rPr>
                <w:rFonts w:hint="eastAsia" w:ascii="宋体" w:hAnsi="宋体" w:cs="宋体"/>
                <w:szCs w:val="21"/>
              </w:rPr>
              <w:t>还应符合的其他规定</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0223FB90">
            <w:pPr>
              <w:widowControl/>
              <w:adjustRightInd w:val="0"/>
              <w:snapToGrid w:val="0"/>
              <w:spacing w:line="400" w:lineRule="exact"/>
              <w:rPr>
                <w:rFonts w:ascii="宋体" w:hAnsi="宋体"/>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hint="eastAsia" w:ascii="宋体" w:hAnsi="宋体"/>
                <w:szCs w:val="21"/>
              </w:rPr>
              <w:t>投标人不存在第二章“投标人须知”前附表第</w:t>
            </w:r>
            <w:r>
              <w:rPr>
                <w:rFonts w:ascii="宋体" w:hAnsi="宋体"/>
                <w:szCs w:val="21"/>
              </w:rPr>
              <w:t>1.4.3项或</w:t>
            </w:r>
            <w:r>
              <w:rPr>
                <w:rFonts w:hint="eastAsia" w:ascii="宋体" w:hAnsi="宋体"/>
                <w:szCs w:val="21"/>
              </w:rPr>
              <w:t>第</w:t>
            </w:r>
            <w:r>
              <w:rPr>
                <w:rFonts w:ascii="宋体" w:hAnsi="宋体"/>
                <w:szCs w:val="21"/>
              </w:rPr>
              <w:t>1.4.4项规定的任何一种情形</w:t>
            </w:r>
            <w:r>
              <w:rPr>
                <w:rFonts w:hint="eastAsia" w:ascii="宋体" w:hAnsi="宋体" w:cs="宋体"/>
                <w:szCs w:val="21"/>
              </w:rPr>
              <w:t>（按本项资格评审标准第</w:t>
            </w:r>
            <w:r>
              <w:rPr>
                <w:rFonts w:ascii="宋体" w:hAnsi="宋体" w:cs="宋体"/>
                <w:szCs w:val="21"/>
              </w:rPr>
              <w:t>5</w:t>
            </w:r>
            <w:r>
              <w:rPr>
                <w:rFonts w:hint="eastAsia" w:ascii="宋体" w:hAnsi="宋体" w:cs="宋体"/>
                <w:szCs w:val="21"/>
              </w:rPr>
              <w:t>目</w:t>
            </w:r>
            <w:r>
              <w:rPr>
                <w:rFonts w:ascii="宋体" w:hAnsi="宋体" w:cs="宋体"/>
                <w:szCs w:val="21"/>
              </w:rPr>
              <w:t>信誉要求已评审的，此处不再评审）</w:t>
            </w:r>
            <w:r>
              <w:rPr>
                <w:rFonts w:hint="eastAsia" w:ascii="宋体" w:hAnsi="宋体"/>
                <w:szCs w:val="21"/>
              </w:rPr>
              <w:t>。</w:t>
            </w:r>
          </w:p>
          <w:p w14:paraId="5D8FC5E4">
            <w:pPr>
              <w:widowControl/>
              <w:adjustRightInd w:val="0"/>
              <w:snapToGrid w:val="0"/>
              <w:spacing w:line="400" w:lineRule="exact"/>
              <w:rPr>
                <w:rFonts w:ascii="宋体" w:hAnsi="宋体"/>
                <w:szCs w:val="21"/>
              </w:rPr>
            </w:pPr>
            <w:r>
              <w:rPr>
                <w:rFonts w:hint="eastAsia" w:ascii="宋体" w:hAnsi="宋体" w:cs="宋体"/>
                <w:b/>
                <w:szCs w:val="21"/>
              </w:rPr>
              <w:t>□</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hint="eastAsia" w:ascii="宋体" w:hAnsi="宋体"/>
                <w:szCs w:val="21"/>
              </w:rPr>
              <w:t>以联合体形式投标的，联合体各方均未再以自己名义单独或参加其他联合体在同一标段中投标；独立投标的，投标人未同时参加联合体在同一标段中投标。</w:t>
            </w:r>
          </w:p>
          <w:p w14:paraId="36B079A2">
            <w:pPr>
              <w:widowControl/>
              <w:adjustRightInd w:val="0"/>
              <w:snapToGrid w:val="0"/>
              <w:spacing w:line="400" w:lineRule="exact"/>
              <w:rPr>
                <w:rFonts w:ascii="宋体" w:hAnsi="宋体" w:cs="宋体"/>
                <w:kern w:val="0"/>
                <w:szCs w:val="21"/>
              </w:rPr>
            </w:pPr>
            <w:r>
              <w:rPr>
                <w:rFonts w:hint="eastAsia" w:ascii="宋体" w:hAnsi="宋体"/>
                <w:kern w:val="0"/>
                <w:szCs w:val="21"/>
              </w:rPr>
              <w:t>……</w:t>
            </w:r>
            <w:r>
              <w:rPr>
                <w:rFonts w:ascii="宋体" w:hAnsi="宋体"/>
                <w:kern w:val="0"/>
                <w:szCs w:val="21"/>
              </w:rPr>
              <w:t xml:space="preserve"> </w:t>
            </w:r>
          </w:p>
        </w:tc>
      </w:tr>
      <w:tr w14:paraId="3F5D4E5C">
        <w:tblPrEx>
          <w:tblCellMar>
            <w:top w:w="0" w:type="dxa"/>
            <w:left w:w="108" w:type="dxa"/>
            <w:bottom w:w="0" w:type="dxa"/>
            <w:right w:w="108" w:type="dxa"/>
          </w:tblCellMar>
        </w:tblPrEx>
        <w:trPr>
          <w:trHeight w:val="303"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0C4067C7">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14:paraId="6D8F28E1">
            <w:pPr>
              <w:widowControl/>
              <w:adjustRightInd w:val="0"/>
              <w:snapToGrid w:val="0"/>
              <w:spacing w:line="400" w:lineRule="exact"/>
              <w:jc w:val="center"/>
              <w:rPr>
                <w:rFonts w:ascii="宋体" w:hAnsi="宋体" w:cs="宋体"/>
                <w:kern w:val="0"/>
                <w:szCs w:val="21"/>
              </w:rPr>
            </w:pPr>
            <w:r>
              <w:rPr>
                <w:rFonts w:ascii="宋体" w:hAnsi="宋体" w:cs="宋体"/>
                <w:kern w:val="0"/>
                <w:szCs w:val="21"/>
              </w:rPr>
              <w:t>2.1.3</w:t>
            </w:r>
          </w:p>
          <w:p w14:paraId="4F74D694">
            <w:pPr>
              <w:adjustRightInd w:val="0"/>
              <w:snapToGrid w:val="0"/>
              <w:spacing w:line="400" w:lineRule="exact"/>
              <w:jc w:val="center"/>
              <w:rPr>
                <w:rFonts w:ascii="宋体" w:hAnsi="宋体" w:cs="宋体"/>
                <w:kern w:val="0"/>
                <w:szCs w:val="21"/>
              </w:rPr>
            </w:pPr>
            <w:r>
              <w:rPr>
                <w:rFonts w:hint="eastAsia" w:ascii="宋体" w:hAnsi="宋体" w:cs="宋体"/>
                <w:kern w:val="0"/>
                <w:szCs w:val="21"/>
              </w:rPr>
              <w:t>响应性评审标准</w:t>
            </w:r>
          </w:p>
        </w:tc>
        <w:tc>
          <w:tcPr>
            <w:tcW w:w="7260" w:type="dxa"/>
            <w:gridSpan w:val="3"/>
            <w:tcBorders>
              <w:top w:val="single" w:color="auto" w:sz="4" w:space="0"/>
              <w:left w:val="single" w:color="auto" w:sz="4" w:space="0"/>
              <w:bottom w:val="single" w:color="auto" w:sz="4" w:space="0"/>
              <w:right w:val="single" w:color="auto" w:sz="4" w:space="0"/>
            </w:tcBorders>
            <w:vAlign w:val="center"/>
          </w:tcPr>
          <w:p w14:paraId="6EFE464A">
            <w:pPr>
              <w:pStyle w:val="299"/>
              <w:adjustRightInd w:val="0"/>
              <w:snapToGrid w:val="0"/>
              <w:spacing w:line="400" w:lineRule="exact"/>
              <w:rPr>
                <w:rFonts w:ascii="宋体" w:hAnsi="宋体"/>
                <w:szCs w:val="21"/>
              </w:rPr>
            </w:pPr>
            <w:r>
              <w:rPr>
                <w:rFonts w:ascii="宋体" w:hAnsi="宋体"/>
                <w:szCs w:val="21"/>
              </w:rPr>
              <w:t>1.</w:t>
            </w:r>
            <w:r>
              <w:rPr>
                <w:rFonts w:hint="eastAsia" w:ascii="宋体" w:hAnsi="宋体"/>
                <w:szCs w:val="21"/>
              </w:rPr>
              <w:t>投标函上载明的招标项目工期（总工期、勘察设计周期和施工工期）符合招标文件规定的时间。</w:t>
            </w:r>
          </w:p>
        </w:tc>
      </w:tr>
      <w:tr w14:paraId="78C22954">
        <w:tblPrEx>
          <w:tblCellMar>
            <w:top w:w="0" w:type="dxa"/>
            <w:left w:w="108" w:type="dxa"/>
            <w:bottom w:w="0" w:type="dxa"/>
            <w:right w:w="108" w:type="dxa"/>
          </w:tblCellMar>
        </w:tblPrEx>
        <w:trPr>
          <w:trHeight w:val="555"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32437D64">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4BBFC6DC">
            <w:pPr>
              <w:widowControl/>
              <w:adjustRightInd w:val="0"/>
              <w:snapToGrid w:val="0"/>
              <w:spacing w:line="400" w:lineRule="exact"/>
              <w:jc w:val="center"/>
              <w:rPr>
                <w:rFonts w:ascii="宋体" w:hAnsi="宋体" w:cs="宋体"/>
                <w:kern w:val="0"/>
                <w:szCs w:val="21"/>
              </w:rPr>
            </w:pPr>
          </w:p>
        </w:tc>
        <w:tc>
          <w:tcPr>
            <w:tcW w:w="7260" w:type="dxa"/>
            <w:gridSpan w:val="3"/>
            <w:tcBorders>
              <w:top w:val="single" w:color="auto" w:sz="4" w:space="0"/>
              <w:left w:val="single" w:color="auto" w:sz="4" w:space="0"/>
              <w:bottom w:val="single" w:color="auto" w:sz="4" w:space="0"/>
              <w:right w:val="single" w:color="auto" w:sz="4" w:space="0"/>
            </w:tcBorders>
            <w:vAlign w:val="center"/>
          </w:tcPr>
          <w:p w14:paraId="11E3814E">
            <w:pPr>
              <w:pStyle w:val="299"/>
              <w:adjustRightInd w:val="0"/>
              <w:snapToGrid w:val="0"/>
              <w:spacing w:line="400" w:lineRule="exact"/>
              <w:rPr>
                <w:rFonts w:ascii="宋体" w:hAnsi="宋体"/>
                <w:szCs w:val="21"/>
              </w:rPr>
            </w:pPr>
            <w:r>
              <w:rPr>
                <w:rFonts w:ascii="宋体" w:hAnsi="宋体"/>
                <w:szCs w:val="21"/>
              </w:rPr>
              <w:t>2.</w:t>
            </w:r>
            <w:r>
              <w:rPr>
                <w:rFonts w:hint="eastAsia" w:ascii="宋体" w:hAnsi="宋体"/>
                <w:szCs w:val="21"/>
              </w:rPr>
              <w:t>投标文件对招标文件的实质性要求和条件在投标函</w:t>
            </w:r>
            <w:r>
              <w:rPr>
                <w:rFonts w:hint="eastAsia" w:ascii="宋体" w:hAnsi="宋体"/>
                <w:szCs w:val="21"/>
                <w:lang w:val="en-US" w:eastAsia="zh-CN"/>
              </w:rPr>
              <w:t>作</w:t>
            </w:r>
            <w:r>
              <w:rPr>
                <w:rFonts w:hint="eastAsia" w:ascii="宋体" w:hAnsi="宋体"/>
                <w:szCs w:val="21"/>
              </w:rPr>
              <w:t>出响应。</w:t>
            </w:r>
          </w:p>
        </w:tc>
      </w:tr>
      <w:tr w14:paraId="7877DF12">
        <w:tblPrEx>
          <w:tblCellMar>
            <w:top w:w="0" w:type="dxa"/>
            <w:left w:w="108" w:type="dxa"/>
            <w:bottom w:w="0" w:type="dxa"/>
            <w:right w:w="108" w:type="dxa"/>
          </w:tblCellMar>
        </w:tblPrEx>
        <w:trPr>
          <w:trHeight w:val="302"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49FF4EB9">
            <w:pPr>
              <w:adjustRightInd w:val="0"/>
              <w:snapToGrid w:val="0"/>
              <w:spacing w:line="400" w:lineRule="exact"/>
              <w:ind w:left="-210" w:leftChars="-100" w:right="-210" w:rightChars="-100"/>
              <w:jc w:val="center"/>
              <w:rPr>
                <w:rFonts w:ascii="宋体" w:hAnsi="宋体" w:cs="宋体"/>
                <w:kern w:val="0"/>
                <w:szCs w:val="21"/>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0775B5C2">
            <w:pPr>
              <w:widowControl/>
              <w:adjustRightInd w:val="0"/>
              <w:snapToGrid w:val="0"/>
              <w:spacing w:line="400" w:lineRule="exact"/>
              <w:jc w:val="center"/>
              <w:rPr>
                <w:rFonts w:ascii="宋体" w:hAnsi="宋体" w:cs="宋体"/>
                <w:kern w:val="0"/>
                <w:szCs w:val="21"/>
              </w:rPr>
            </w:pPr>
          </w:p>
        </w:tc>
        <w:tc>
          <w:tcPr>
            <w:tcW w:w="7260" w:type="dxa"/>
            <w:gridSpan w:val="3"/>
            <w:tcBorders>
              <w:top w:val="single" w:color="auto" w:sz="4" w:space="0"/>
              <w:left w:val="single" w:color="auto" w:sz="4" w:space="0"/>
              <w:bottom w:val="single" w:color="auto" w:sz="4" w:space="0"/>
              <w:right w:val="single" w:color="auto" w:sz="4" w:space="0"/>
            </w:tcBorders>
            <w:vAlign w:val="center"/>
          </w:tcPr>
          <w:p w14:paraId="498E3069">
            <w:pPr>
              <w:pStyle w:val="299"/>
              <w:adjustRightInd w:val="0"/>
              <w:snapToGrid w:val="0"/>
              <w:spacing w:line="400" w:lineRule="exact"/>
              <w:rPr>
                <w:rFonts w:ascii="宋体" w:hAnsi="宋体"/>
                <w:szCs w:val="21"/>
              </w:rPr>
            </w:pPr>
            <w:r>
              <w:rPr>
                <w:rFonts w:ascii="宋体" w:hAnsi="宋体"/>
                <w:szCs w:val="21"/>
              </w:rPr>
              <w:t>3.</w:t>
            </w:r>
            <w:r>
              <w:rPr>
                <w:rFonts w:hint="eastAsia" w:ascii="宋体" w:hAnsi="宋体"/>
                <w:szCs w:val="21"/>
              </w:rPr>
              <w:t>合同权利义务按招标文件规定在投标函中</w:t>
            </w:r>
            <w:r>
              <w:rPr>
                <w:rFonts w:hint="eastAsia" w:ascii="宋体" w:hAnsi="宋体"/>
                <w:szCs w:val="21"/>
                <w:lang w:val="en-US" w:eastAsia="zh-CN"/>
              </w:rPr>
              <w:t>作</w:t>
            </w:r>
            <w:r>
              <w:rPr>
                <w:rFonts w:hint="eastAsia" w:ascii="宋体" w:hAnsi="宋体"/>
                <w:szCs w:val="21"/>
              </w:rPr>
              <w:t>出承诺。</w:t>
            </w:r>
          </w:p>
        </w:tc>
      </w:tr>
      <w:tr w14:paraId="4FF4F0BA">
        <w:tblPrEx>
          <w:tblCellMar>
            <w:top w:w="0" w:type="dxa"/>
            <w:left w:w="108" w:type="dxa"/>
            <w:bottom w:w="0" w:type="dxa"/>
            <w:right w:w="108" w:type="dxa"/>
          </w:tblCellMar>
        </w:tblPrEx>
        <w:trPr>
          <w:trHeight w:val="1933"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30B51495">
            <w:pPr>
              <w:widowControl/>
              <w:adjustRightInd w:val="0"/>
              <w:snapToGrid w:val="0"/>
              <w:spacing w:line="400" w:lineRule="exact"/>
              <w:ind w:left="-210" w:leftChars="-100" w:right="-210" w:rightChars="-100"/>
              <w:jc w:val="center"/>
              <w:rPr>
                <w:rFonts w:ascii="宋体" w:hAnsi="宋体"/>
                <w:kern w:val="0"/>
                <w:szCs w:val="21"/>
              </w:rPr>
            </w:pPr>
            <w:r>
              <w:rPr>
                <w:rFonts w:ascii="宋体" w:hAnsi="宋体"/>
                <w:kern w:val="0"/>
                <w:szCs w:val="21"/>
              </w:rPr>
              <w:t>2.1</w:t>
            </w:r>
          </w:p>
          <w:p w14:paraId="230DD33B">
            <w:pPr>
              <w:widowControl/>
              <w:adjustRightInd w:val="0"/>
              <w:snapToGrid w:val="0"/>
              <w:spacing w:line="400" w:lineRule="exact"/>
              <w:jc w:val="center"/>
              <w:rPr>
                <w:rFonts w:ascii="宋体" w:hAnsi="宋体"/>
                <w:kern w:val="0"/>
                <w:szCs w:val="21"/>
              </w:rPr>
            </w:pPr>
            <w:r>
              <w:rPr>
                <w:rFonts w:hint="eastAsia" w:ascii="宋体" w:hAnsi="宋体"/>
                <w:kern w:val="0"/>
                <w:szCs w:val="21"/>
              </w:rPr>
              <w:t>初步评审标准</w:t>
            </w:r>
          </w:p>
          <w:p w14:paraId="07A46F6E">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（第二个</w:t>
            </w:r>
          </w:p>
          <w:p w14:paraId="03489A5F">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信封）</w:t>
            </w:r>
          </w:p>
          <w:p w14:paraId="7018ED1E">
            <w:pPr>
              <w:adjustRightInd w:val="0"/>
              <w:snapToGrid w:val="0"/>
              <w:spacing w:line="400" w:lineRule="exact"/>
              <w:ind w:left="-210" w:leftChars="-100" w:right="-210" w:rightChars="-100"/>
              <w:jc w:val="center"/>
              <w:rPr>
                <w:rFonts w:ascii="宋体" w:hAnsi="宋体"/>
                <w:kern w:val="0"/>
                <w:szCs w:val="21"/>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14:paraId="25AAAE4A">
            <w:pPr>
              <w:widowControl/>
              <w:adjustRightInd w:val="0"/>
              <w:snapToGrid w:val="0"/>
              <w:spacing w:line="400" w:lineRule="exact"/>
              <w:jc w:val="center"/>
              <w:rPr>
                <w:rFonts w:ascii="宋体" w:hAnsi="宋体"/>
                <w:kern w:val="0"/>
                <w:szCs w:val="21"/>
              </w:rPr>
            </w:pPr>
            <w:r>
              <w:rPr>
                <w:rFonts w:ascii="宋体" w:hAnsi="宋体"/>
                <w:kern w:val="0"/>
                <w:szCs w:val="21"/>
              </w:rPr>
              <w:t>2.1.1</w:t>
            </w:r>
          </w:p>
          <w:p w14:paraId="5AACA8C6">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形式评审标准</w:t>
            </w:r>
          </w:p>
        </w:tc>
        <w:tc>
          <w:tcPr>
            <w:tcW w:w="2212" w:type="dxa"/>
            <w:tcBorders>
              <w:top w:val="single" w:color="auto" w:sz="4" w:space="0"/>
              <w:left w:val="single" w:color="auto" w:sz="4" w:space="0"/>
              <w:bottom w:val="single" w:color="auto" w:sz="4" w:space="0"/>
              <w:right w:val="single" w:color="auto" w:sz="4" w:space="0"/>
            </w:tcBorders>
            <w:vAlign w:val="center"/>
          </w:tcPr>
          <w:p w14:paraId="54FA895C">
            <w:pPr>
              <w:widowControl/>
              <w:adjustRightInd w:val="0"/>
              <w:snapToGrid w:val="0"/>
              <w:spacing w:line="400" w:lineRule="exact"/>
              <w:rPr>
                <w:rFonts w:ascii="宋体" w:hAnsi="宋体"/>
                <w:kern w:val="0"/>
                <w:szCs w:val="21"/>
              </w:rPr>
            </w:pPr>
            <w:r>
              <w:rPr>
                <w:rFonts w:ascii="宋体" w:hAnsi="宋体"/>
                <w:szCs w:val="21"/>
              </w:rPr>
              <w:t>1．投标文件中的重要内容按照招标文件规定的格式、内容填写，字迹、印章清晰可辨</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0C0BE1B6">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szCs w:val="21"/>
              </w:rPr>
              <w:t>投标函（第二个信封）符合第八章“投标文件格式”要求</w:t>
            </w:r>
            <w:r>
              <w:rPr>
                <w:rFonts w:hint="eastAsia" w:ascii="宋体" w:hAnsi="宋体"/>
                <w:szCs w:val="21"/>
              </w:rPr>
              <w:t>。</w:t>
            </w:r>
          </w:p>
          <w:p w14:paraId="3C660C24">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2）已标价</w:t>
            </w:r>
            <w:r>
              <w:rPr>
                <w:rFonts w:hint="eastAsia" w:ascii="宋体" w:hAnsi="宋体" w:cs="宋体"/>
                <w:kern w:val="0"/>
                <w:szCs w:val="21"/>
              </w:rPr>
              <w:t>价格</w:t>
            </w:r>
            <w:r>
              <w:rPr>
                <w:rFonts w:ascii="宋体" w:hAnsi="宋体" w:cs="宋体"/>
                <w:kern w:val="0"/>
                <w:szCs w:val="21"/>
              </w:rPr>
              <w:t>清单说明与招标文件规定一致,未进行修改和删减</w:t>
            </w:r>
            <w:r>
              <w:rPr>
                <w:rFonts w:hint="eastAsia" w:ascii="宋体" w:hAnsi="宋体" w:cs="宋体"/>
                <w:kern w:val="0"/>
                <w:szCs w:val="21"/>
              </w:rPr>
              <w:t>。</w:t>
            </w:r>
          </w:p>
          <w:p w14:paraId="0A05745C">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3）投标文件组成齐全完整，内容均按规定填写。</w:t>
            </w:r>
          </w:p>
        </w:tc>
      </w:tr>
      <w:tr w14:paraId="4EFD4F4F">
        <w:tblPrEx>
          <w:tblCellMar>
            <w:top w:w="0" w:type="dxa"/>
            <w:left w:w="108" w:type="dxa"/>
            <w:bottom w:w="0" w:type="dxa"/>
            <w:right w:w="108" w:type="dxa"/>
          </w:tblCellMar>
        </w:tblPrEx>
        <w:trPr>
          <w:trHeight w:val="126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6749E7D6">
            <w:pPr>
              <w:adjustRightInd w:val="0"/>
              <w:snapToGrid w:val="0"/>
              <w:spacing w:line="400" w:lineRule="exact"/>
              <w:ind w:left="-210" w:leftChars="-100" w:right="-210" w:rightChars="-100"/>
              <w:jc w:val="center"/>
              <w:rPr>
                <w:rFonts w:ascii="宋体" w:hAnsi="宋体" w:cs="宋体"/>
                <w:b/>
                <w:bCs/>
                <w:kern w:val="0"/>
                <w:szCs w:val="21"/>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14:paraId="2BFEB9FE">
            <w:pPr>
              <w:widowControl/>
              <w:adjustRightInd w:val="0"/>
              <w:snapToGrid w:val="0"/>
              <w:spacing w:line="400" w:lineRule="exact"/>
              <w:jc w:val="left"/>
              <w:rPr>
                <w:rFonts w:ascii="宋体" w:hAnsi="宋体" w:cs="宋体"/>
                <w:b/>
                <w:bCs/>
                <w:kern w:val="0"/>
                <w:szCs w:val="21"/>
              </w:rPr>
            </w:pPr>
          </w:p>
        </w:tc>
        <w:tc>
          <w:tcPr>
            <w:tcW w:w="2212" w:type="dxa"/>
            <w:tcBorders>
              <w:top w:val="single" w:color="auto" w:sz="4" w:space="0"/>
              <w:left w:val="single" w:color="auto" w:sz="4" w:space="0"/>
              <w:bottom w:val="single" w:color="auto" w:sz="4" w:space="0"/>
              <w:right w:val="single" w:color="auto" w:sz="4" w:space="0"/>
            </w:tcBorders>
            <w:vAlign w:val="center"/>
          </w:tcPr>
          <w:p w14:paraId="5E33FE04">
            <w:pPr>
              <w:widowControl/>
              <w:adjustRightInd w:val="0"/>
              <w:snapToGrid w:val="0"/>
              <w:spacing w:line="400" w:lineRule="exact"/>
              <w:rPr>
                <w:rFonts w:ascii="宋体" w:hAnsi="宋体"/>
                <w:kern w:val="0"/>
                <w:szCs w:val="21"/>
              </w:rPr>
            </w:pPr>
            <w:r>
              <w:rPr>
                <w:rFonts w:ascii="宋体" w:hAnsi="宋体"/>
                <w:szCs w:val="21"/>
              </w:rPr>
              <w:t>2．投标文件上法定代表人或其委托代理人的</w:t>
            </w:r>
            <w:r>
              <w:rPr>
                <w:rFonts w:hint="eastAsia" w:ascii="宋体" w:hAnsi="宋体" w:cs="宋体"/>
                <w:szCs w:val="21"/>
              </w:rPr>
              <w:t>个人电子签名章或个人电子印章、投标人的单位电子印章盖章齐全</w:t>
            </w:r>
            <w:r>
              <w:rPr>
                <w:rFonts w:ascii="宋体" w:hAnsi="宋体"/>
                <w:szCs w:val="21"/>
              </w:rPr>
              <w:t>，符合招标文件规定</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6C736C96">
            <w:pPr>
              <w:pStyle w:val="299"/>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1）投标函</w:t>
            </w:r>
            <w:r>
              <w:rPr>
                <w:rFonts w:hint="eastAsia"/>
                <w:szCs w:val="21"/>
              </w:rPr>
              <w:t>（第二个信封）</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szCs w:val="21"/>
              </w:rPr>
              <w:t>（第二个信封）</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，投标人均应使用个人CA数字证书加盖法定代表人或其委托代理人的个人电子签名章或个人电子印章。</w:t>
            </w:r>
          </w:p>
          <w:p w14:paraId="190AD6CF">
            <w:pPr>
              <w:pStyle w:val="299"/>
              <w:adjustRightInd w:val="0"/>
              <w:snapToGrid w:val="0"/>
              <w:spacing w:line="400" w:lineRule="exact"/>
              <w:rPr>
                <w:rFonts w:ascii="宋体" w:hAnsi="宋体"/>
                <w:kern w:val="0"/>
                <w:szCs w:val="21"/>
              </w:rPr>
            </w:pPr>
            <w:r>
              <w:rPr>
                <w:rFonts w:hint="eastAsia" w:ascii="宋体" w:hAnsi="宋体" w:cs="宋体"/>
                <w:b/>
                <w:szCs w:val="21"/>
              </w:rPr>
              <w:t>□</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）以</w:t>
            </w:r>
            <w:r>
              <w:rPr>
                <w:rFonts w:hint="eastAsia" w:ascii="宋体" w:hAnsi="宋体"/>
                <w:szCs w:val="21"/>
              </w:rPr>
              <w:t>联合体形式投标的，投标函</w:t>
            </w:r>
            <w:r>
              <w:rPr>
                <w:rFonts w:hint="eastAsia"/>
                <w:szCs w:val="21"/>
              </w:rPr>
              <w:t>（第二个信封）</w:t>
            </w:r>
            <w:r>
              <w:rPr>
                <w:rFonts w:hint="eastAsia" w:ascii="宋体" w:hAnsi="宋体"/>
                <w:szCs w:val="21"/>
              </w:rPr>
              <w:t>由联合体牵头人按上述要求完成签字、盖章。</w:t>
            </w:r>
          </w:p>
        </w:tc>
      </w:tr>
      <w:tr w14:paraId="2B44BAD1">
        <w:tblPrEx>
          <w:tblCellMar>
            <w:top w:w="0" w:type="dxa"/>
            <w:left w:w="108" w:type="dxa"/>
            <w:bottom w:w="0" w:type="dxa"/>
            <w:right w:w="108" w:type="dxa"/>
          </w:tblCellMar>
        </w:tblPrEx>
        <w:trPr>
          <w:trHeight w:val="4015"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5ACEFA2D">
            <w:pPr>
              <w:adjustRightInd w:val="0"/>
              <w:snapToGrid w:val="0"/>
              <w:spacing w:line="400" w:lineRule="exact"/>
              <w:ind w:left="-210" w:leftChars="-100" w:right="-210" w:rightChars="-100"/>
              <w:jc w:val="center"/>
              <w:rPr>
                <w:rFonts w:ascii="宋体" w:hAnsi="宋体"/>
                <w:kern w:val="0"/>
                <w:szCs w:val="21"/>
              </w:rPr>
            </w:pPr>
          </w:p>
        </w:tc>
        <w:tc>
          <w:tcPr>
            <w:tcW w:w="813" w:type="dxa"/>
            <w:tcBorders>
              <w:top w:val="single" w:color="auto" w:sz="4" w:space="0"/>
              <w:left w:val="single" w:color="auto" w:sz="4" w:space="0"/>
              <w:bottom w:val="single" w:color="auto" w:sz="4" w:space="0"/>
              <w:right w:val="single" w:color="auto" w:sz="4" w:space="0"/>
            </w:tcBorders>
            <w:vAlign w:val="center"/>
          </w:tcPr>
          <w:p w14:paraId="3587AF69">
            <w:pPr>
              <w:widowControl/>
              <w:adjustRightInd w:val="0"/>
              <w:snapToGrid w:val="0"/>
              <w:spacing w:line="400" w:lineRule="exact"/>
              <w:jc w:val="center"/>
              <w:rPr>
                <w:rFonts w:ascii="宋体" w:hAnsi="宋体"/>
                <w:kern w:val="0"/>
                <w:szCs w:val="21"/>
              </w:rPr>
            </w:pPr>
            <w:r>
              <w:rPr>
                <w:rFonts w:ascii="宋体" w:hAnsi="宋体"/>
                <w:kern w:val="0"/>
                <w:szCs w:val="21"/>
              </w:rPr>
              <w:t>2.1.3</w:t>
            </w:r>
          </w:p>
          <w:p w14:paraId="70726E54">
            <w:pPr>
              <w:adjustRightInd w:val="0"/>
              <w:snapToGrid w:val="0"/>
              <w:spacing w:line="400" w:lineRule="exact"/>
              <w:jc w:val="center"/>
              <w:rPr>
                <w:rFonts w:ascii="宋体" w:hAnsi="宋体"/>
                <w:kern w:val="0"/>
                <w:szCs w:val="21"/>
              </w:rPr>
            </w:pPr>
            <w:r>
              <w:rPr>
                <w:rFonts w:hint="eastAsia" w:ascii="宋体" w:hAnsi="宋体"/>
                <w:szCs w:val="21"/>
              </w:rPr>
              <w:t>响应性评审标准</w:t>
            </w:r>
          </w:p>
        </w:tc>
        <w:tc>
          <w:tcPr>
            <w:tcW w:w="2212" w:type="dxa"/>
            <w:tcBorders>
              <w:top w:val="single" w:color="auto" w:sz="4" w:space="0"/>
              <w:left w:val="single" w:color="auto" w:sz="4" w:space="0"/>
              <w:bottom w:val="single" w:color="auto" w:sz="4" w:space="0"/>
              <w:right w:val="single" w:color="auto" w:sz="4" w:space="0"/>
            </w:tcBorders>
            <w:vAlign w:val="center"/>
          </w:tcPr>
          <w:p w14:paraId="2E730985">
            <w:pPr>
              <w:widowControl/>
              <w:adjustRightInd w:val="0"/>
              <w:snapToGrid w:val="0"/>
              <w:spacing w:line="400" w:lineRule="exact"/>
              <w:rPr>
                <w:rFonts w:ascii="宋体" w:hAnsi="宋体"/>
                <w:szCs w:val="21"/>
              </w:rPr>
            </w:pPr>
            <w:r>
              <w:rPr>
                <w:rFonts w:ascii="宋体" w:hAnsi="宋体" w:cs="宋体"/>
                <w:szCs w:val="21"/>
              </w:rPr>
              <w:t>1.投标文件应符合的其他规定</w:t>
            </w:r>
          </w:p>
        </w:tc>
        <w:tc>
          <w:tcPr>
            <w:tcW w:w="5048" w:type="dxa"/>
            <w:gridSpan w:val="2"/>
            <w:tcBorders>
              <w:top w:val="single" w:color="auto" w:sz="4" w:space="0"/>
              <w:left w:val="single" w:color="auto" w:sz="4" w:space="0"/>
              <w:bottom w:val="single" w:color="auto" w:sz="4" w:space="0"/>
              <w:right w:val="single" w:color="auto" w:sz="4" w:space="0"/>
            </w:tcBorders>
            <w:vAlign w:val="center"/>
          </w:tcPr>
          <w:p w14:paraId="019CBAC5">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1）投标报价未超过招标文件设定的最高投标限价（如有）。</w:t>
            </w:r>
          </w:p>
          <w:p w14:paraId="65FF55CE">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2）投标报价的大写金额能够确定具体数值。</w:t>
            </w:r>
          </w:p>
          <w:p w14:paraId="20A9E57B">
            <w:pPr>
              <w:widowControl/>
              <w:adjustRightInd w:val="0"/>
              <w:snapToGrid w:val="0"/>
              <w:spacing w:line="400" w:lineRule="exact"/>
              <w:ind w:firstLine="210" w:firstLineChars="100"/>
              <w:rPr>
                <w:rFonts w:hint="eastAsia" w:ascii="宋体" w:hAnsi="宋体"/>
                <w:szCs w:val="21"/>
              </w:rPr>
            </w:pPr>
            <w:r>
              <w:rPr>
                <w:rFonts w:hint="eastAsia" w:ascii="宋体" w:hAnsi="宋体"/>
                <w:szCs w:val="21"/>
                <w:lang w:val="en-US" w:eastAsia="zh-CN"/>
              </w:rPr>
              <w:t>注：</w:t>
            </w:r>
            <w:r>
              <w:rPr>
                <w:rFonts w:hint="eastAsia" w:ascii="宋体" w:hAnsi="宋体"/>
                <w:szCs w:val="21"/>
              </w:rPr>
              <w:t>当报价方式采用单价或总价以外的其他情形时，投标报价能够确定具体数值。</w:t>
            </w:r>
          </w:p>
          <w:p w14:paraId="719953AF">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cs="宋体"/>
                <w:szCs w:val="21"/>
              </w:rPr>
              <w:t>同一投标人未提交两个以上</w:t>
            </w:r>
            <w:r>
              <w:rPr>
                <w:rFonts w:ascii="宋体" w:hAnsi="宋体" w:cs="宋体"/>
                <w:szCs w:val="21"/>
              </w:rPr>
              <w:t>投标报价，</w:t>
            </w:r>
            <w:r>
              <w:rPr>
                <w:rFonts w:hint="eastAsia" w:ascii="宋体" w:hAnsi="宋体" w:cs="宋体"/>
                <w:szCs w:val="21"/>
              </w:rPr>
              <w:t>但招标文件要求提交备选</w:t>
            </w:r>
            <w:r>
              <w:rPr>
                <w:rFonts w:hint="eastAsia" w:ascii="宋体" w:hAnsi="宋体" w:cs="宋体"/>
                <w:szCs w:val="21"/>
                <w:lang w:val="en-US" w:eastAsia="zh-CN"/>
              </w:rPr>
              <w:t>投标</w:t>
            </w:r>
            <w:r>
              <w:rPr>
                <w:rFonts w:hint="eastAsia" w:ascii="宋体" w:hAnsi="宋体" w:cs="宋体"/>
                <w:szCs w:val="21"/>
              </w:rPr>
              <w:t>方案的除外。</w:t>
            </w:r>
          </w:p>
          <w:p w14:paraId="0E2E04B7">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4）</w:t>
            </w:r>
            <w:r>
              <w:rPr>
                <w:rFonts w:hint="eastAsia" w:ascii="宋体" w:hAnsi="宋体"/>
                <w:kern w:val="0"/>
                <w:szCs w:val="21"/>
              </w:rPr>
              <w:t>若采用价格固化清单电子方式，投标人填写完毕的价格固化清单未对价格固化清单电子文件中的数据、格式和运算定义进行修改。</w:t>
            </w:r>
          </w:p>
          <w:p w14:paraId="6B5668CD">
            <w:pPr>
              <w:widowControl/>
              <w:adjustRightInd w:val="0"/>
              <w:snapToGrid w:val="0"/>
              <w:spacing w:line="400" w:lineRule="exact"/>
              <w:rPr>
                <w:rFonts w:ascii="宋体" w:hAnsi="宋体" w:cs="宋体"/>
                <w:szCs w:val="21"/>
              </w:rPr>
            </w:pPr>
            <w:r>
              <w:rPr>
                <w:rFonts w:hint="eastAsia" w:ascii="宋体" w:hAnsi="宋体" w:eastAsia="宋体" w:cs="宋体"/>
                <w:szCs w:val="21"/>
              </w:rPr>
              <w:t>……</w:t>
            </w:r>
          </w:p>
        </w:tc>
      </w:tr>
    </w:tbl>
    <w:p w14:paraId="003F2AAC">
      <w:pPr>
        <w:jc w:val="left"/>
        <w:rPr>
          <w:rFonts w:hint="eastAsia"/>
        </w:rPr>
      </w:pPr>
      <w:r>
        <w:rPr>
          <w:rFonts w:hint="eastAsia"/>
        </w:rPr>
        <w:br w:type="page"/>
      </w:r>
    </w:p>
    <w:p w14:paraId="7CE6F06B">
      <w:pPr>
        <w:jc w:val="right"/>
      </w:pPr>
      <w:r>
        <w:rPr>
          <w:rFonts w:hint="eastAsia"/>
        </w:rPr>
        <w:t>续上表</w:t>
      </w:r>
    </w:p>
    <w:tbl>
      <w:tblPr>
        <w:tblStyle w:val="49"/>
        <w:tblW w:w="8818" w:type="dxa"/>
        <w:tblInd w:w="-34" w:type="dxa"/>
        <w:tblLayout w:type="fixed"/>
        <w:tblCellMar>
          <w:top w:w="0" w:type="dxa"/>
          <w:left w:w="108" w:type="dxa"/>
          <w:bottom w:w="0" w:type="dxa"/>
          <w:right w:w="108" w:type="dxa"/>
        </w:tblCellMar>
      </w:tblPr>
      <w:tblGrid>
        <w:gridCol w:w="990"/>
        <w:gridCol w:w="1307"/>
        <w:gridCol w:w="6521"/>
      </w:tblGrid>
      <w:tr w14:paraId="453789D3">
        <w:tblPrEx>
          <w:tblCellMar>
            <w:top w:w="0" w:type="dxa"/>
            <w:left w:w="108" w:type="dxa"/>
            <w:bottom w:w="0" w:type="dxa"/>
            <w:right w:w="108" w:type="dxa"/>
          </w:tblCellMar>
        </w:tblPrEx>
        <w:trPr>
          <w:trHeight w:val="508" w:hRule="atLeast"/>
        </w:trPr>
        <w:tc>
          <w:tcPr>
            <w:tcW w:w="990" w:type="dxa"/>
            <w:tcBorders>
              <w:top w:val="single" w:color="auto" w:sz="4" w:space="0"/>
              <w:left w:val="single" w:color="auto" w:sz="4" w:space="0"/>
              <w:bottom w:val="single" w:color="auto" w:sz="4" w:space="0"/>
              <w:right w:val="single" w:color="auto" w:sz="4" w:space="0"/>
            </w:tcBorders>
            <w:vAlign w:val="center"/>
          </w:tcPr>
          <w:p w14:paraId="57C63991">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1307" w:type="dxa"/>
            <w:tcBorders>
              <w:top w:val="single" w:color="auto" w:sz="4" w:space="0"/>
              <w:left w:val="single" w:color="auto" w:sz="4" w:space="0"/>
              <w:bottom w:val="single" w:color="auto" w:sz="4" w:space="0"/>
              <w:right w:val="single" w:color="000000" w:sz="4" w:space="0"/>
            </w:tcBorders>
            <w:vAlign w:val="center"/>
          </w:tcPr>
          <w:p w14:paraId="69C873D5">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条款内容</w:t>
            </w:r>
          </w:p>
        </w:tc>
        <w:tc>
          <w:tcPr>
            <w:tcW w:w="6521" w:type="dxa"/>
            <w:tcBorders>
              <w:top w:val="single" w:color="auto" w:sz="4" w:space="0"/>
              <w:left w:val="single" w:color="auto" w:sz="4" w:space="0"/>
              <w:bottom w:val="single" w:color="auto" w:sz="4" w:space="0"/>
              <w:right w:val="single" w:color="auto" w:sz="4" w:space="0"/>
            </w:tcBorders>
            <w:vAlign w:val="center"/>
          </w:tcPr>
          <w:p w14:paraId="22E614B7">
            <w:pPr>
              <w:widowControl/>
              <w:adjustRightInd w:val="0"/>
              <w:snapToGrid w:val="0"/>
              <w:spacing w:line="400" w:lineRule="exact"/>
              <w:jc w:val="center"/>
              <w:rPr>
                <w:rFonts w:ascii="宋体" w:hAnsi="宋体"/>
                <w:b/>
                <w:bCs/>
                <w:szCs w:val="21"/>
              </w:rPr>
            </w:pPr>
            <w:r>
              <w:rPr>
                <w:rFonts w:hint="eastAsia" w:ascii="宋体" w:hAnsi="宋体"/>
                <w:b/>
                <w:bCs/>
                <w:szCs w:val="21"/>
              </w:rPr>
              <w:t>编列内容</w:t>
            </w:r>
          </w:p>
        </w:tc>
      </w:tr>
      <w:tr w14:paraId="158B35E8">
        <w:tblPrEx>
          <w:tblCellMar>
            <w:top w:w="0" w:type="dxa"/>
            <w:left w:w="108" w:type="dxa"/>
            <w:bottom w:w="0" w:type="dxa"/>
            <w:right w:w="108" w:type="dxa"/>
          </w:tblCellMar>
        </w:tblPrEx>
        <w:trPr>
          <w:trHeight w:val="1101" w:hRule="atLeast"/>
        </w:trPr>
        <w:tc>
          <w:tcPr>
            <w:tcW w:w="990" w:type="dxa"/>
            <w:tcBorders>
              <w:top w:val="single" w:color="auto" w:sz="4" w:space="0"/>
              <w:left w:val="single" w:color="auto" w:sz="4" w:space="0"/>
              <w:bottom w:val="single" w:color="auto" w:sz="4" w:space="0"/>
              <w:right w:val="single" w:color="auto" w:sz="4" w:space="0"/>
            </w:tcBorders>
            <w:vAlign w:val="center"/>
          </w:tcPr>
          <w:p w14:paraId="3FBF6A01">
            <w:pPr>
              <w:spacing w:line="400" w:lineRule="exact"/>
              <w:jc w:val="center"/>
              <w:rPr>
                <w:rFonts w:ascii="宋体" w:hAnsi="宋体" w:cs="宋体"/>
                <w:kern w:val="0"/>
                <w:szCs w:val="21"/>
              </w:rPr>
            </w:pPr>
            <w:r>
              <w:rPr>
                <w:rFonts w:ascii="宋体" w:hAnsi="宋体" w:cs="宋体"/>
                <w:kern w:val="0"/>
                <w:szCs w:val="21"/>
              </w:rPr>
              <w:t>2.2.1</w:t>
            </w:r>
          </w:p>
        </w:tc>
        <w:tc>
          <w:tcPr>
            <w:tcW w:w="1307" w:type="dxa"/>
            <w:tcBorders>
              <w:top w:val="single" w:color="auto" w:sz="4" w:space="0"/>
              <w:left w:val="single" w:color="auto" w:sz="4" w:space="0"/>
              <w:bottom w:val="single" w:color="auto" w:sz="4" w:space="0"/>
              <w:right w:val="single" w:color="000000" w:sz="4" w:space="0"/>
            </w:tcBorders>
            <w:vAlign w:val="center"/>
          </w:tcPr>
          <w:p w14:paraId="37392920">
            <w:pPr>
              <w:pStyle w:val="299"/>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第一个信封评分分值构成（总分</w:t>
            </w:r>
            <w:r>
              <w:rPr>
                <w:rFonts w:ascii="宋体" w:hAnsi="宋体" w:cs="宋体"/>
                <w:kern w:val="0"/>
                <w:szCs w:val="21"/>
              </w:rPr>
              <w:t>100分）</w:t>
            </w:r>
          </w:p>
        </w:tc>
        <w:tc>
          <w:tcPr>
            <w:tcW w:w="6521" w:type="dxa"/>
            <w:tcBorders>
              <w:top w:val="single" w:color="auto" w:sz="4" w:space="0"/>
              <w:left w:val="single" w:color="auto" w:sz="4" w:space="0"/>
              <w:bottom w:val="single" w:color="auto" w:sz="4" w:space="0"/>
              <w:right w:val="single" w:color="auto" w:sz="4" w:space="0"/>
            </w:tcBorders>
            <w:vAlign w:val="center"/>
          </w:tcPr>
          <w:p w14:paraId="12BCD492">
            <w:pPr>
              <w:pStyle w:val="299"/>
              <w:adjustRightInd w:val="0"/>
              <w:snapToGrid w:val="0"/>
              <w:spacing w:line="400" w:lineRule="exact"/>
              <w:rPr>
                <w:rFonts w:ascii="宋体" w:hAnsi="宋体" w:cs="宋体"/>
                <w:b/>
                <w:szCs w:val="21"/>
              </w:rPr>
            </w:pPr>
            <w:r>
              <w:rPr>
                <w:rFonts w:hint="eastAsia" w:ascii="宋体" w:hAnsi="宋体" w:cs="宋体"/>
                <w:b/>
                <w:szCs w:val="21"/>
              </w:rPr>
              <w:t>□</w:t>
            </w:r>
            <w:r>
              <w:rPr>
                <w:rFonts w:ascii="宋体" w:hAnsi="宋体" w:cs="宋体"/>
                <w:b/>
                <w:szCs w:val="21"/>
                <w:u w:val="single"/>
              </w:rPr>
              <w:t xml:space="preserve">     </w:t>
            </w:r>
            <w:r>
              <w:rPr>
                <w:rFonts w:hint="eastAsia" w:ascii="宋体" w:hAnsi="宋体" w:cs="宋体"/>
                <w:b/>
                <w:szCs w:val="21"/>
              </w:rPr>
              <w:t>标段</w:t>
            </w:r>
          </w:p>
          <w:p w14:paraId="4C6AE5C0">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设计施工总承包方案：</w:t>
            </w:r>
            <w:r>
              <w:rPr>
                <w:rFonts w:ascii="宋体" w:hAnsi="宋体" w:cs="宋体"/>
                <w:szCs w:val="21"/>
                <w:u w:val="single"/>
              </w:rPr>
              <w:t xml:space="preserve">     </w:t>
            </w:r>
            <w:r>
              <w:rPr>
                <w:rFonts w:ascii="宋体" w:hAnsi="宋体" w:cs="宋体"/>
                <w:szCs w:val="21"/>
              </w:rPr>
              <w:t>分</w:t>
            </w:r>
            <w:r>
              <w:rPr>
                <w:rFonts w:hint="eastAsia" w:ascii="宋体" w:hAnsi="宋体" w:cs="宋体"/>
                <w:szCs w:val="21"/>
              </w:rPr>
              <w:t>（暗标评审）</w:t>
            </w:r>
          </w:p>
          <w:p w14:paraId="541358FA">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主要人员：</w:t>
            </w:r>
            <w:r>
              <w:rPr>
                <w:rFonts w:ascii="宋体" w:hAnsi="宋体" w:cs="宋体"/>
                <w:szCs w:val="21"/>
                <w:u w:val="single"/>
              </w:rPr>
              <w:t xml:space="preserve">     </w:t>
            </w:r>
            <w:r>
              <w:rPr>
                <w:rFonts w:ascii="宋体" w:hAnsi="宋体" w:cs="宋体"/>
                <w:szCs w:val="21"/>
              </w:rPr>
              <w:t>分</w:t>
            </w:r>
          </w:p>
          <w:p w14:paraId="3F5BD344">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其他因素：</w:t>
            </w:r>
            <w:r>
              <w:rPr>
                <w:rFonts w:ascii="宋体" w:hAnsi="宋体" w:cs="宋体"/>
                <w:szCs w:val="21"/>
                <w:u w:val="single"/>
              </w:rPr>
              <w:t xml:space="preserve">     </w:t>
            </w:r>
            <w:r>
              <w:rPr>
                <w:rFonts w:ascii="宋体" w:hAnsi="宋体" w:cs="宋体"/>
                <w:szCs w:val="21"/>
              </w:rPr>
              <w:t>分，其中：</w:t>
            </w:r>
          </w:p>
          <w:p w14:paraId="21C4C2F6">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技术能力：</w:t>
            </w:r>
            <w:r>
              <w:rPr>
                <w:rFonts w:ascii="宋体" w:hAnsi="宋体" w:cs="宋体"/>
                <w:szCs w:val="21"/>
                <w:u w:val="single"/>
              </w:rPr>
              <w:t xml:space="preserve">      </w:t>
            </w:r>
            <w:r>
              <w:rPr>
                <w:rFonts w:ascii="宋体" w:hAnsi="宋体" w:cs="宋体"/>
                <w:szCs w:val="21"/>
              </w:rPr>
              <w:t>分</w:t>
            </w:r>
          </w:p>
          <w:p w14:paraId="7EF4C420">
            <w:pPr>
              <w:pStyle w:val="299"/>
              <w:adjustRightInd w:val="0"/>
              <w:snapToGrid w:val="0"/>
              <w:spacing w:line="400" w:lineRule="exact"/>
              <w:ind w:firstLine="1050" w:firstLineChars="500"/>
              <w:rPr>
                <w:rFonts w:ascii="宋体" w:hAnsi="宋体" w:cs="宋体"/>
                <w:szCs w:val="21"/>
              </w:rPr>
            </w:pPr>
            <w:r>
              <w:rPr>
                <w:rFonts w:ascii="宋体" w:hAnsi="宋体" w:cs="宋体"/>
                <w:szCs w:val="21"/>
              </w:rPr>
              <w:t>业</w:t>
            </w:r>
            <w:r>
              <w:rPr>
                <w:rFonts w:hint="eastAsia" w:ascii="宋体" w:hAnsi="宋体" w:cs="宋体"/>
                <w:szCs w:val="21"/>
                <w:lang w:val="en-US" w:eastAsia="zh-CN"/>
              </w:rPr>
              <w:t xml:space="preserve">    </w:t>
            </w:r>
            <w:r>
              <w:rPr>
                <w:rFonts w:ascii="宋体" w:hAnsi="宋体" w:cs="宋体"/>
                <w:szCs w:val="21"/>
              </w:rPr>
              <w:t>绩</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ascii="宋体" w:hAnsi="宋体" w:cs="宋体"/>
                <w:szCs w:val="21"/>
              </w:rPr>
              <w:t>分</w:t>
            </w:r>
          </w:p>
          <w:p w14:paraId="237B96DA">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履约信誉：</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ascii="宋体" w:hAnsi="宋体" w:cs="宋体"/>
                <w:szCs w:val="21"/>
              </w:rPr>
              <w:t>分</w:t>
            </w:r>
          </w:p>
          <w:p w14:paraId="6BB6D69C">
            <w:pPr>
              <w:pStyle w:val="299"/>
              <w:adjustRightInd w:val="0"/>
              <w:snapToGrid w:val="0"/>
              <w:spacing w:line="400" w:lineRule="exact"/>
              <w:ind w:firstLine="1058" w:firstLineChars="504"/>
              <w:rPr>
                <w:rFonts w:ascii="宋体" w:hAnsi="宋体" w:cs="宋体"/>
                <w:color w:val="000000"/>
                <w:szCs w:val="21"/>
              </w:rPr>
            </w:pPr>
            <w:r>
              <w:rPr>
                <w:rFonts w:hint="eastAsia" w:ascii="宋体" w:hAnsi="宋体" w:cs="宋体"/>
                <w:color w:val="000000"/>
                <w:szCs w:val="21"/>
              </w:rPr>
              <w:t xml:space="preserve">其 </w:t>
            </w:r>
            <w:r>
              <w:rPr>
                <w:rFonts w:ascii="宋体" w:hAnsi="宋体" w:cs="宋体"/>
                <w:color w:val="000000"/>
                <w:szCs w:val="21"/>
              </w:rPr>
              <w:t xml:space="preserve">   </w:t>
            </w:r>
            <w:r>
              <w:rPr>
                <w:rFonts w:hint="eastAsia" w:ascii="宋体" w:hAnsi="宋体" w:cs="宋体"/>
                <w:color w:val="000000"/>
                <w:szCs w:val="21"/>
              </w:rPr>
              <w:t>他：</w:t>
            </w:r>
            <w:r>
              <w:rPr>
                <w:rFonts w:ascii="宋体" w:hAnsi="宋体" w:cs="宋体"/>
                <w:color w:val="000000"/>
                <w:szCs w:val="21"/>
                <w:u w:val="single"/>
              </w:rPr>
              <w:t xml:space="preserve">     </w:t>
            </w:r>
            <w:r>
              <w:rPr>
                <w:rFonts w:ascii="宋体" w:hAnsi="宋体" w:cs="宋体"/>
                <w:color w:val="000000"/>
                <w:szCs w:val="21"/>
              </w:rPr>
              <w:t>分</w:t>
            </w:r>
          </w:p>
          <w:p w14:paraId="5DC5DD27">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w:t>
            </w:r>
          </w:p>
          <w:p w14:paraId="41BD130B">
            <w:pPr>
              <w:pStyle w:val="299"/>
              <w:adjustRightInd w:val="0"/>
              <w:snapToGrid w:val="0"/>
              <w:spacing w:line="400" w:lineRule="exact"/>
              <w:rPr>
                <w:rFonts w:ascii="宋体" w:hAnsi="宋体" w:cs="宋体"/>
                <w:b/>
                <w:szCs w:val="21"/>
              </w:rPr>
            </w:pPr>
            <w:r>
              <w:rPr>
                <w:rFonts w:hint="eastAsia" w:ascii="宋体" w:hAnsi="宋体" w:cs="宋体"/>
                <w:b/>
                <w:szCs w:val="21"/>
              </w:rPr>
              <w:t>□</w:t>
            </w:r>
            <w:r>
              <w:rPr>
                <w:rFonts w:ascii="宋体" w:hAnsi="宋体" w:cs="宋体"/>
                <w:b/>
                <w:szCs w:val="21"/>
                <w:u w:val="single"/>
              </w:rPr>
              <w:t xml:space="preserve">     </w:t>
            </w:r>
            <w:r>
              <w:rPr>
                <w:rFonts w:hint="eastAsia" w:ascii="宋体" w:hAnsi="宋体" w:cs="宋体"/>
                <w:b/>
                <w:szCs w:val="21"/>
              </w:rPr>
              <w:t>标段</w:t>
            </w:r>
          </w:p>
          <w:p w14:paraId="18965293">
            <w:pPr>
              <w:widowControl/>
              <w:adjustRightInd w:val="0"/>
              <w:snapToGrid w:val="0"/>
              <w:spacing w:line="400" w:lineRule="exact"/>
              <w:ind w:firstLine="630" w:firstLineChars="300"/>
              <w:jc w:val="left"/>
              <w:rPr>
                <w:rFonts w:hint="eastAsia" w:ascii="宋体" w:hAnsi="宋体" w:cs="宋体"/>
                <w:szCs w:val="21"/>
              </w:rPr>
            </w:pPr>
            <w:r>
              <w:rPr>
                <w:rFonts w:hint="eastAsia" w:ascii="宋体" w:hAnsi="宋体" w:cs="宋体"/>
                <w:szCs w:val="21"/>
              </w:rPr>
              <w:t>……</w:t>
            </w:r>
          </w:p>
          <w:p w14:paraId="67C6930F">
            <w:pPr>
              <w:pStyle w:val="299"/>
              <w:adjustRightInd w:val="0"/>
              <w:snapToGrid w:val="0"/>
              <w:spacing w:line="400" w:lineRule="exact"/>
              <w:ind w:left="0" w:leftChars="0" w:firstLine="210" w:firstLineChars="100"/>
              <w:rPr>
                <w:rFonts w:ascii="宋体" w:hAnsi="宋体" w:cs="宋体"/>
                <w:szCs w:val="21"/>
              </w:rPr>
            </w:pPr>
            <w:r>
              <w:rPr>
                <w:rFonts w:hint="eastAsia" w:ascii="宋体" w:hAnsi="宋体" w:cs="宋体"/>
                <w:szCs w:val="21"/>
              </w:rPr>
              <w:t>注：1</w:t>
            </w:r>
            <w:r>
              <w:rPr>
                <w:rFonts w:ascii="宋体" w:hAnsi="宋体" w:cs="宋体"/>
                <w:szCs w:val="21"/>
              </w:rPr>
              <w:t>.</w:t>
            </w:r>
            <w:r>
              <w:rPr>
                <w:rFonts w:hint="eastAsia" w:ascii="宋体" w:hAnsi="宋体" w:cs="宋体"/>
                <w:szCs w:val="21"/>
              </w:rPr>
              <w:t>各评分因素权重范围如下：施工组织设计</w:t>
            </w:r>
            <w:r>
              <w:rPr>
                <w:rFonts w:ascii="宋体" w:hAnsi="宋体" w:cs="宋体"/>
                <w:szCs w:val="21"/>
              </w:rPr>
              <w:t>25</w:t>
            </w:r>
            <w:r>
              <w:rPr>
                <w:rFonts w:hint="eastAsia" w:ascii="宋体" w:hAnsi="宋体" w:cs="宋体"/>
                <w:szCs w:val="21"/>
              </w:rPr>
              <w:t>～</w:t>
            </w:r>
            <w:r>
              <w:rPr>
                <w:rFonts w:ascii="宋体" w:hAnsi="宋体" w:cs="宋体"/>
                <w:szCs w:val="21"/>
              </w:rPr>
              <w:t>40</w:t>
            </w:r>
            <w:r>
              <w:rPr>
                <w:rFonts w:hint="eastAsia" w:ascii="宋体" w:hAnsi="宋体" w:cs="宋体"/>
                <w:szCs w:val="21"/>
              </w:rPr>
              <w:t>分；主要人员</w:t>
            </w:r>
            <w:r>
              <w:rPr>
                <w:rFonts w:ascii="宋体" w:hAnsi="宋体" w:cs="宋体"/>
                <w:szCs w:val="21"/>
              </w:rPr>
              <w:t>25</w:t>
            </w:r>
            <w:r>
              <w:rPr>
                <w:rFonts w:hint="eastAsia" w:ascii="宋体" w:hAnsi="宋体" w:cs="宋体"/>
                <w:szCs w:val="21"/>
              </w:rPr>
              <w:t>～</w:t>
            </w:r>
            <w:r>
              <w:rPr>
                <w:rFonts w:ascii="宋体" w:hAnsi="宋体" w:cs="宋体"/>
                <w:szCs w:val="21"/>
              </w:rPr>
              <w:t>40分；其他因素包括：技术能力10</w:t>
            </w:r>
            <w:r>
              <w:rPr>
                <w:rFonts w:hint="eastAsia" w:ascii="宋体" w:hAnsi="宋体" w:cs="宋体"/>
                <w:szCs w:val="21"/>
              </w:rPr>
              <w:t>～</w:t>
            </w:r>
            <w:r>
              <w:rPr>
                <w:rFonts w:ascii="宋体" w:hAnsi="宋体" w:cs="宋体"/>
                <w:szCs w:val="21"/>
              </w:rPr>
              <w:t>20</w:t>
            </w:r>
            <w:r>
              <w:rPr>
                <w:rFonts w:hint="eastAsia" w:ascii="宋体" w:hAnsi="宋体" w:cs="宋体"/>
                <w:szCs w:val="21"/>
              </w:rPr>
              <w:t>分，业绩</w:t>
            </w:r>
            <w:r>
              <w:rPr>
                <w:rFonts w:ascii="宋体" w:hAnsi="宋体" w:cs="宋体"/>
                <w:szCs w:val="21"/>
              </w:rPr>
              <w:t>0～25分，履约信誉0～5</w:t>
            </w:r>
            <w:r>
              <w:rPr>
                <w:rFonts w:hint="eastAsia" w:ascii="宋体" w:hAnsi="宋体" w:cs="宋体"/>
                <w:szCs w:val="21"/>
              </w:rPr>
              <w:t>分，</w:t>
            </w:r>
            <w:r>
              <w:rPr>
                <w:rFonts w:hint="eastAsia" w:ascii="宋体" w:hAnsi="宋体" w:cs="宋体"/>
                <w:color w:val="000000"/>
                <w:szCs w:val="21"/>
              </w:rPr>
              <w:t>其他允许</w:t>
            </w:r>
            <w:r>
              <w:rPr>
                <w:rFonts w:ascii="宋体" w:hAnsi="宋体" w:cs="宋体"/>
                <w:color w:val="000000"/>
                <w:szCs w:val="21"/>
              </w:rPr>
              <w:t>0分</w:t>
            </w:r>
            <w:r>
              <w:rPr>
                <w:rFonts w:hint="eastAsia" w:ascii="宋体" w:hAnsi="宋体" w:cs="宋体"/>
                <w:szCs w:val="21"/>
              </w:rPr>
              <w:t>。各评分因素权重分值合计应为</w:t>
            </w:r>
            <w:r>
              <w:rPr>
                <w:rFonts w:ascii="宋体" w:hAnsi="宋体" w:cs="宋体"/>
                <w:szCs w:val="21"/>
              </w:rPr>
              <w:t>100分。</w:t>
            </w:r>
          </w:p>
          <w:p w14:paraId="3852410E">
            <w:pPr>
              <w:widowControl/>
              <w:numPr>
                <w:ilvl w:val="-1"/>
                <w:numId w:val="0"/>
              </w:numPr>
              <w:adjustRightInd w:val="0"/>
              <w:snapToGrid w:val="0"/>
              <w:spacing w:line="400" w:lineRule="exact"/>
              <w:ind w:left="0" w:leftChars="0" w:firstLine="210" w:firstLineChars="100"/>
              <w:jc w:val="left"/>
              <w:rPr>
                <w:rFonts w:hint="eastAsia" w:asciiTheme="minorEastAsia" w:hAnsiTheme="minorEastAsia" w:eastAsiaTheme="minorEastAsia"/>
                <w:snapToGrid w:val="0"/>
                <w:kern w:val="0"/>
              </w:rPr>
            </w:pPr>
            <w:r>
              <w:rPr>
                <w:rFonts w:hint="eastAsia" w:ascii="宋体" w:hAnsi="宋体"/>
                <w:snapToGrid w:val="0"/>
                <w:kern w:val="0"/>
                <w:lang w:val="en-US" w:eastAsia="zh-CN"/>
              </w:rPr>
              <w:t>2.</w:t>
            </w:r>
            <w:r>
              <w:rPr>
                <w:rFonts w:ascii="宋体" w:hAnsi="宋体"/>
                <w:snapToGrid w:val="0"/>
                <w:kern w:val="0"/>
              </w:rPr>
              <w:t>技术能力指投标人的科研开发和技术创新能力，招标人可结合招标项目的具体情况提出相关要求，包括投标人获得的与项目施工有关的国家级工法、</w:t>
            </w:r>
            <w:r>
              <w:rPr>
                <w:rFonts w:hint="eastAsia" w:ascii="宋体" w:hAnsi="宋体"/>
                <w:snapToGrid w:val="0"/>
                <w:kern w:val="0"/>
              </w:rPr>
              <w:t>专利（发明专利或实用新型专利）、国家或省级科学技术进步奖，主编或参编过的国家、行业或地方标准等</w:t>
            </w:r>
            <w:r>
              <w:rPr>
                <w:rFonts w:hint="eastAsia" w:asciiTheme="minorEastAsia" w:hAnsiTheme="minorEastAsia" w:eastAsiaTheme="minorEastAsia"/>
                <w:snapToGrid w:val="0"/>
                <w:kern w:val="0"/>
              </w:rPr>
              <w:t>。</w:t>
            </w:r>
          </w:p>
          <w:p w14:paraId="7919D3DB">
            <w:pPr>
              <w:widowControl/>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设计施工总承包方案</w:t>
            </w:r>
            <w:r>
              <w:rPr>
                <w:rFonts w:hint="eastAsia" w:asciiTheme="minorEastAsia" w:hAnsiTheme="minorEastAsia" w:eastAsiaTheme="minorEastAsia"/>
                <w:snapToGrid w:val="0"/>
                <w:kern w:val="0"/>
              </w:rPr>
              <w:t>所有正文中不得出现投标人的名称和其他可识别投标人身份的文字、符号、标识等，否则评标委员会应对暗标部分的评分按</w:t>
            </w:r>
            <w:r>
              <w:rPr>
                <w:rFonts w:hint="eastAsia" w:asciiTheme="minorEastAsia" w:hAnsiTheme="minorEastAsia" w:eastAsiaTheme="minorEastAsia"/>
                <w:snapToGrid w:val="0"/>
                <w:kern w:val="0"/>
                <w:lang w:val="en-US" w:eastAsia="zh-CN"/>
              </w:rPr>
              <w:t>0</w:t>
            </w:r>
            <w:r>
              <w:rPr>
                <w:rFonts w:hint="eastAsia" w:asciiTheme="minorEastAsia" w:hAnsiTheme="minorEastAsia" w:eastAsiaTheme="minorEastAsia"/>
                <w:snapToGrid w:val="0"/>
                <w:kern w:val="0"/>
              </w:rPr>
              <w:t>分处理，但不否决其投标。</w:t>
            </w:r>
          </w:p>
        </w:tc>
      </w:tr>
      <w:tr w14:paraId="7E53B9C7">
        <w:tblPrEx>
          <w:tblCellMar>
            <w:top w:w="0" w:type="dxa"/>
            <w:left w:w="108" w:type="dxa"/>
            <w:bottom w:w="0" w:type="dxa"/>
            <w:right w:w="108" w:type="dxa"/>
          </w:tblCellMar>
        </w:tblPrEx>
        <w:trPr>
          <w:trHeight w:val="853" w:hRule="atLeast"/>
        </w:trPr>
        <w:tc>
          <w:tcPr>
            <w:tcW w:w="990" w:type="dxa"/>
            <w:tcBorders>
              <w:top w:val="single" w:color="auto" w:sz="4" w:space="0"/>
              <w:left w:val="single" w:color="auto" w:sz="4" w:space="0"/>
              <w:bottom w:val="single" w:color="auto" w:sz="4" w:space="0"/>
              <w:right w:val="single" w:color="auto" w:sz="4" w:space="0"/>
            </w:tcBorders>
            <w:vAlign w:val="center"/>
          </w:tcPr>
          <w:p w14:paraId="18A6B989">
            <w:pPr>
              <w:widowControl/>
              <w:adjustRightInd w:val="0"/>
              <w:snapToGrid w:val="0"/>
              <w:spacing w:line="400" w:lineRule="exact"/>
              <w:jc w:val="center"/>
              <w:rPr>
                <w:rFonts w:ascii="宋体" w:hAnsi="宋体" w:cs="宋体"/>
                <w:kern w:val="0"/>
                <w:szCs w:val="21"/>
              </w:rPr>
            </w:pPr>
            <w:r>
              <w:rPr>
                <w:rFonts w:ascii="宋体" w:hAnsi="宋体" w:cs="宋体"/>
                <w:kern w:val="0"/>
                <w:szCs w:val="21"/>
              </w:rPr>
              <w:t>2.2.2</w:t>
            </w:r>
          </w:p>
        </w:tc>
        <w:tc>
          <w:tcPr>
            <w:tcW w:w="1307" w:type="dxa"/>
            <w:tcBorders>
              <w:top w:val="single" w:color="auto" w:sz="4" w:space="0"/>
              <w:left w:val="single" w:color="auto" w:sz="4" w:space="0"/>
              <w:bottom w:val="single" w:color="auto" w:sz="4" w:space="0"/>
              <w:right w:val="single" w:color="auto" w:sz="4" w:space="0"/>
            </w:tcBorders>
            <w:vAlign w:val="center"/>
          </w:tcPr>
          <w:p w14:paraId="1F34E98A">
            <w:pPr>
              <w:widowControl/>
              <w:adjustRightInd w:val="0"/>
              <w:snapToGrid w:val="0"/>
              <w:spacing w:line="400" w:lineRule="exact"/>
              <w:jc w:val="center"/>
              <w:rPr>
                <w:rFonts w:ascii="宋体" w:hAnsi="宋体"/>
                <w:szCs w:val="21"/>
              </w:rPr>
            </w:pPr>
            <w:r>
              <w:rPr>
                <w:rFonts w:hint="eastAsia" w:ascii="宋体" w:hAnsi="宋体"/>
                <w:szCs w:val="21"/>
              </w:rPr>
              <w:t>第一个信封</w:t>
            </w:r>
            <w:r>
              <w:rPr>
                <w:rFonts w:ascii="宋体" w:hAnsi="宋体"/>
                <w:szCs w:val="21"/>
              </w:rPr>
              <w:t>评分标准</w:t>
            </w:r>
          </w:p>
        </w:tc>
        <w:tc>
          <w:tcPr>
            <w:tcW w:w="6521" w:type="dxa"/>
            <w:tcBorders>
              <w:top w:val="single" w:color="auto" w:sz="4" w:space="0"/>
              <w:left w:val="single" w:color="auto" w:sz="4" w:space="0"/>
              <w:bottom w:val="single" w:color="auto" w:sz="4" w:space="0"/>
              <w:right w:val="single" w:color="auto" w:sz="4" w:space="0"/>
            </w:tcBorders>
            <w:vAlign w:val="center"/>
          </w:tcPr>
          <w:p w14:paraId="018460F5">
            <w:pPr>
              <w:widowControl/>
              <w:adjustRightInd w:val="0"/>
              <w:snapToGrid w:val="0"/>
              <w:spacing w:line="400" w:lineRule="exact"/>
              <w:rPr>
                <w:rFonts w:hint="eastAsia" w:ascii="宋体" w:hAnsi="宋体" w:eastAsia="宋体" w:cs="宋体"/>
                <w:szCs w:val="21"/>
                <w:lang w:eastAsia="zh-CN"/>
              </w:rPr>
            </w:pPr>
            <w:r>
              <w:rPr>
                <w:rFonts w:hint="eastAsia" w:ascii="宋体" w:hAnsi="宋体" w:cs="宋体"/>
                <w:szCs w:val="21"/>
              </w:rPr>
              <w:t>见“评分因素与权重分值”</w:t>
            </w:r>
            <w:r>
              <w:rPr>
                <w:rFonts w:hint="eastAsia" w:ascii="宋体" w:hAnsi="宋体" w:cs="宋体"/>
                <w:szCs w:val="21"/>
                <w:lang w:eastAsia="zh-CN"/>
              </w:rPr>
              <w:t>。</w:t>
            </w:r>
          </w:p>
        </w:tc>
      </w:tr>
      <w:tr w14:paraId="2E0F35CB">
        <w:tblPrEx>
          <w:tblCellMar>
            <w:top w:w="0" w:type="dxa"/>
            <w:left w:w="108" w:type="dxa"/>
            <w:bottom w:w="0" w:type="dxa"/>
            <w:right w:w="108" w:type="dxa"/>
          </w:tblCellMar>
        </w:tblPrEx>
        <w:trPr>
          <w:trHeight w:val="1329" w:hRule="atLeast"/>
        </w:trPr>
        <w:tc>
          <w:tcPr>
            <w:tcW w:w="990" w:type="dxa"/>
            <w:tcBorders>
              <w:top w:val="single" w:color="auto" w:sz="4" w:space="0"/>
              <w:left w:val="single" w:color="auto" w:sz="4" w:space="0"/>
              <w:bottom w:val="single" w:color="auto" w:sz="4" w:space="0"/>
              <w:right w:val="single" w:color="auto" w:sz="4" w:space="0"/>
            </w:tcBorders>
            <w:vAlign w:val="center"/>
          </w:tcPr>
          <w:p w14:paraId="088FB666">
            <w:pPr>
              <w:widowControl/>
              <w:adjustRightInd w:val="0"/>
              <w:snapToGrid w:val="0"/>
              <w:spacing w:line="400" w:lineRule="exact"/>
              <w:jc w:val="center"/>
              <w:rPr>
                <w:rFonts w:ascii="宋体" w:hAnsi="宋体" w:cs="宋体"/>
                <w:kern w:val="0"/>
                <w:szCs w:val="21"/>
              </w:rPr>
            </w:pPr>
            <w:r>
              <w:rPr>
                <w:rFonts w:ascii="宋体" w:hAnsi="宋体" w:cs="宋体"/>
                <w:kern w:val="0"/>
                <w:szCs w:val="21"/>
              </w:rPr>
              <w:t>2.2.3</w:t>
            </w:r>
          </w:p>
        </w:tc>
        <w:tc>
          <w:tcPr>
            <w:tcW w:w="1307" w:type="dxa"/>
            <w:tcBorders>
              <w:top w:val="single" w:color="auto" w:sz="4" w:space="0"/>
              <w:left w:val="single" w:color="auto" w:sz="4" w:space="0"/>
              <w:bottom w:val="single" w:color="auto" w:sz="4" w:space="0"/>
              <w:right w:val="single" w:color="auto" w:sz="4" w:space="0"/>
            </w:tcBorders>
            <w:vAlign w:val="center"/>
          </w:tcPr>
          <w:p w14:paraId="3CD1D90B">
            <w:pPr>
              <w:widowControl/>
              <w:adjustRightInd w:val="0"/>
              <w:snapToGrid w:val="0"/>
              <w:spacing w:line="400" w:lineRule="exact"/>
              <w:jc w:val="center"/>
              <w:rPr>
                <w:rFonts w:hint="eastAsia" w:ascii="宋体" w:hAnsi="宋体" w:eastAsia="宋体"/>
                <w:szCs w:val="21"/>
                <w:lang w:val="en-US" w:eastAsia="zh-CN"/>
              </w:rPr>
            </w:pPr>
            <w:r>
              <w:rPr>
                <w:rFonts w:hint="eastAsia" w:ascii="宋体" w:hAnsi="宋体"/>
                <w:szCs w:val="21"/>
              </w:rPr>
              <w:t>第二个信封</w:t>
            </w:r>
            <w:r>
              <w:rPr>
                <w:rFonts w:ascii="宋体" w:hAnsi="宋体"/>
                <w:szCs w:val="21"/>
              </w:rPr>
              <w:t>详细评审</w:t>
            </w:r>
            <w:r>
              <w:rPr>
                <w:rFonts w:hint="eastAsia" w:ascii="宋体" w:hAnsi="宋体"/>
                <w:szCs w:val="21"/>
                <w:lang w:val="en-US" w:eastAsia="zh-CN"/>
              </w:rPr>
              <w:t>标准</w:t>
            </w:r>
          </w:p>
        </w:tc>
        <w:tc>
          <w:tcPr>
            <w:tcW w:w="6521" w:type="dxa"/>
            <w:tcBorders>
              <w:top w:val="single" w:color="auto" w:sz="4" w:space="0"/>
              <w:left w:val="single" w:color="auto" w:sz="4" w:space="0"/>
              <w:bottom w:val="single" w:color="auto" w:sz="4" w:space="0"/>
              <w:right w:val="single" w:color="auto" w:sz="4" w:space="0"/>
            </w:tcBorders>
            <w:vAlign w:val="center"/>
          </w:tcPr>
          <w:p w14:paraId="32A0A73B">
            <w:pPr>
              <w:widowControl/>
              <w:adjustRightInd w:val="0"/>
              <w:snapToGrid w:val="0"/>
              <w:spacing w:line="400" w:lineRule="exact"/>
              <w:rPr>
                <w:rFonts w:ascii="宋体" w:hAnsi="宋体" w:cs="宋体"/>
                <w:b/>
                <w:szCs w:val="21"/>
              </w:rPr>
            </w:pPr>
            <w:r>
              <w:rPr>
                <w:rFonts w:hint="eastAsia" w:ascii="宋体" w:hAnsi="宋体" w:cs="宋体"/>
                <w:b/>
                <w:szCs w:val="21"/>
              </w:rPr>
              <w:t>评标价计算公式：</w:t>
            </w:r>
          </w:p>
          <w:p w14:paraId="5DE475A5">
            <w:pPr>
              <w:widowControl/>
              <w:adjustRightInd/>
              <w:snapToGrid/>
              <w:spacing w:line="400" w:lineRule="exact"/>
              <w:ind w:firstLine="0"/>
              <w:rPr>
                <w:rFonts w:ascii="宋体" w:hAnsi="宋体" w:cs="宋体"/>
                <w:szCs w:val="21"/>
                <w:u w:val="single"/>
              </w:rPr>
            </w:pPr>
            <w:r>
              <w:rPr>
                <w:rFonts w:hint="eastAsia" w:ascii="宋体" w:hAnsi="宋体" w:cs="宋体"/>
                <w:szCs w:val="21"/>
              </w:rPr>
              <w:t>评标价＝</w:t>
            </w:r>
            <w:r>
              <w:rPr>
                <w:rFonts w:hint="eastAsia" w:ascii="宋体" w:hAnsi="宋体" w:cs="宋体"/>
                <w:szCs w:val="21"/>
                <w:u w:val="single"/>
              </w:rPr>
              <w:t>通过第一个信封</w:t>
            </w:r>
            <w:r>
              <w:rPr>
                <w:rFonts w:asciiTheme="minorEastAsia" w:hAnsiTheme="minorEastAsia" w:eastAsiaTheme="minorEastAsia"/>
                <w:szCs w:val="21"/>
              </w:rPr>
              <w:t>（商务及技术文件）</w:t>
            </w:r>
            <w:r>
              <w:rPr>
                <w:rFonts w:hint="eastAsia" w:ascii="宋体" w:hAnsi="宋体" w:cs="宋体"/>
                <w:szCs w:val="21"/>
                <w:u w:val="single"/>
              </w:rPr>
              <w:t>评审的投标人投标函</w:t>
            </w:r>
            <w:r>
              <w:rPr>
                <w:rFonts w:hint="eastAsia" w:ascii="宋体" w:hAnsi="宋体" w:cs="宋体"/>
                <w:szCs w:val="21"/>
                <w:u w:val="single"/>
                <w:lang w:eastAsia="zh-CN"/>
              </w:rPr>
              <w:t>（</w:t>
            </w:r>
            <w:r>
              <w:rPr>
                <w:rFonts w:hint="eastAsia" w:ascii="宋体" w:hAnsi="宋体" w:cs="宋体"/>
                <w:szCs w:val="21"/>
                <w:u w:val="single"/>
              </w:rPr>
              <w:t>第二个信封</w:t>
            </w:r>
            <w:r>
              <w:rPr>
                <w:rFonts w:hint="eastAsia" w:ascii="宋体" w:hAnsi="宋体" w:cs="宋体"/>
                <w:szCs w:val="21"/>
                <w:u w:val="single"/>
                <w:lang w:eastAsia="zh-CN"/>
              </w:rPr>
              <w:t>）</w:t>
            </w:r>
            <w:r>
              <w:rPr>
                <w:rFonts w:hint="eastAsia" w:ascii="宋体" w:hAnsi="宋体" w:cs="宋体"/>
                <w:szCs w:val="21"/>
                <w:u w:val="single"/>
              </w:rPr>
              <w:t xml:space="preserve">中投标总报价大写金额 </w:t>
            </w:r>
          </w:p>
        </w:tc>
      </w:tr>
    </w:tbl>
    <w:p w14:paraId="622803B6">
      <w:pPr>
        <w:jc w:val="right"/>
      </w:pPr>
    </w:p>
    <w:p w14:paraId="7F8941AD">
      <w:pPr>
        <w:jc w:val="right"/>
      </w:pPr>
    </w:p>
    <w:p w14:paraId="1B4D227D">
      <w:pPr>
        <w:jc w:val="right"/>
      </w:pPr>
    </w:p>
    <w:p w14:paraId="3AB0E96C">
      <w:pPr>
        <w:jc w:val="right"/>
      </w:pPr>
    </w:p>
    <w:p w14:paraId="1C118738">
      <w:pPr>
        <w:jc w:val="right"/>
      </w:pPr>
    </w:p>
    <w:p w14:paraId="7195DE4A">
      <w:pPr>
        <w:jc w:val="right"/>
      </w:pPr>
    </w:p>
    <w:p w14:paraId="08E5EBD8">
      <w:pPr>
        <w:jc w:val="right"/>
      </w:pPr>
    </w:p>
    <w:p w14:paraId="0C34E812">
      <w:pPr>
        <w:jc w:val="right"/>
      </w:pPr>
    </w:p>
    <w:p w14:paraId="45384E9A">
      <w:pPr>
        <w:jc w:val="right"/>
      </w:pPr>
    </w:p>
    <w:p w14:paraId="68ABB1D5">
      <w:pPr>
        <w:jc w:val="right"/>
      </w:pPr>
      <w:r>
        <w:rPr>
          <w:rFonts w:hint="eastAsia"/>
        </w:rPr>
        <w:t>续上表</w:t>
      </w:r>
    </w:p>
    <w:tbl>
      <w:tblPr>
        <w:tblStyle w:val="49"/>
        <w:tblW w:w="8947" w:type="dxa"/>
        <w:tblInd w:w="-34" w:type="dxa"/>
        <w:tblLayout w:type="fixed"/>
        <w:tblCellMar>
          <w:top w:w="0" w:type="dxa"/>
          <w:left w:w="108" w:type="dxa"/>
          <w:bottom w:w="0" w:type="dxa"/>
          <w:right w:w="108" w:type="dxa"/>
        </w:tblCellMar>
      </w:tblPr>
      <w:tblGrid>
        <w:gridCol w:w="990"/>
        <w:gridCol w:w="1130"/>
        <w:gridCol w:w="6827"/>
      </w:tblGrid>
      <w:tr w14:paraId="46941271">
        <w:tblPrEx>
          <w:tblCellMar>
            <w:top w:w="0" w:type="dxa"/>
            <w:left w:w="108" w:type="dxa"/>
            <w:bottom w:w="0" w:type="dxa"/>
            <w:right w:w="108" w:type="dxa"/>
          </w:tblCellMar>
        </w:tblPrEx>
        <w:trPr>
          <w:trHeight w:val="422" w:hRule="atLeast"/>
          <w:tblHeader/>
        </w:trPr>
        <w:tc>
          <w:tcPr>
            <w:tcW w:w="2120" w:type="dxa"/>
            <w:gridSpan w:val="2"/>
            <w:tcBorders>
              <w:top w:val="single" w:color="000000" w:sz="4" w:space="0"/>
              <w:left w:val="single" w:color="000000" w:sz="4" w:space="0"/>
              <w:bottom w:val="single" w:color="auto" w:sz="4" w:space="0"/>
              <w:right w:val="single" w:color="000000" w:sz="4" w:space="0"/>
            </w:tcBorders>
            <w:vAlign w:val="center"/>
          </w:tcPr>
          <w:p w14:paraId="276289DF">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6827" w:type="dxa"/>
            <w:tcBorders>
              <w:top w:val="single" w:color="000000" w:sz="4" w:space="0"/>
              <w:left w:val="nil"/>
              <w:bottom w:val="single" w:color="000000" w:sz="4" w:space="0"/>
              <w:right w:val="single" w:color="000000" w:sz="4" w:space="0"/>
            </w:tcBorders>
            <w:vAlign w:val="center"/>
          </w:tcPr>
          <w:p w14:paraId="058D2EB9">
            <w:pPr>
              <w:widowControl/>
              <w:adjustRightInd w:val="0"/>
              <w:snapToGrid w:val="0"/>
              <w:spacing w:line="400" w:lineRule="exact"/>
              <w:jc w:val="center"/>
              <w:rPr>
                <w:rFonts w:ascii="宋体" w:hAnsi="宋体" w:cs="宋体"/>
                <w:b/>
                <w:bCs/>
              </w:rPr>
            </w:pPr>
            <w:r>
              <w:rPr>
                <w:rFonts w:hint="eastAsia" w:ascii="宋体" w:hAnsi="宋体" w:cs="宋体"/>
                <w:b/>
                <w:bCs/>
              </w:rPr>
              <w:t>评审因素与评审标准</w:t>
            </w:r>
          </w:p>
        </w:tc>
      </w:tr>
      <w:tr w14:paraId="37E37E3A">
        <w:tblPrEx>
          <w:tblCellMar>
            <w:top w:w="0" w:type="dxa"/>
            <w:left w:w="108" w:type="dxa"/>
            <w:bottom w:w="0" w:type="dxa"/>
            <w:right w:w="108" w:type="dxa"/>
          </w:tblCellMar>
        </w:tblPrEx>
        <w:trPr>
          <w:trHeight w:val="799" w:hRule="atLeast"/>
        </w:trPr>
        <w:tc>
          <w:tcPr>
            <w:tcW w:w="990" w:type="dxa"/>
            <w:tcBorders>
              <w:top w:val="single" w:color="000000" w:sz="4" w:space="0"/>
              <w:left w:val="single" w:color="000000" w:sz="4" w:space="0"/>
              <w:bottom w:val="single" w:color="auto" w:sz="4" w:space="0"/>
              <w:right w:val="single" w:color="000000" w:sz="4" w:space="0"/>
            </w:tcBorders>
            <w:vAlign w:val="center"/>
          </w:tcPr>
          <w:p w14:paraId="39ED3164">
            <w:pPr>
              <w:widowControl/>
              <w:adjustRightInd w:val="0"/>
              <w:snapToGrid w:val="0"/>
              <w:spacing w:line="400" w:lineRule="exact"/>
              <w:jc w:val="center"/>
              <w:rPr>
                <w:rFonts w:ascii="宋体" w:hAnsi="宋体" w:cs="宋体"/>
                <w:kern w:val="0"/>
                <w:szCs w:val="21"/>
              </w:rPr>
            </w:pPr>
            <w:r>
              <w:rPr>
                <w:rFonts w:ascii="宋体" w:hAnsi="宋体" w:cs="宋体"/>
                <w:kern w:val="0"/>
                <w:szCs w:val="21"/>
              </w:rPr>
              <w:t>3.1</w:t>
            </w:r>
          </w:p>
          <w:p w14:paraId="4F413B57">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第一个信封初步评审</w:t>
            </w:r>
          </w:p>
        </w:tc>
        <w:tc>
          <w:tcPr>
            <w:tcW w:w="1130" w:type="dxa"/>
            <w:tcBorders>
              <w:top w:val="single" w:color="auto" w:sz="4" w:space="0"/>
              <w:left w:val="nil"/>
              <w:bottom w:val="single" w:color="000000" w:sz="4" w:space="0"/>
              <w:right w:val="single" w:color="000000" w:sz="4" w:space="0"/>
            </w:tcBorders>
            <w:vAlign w:val="center"/>
          </w:tcPr>
          <w:p w14:paraId="4CA9E10C">
            <w:pPr>
              <w:widowControl/>
              <w:adjustRightInd w:val="0"/>
              <w:snapToGrid w:val="0"/>
              <w:spacing w:line="400" w:lineRule="exact"/>
              <w:jc w:val="center"/>
              <w:rPr>
                <w:rFonts w:ascii="宋体" w:hAnsi="宋体" w:cs="宋体"/>
                <w:kern w:val="0"/>
                <w:szCs w:val="21"/>
              </w:rPr>
            </w:pPr>
            <w:r>
              <w:rPr>
                <w:rFonts w:ascii="宋体" w:hAnsi="宋体" w:cs="宋体"/>
                <w:kern w:val="0"/>
                <w:szCs w:val="21"/>
              </w:rPr>
              <w:t>3.1.1</w:t>
            </w:r>
          </w:p>
        </w:tc>
        <w:tc>
          <w:tcPr>
            <w:tcW w:w="6827" w:type="dxa"/>
            <w:tcBorders>
              <w:top w:val="single" w:color="000000" w:sz="4" w:space="0"/>
              <w:left w:val="nil"/>
              <w:bottom w:val="single" w:color="000000" w:sz="4" w:space="0"/>
              <w:right w:val="single" w:color="000000" w:sz="4" w:space="0"/>
            </w:tcBorders>
            <w:vAlign w:val="center"/>
          </w:tcPr>
          <w:p w14:paraId="22088229">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1）评标委员会依据本章第2.1.1</w:t>
            </w:r>
            <w:r>
              <w:rPr>
                <w:rFonts w:hint="eastAsia" w:asciiTheme="minorEastAsia" w:hAnsiTheme="minorEastAsia" w:eastAsiaTheme="minorEastAsia"/>
                <w:szCs w:val="21"/>
              </w:rPr>
              <w:t>项、第</w:t>
            </w:r>
            <w:r>
              <w:rPr>
                <w:rFonts w:asciiTheme="minorEastAsia" w:hAnsiTheme="minorEastAsia" w:eastAsiaTheme="minorEastAsia"/>
                <w:szCs w:val="21"/>
              </w:rPr>
              <w:t>2.1.2</w:t>
            </w:r>
            <w:r>
              <w:rPr>
                <w:rFonts w:hint="eastAsia" w:asciiTheme="minorEastAsia" w:hAnsiTheme="minorEastAsia" w:eastAsiaTheme="minorEastAsia"/>
                <w:szCs w:val="21"/>
              </w:rPr>
              <w:t>项、第</w:t>
            </w:r>
            <w:r>
              <w:rPr>
                <w:rFonts w:asciiTheme="minorEastAsia" w:hAnsiTheme="minorEastAsia" w:eastAsiaTheme="minorEastAsia"/>
                <w:szCs w:val="21"/>
              </w:rPr>
              <w:t>2.1.3项规定的标准对投标文件第一个信封（商务及技术文件）进行初步评审。有一项不符合评审标准的，评标委员会应否决其投标。</w:t>
            </w:r>
          </w:p>
          <w:p w14:paraId="154E681E">
            <w:pPr>
              <w:pStyle w:val="299"/>
              <w:snapToGrid w:val="0"/>
              <w:spacing w:line="360" w:lineRule="exact"/>
              <w:rPr>
                <w:rFonts w:asciiTheme="minorEastAsia" w:hAnsiTheme="minorEastAsia" w:eastAsiaTheme="minorEastAsia"/>
                <w:kern w:val="0"/>
                <w:szCs w:val="21"/>
              </w:rPr>
            </w:pPr>
            <w:r>
              <w:rPr>
                <w:rFonts w:hint="eastAsia" w:asciiTheme="minorEastAsia" w:hAnsiTheme="minorEastAsia" w:eastAsiaTheme="minorEastAsia"/>
              </w:rPr>
              <w:t>（</w:t>
            </w:r>
            <w:r>
              <w:rPr>
                <w:rFonts w:asciiTheme="minorEastAsia" w:hAnsiTheme="minorEastAsia" w:eastAsiaTheme="minorEastAsia"/>
              </w:rPr>
              <w:t>2）</w:t>
            </w:r>
            <w:r>
              <w:rPr>
                <w:rFonts w:asciiTheme="minorEastAsia" w:hAnsiTheme="minorEastAsia" w:eastAsiaTheme="minorEastAsia"/>
                <w:kern w:val="0"/>
                <w:szCs w:val="21"/>
              </w:rPr>
              <w:t>通过第一个信封商务文件和技术文件评审的投标人</w:t>
            </w:r>
            <w:r>
              <w:rPr>
                <w:rFonts w:hint="eastAsia" w:asciiTheme="minorEastAsia" w:hAnsiTheme="minorEastAsia" w:eastAsiaTheme="minorEastAsia"/>
                <w:kern w:val="0"/>
                <w:szCs w:val="21"/>
              </w:rPr>
              <w:t>仅有2</w:t>
            </w:r>
            <w:r>
              <w:rPr>
                <w:rFonts w:hint="eastAsia" w:asciiTheme="minorEastAsia" w:hAnsiTheme="minorEastAsia" w:eastAsiaTheme="minorEastAsia"/>
                <w:kern w:val="0"/>
                <w:szCs w:val="21"/>
                <w:lang w:val="en-US" w:eastAsia="zh-CN"/>
              </w:rPr>
              <w:t>家</w:t>
            </w:r>
            <w:r>
              <w:rPr>
                <w:rFonts w:asciiTheme="minorEastAsia" w:hAnsiTheme="minorEastAsia" w:eastAsiaTheme="minorEastAsia"/>
                <w:kern w:val="0"/>
                <w:szCs w:val="21"/>
              </w:rPr>
              <w:t>的，评标委员会可以否决全部投标；未否决全部投标的，评标委员会应当在评标报告中阐明理由，招标人应当按照</w:t>
            </w:r>
            <w:r>
              <w:rPr>
                <w:rFonts w:hint="eastAsia" w:asciiTheme="minorEastAsia" w:hAnsiTheme="minorEastAsia" w:eastAsiaTheme="minorEastAsia"/>
                <w:kern w:val="0"/>
                <w:szCs w:val="21"/>
              </w:rPr>
              <w:t>第二章“投标人须知”前附表</w:t>
            </w:r>
            <w:r>
              <w:rPr>
                <w:rFonts w:asciiTheme="minorEastAsia" w:hAnsiTheme="minorEastAsia" w:eastAsiaTheme="minorEastAsia"/>
                <w:kern w:val="0"/>
                <w:szCs w:val="21"/>
              </w:rPr>
              <w:t>第5.2.3</w:t>
            </w:r>
            <w:r>
              <w:rPr>
                <w:rFonts w:hint="eastAsia" w:asciiTheme="minorEastAsia" w:hAnsiTheme="minorEastAsia" w:eastAsiaTheme="minorEastAsia"/>
                <w:kern w:val="0"/>
                <w:szCs w:val="21"/>
                <w:lang w:val="en-US" w:eastAsia="zh-CN"/>
              </w:rPr>
              <w:t>项</w:t>
            </w:r>
            <w:r>
              <w:rPr>
                <w:rFonts w:asciiTheme="minorEastAsia" w:hAnsiTheme="minorEastAsia" w:eastAsiaTheme="minorEastAsia"/>
                <w:kern w:val="0"/>
                <w:szCs w:val="21"/>
              </w:rPr>
              <w:t>规定的程序进行第二个信封</w:t>
            </w:r>
            <w:r>
              <w:rPr>
                <w:rFonts w:hint="eastAsia" w:asciiTheme="minorEastAsia" w:hAnsiTheme="minorEastAsia" w:eastAsiaTheme="minorEastAsia"/>
                <w:kern w:val="0"/>
                <w:szCs w:val="21"/>
                <w:lang w:eastAsia="zh-CN"/>
              </w:rPr>
              <w:t>（</w:t>
            </w:r>
            <w:r>
              <w:rPr>
                <w:rFonts w:asciiTheme="minorEastAsia" w:hAnsiTheme="minorEastAsia" w:eastAsiaTheme="minorEastAsia"/>
                <w:kern w:val="0"/>
                <w:szCs w:val="21"/>
              </w:rPr>
              <w:t>报价文件</w:t>
            </w:r>
            <w:r>
              <w:rPr>
                <w:rFonts w:hint="eastAsia" w:asciiTheme="minorEastAsia" w:hAnsiTheme="minorEastAsia" w:eastAsiaTheme="minorEastAsia"/>
                <w:kern w:val="0"/>
                <w:szCs w:val="21"/>
                <w:lang w:eastAsia="zh-CN"/>
              </w:rPr>
              <w:t>）</w:t>
            </w:r>
            <w:r>
              <w:rPr>
                <w:rFonts w:asciiTheme="minorEastAsia" w:hAnsiTheme="minorEastAsia" w:eastAsiaTheme="minorEastAsia"/>
                <w:kern w:val="0"/>
                <w:szCs w:val="21"/>
              </w:rPr>
              <w:t>开标，但评标委员会在进行第二个信封</w:t>
            </w:r>
            <w:r>
              <w:rPr>
                <w:rFonts w:hint="eastAsia" w:asciiTheme="minorEastAsia" w:hAnsiTheme="minorEastAsia" w:eastAsiaTheme="minorEastAsia"/>
                <w:kern w:val="0"/>
                <w:szCs w:val="21"/>
                <w:lang w:eastAsia="zh-CN"/>
              </w:rPr>
              <w:t>（</w:t>
            </w:r>
            <w:r>
              <w:rPr>
                <w:rFonts w:asciiTheme="minorEastAsia" w:hAnsiTheme="minorEastAsia" w:eastAsiaTheme="minorEastAsia"/>
                <w:kern w:val="0"/>
                <w:szCs w:val="21"/>
              </w:rPr>
              <w:t>报价文件</w:t>
            </w:r>
            <w:r>
              <w:rPr>
                <w:rFonts w:hint="eastAsia" w:asciiTheme="minorEastAsia" w:hAnsiTheme="minorEastAsia" w:eastAsiaTheme="minorEastAsia"/>
                <w:kern w:val="0"/>
                <w:szCs w:val="21"/>
                <w:lang w:eastAsia="zh-CN"/>
              </w:rPr>
              <w:t>）</w:t>
            </w:r>
            <w:r>
              <w:rPr>
                <w:rFonts w:asciiTheme="minorEastAsia" w:hAnsiTheme="minorEastAsia" w:eastAsiaTheme="minorEastAsia"/>
                <w:kern w:val="0"/>
                <w:szCs w:val="21"/>
              </w:rPr>
              <w:t>评审时仍有权否决全部投标；评标委员会未在第二个信封</w:t>
            </w:r>
            <w:r>
              <w:rPr>
                <w:rFonts w:hint="eastAsia" w:asciiTheme="minorEastAsia" w:hAnsiTheme="minorEastAsia" w:eastAsiaTheme="minorEastAsia"/>
                <w:kern w:val="0"/>
                <w:szCs w:val="21"/>
                <w:lang w:eastAsia="zh-CN"/>
              </w:rPr>
              <w:t>（</w:t>
            </w:r>
            <w:r>
              <w:rPr>
                <w:rFonts w:asciiTheme="minorEastAsia" w:hAnsiTheme="minorEastAsia" w:eastAsiaTheme="minorEastAsia"/>
                <w:kern w:val="0"/>
                <w:szCs w:val="21"/>
              </w:rPr>
              <w:t>报价文件</w:t>
            </w:r>
            <w:r>
              <w:rPr>
                <w:rFonts w:hint="eastAsia" w:asciiTheme="minorEastAsia" w:hAnsiTheme="minorEastAsia" w:eastAsiaTheme="minorEastAsia"/>
                <w:kern w:val="0"/>
                <w:szCs w:val="21"/>
                <w:lang w:eastAsia="zh-CN"/>
              </w:rPr>
              <w:t>）</w:t>
            </w:r>
            <w:r>
              <w:rPr>
                <w:rFonts w:asciiTheme="minorEastAsia" w:hAnsiTheme="minorEastAsia" w:eastAsiaTheme="minorEastAsia"/>
                <w:kern w:val="0"/>
                <w:szCs w:val="21"/>
              </w:rPr>
              <w:t>评审时否决全部投标的，应当在评标报告中阐明理由并推荐中标候选人。</w:t>
            </w:r>
          </w:p>
          <w:p w14:paraId="2522B402">
            <w:pPr>
              <w:widowControl/>
              <w:adjustRightInd w:val="0"/>
              <w:snapToGrid w:val="0"/>
              <w:spacing w:line="400" w:lineRule="exact"/>
              <w:rPr>
                <w:rFonts w:ascii="宋体" w:hAnsi="宋体"/>
                <w:szCs w:val="21"/>
              </w:rPr>
            </w:pPr>
            <w:r>
              <w:rPr>
                <w:rFonts w:hint="eastAsia" w:asciiTheme="minorEastAsia" w:hAnsiTheme="minorEastAsia" w:eastAsiaTheme="minorEastAsia"/>
              </w:rPr>
              <w:t>（</w:t>
            </w:r>
            <w:r>
              <w:rPr>
                <w:rFonts w:asciiTheme="minorEastAsia" w:hAnsiTheme="minorEastAsia" w:eastAsiaTheme="minorEastAsia"/>
              </w:rPr>
              <w:t>3）当通过第一个信封</w:t>
            </w:r>
            <w:r>
              <w:rPr>
                <w:rFonts w:asciiTheme="minorEastAsia" w:hAnsiTheme="minorEastAsia" w:eastAsiaTheme="minorEastAsia"/>
                <w:szCs w:val="21"/>
              </w:rPr>
              <w:t>（商务及技术文件）</w:t>
            </w:r>
            <w:r>
              <w:rPr>
                <w:rFonts w:asciiTheme="minorEastAsia" w:hAnsiTheme="minorEastAsia" w:eastAsiaTheme="minorEastAsia"/>
              </w:rPr>
              <w:t>评审的投标人仅有1家时，评标委员会应否决其投标。</w:t>
            </w:r>
          </w:p>
        </w:tc>
      </w:tr>
      <w:tr w14:paraId="695E8F3D">
        <w:tblPrEx>
          <w:tblCellMar>
            <w:top w:w="0" w:type="dxa"/>
            <w:left w:w="108" w:type="dxa"/>
            <w:bottom w:w="0" w:type="dxa"/>
            <w:right w:w="108" w:type="dxa"/>
          </w:tblCellMar>
        </w:tblPrEx>
        <w:trPr>
          <w:trHeight w:val="1659"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14:paraId="4AAC36FA">
            <w:pPr>
              <w:pStyle w:val="299"/>
              <w:adjustRightInd w:val="0"/>
              <w:snapToGrid w:val="0"/>
              <w:spacing w:line="400" w:lineRule="exact"/>
              <w:jc w:val="center"/>
              <w:rPr>
                <w:rFonts w:ascii="宋体" w:hAnsi="宋体" w:cs="宋体"/>
                <w:szCs w:val="21"/>
              </w:rPr>
            </w:pPr>
            <w:r>
              <w:rPr>
                <w:rFonts w:ascii="宋体" w:hAnsi="宋体" w:cs="宋体"/>
                <w:szCs w:val="21"/>
              </w:rPr>
              <w:t>3.2</w:t>
            </w:r>
          </w:p>
          <w:p w14:paraId="0EFB96D9">
            <w:pPr>
              <w:widowControl/>
              <w:adjustRightInd w:val="0"/>
              <w:snapToGrid w:val="0"/>
              <w:spacing w:line="400" w:lineRule="exact"/>
              <w:jc w:val="center"/>
              <w:rPr>
                <w:rFonts w:ascii="宋体" w:hAnsi="宋体" w:cs="宋体"/>
                <w:kern w:val="0"/>
                <w:szCs w:val="21"/>
              </w:rPr>
            </w:pPr>
            <w:r>
              <w:rPr>
                <w:rFonts w:hint="eastAsia" w:ascii="宋体" w:hAnsi="宋体" w:cs="宋体"/>
                <w:szCs w:val="21"/>
              </w:rPr>
              <w:t>第一个信封详细评审</w:t>
            </w:r>
          </w:p>
        </w:tc>
        <w:tc>
          <w:tcPr>
            <w:tcW w:w="1130" w:type="dxa"/>
            <w:tcBorders>
              <w:top w:val="single" w:color="auto" w:sz="4" w:space="0"/>
              <w:left w:val="single" w:color="auto" w:sz="4" w:space="0"/>
              <w:bottom w:val="single" w:color="auto" w:sz="4" w:space="0"/>
              <w:right w:val="single" w:color="auto" w:sz="4" w:space="0"/>
            </w:tcBorders>
            <w:vAlign w:val="center"/>
          </w:tcPr>
          <w:p w14:paraId="16580CF3">
            <w:pPr>
              <w:widowControl/>
              <w:adjustRightInd w:val="0"/>
              <w:snapToGrid w:val="0"/>
              <w:spacing w:line="400" w:lineRule="exact"/>
              <w:jc w:val="center"/>
              <w:rPr>
                <w:rFonts w:ascii="宋体" w:hAnsi="宋体" w:cs="宋体"/>
                <w:kern w:val="0"/>
                <w:szCs w:val="21"/>
              </w:rPr>
            </w:pPr>
            <w:r>
              <w:rPr>
                <w:rFonts w:ascii="宋体" w:hAnsi="宋体" w:cs="宋体"/>
                <w:szCs w:val="21"/>
              </w:rPr>
              <w:t>3.2.1</w:t>
            </w:r>
          </w:p>
        </w:tc>
        <w:tc>
          <w:tcPr>
            <w:tcW w:w="6827" w:type="dxa"/>
            <w:tcBorders>
              <w:top w:val="single" w:color="auto" w:sz="4" w:space="0"/>
              <w:left w:val="single" w:color="auto" w:sz="4" w:space="0"/>
              <w:bottom w:val="single" w:color="auto" w:sz="4" w:space="0"/>
              <w:right w:val="single" w:color="auto" w:sz="4" w:space="0"/>
            </w:tcBorders>
            <w:vAlign w:val="center"/>
          </w:tcPr>
          <w:p w14:paraId="7B274011">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1）按本章第2.2.2项（1）目规定的评审因素和分值对设计施工</w:t>
            </w:r>
            <w:r>
              <w:rPr>
                <w:rFonts w:hint="eastAsia" w:ascii="宋体" w:hAnsi="宋体" w:cs="宋体"/>
                <w:szCs w:val="21"/>
              </w:rPr>
              <w:t>总承包</w:t>
            </w:r>
            <w:r>
              <w:rPr>
                <w:rFonts w:ascii="宋体" w:hAnsi="宋体" w:cs="宋体"/>
                <w:szCs w:val="21"/>
              </w:rPr>
              <w:t>方案部分计算出得分A；</w:t>
            </w:r>
          </w:p>
          <w:p w14:paraId="164159E9">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2）按本章第2.2.2项（2）目规定的评审因素和分值对主要人员部分计算出得分B；</w:t>
            </w:r>
          </w:p>
          <w:p w14:paraId="5B8FAE8B">
            <w:pPr>
              <w:widowControl/>
              <w:adjustRightInd w:val="0"/>
              <w:snapToGrid w:val="0"/>
              <w:spacing w:line="400" w:lineRule="exact"/>
              <w:rPr>
                <w:rFonts w:ascii="宋体" w:hAnsi="宋体" w:cs="宋体"/>
                <w:kern w:val="0"/>
                <w:szCs w:val="21"/>
              </w:rPr>
            </w:pPr>
            <w:r>
              <w:rPr>
                <w:rFonts w:hint="eastAsia" w:ascii="宋体" w:hAnsi="宋体" w:cs="宋体"/>
                <w:szCs w:val="21"/>
              </w:rPr>
              <w:t>（</w:t>
            </w:r>
            <w:r>
              <w:rPr>
                <w:rFonts w:ascii="宋体" w:hAnsi="宋体" w:cs="宋体"/>
                <w:szCs w:val="21"/>
              </w:rPr>
              <w:t>3）按本章第2.2.2项（</w:t>
            </w:r>
            <w:r>
              <w:rPr>
                <w:rFonts w:hint="eastAsia" w:ascii="宋体" w:hAnsi="宋体" w:cs="宋体"/>
                <w:szCs w:val="21"/>
                <w:lang w:val="en-US" w:eastAsia="zh-CN"/>
              </w:rPr>
              <w:t>3</w:t>
            </w:r>
            <w:r>
              <w:rPr>
                <w:rFonts w:ascii="宋体" w:hAnsi="宋体" w:cs="宋体"/>
                <w:szCs w:val="21"/>
              </w:rPr>
              <w:t>）目规定的评审因素和分值对其他部分计算出得分D</w:t>
            </w:r>
            <w:r>
              <w:rPr>
                <w:rFonts w:hint="eastAsia" w:ascii="宋体" w:hAnsi="宋体" w:cs="宋体"/>
                <w:szCs w:val="21"/>
              </w:rPr>
              <w:t>。</w:t>
            </w:r>
          </w:p>
        </w:tc>
      </w:tr>
      <w:tr w14:paraId="2014868E">
        <w:tblPrEx>
          <w:tblCellMar>
            <w:top w:w="0" w:type="dxa"/>
            <w:left w:w="108" w:type="dxa"/>
            <w:bottom w:w="0" w:type="dxa"/>
            <w:right w:w="108" w:type="dxa"/>
          </w:tblCellMar>
        </w:tblPrEx>
        <w:trPr>
          <w:trHeight w:val="834"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1DCC5123">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02333076">
            <w:pPr>
              <w:widowControl/>
              <w:adjustRightInd w:val="0"/>
              <w:snapToGrid w:val="0"/>
              <w:spacing w:line="400" w:lineRule="exact"/>
              <w:jc w:val="center"/>
              <w:rPr>
                <w:rFonts w:ascii="宋体" w:hAnsi="宋体" w:cs="宋体"/>
                <w:kern w:val="0"/>
                <w:szCs w:val="21"/>
              </w:rPr>
            </w:pPr>
            <w:r>
              <w:rPr>
                <w:rFonts w:ascii="宋体" w:hAnsi="宋体" w:cs="宋体"/>
                <w:szCs w:val="21"/>
              </w:rPr>
              <w:t>3.2.2</w:t>
            </w:r>
          </w:p>
        </w:tc>
        <w:tc>
          <w:tcPr>
            <w:tcW w:w="6827" w:type="dxa"/>
            <w:tcBorders>
              <w:top w:val="single" w:color="auto" w:sz="4" w:space="0"/>
              <w:left w:val="single" w:color="auto" w:sz="4" w:space="0"/>
              <w:bottom w:val="single" w:color="auto" w:sz="4" w:space="0"/>
              <w:right w:val="single" w:color="auto" w:sz="4" w:space="0"/>
            </w:tcBorders>
            <w:vAlign w:val="center"/>
          </w:tcPr>
          <w:p w14:paraId="7400EAC3">
            <w:pPr>
              <w:widowControl/>
              <w:adjustRightInd w:val="0"/>
              <w:snapToGrid w:val="0"/>
              <w:spacing w:line="400" w:lineRule="exact"/>
              <w:rPr>
                <w:szCs w:val="21"/>
              </w:rPr>
            </w:pPr>
            <w:r>
              <w:rPr>
                <w:rFonts w:hint="eastAsia" w:ascii="宋体" w:hAnsi="宋体" w:cs="宋体"/>
                <w:szCs w:val="21"/>
              </w:rPr>
              <w:t>投标人的商务和技术得分分值计算</w:t>
            </w:r>
            <w:r>
              <w:rPr>
                <w:rFonts w:asciiTheme="minorEastAsia" w:hAnsiTheme="minorEastAsia" w:eastAsiaTheme="minorEastAsia"/>
                <w:szCs w:val="21"/>
              </w:rPr>
              <w:t>“四舍五入”</w:t>
            </w:r>
            <w:r>
              <w:rPr>
                <w:rFonts w:hint="eastAsia"/>
                <w:szCs w:val="21"/>
              </w:rPr>
              <w:t>至少保留小数点后</w:t>
            </w:r>
          </w:p>
          <w:p w14:paraId="0B7846A4">
            <w:pPr>
              <w:widowControl/>
              <w:adjustRightInd w:val="0"/>
              <w:snapToGrid w:val="0"/>
              <w:spacing w:line="400" w:lineRule="exact"/>
              <w:rPr>
                <w:rFonts w:ascii="宋体" w:hAnsi="宋体" w:cs="宋体"/>
                <w:kern w:val="0"/>
                <w:szCs w:val="21"/>
              </w:rPr>
            </w:pPr>
            <w:r>
              <w:rPr>
                <w:rFonts w:asciiTheme="minorEastAsia" w:hAnsiTheme="minorEastAsia" w:eastAsiaTheme="minorEastAsia"/>
                <w:szCs w:val="21"/>
                <w:u w:val="single"/>
              </w:rPr>
              <w:t xml:space="preserve">    </w:t>
            </w:r>
            <w:r>
              <w:rPr>
                <w:rFonts w:hint="eastAsia"/>
                <w:szCs w:val="21"/>
              </w:rPr>
              <w:t>位</w:t>
            </w:r>
            <w:r>
              <w:rPr>
                <w:rFonts w:hint="eastAsia" w:ascii="宋体" w:hAnsi="宋体" w:cs="宋体"/>
                <w:szCs w:val="21"/>
              </w:rPr>
              <w:t>。</w:t>
            </w:r>
          </w:p>
        </w:tc>
      </w:tr>
      <w:tr w14:paraId="23B5FD58">
        <w:tblPrEx>
          <w:tblCellMar>
            <w:top w:w="0" w:type="dxa"/>
            <w:left w:w="108" w:type="dxa"/>
            <w:bottom w:w="0" w:type="dxa"/>
            <w:right w:w="108" w:type="dxa"/>
          </w:tblCellMar>
        </w:tblPrEx>
        <w:trPr>
          <w:trHeight w:val="552"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66243818">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7D399E3E">
            <w:pPr>
              <w:widowControl/>
              <w:adjustRightInd w:val="0"/>
              <w:snapToGrid w:val="0"/>
              <w:spacing w:line="400" w:lineRule="exact"/>
              <w:jc w:val="center"/>
              <w:rPr>
                <w:rFonts w:ascii="宋体" w:hAnsi="宋体" w:cs="宋体"/>
                <w:kern w:val="0"/>
                <w:szCs w:val="21"/>
              </w:rPr>
            </w:pPr>
            <w:r>
              <w:rPr>
                <w:rFonts w:ascii="宋体" w:hAnsi="宋体" w:cs="宋体"/>
                <w:szCs w:val="21"/>
              </w:rPr>
              <w:t>3.2.3</w:t>
            </w:r>
          </w:p>
        </w:tc>
        <w:tc>
          <w:tcPr>
            <w:tcW w:w="6827" w:type="dxa"/>
            <w:tcBorders>
              <w:top w:val="single" w:color="auto" w:sz="4" w:space="0"/>
              <w:left w:val="single" w:color="auto" w:sz="4" w:space="0"/>
              <w:bottom w:val="single" w:color="auto" w:sz="4" w:space="0"/>
              <w:right w:val="single" w:color="auto" w:sz="4" w:space="0"/>
            </w:tcBorders>
            <w:vAlign w:val="center"/>
          </w:tcPr>
          <w:p w14:paraId="07436697">
            <w:pPr>
              <w:widowControl/>
              <w:adjustRightInd w:val="0"/>
              <w:snapToGrid w:val="0"/>
              <w:spacing w:line="400" w:lineRule="exact"/>
              <w:rPr>
                <w:rFonts w:ascii="宋体" w:hAnsi="宋体" w:cs="宋体"/>
                <w:kern w:val="0"/>
                <w:szCs w:val="21"/>
              </w:rPr>
            </w:pPr>
            <w:r>
              <w:rPr>
                <w:rFonts w:hint="eastAsia" w:ascii="宋体" w:hAnsi="宋体" w:cs="宋体"/>
                <w:szCs w:val="21"/>
              </w:rPr>
              <w:t>投标人的商务和技术得分</w:t>
            </w:r>
            <w:r>
              <w:rPr>
                <w:rFonts w:hint="eastAsia" w:ascii="宋体" w:hAnsi="宋体" w:eastAsia="宋体" w:cs="宋体"/>
                <w:szCs w:val="21"/>
              </w:rPr>
              <w:t>＝</w:t>
            </w:r>
            <w:r>
              <w:rPr>
                <w:rFonts w:ascii="宋体" w:hAnsi="宋体" w:cs="宋体"/>
                <w:szCs w:val="21"/>
              </w:rPr>
              <w:t>A＋B＋D。</w:t>
            </w:r>
          </w:p>
        </w:tc>
      </w:tr>
      <w:tr w14:paraId="7686D975">
        <w:tblPrEx>
          <w:tblCellMar>
            <w:top w:w="0" w:type="dxa"/>
            <w:left w:w="108" w:type="dxa"/>
            <w:bottom w:w="0" w:type="dxa"/>
            <w:right w:w="108" w:type="dxa"/>
          </w:tblCellMar>
        </w:tblPrEx>
        <w:trPr>
          <w:trHeight w:val="680"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30D7C018">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29B62A1F">
            <w:pPr>
              <w:widowControl/>
              <w:adjustRightInd w:val="0"/>
              <w:snapToGrid w:val="0"/>
              <w:spacing w:line="400" w:lineRule="exact"/>
              <w:jc w:val="center"/>
              <w:rPr>
                <w:rFonts w:ascii="宋体" w:hAnsi="宋体" w:cs="宋体"/>
                <w:szCs w:val="21"/>
              </w:rPr>
            </w:pPr>
            <w:r>
              <w:rPr>
                <w:rFonts w:ascii="宋体" w:hAnsi="宋体" w:cs="宋体"/>
                <w:szCs w:val="21"/>
              </w:rPr>
              <w:t>3.2.4</w:t>
            </w:r>
          </w:p>
        </w:tc>
        <w:tc>
          <w:tcPr>
            <w:tcW w:w="6827" w:type="dxa"/>
            <w:tcBorders>
              <w:top w:val="single" w:color="auto" w:sz="4" w:space="0"/>
              <w:left w:val="single" w:color="auto" w:sz="4" w:space="0"/>
              <w:bottom w:val="single" w:color="auto" w:sz="4" w:space="0"/>
              <w:right w:val="single" w:color="auto" w:sz="4" w:space="0"/>
            </w:tcBorders>
            <w:vAlign w:val="center"/>
          </w:tcPr>
          <w:p w14:paraId="7EEC8CF7">
            <w:pPr>
              <w:widowControl/>
              <w:adjustRightInd w:val="0"/>
              <w:snapToGrid w:val="0"/>
              <w:spacing w:line="400" w:lineRule="exact"/>
              <w:rPr>
                <w:rFonts w:ascii="宋体" w:hAnsi="宋体"/>
                <w:szCs w:val="21"/>
              </w:rPr>
            </w:pPr>
            <w:r>
              <w:rPr>
                <w:rFonts w:hint="eastAsia" w:ascii="宋体" w:hAnsi="宋体"/>
                <w:szCs w:val="21"/>
              </w:rPr>
              <w:t>按照投标人的</w:t>
            </w:r>
            <w:r>
              <w:rPr>
                <w:rFonts w:ascii="宋体" w:hAnsi="宋体"/>
                <w:szCs w:val="21"/>
              </w:rPr>
              <w:t>商务和</w:t>
            </w:r>
            <w:r>
              <w:rPr>
                <w:rFonts w:hint="eastAsia" w:ascii="宋体" w:hAnsi="宋体"/>
                <w:szCs w:val="21"/>
              </w:rPr>
              <w:t>技术</w:t>
            </w:r>
            <w:r>
              <w:rPr>
                <w:rFonts w:ascii="宋体" w:hAnsi="宋体"/>
                <w:szCs w:val="21"/>
              </w:rPr>
              <w:t>得分</w:t>
            </w:r>
            <w:r>
              <w:rPr>
                <w:rFonts w:hint="eastAsia" w:ascii="宋体" w:hAnsi="宋体"/>
                <w:szCs w:val="21"/>
              </w:rPr>
              <w:t>由高到低</w:t>
            </w:r>
            <w:r>
              <w:rPr>
                <w:rFonts w:ascii="宋体" w:hAnsi="宋体"/>
                <w:szCs w:val="21"/>
              </w:rPr>
              <w:t>排序，</w:t>
            </w:r>
            <w:r>
              <w:rPr>
                <w:rFonts w:hint="eastAsia" w:ascii="宋体" w:hAnsi="宋体"/>
                <w:szCs w:val="21"/>
              </w:rPr>
              <w:t>选择</w:t>
            </w:r>
            <w:r>
              <w:rPr>
                <w:rFonts w:ascii="宋体" w:hAnsi="宋体"/>
                <w:szCs w:val="21"/>
              </w:rPr>
              <w:t>前</w:t>
            </w:r>
            <w:r>
              <w:rPr>
                <w:rFonts w:ascii="宋体" w:hAnsi="宋体"/>
                <w:szCs w:val="21"/>
                <w:u w:val="single"/>
              </w:rPr>
              <w:t xml:space="preserve">    </w:t>
            </w:r>
            <w:r>
              <w:rPr>
                <w:rFonts w:hint="eastAsia" w:ascii="宋体" w:hAnsi="宋体"/>
                <w:szCs w:val="21"/>
              </w:rPr>
              <w:t>名通过详细评审，</w:t>
            </w:r>
            <w:r>
              <w:rPr>
                <w:rFonts w:ascii="宋体" w:hAnsi="宋体"/>
                <w:szCs w:val="21"/>
              </w:rPr>
              <w:t>进入第二个信封</w:t>
            </w:r>
            <w:r>
              <w:rPr>
                <w:rFonts w:hint="eastAsia" w:ascii="宋体" w:hAnsi="宋体"/>
                <w:szCs w:val="21"/>
              </w:rPr>
              <w:t>开标</w:t>
            </w:r>
            <w:r>
              <w:rPr>
                <w:rFonts w:ascii="宋体" w:hAnsi="宋体"/>
                <w:szCs w:val="21"/>
              </w:rPr>
              <w:t>。</w:t>
            </w:r>
          </w:p>
          <w:p w14:paraId="2717CB98">
            <w:pPr>
              <w:widowControl/>
              <w:adjustRightInd w:val="0"/>
              <w:snapToGrid w:val="0"/>
              <w:spacing w:line="400" w:lineRule="exact"/>
              <w:ind w:firstLine="210" w:firstLineChars="100"/>
              <w:rPr>
                <w:rFonts w:ascii="宋体" w:hAnsi="宋体"/>
                <w:szCs w:val="21"/>
              </w:rPr>
            </w:pPr>
            <w:r>
              <w:rPr>
                <w:rFonts w:hint="eastAsia" w:ascii="宋体" w:hAnsi="宋体"/>
                <w:szCs w:val="21"/>
              </w:rPr>
              <w:t>注：该数量的设置应避免本办法演变为经评审的最低投标价法，该数量应不少于3名，最高不宜超过10名。</w:t>
            </w:r>
          </w:p>
        </w:tc>
      </w:tr>
      <w:tr w14:paraId="54303D5B">
        <w:tblPrEx>
          <w:tblCellMar>
            <w:top w:w="0" w:type="dxa"/>
            <w:left w:w="108" w:type="dxa"/>
            <w:bottom w:w="0" w:type="dxa"/>
            <w:right w:w="108" w:type="dxa"/>
          </w:tblCellMar>
        </w:tblPrEx>
        <w:trPr>
          <w:trHeight w:val="866"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14:paraId="094FE77D">
            <w:pPr>
              <w:widowControl/>
              <w:adjustRightInd w:val="0"/>
              <w:snapToGrid w:val="0"/>
              <w:spacing w:line="400" w:lineRule="exact"/>
              <w:jc w:val="center"/>
              <w:rPr>
                <w:rFonts w:ascii="宋体" w:hAnsi="宋体" w:cs="宋体"/>
                <w:kern w:val="0"/>
                <w:szCs w:val="21"/>
              </w:rPr>
            </w:pPr>
            <w:r>
              <w:rPr>
                <w:rFonts w:ascii="宋体" w:hAnsi="宋体" w:cs="宋体"/>
                <w:kern w:val="0"/>
                <w:szCs w:val="21"/>
              </w:rPr>
              <w:t>3.4</w:t>
            </w:r>
          </w:p>
          <w:p w14:paraId="7C275A75">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第二个信封初步评审</w:t>
            </w:r>
          </w:p>
        </w:tc>
        <w:tc>
          <w:tcPr>
            <w:tcW w:w="1130" w:type="dxa"/>
            <w:tcBorders>
              <w:top w:val="single" w:color="000000" w:sz="4" w:space="0"/>
              <w:left w:val="single" w:color="auto" w:sz="4" w:space="0"/>
              <w:bottom w:val="single" w:color="000000" w:sz="4" w:space="0"/>
              <w:right w:val="single" w:color="000000" w:sz="4" w:space="0"/>
            </w:tcBorders>
            <w:vAlign w:val="center"/>
          </w:tcPr>
          <w:p w14:paraId="26FB9C1A">
            <w:pPr>
              <w:widowControl/>
              <w:adjustRightInd w:val="0"/>
              <w:snapToGrid w:val="0"/>
              <w:spacing w:line="400" w:lineRule="exact"/>
              <w:jc w:val="center"/>
              <w:rPr>
                <w:rFonts w:ascii="宋体" w:hAnsi="宋体" w:cs="宋体"/>
                <w:kern w:val="0"/>
                <w:szCs w:val="21"/>
              </w:rPr>
            </w:pPr>
            <w:r>
              <w:rPr>
                <w:rFonts w:ascii="宋体" w:hAnsi="宋体" w:cs="宋体"/>
                <w:kern w:val="0"/>
                <w:szCs w:val="21"/>
              </w:rPr>
              <w:t>3.4.1</w:t>
            </w:r>
          </w:p>
        </w:tc>
        <w:tc>
          <w:tcPr>
            <w:tcW w:w="6827" w:type="dxa"/>
            <w:tcBorders>
              <w:top w:val="single" w:color="000000" w:sz="4" w:space="0"/>
              <w:left w:val="nil"/>
              <w:bottom w:val="single" w:color="000000" w:sz="4" w:space="0"/>
              <w:right w:val="single" w:color="000000" w:sz="4" w:space="0"/>
            </w:tcBorders>
            <w:vAlign w:val="center"/>
          </w:tcPr>
          <w:p w14:paraId="07CF9CF4">
            <w:pPr>
              <w:widowControl/>
              <w:adjustRightInd w:val="0"/>
              <w:snapToGrid w:val="0"/>
              <w:spacing w:line="400" w:lineRule="exact"/>
              <w:rPr>
                <w:rFonts w:ascii="宋体" w:hAnsi="宋体"/>
                <w:kern w:val="0"/>
                <w:szCs w:val="21"/>
              </w:rPr>
            </w:pPr>
            <w:r>
              <w:rPr>
                <w:rFonts w:hint="eastAsia" w:ascii="宋体" w:hAnsi="宋体" w:cs="宋体"/>
                <w:kern w:val="0"/>
                <w:szCs w:val="21"/>
              </w:rPr>
              <w:t>评标委员会依据本章第</w:t>
            </w:r>
            <w:r>
              <w:rPr>
                <w:rFonts w:ascii="宋体" w:hAnsi="宋体" w:cs="宋体"/>
                <w:kern w:val="0"/>
                <w:szCs w:val="21"/>
              </w:rPr>
              <w:t>2.1.1</w:t>
            </w:r>
            <w:r>
              <w:rPr>
                <w:rFonts w:hint="eastAsia" w:ascii="宋体" w:hAnsi="宋体" w:cs="宋体"/>
                <w:kern w:val="0"/>
                <w:szCs w:val="21"/>
              </w:rPr>
              <w:t>项、第</w:t>
            </w:r>
            <w:r>
              <w:rPr>
                <w:rFonts w:ascii="宋体" w:hAnsi="宋体" w:cs="宋体"/>
                <w:kern w:val="0"/>
                <w:szCs w:val="21"/>
              </w:rPr>
              <w:t>2.1.3项规定的评审标准对投标文件第二个信封（报价文件）进行初步评审，有一项不符合评审标准的，</w:t>
            </w:r>
            <w:r>
              <w:rPr>
                <w:rFonts w:hint="eastAsia" w:ascii="宋体" w:hAnsi="宋体"/>
                <w:szCs w:val="21"/>
              </w:rPr>
              <w:t>评标委员会应否决其投标</w:t>
            </w:r>
            <w:r>
              <w:rPr>
                <w:rFonts w:hint="eastAsia" w:ascii="宋体" w:hAnsi="宋体" w:cs="宋体"/>
                <w:kern w:val="0"/>
                <w:szCs w:val="21"/>
              </w:rPr>
              <w:t>。</w:t>
            </w:r>
          </w:p>
        </w:tc>
      </w:tr>
      <w:tr w14:paraId="0A23FEAB">
        <w:tblPrEx>
          <w:tblCellMar>
            <w:top w:w="0" w:type="dxa"/>
            <w:left w:w="108" w:type="dxa"/>
            <w:bottom w:w="0" w:type="dxa"/>
            <w:right w:w="108" w:type="dxa"/>
          </w:tblCellMar>
        </w:tblPrEx>
        <w:trPr>
          <w:trHeight w:val="401"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00030EA5">
            <w:pPr>
              <w:widowControl/>
              <w:adjustRightInd w:val="0"/>
              <w:snapToGrid w:val="0"/>
              <w:spacing w:line="400" w:lineRule="exact"/>
              <w:jc w:val="center"/>
              <w:rPr>
                <w:rFonts w:ascii="宋体" w:hAnsi="宋体" w:cs="宋体"/>
                <w:kern w:val="0"/>
                <w:szCs w:val="21"/>
              </w:rPr>
            </w:pPr>
          </w:p>
        </w:tc>
        <w:tc>
          <w:tcPr>
            <w:tcW w:w="1130" w:type="dxa"/>
            <w:tcBorders>
              <w:top w:val="single" w:color="000000" w:sz="4" w:space="0"/>
              <w:left w:val="single" w:color="auto" w:sz="4" w:space="0"/>
              <w:bottom w:val="single" w:color="000000" w:sz="4" w:space="0"/>
              <w:right w:val="single" w:color="000000" w:sz="4" w:space="0"/>
            </w:tcBorders>
            <w:vAlign w:val="center"/>
          </w:tcPr>
          <w:p w14:paraId="45BE3721">
            <w:pPr>
              <w:widowControl/>
              <w:adjustRightInd w:val="0"/>
              <w:snapToGrid w:val="0"/>
              <w:spacing w:line="400" w:lineRule="exact"/>
              <w:jc w:val="center"/>
              <w:rPr>
                <w:rFonts w:ascii="宋体" w:hAnsi="宋体" w:cs="宋体"/>
                <w:kern w:val="0"/>
                <w:szCs w:val="21"/>
              </w:rPr>
            </w:pPr>
            <w:r>
              <w:rPr>
                <w:rFonts w:ascii="宋体" w:hAnsi="宋体" w:cs="宋体"/>
                <w:kern w:val="0"/>
                <w:szCs w:val="21"/>
              </w:rPr>
              <w:t>3.4.2</w:t>
            </w:r>
          </w:p>
        </w:tc>
        <w:tc>
          <w:tcPr>
            <w:tcW w:w="6827" w:type="dxa"/>
            <w:tcBorders>
              <w:top w:val="single" w:color="000000" w:sz="4" w:space="0"/>
              <w:left w:val="nil"/>
              <w:bottom w:val="single" w:color="000000" w:sz="4" w:space="0"/>
              <w:right w:val="single" w:color="000000" w:sz="4" w:space="0"/>
            </w:tcBorders>
            <w:vAlign w:val="center"/>
          </w:tcPr>
          <w:p w14:paraId="73D3955A">
            <w:pPr>
              <w:pStyle w:val="299"/>
              <w:spacing w:line="400" w:lineRule="exact"/>
              <w:ind w:firstLine="0" w:firstLineChars="0"/>
              <w:rPr>
                <w:rFonts w:ascii="宋体" w:hAnsi="宋体" w:cs="宋体"/>
                <w:kern w:val="0"/>
                <w:szCs w:val="21"/>
              </w:rPr>
            </w:pPr>
            <w:r>
              <w:rPr>
                <w:rFonts w:hint="eastAsia" w:ascii="宋体" w:hAnsi="宋体" w:cs="宋体"/>
                <w:kern w:val="0"/>
                <w:szCs w:val="21"/>
              </w:rPr>
              <w:t>对投标人投标报价进行算术性修正的原则：</w:t>
            </w:r>
          </w:p>
          <w:p w14:paraId="47A28979">
            <w:pPr>
              <w:pStyle w:val="299"/>
              <w:spacing w:line="400" w:lineRule="exact"/>
              <w:ind w:firstLine="0" w:firstLineChars="0"/>
              <w:rPr>
                <w:rFonts w:ascii="宋体" w:hAnsi="宋体" w:cs="宋体"/>
                <w:kern w:val="0"/>
                <w:szCs w:val="21"/>
              </w:rPr>
            </w:pPr>
            <w:r>
              <w:rPr>
                <w:rFonts w:hint="eastAsia" w:ascii="宋体" w:hAnsi="宋体" w:cs="宋体"/>
                <w:b/>
                <w:bCs/>
                <w:kern w:val="0"/>
                <w:szCs w:val="21"/>
              </w:rPr>
              <w:t>□</w:t>
            </w:r>
            <w:r>
              <w:rPr>
                <w:rFonts w:hint="eastAsia" w:ascii="宋体" w:hAnsi="宋体" w:cs="宋体"/>
                <w:kern w:val="0"/>
                <w:szCs w:val="21"/>
              </w:rPr>
              <w:t xml:space="preserve"> 方式一：</w:t>
            </w:r>
          </w:p>
          <w:p w14:paraId="0EDEC600">
            <w:pPr>
              <w:pStyle w:val="299"/>
              <w:spacing w:line="400" w:lineRule="exact"/>
              <w:ind w:firstLine="0" w:firstLineChars="0"/>
              <w:rPr>
                <w:rFonts w:ascii="宋体" w:hAnsi="宋体" w:cs="宋体"/>
                <w:kern w:val="0"/>
                <w:szCs w:val="21"/>
              </w:rPr>
            </w:pPr>
            <w:r>
              <w:rPr>
                <w:rFonts w:hint="eastAsia" w:ascii="宋体" w:hAnsi="宋体" w:cs="宋体"/>
                <w:kern w:val="0"/>
                <w:szCs w:val="21"/>
              </w:rPr>
              <w:t>（</w:t>
            </w:r>
            <w:r>
              <w:rPr>
                <w:rFonts w:ascii="宋体" w:hAnsi="宋体" w:cs="宋体"/>
                <w:kern w:val="0"/>
                <w:szCs w:val="21"/>
              </w:rPr>
              <w:t>1）第二个信封投标函中的</w:t>
            </w:r>
            <w:r>
              <w:rPr>
                <w:rFonts w:hint="eastAsia" w:ascii="宋体" w:hAnsi="宋体" w:cs="宋体"/>
                <w:kern w:val="0"/>
                <w:szCs w:val="21"/>
                <w:lang w:val="en-US" w:eastAsia="zh-CN"/>
              </w:rPr>
              <w:t>投标总报价</w:t>
            </w:r>
            <w:r>
              <w:rPr>
                <w:rFonts w:ascii="宋体" w:hAnsi="宋体" w:cs="宋体"/>
                <w:kern w:val="0"/>
                <w:szCs w:val="21"/>
              </w:rPr>
              <w:t>大写金额与小写金额不一致的，以大写金额为准。</w:t>
            </w:r>
          </w:p>
          <w:p w14:paraId="7E0C065C">
            <w:pPr>
              <w:pStyle w:val="299"/>
              <w:spacing w:line="400" w:lineRule="exact"/>
              <w:ind w:firstLine="0" w:firstLineChars="0"/>
              <w:rPr>
                <w:rFonts w:ascii="宋体" w:hAnsi="宋体" w:cs="宋体"/>
                <w:kern w:val="0"/>
                <w:szCs w:val="21"/>
              </w:rPr>
            </w:pPr>
            <w:r>
              <w:rPr>
                <w:rFonts w:hint="eastAsia" w:ascii="宋体" w:hAnsi="宋体" w:cs="宋体"/>
                <w:kern w:val="0"/>
                <w:szCs w:val="21"/>
              </w:rPr>
              <w:t>（</w:t>
            </w:r>
            <w:r>
              <w:rPr>
                <w:rFonts w:ascii="宋体" w:hAnsi="宋体" w:cs="宋体"/>
                <w:kern w:val="0"/>
                <w:szCs w:val="21"/>
              </w:rPr>
              <w:t>2）清单汇总表投标报价金额与第二个信封投标函中的</w:t>
            </w:r>
            <w:r>
              <w:rPr>
                <w:rFonts w:hint="eastAsia" w:ascii="宋体" w:hAnsi="宋体" w:cs="宋体"/>
                <w:kern w:val="0"/>
                <w:szCs w:val="21"/>
                <w:lang w:val="en-US" w:eastAsia="zh-CN"/>
              </w:rPr>
              <w:t>投标总标价</w:t>
            </w:r>
            <w:r>
              <w:rPr>
                <w:rFonts w:ascii="宋体" w:hAnsi="宋体" w:cs="宋体"/>
                <w:kern w:val="0"/>
                <w:szCs w:val="21"/>
              </w:rPr>
              <w:t>大写金额不一致的，以第二个信封投标函中大写金额为准。</w:t>
            </w:r>
          </w:p>
          <w:p w14:paraId="2E89D9D3">
            <w:pPr>
              <w:pStyle w:val="299"/>
              <w:spacing w:line="400" w:lineRule="exact"/>
              <w:ind w:firstLine="0" w:firstLineChars="0"/>
              <w:rPr>
                <w:rFonts w:ascii="宋体" w:hAnsi="宋体" w:cs="宋体"/>
                <w:kern w:val="0"/>
                <w:szCs w:val="21"/>
              </w:rPr>
            </w:pPr>
            <w:r>
              <w:rPr>
                <w:rFonts w:hint="eastAsia" w:ascii="宋体" w:hAnsi="宋体" w:cs="宋体"/>
                <w:b/>
                <w:bCs/>
                <w:kern w:val="0"/>
                <w:szCs w:val="21"/>
              </w:rPr>
              <w:t>□</w:t>
            </w:r>
            <w:r>
              <w:rPr>
                <w:rFonts w:hint="eastAsia" w:ascii="宋体" w:hAnsi="宋体" w:cs="宋体"/>
                <w:kern w:val="0"/>
                <w:szCs w:val="21"/>
              </w:rPr>
              <w:t xml:space="preserve"> 方式二：</w:t>
            </w:r>
          </w:p>
          <w:p w14:paraId="40397D01">
            <w:pPr>
              <w:pStyle w:val="299"/>
              <w:spacing w:line="400" w:lineRule="exact"/>
              <w:ind w:firstLine="210" w:firstLineChars="100"/>
              <w:rPr>
                <w:rFonts w:hint="eastAsia" w:ascii="宋体" w:hAnsi="宋体" w:cs="宋体"/>
                <w:szCs w:val="21"/>
              </w:rPr>
            </w:pPr>
            <w:r>
              <w:rPr>
                <w:rFonts w:hint="eastAsia" w:ascii="宋体" w:hAnsi="宋体" w:cs="宋体"/>
                <w:szCs w:val="21"/>
              </w:rPr>
              <w:t>……</w:t>
            </w:r>
          </w:p>
          <w:p w14:paraId="709F8660">
            <w:pPr>
              <w:pStyle w:val="299"/>
              <w:spacing w:line="400" w:lineRule="exact"/>
              <w:ind w:firstLine="210" w:firstLineChars="100"/>
              <w:rPr>
                <w:rFonts w:hint="eastAsia" w:ascii="宋体" w:hAnsi="宋体" w:cs="宋体"/>
                <w:szCs w:val="21"/>
              </w:rPr>
            </w:pPr>
            <w:r>
              <w:rPr>
                <w:rFonts w:hint="eastAsia" w:ascii="宋体" w:hAnsi="宋体" w:cs="宋体"/>
                <w:szCs w:val="21"/>
              </w:rPr>
              <w:t>注：当报价方式采用单价或总价以外的其他情形时，在此约定其他投标报价修正方式。</w:t>
            </w:r>
          </w:p>
        </w:tc>
      </w:tr>
      <w:tr w14:paraId="06F98254">
        <w:tblPrEx>
          <w:tblCellMar>
            <w:top w:w="0" w:type="dxa"/>
            <w:left w:w="108" w:type="dxa"/>
            <w:bottom w:w="0" w:type="dxa"/>
            <w:right w:w="108" w:type="dxa"/>
          </w:tblCellMar>
        </w:tblPrEx>
        <w:trPr>
          <w:trHeight w:val="2477"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7B562364">
            <w:pPr>
              <w:widowControl/>
              <w:adjustRightInd w:val="0"/>
              <w:snapToGrid w:val="0"/>
              <w:spacing w:line="400" w:lineRule="exact"/>
              <w:jc w:val="center"/>
              <w:rPr>
                <w:rFonts w:ascii="宋体" w:hAnsi="宋体" w:cs="宋体"/>
                <w:kern w:val="0"/>
                <w:szCs w:val="21"/>
              </w:rPr>
            </w:pPr>
          </w:p>
        </w:tc>
        <w:tc>
          <w:tcPr>
            <w:tcW w:w="1130" w:type="dxa"/>
            <w:tcBorders>
              <w:top w:val="single" w:color="000000" w:sz="4" w:space="0"/>
              <w:left w:val="single" w:color="auto" w:sz="4" w:space="0"/>
              <w:bottom w:val="single" w:color="auto" w:sz="4" w:space="0"/>
              <w:right w:val="single" w:color="000000" w:sz="4" w:space="0"/>
            </w:tcBorders>
            <w:vAlign w:val="center"/>
          </w:tcPr>
          <w:p w14:paraId="66D428E2">
            <w:pPr>
              <w:widowControl/>
              <w:adjustRightInd w:val="0"/>
              <w:snapToGrid w:val="0"/>
              <w:spacing w:line="400" w:lineRule="exact"/>
              <w:jc w:val="center"/>
              <w:rPr>
                <w:rFonts w:ascii="宋体" w:hAnsi="宋体" w:cs="宋体"/>
                <w:szCs w:val="21"/>
              </w:rPr>
            </w:pPr>
            <w:r>
              <w:rPr>
                <w:rFonts w:ascii="宋体" w:hAnsi="宋体" w:cs="宋体"/>
                <w:kern w:val="0"/>
                <w:szCs w:val="21"/>
              </w:rPr>
              <w:t>3.4.3</w:t>
            </w:r>
          </w:p>
        </w:tc>
        <w:tc>
          <w:tcPr>
            <w:tcW w:w="6827" w:type="dxa"/>
            <w:tcBorders>
              <w:top w:val="single" w:color="000000" w:sz="4" w:space="0"/>
              <w:left w:val="nil"/>
              <w:bottom w:val="single" w:color="auto" w:sz="4" w:space="0"/>
              <w:right w:val="single" w:color="000000" w:sz="4" w:space="0"/>
            </w:tcBorders>
            <w:vAlign w:val="center"/>
          </w:tcPr>
          <w:p w14:paraId="15D7138B">
            <w:pPr>
              <w:widowControl/>
              <w:adjustRightInd w:val="0"/>
              <w:snapToGrid w:val="0"/>
              <w:spacing w:line="400" w:lineRule="exact"/>
              <w:rPr>
                <w:rFonts w:ascii="宋体" w:hAnsi="宋体" w:cs="宋体"/>
                <w:kern w:val="0"/>
                <w:szCs w:val="21"/>
              </w:rPr>
            </w:pPr>
            <w:r>
              <w:rPr>
                <w:rFonts w:hint="eastAsia" w:ascii="宋体" w:hAnsi="宋体" w:cs="宋体"/>
                <w:kern w:val="0"/>
                <w:szCs w:val="21"/>
              </w:rPr>
              <w:t>对投标人已标价价格清单中的投标报价有其他错误进行修正的原则：</w:t>
            </w:r>
          </w:p>
          <w:p w14:paraId="6FEC4576">
            <w:pPr>
              <w:pStyle w:val="299"/>
              <w:spacing w:line="400" w:lineRule="exact"/>
              <w:rPr>
                <w:rFonts w:ascii="宋体" w:hAnsi="宋体" w:cs="宋体"/>
                <w:kern w:val="0"/>
                <w:szCs w:val="21"/>
              </w:rPr>
            </w:pPr>
            <w:r>
              <w:rPr>
                <w:rFonts w:hint="eastAsia" w:ascii="宋体" w:hAnsi="宋体" w:cs="宋体"/>
                <w:b/>
                <w:bCs/>
                <w:kern w:val="0"/>
                <w:szCs w:val="21"/>
              </w:rPr>
              <w:t xml:space="preserve">□ </w:t>
            </w:r>
            <w:r>
              <w:rPr>
                <w:rFonts w:hint="eastAsia" w:ascii="宋体" w:hAnsi="宋体" w:cs="宋体"/>
                <w:kern w:val="0"/>
                <w:szCs w:val="21"/>
              </w:rPr>
              <w:t>方式一：</w:t>
            </w:r>
          </w:p>
          <w:p w14:paraId="07C2DFCC">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价格清单中的投标报价有其他错误的，评标阶段不作修正，在签订合同时以第二个信封投标函中投标总报价大写金额为准，按第二章“投标人须知”前附表第</w:t>
            </w:r>
            <w:r>
              <w:rPr>
                <w:rFonts w:ascii="宋体" w:hAnsi="宋体" w:cs="宋体"/>
                <w:kern w:val="0"/>
                <w:szCs w:val="21"/>
              </w:rPr>
              <w:t>7.8.3项规定修正。</w:t>
            </w:r>
          </w:p>
          <w:p w14:paraId="6CB3B324">
            <w:pPr>
              <w:pStyle w:val="299"/>
              <w:spacing w:line="400" w:lineRule="exact"/>
              <w:rPr>
                <w:rFonts w:ascii="宋体" w:hAnsi="宋体" w:cs="宋体"/>
                <w:kern w:val="0"/>
                <w:szCs w:val="21"/>
              </w:rPr>
            </w:pPr>
            <w:r>
              <w:rPr>
                <w:rFonts w:hint="eastAsia" w:ascii="宋体" w:hAnsi="宋体" w:cs="宋体"/>
                <w:b/>
                <w:bCs/>
                <w:kern w:val="0"/>
                <w:szCs w:val="21"/>
              </w:rPr>
              <w:t>□</w:t>
            </w:r>
            <w:r>
              <w:rPr>
                <w:rFonts w:hint="eastAsia" w:ascii="宋体" w:hAnsi="宋体" w:cs="宋体"/>
                <w:kern w:val="0"/>
                <w:szCs w:val="21"/>
              </w:rPr>
              <w:t xml:space="preserve"> 方式二：</w:t>
            </w:r>
          </w:p>
          <w:p w14:paraId="2EF110F2">
            <w:pPr>
              <w:widowControl/>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w:t>
            </w:r>
          </w:p>
          <w:p w14:paraId="55498E33">
            <w:pPr>
              <w:widowControl/>
              <w:adjustRightInd w:val="0"/>
              <w:snapToGrid w:val="0"/>
              <w:spacing w:line="400" w:lineRule="exact"/>
              <w:ind w:firstLine="210" w:firstLineChars="100"/>
              <w:rPr>
                <w:rFonts w:hint="eastAsia" w:ascii="宋体" w:hAnsi="宋体" w:cs="宋体"/>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53EABAE9">
        <w:tblPrEx>
          <w:tblCellMar>
            <w:top w:w="0" w:type="dxa"/>
            <w:left w:w="108" w:type="dxa"/>
            <w:bottom w:w="0" w:type="dxa"/>
            <w:right w:w="108" w:type="dxa"/>
          </w:tblCellMar>
        </w:tblPrEx>
        <w:trPr>
          <w:trHeight w:val="380"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55FCD6D9">
            <w:pPr>
              <w:widowControl/>
              <w:adjustRightInd w:val="0"/>
              <w:snapToGrid w:val="0"/>
              <w:spacing w:line="400" w:lineRule="exact"/>
              <w:jc w:val="center"/>
              <w:rPr>
                <w:rFonts w:ascii="宋体" w:hAnsi="宋体" w:cs="宋体"/>
                <w:b/>
                <w:bCs/>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4D2CC948">
            <w:pPr>
              <w:widowControl/>
              <w:adjustRightInd w:val="0"/>
              <w:snapToGrid w:val="0"/>
              <w:spacing w:line="400" w:lineRule="exact"/>
              <w:jc w:val="center"/>
              <w:rPr>
                <w:rFonts w:ascii="宋体" w:hAnsi="宋体" w:cs="宋体"/>
                <w:b/>
                <w:bCs/>
                <w:kern w:val="0"/>
                <w:szCs w:val="21"/>
              </w:rPr>
            </w:pPr>
            <w:r>
              <w:rPr>
                <w:rFonts w:ascii="宋体" w:hAnsi="宋体" w:cs="宋体"/>
                <w:kern w:val="0"/>
                <w:szCs w:val="21"/>
              </w:rPr>
              <w:t>3.4.4</w:t>
            </w:r>
          </w:p>
        </w:tc>
        <w:tc>
          <w:tcPr>
            <w:tcW w:w="6827" w:type="dxa"/>
            <w:tcBorders>
              <w:top w:val="single" w:color="auto" w:sz="4" w:space="0"/>
              <w:left w:val="nil"/>
              <w:bottom w:val="single" w:color="auto" w:sz="4" w:space="0"/>
              <w:right w:val="single" w:color="auto" w:sz="4" w:space="0"/>
            </w:tcBorders>
            <w:vAlign w:val="center"/>
          </w:tcPr>
          <w:p w14:paraId="4002E70C">
            <w:pPr>
              <w:widowControl/>
              <w:adjustRightInd w:val="0"/>
              <w:snapToGrid w:val="0"/>
              <w:spacing w:line="400" w:lineRule="exact"/>
              <w:jc w:val="left"/>
              <w:rPr>
                <w:rFonts w:ascii="宋体" w:hAnsi="宋体" w:cs="宋体"/>
                <w:b/>
                <w:bCs/>
                <w:kern w:val="0"/>
                <w:szCs w:val="21"/>
              </w:rPr>
            </w:pPr>
            <w:r>
              <w:rPr>
                <w:rFonts w:hint="eastAsia" w:ascii="宋体" w:hAnsi="宋体"/>
                <w:szCs w:val="21"/>
              </w:rPr>
              <w:t>投标人的投标报价若超过最高投标限价（如有），评标委员会应否决其投标。</w:t>
            </w:r>
          </w:p>
        </w:tc>
      </w:tr>
      <w:tr w14:paraId="65E31779">
        <w:tblPrEx>
          <w:tblCellMar>
            <w:top w:w="0" w:type="dxa"/>
            <w:left w:w="108" w:type="dxa"/>
            <w:bottom w:w="0" w:type="dxa"/>
            <w:right w:w="108" w:type="dxa"/>
          </w:tblCellMar>
        </w:tblPrEx>
        <w:trPr>
          <w:trHeight w:val="786" w:hRule="atLeast"/>
        </w:trPr>
        <w:tc>
          <w:tcPr>
            <w:tcW w:w="990" w:type="dxa"/>
            <w:vMerge w:val="restart"/>
            <w:tcBorders>
              <w:top w:val="single" w:color="000000" w:sz="4" w:space="0"/>
              <w:left w:val="single" w:color="000000" w:sz="4" w:space="0"/>
              <w:right w:val="single" w:color="auto" w:sz="4" w:space="0"/>
            </w:tcBorders>
            <w:vAlign w:val="center"/>
          </w:tcPr>
          <w:p w14:paraId="31B7C41F">
            <w:pPr>
              <w:widowControl/>
              <w:adjustRightInd w:val="0"/>
              <w:snapToGrid w:val="0"/>
              <w:spacing w:line="400" w:lineRule="exact"/>
              <w:jc w:val="center"/>
              <w:rPr>
                <w:rFonts w:ascii="宋体" w:hAnsi="宋体" w:cs="宋体"/>
                <w:kern w:val="0"/>
                <w:szCs w:val="21"/>
              </w:rPr>
            </w:pPr>
            <w:r>
              <w:rPr>
                <w:rFonts w:ascii="宋体" w:hAnsi="宋体" w:cs="宋体"/>
                <w:kern w:val="0"/>
                <w:szCs w:val="21"/>
              </w:rPr>
              <w:t>3.5</w:t>
            </w:r>
          </w:p>
          <w:p w14:paraId="60E2B0E8">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第二个信封详细评审</w:t>
            </w:r>
          </w:p>
        </w:tc>
        <w:tc>
          <w:tcPr>
            <w:tcW w:w="1130" w:type="dxa"/>
            <w:tcBorders>
              <w:top w:val="single" w:color="auto" w:sz="4" w:space="0"/>
              <w:left w:val="single" w:color="auto" w:sz="4" w:space="0"/>
              <w:bottom w:val="single" w:color="auto" w:sz="4" w:space="0"/>
              <w:right w:val="single" w:color="auto" w:sz="4" w:space="0"/>
            </w:tcBorders>
            <w:vAlign w:val="center"/>
          </w:tcPr>
          <w:p w14:paraId="7415D7B9">
            <w:pPr>
              <w:widowControl/>
              <w:adjustRightInd w:val="0"/>
              <w:snapToGrid w:val="0"/>
              <w:spacing w:line="400" w:lineRule="exact"/>
              <w:jc w:val="center"/>
              <w:rPr>
                <w:rFonts w:ascii="宋体" w:hAnsi="宋体" w:cs="宋体"/>
                <w:kern w:val="0"/>
                <w:szCs w:val="21"/>
              </w:rPr>
            </w:pPr>
            <w:r>
              <w:rPr>
                <w:rFonts w:ascii="宋体" w:hAnsi="宋体" w:cs="宋体"/>
                <w:kern w:val="0"/>
                <w:szCs w:val="21"/>
              </w:rPr>
              <w:t>3.5.1</w:t>
            </w:r>
          </w:p>
        </w:tc>
        <w:tc>
          <w:tcPr>
            <w:tcW w:w="6827" w:type="dxa"/>
            <w:tcBorders>
              <w:top w:val="single" w:color="auto" w:sz="4" w:space="0"/>
              <w:left w:val="single" w:color="auto" w:sz="4" w:space="0"/>
              <w:bottom w:val="single" w:color="auto" w:sz="4" w:space="0"/>
              <w:right w:val="single" w:color="auto" w:sz="4" w:space="0"/>
            </w:tcBorders>
            <w:vAlign w:val="center"/>
          </w:tcPr>
          <w:p w14:paraId="2EC77A2A">
            <w:pPr>
              <w:widowControl/>
              <w:adjustRightInd w:val="0"/>
              <w:snapToGrid w:val="0"/>
              <w:spacing w:line="400" w:lineRule="exact"/>
              <w:rPr>
                <w:rFonts w:ascii="宋体" w:hAnsi="宋体"/>
                <w:szCs w:val="21"/>
              </w:rPr>
            </w:pPr>
            <w:r>
              <w:rPr>
                <w:rFonts w:hint="eastAsia" w:ascii="宋体" w:hAnsi="宋体" w:cs="宋体"/>
                <w:kern w:val="0"/>
                <w:szCs w:val="21"/>
              </w:rPr>
              <w:t>评标委员会按本章</w:t>
            </w:r>
            <w:r>
              <w:rPr>
                <w:rFonts w:hint="eastAsia" w:ascii="宋体" w:hAnsi="宋体" w:cs="宋体"/>
                <w:szCs w:val="21"/>
              </w:rPr>
              <w:t>第</w:t>
            </w:r>
            <w:r>
              <w:rPr>
                <w:rFonts w:ascii="宋体" w:hAnsi="宋体" w:cs="宋体"/>
                <w:szCs w:val="21"/>
              </w:rPr>
              <w:t>2.2.3</w:t>
            </w:r>
            <w:r>
              <w:rPr>
                <w:rFonts w:hint="eastAsia" w:ascii="宋体" w:hAnsi="宋体" w:cs="宋体"/>
                <w:szCs w:val="21"/>
              </w:rPr>
              <w:t>项</w:t>
            </w:r>
            <w:r>
              <w:rPr>
                <w:rFonts w:hint="eastAsia" w:ascii="宋体" w:hAnsi="宋体" w:cs="宋体"/>
                <w:kern w:val="0"/>
                <w:szCs w:val="21"/>
              </w:rPr>
              <w:t>规定的评审因素及标准</w:t>
            </w:r>
            <w:r>
              <w:rPr>
                <w:rFonts w:hint="eastAsia" w:ascii="宋体" w:hAnsi="宋体" w:cs="宋体"/>
                <w:szCs w:val="21"/>
              </w:rPr>
              <w:t>计算出</w:t>
            </w:r>
            <w:r>
              <w:rPr>
                <w:rFonts w:ascii="宋体" w:hAnsi="宋体" w:cs="宋体"/>
                <w:kern w:val="0"/>
                <w:szCs w:val="21"/>
              </w:rPr>
              <w:t>评标价</w:t>
            </w:r>
            <w:r>
              <w:rPr>
                <w:rFonts w:hint="eastAsia" w:ascii="宋体" w:hAnsi="宋体" w:cs="宋体"/>
                <w:kern w:val="0"/>
                <w:szCs w:val="21"/>
              </w:rPr>
              <w:t>。</w:t>
            </w:r>
          </w:p>
        </w:tc>
      </w:tr>
      <w:tr w14:paraId="1366FACE">
        <w:tblPrEx>
          <w:tblCellMar>
            <w:top w:w="0" w:type="dxa"/>
            <w:left w:w="108" w:type="dxa"/>
            <w:bottom w:w="0" w:type="dxa"/>
            <w:right w:w="108" w:type="dxa"/>
          </w:tblCellMar>
        </w:tblPrEx>
        <w:trPr>
          <w:trHeight w:val="254" w:hRule="atLeast"/>
        </w:trPr>
        <w:tc>
          <w:tcPr>
            <w:tcW w:w="990" w:type="dxa"/>
            <w:vMerge w:val="continue"/>
            <w:tcBorders>
              <w:left w:val="single" w:color="000000" w:sz="4" w:space="0"/>
              <w:bottom w:val="single" w:color="auto" w:sz="4" w:space="0"/>
              <w:right w:val="single" w:color="000000" w:sz="4" w:space="0"/>
            </w:tcBorders>
            <w:vAlign w:val="center"/>
          </w:tcPr>
          <w:p w14:paraId="1CF61AFE">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nil"/>
              <w:bottom w:val="single" w:color="000000" w:sz="4" w:space="0"/>
              <w:right w:val="single" w:color="000000" w:sz="4" w:space="0"/>
            </w:tcBorders>
            <w:vAlign w:val="center"/>
          </w:tcPr>
          <w:p w14:paraId="7693C861">
            <w:pPr>
              <w:widowControl/>
              <w:adjustRightInd w:val="0"/>
              <w:snapToGrid w:val="0"/>
              <w:spacing w:line="400" w:lineRule="exact"/>
              <w:jc w:val="center"/>
              <w:rPr>
                <w:rFonts w:ascii="宋体" w:hAnsi="宋体" w:cs="宋体"/>
                <w:kern w:val="0"/>
                <w:szCs w:val="21"/>
              </w:rPr>
            </w:pPr>
            <w:r>
              <w:rPr>
                <w:rFonts w:ascii="宋体" w:hAnsi="宋体" w:cs="宋体"/>
                <w:kern w:val="0"/>
                <w:szCs w:val="21"/>
              </w:rPr>
              <w:t>3.5.2</w:t>
            </w:r>
          </w:p>
        </w:tc>
        <w:tc>
          <w:tcPr>
            <w:tcW w:w="6827" w:type="dxa"/>
            <w:tcBorders>
              <w:top w:val="single" w:color="auto" w:sz="4" w:space="0"/>
              <w:left w:val="nil"/>
              <w:bottom w:val="single" w:color="000000" w:sz="4" w:space="0"/>
              <w:right w:val="single" w:color="000000" w:sz="4" w:space="0"/>
            </w:tcBorders>
            <w:vAlign w:val="center"/>
          </w:tcPr>
          <w:p w14:paraId="74FC5965">
            <w:pPr>
              <w:widowControl/>
              <w:adjustRightInd w:val="0"/>
              <w:snapToGrid w:val="0"/>
              <w:spacing w:line="400" w:lineRule="exact"/>
              <w:rPr>
                <w:rFonts w:ascii="宋体" w:hAnsi="宋体"/>
                <w:szCs w:val="21"/>
              </w:rPr>
            </w:pPr>
            <w:r>
              <w:rPr>
                <w:rFonts w:hint="eastAsia" w:ascii="宋体" w:hAnsi="宋体" w:cs="宋体"/>
                <w:kern w:val="0"/>
                <w:szCs w:val="21"/>
              </w:rPr>
              <w:t>评标委员会认定投标人以低于成本报价的，其投标将予以否决。</w:t>
            </w:r>
          </w:p>
        </w:tc>
      </w:tr>
      <w:tr w14:paraId="1309C09F">
        <w:tblPrEx>
          <w:tblCellMar>
            <w:top w:w="0" w:type="dxa"/>
            <w:left w:w="108" w:type="dxa"/>
            <w:bottom w:w="0" w:type="dxa"/>
            <w:right w:w="108" w:type="dxa"/>
          </w:tblCellMar>
        </w:tblPrEx>
        <w:trPr>
          <w:trHeight w:val="1018"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14:paraId="4E18E70B">
            <w:pPr>
              <w:widowControl/>
              <w:adjustRightInd w:val="0"/>
              <w:snapToGrid w:val="0"/>
              <w:spacing w:line="400" w:lineRule="exact"/>
              <w:jc w:val="center"/>
              <w:rPr>
                <w:rFonts w:ascii="宋体" w:hAnsi="宋体"/>
                <w:szCs w:val="21"/>
              </w:rPr>
            </w:pPr>
            <w:r>
              <w:rPr>
                <w:rFonts w:ascii="宋体" w:hAnsi="宋体"/>
                <w:szCs w:val="21"/>
              </w:rPr>
              <w:t>3.6</w:t>
            </w:r>
          </w:p>
          <w:p w14:paraId="4E30C2E0">
            <w:pPr>
              <w:widowControl/>
              <w:adjustRightInd w:val="0"/>
              <w:snapToGrid w:val="0"/>
              <w:spacing w:line="400" w:lineRule="exact"/>
              <w:jc w:val="center"/>
              <w:rPr>
                <w:rFonts w:ascii="宋体" w:hAnsi="宋体" w:cs="宋体"/>
                <w:kern w:val="0"/>
                <w:szCs w:val="21"/>
              </w:rPr>
            </w:pPr>
            <w:r>
              <w:rPr>
                <w:rFonts w:hint="eastAsia" w:ascii="宋体" w:hAnsi="宋体"/>
                <w:szCs w:val="21"/>
              </w:rPr>
              <w:t>投标文件相关信息</w:t>
            </w:r>
            <w:r>
              <w:rPr>
                <w:rFonts w:hint="eastAsia" w:ascii="宋体" w:hAnsi="宋体"/>
                <w:szCs w:val="21"/>
                <w:lang w:val="en-US" w:eastAsia="zh-CN"/>
              </w:rPr>
              <w:t>的</w:t>
            </w:r>
            <w:r>
              <w:rPr>
                <w:rFonts w:hint="eastAsia" w:ascii="宋体" w:hAnsi="宋体"/>
                <w:szCs w:val="21"/>
              </w:rPr>
              <w:t>核查</w:t>
            </w:r>
          </w:p>
        </w:tc>
        <w:tc>
          <w:tcPr>
            <w:tcW w:w="1130" w:type="dxa"/>
            <w:tcBorders>
              <w:top w:val="single" w:color="000000" w:sz="4" w:space="0"/>
              <w:left w:val="single" w:color="auto" w:sz="4" w:space="0"/>
              <w:bottom w:val="single" w:color="000000" w:sz="4" w:space="0"/>
              <w:right w:val="single" w:color="000000" w:sz="4" w:space="0"/>
            </w:tcBorders>
            <w:vAlign w:val="center"/>
          </w:tcPr>
          <w:p w14:paraId="210E6DF2">
            <w:pPr>
              <w:widowControl/>
              <w:adjustRightInd w:val="0"/>
              <w:snapToGrid w:val="0"/>
              <w:spacing w:line="400" w:lineRule="exact"/>
              <w:jc w:val="center"/>
              <w:rPr>
                <w:rFonts w:ascii="宋体" w:hAnsi="宋体" w:cs="宋体"/>
                <w:kern w:val="0"/>
                <w:szCs w:val="21"/>
              </w:rPr>
            </w:pPr>
            <w:r>
              <w:rPr>
                <w:rFonts w:ascii="宋体" w:hAnsi="宋体"/>
                <w:szCs w:val="21"/>
              </w:rPr>
              <w:t>3.6.1</w:t>
            </w:r>
          </w:p>
        </w:tc>
        <w:tc>
          <w:tcPr>
            <w:tcW w:w="6827" w:type="dxa"/>
            <w:tcBorders>
              <w:top w:val="single" w:color="000000" w:sz="4" w:space="0"/>
              <w:left w:val="nil"/>
              <w:bottom w:val="single" w:color="000000" w:sz="4" w:space="0"/>
              <w:right w:val="single" w:color="000000" w:sz="4" w:space="0"/>
            </w:tcBorders>
            <w:vAlign w:val="center"/>
          </w:tcPr>
          <w:p w14:paraId="0A976F85">
            <w:pPr>
              <w:widowControl/>
              <w:adjustRightInd w:val="0"/>
              <w:snapToGrid w:val="0"/>
              <w:spacing w:line="400" w:lineRule="exact"/>
              <w:rPr>
                <w:rFonts w:ascii="宋体" w:hAnsi="宋体"/>
                <w:szCs w:val="21"/>
              </w:rPr>
            </w:pPr>
            <w:r>
              <w:rPr>
                <w:rFonts w:hint="eastAsia" w:ascii="宋体" w:hAnsi="宋体" w:cs="宋体"/>
                <w:szCs w:val="21"/>
              </w:rPr>
              <w:t>经核实评标委员会认定投标人按招标文件第九章“投标文件格式”要求在投标文件中提供的信息与</w:t>
            </w:r>
            <w:r>
              <w:rPr>
                <w:rFonts w:hint="eastAsia" w:ascii="宋体" w:hAnsi="宋体"/>
                <w:szCs w:val="21"/>
              </w:rPr>
              <w:t>交通运输主管部门</w:t>
            </w:r>
            <w:r>
              <w:rPr>
                <w:rFonts w:ascii="宋体" w:hAnsi="宋体"/>
                <w:szCs w:val="21"/>
              </w:rPr>
              <w:t>“</w:t>
            </w:r>
            <w:r>
              <w:rPr>
                <w:rFonts w:hint="eastAsia" w:ascii="宋体" w:hAnsi="宋体" w:cs="宋体"/>
                <w:szCs w:val="21"/>
              </w:rPr>
              <w:t>全国公路建设市场监督管理系统</w:t>
            </w:r>
            <w:r>
              <w:rPr>
                <w:rFonts w:ascii="宋体" w:hAnsi="宋体"/>
                <w:szCs w:val="21"/>
              </w:rPr>
              <w:t>”</w:t>
            </w:r>
            <w:r>
              <w:rPr>
                <w:rFonts w:hint="eastAsia" w:ascii="宋体" w:hAnsi="宋体"/>
                <w:szCs w:val="21"/>
              </w:rPr>
              <w:t>（ 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号）要求，招标人应通过名录对投标人资质条件进行审核的公路施工企业）以及“信用交通·四川”等相关网站发布的信息不符</w:t>
            </w:r>
            <w:r>
              <w:rPr>
                <w:rFonts w:hint="eastAsia" w:ascii="宋体" w:hAnsi="宋体" w:cs="宋体"/>
                <w:szCs w:val="21"/>
              </w:rPr>
              <w:t>，使得投标人的资格条件不符合招标文件规定的，评标委员会应否决其投标</w:t>
            </w:r>
            <w:r>
              <w:rPr>
                <w:rFonts w:hint="eastAsia" w:ascii="宋体" w:hAnsi="宋体"/>
                <w:szCs w:val="21"/>
              </w:rPr>
              <w:t>。</w:t>
            </w:r>
          </w:p>
        </w:tc>
      </w:tr>
      <w:tr w14:paraId="5CF037C4">
        <w:tblPrEx>
          <w:tblCellMar>
            <w:top w:w="0" w:type="dxa"/>
            <w:left w:w="108" w:type="dxa"/>
            <w:bottom w:w="0" w:type="dxa"/>
            <w:right w:w="108" w:type="dxa"/>
          </w:tblCellMar>
        </w:tblPrEx>
        <w:trPr>
          <w:trHeight w:val="597"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60723F47">
            <w:pPr>
              <w:widowControl/>
              <w:adjustRightInd w:val="0"/>
              <w:snapToGrid w:val="0"/>
              <w:spacing w:line="400" w:lineRule="exact"/>
              <w:jc w:val="center"/>
              <w:rPr>
                <w:rFonts w:ascii="宋体" w:hAnsi="宋体" w:cs="宋体"/>
                <w:kern w:val="0"/>
                <w:szCs w:val="21"/>
              </w:rPr>
            </w:pPr>
          </w:p>
        </w:tc>
        <w:tc>
          <w:tcPr>
            <w:tcW w:w="1130" w:type="dxa"/>
            <w:tcBorders>
              <w:top w:val="single" w:color="000000" w:sz="4" w:space="0"/>
              <w:left w:val="single" w:color="auto" w:sz="4" w:space="0"/>
              <w:bottom w:val="single" w:color="000000" w:sz="4" w:space="0"/>
              <w:right w:val="single" w:color="000000" w:sz="4" w:space="0"/>
            </w:tcBorders>
            <w:vAlign w:val="center"/>
          </w:tcPr>
          <w:p w14:paraId="4FC56E25">
            <w:pPr>
              <w:widowControl/>
              <w:adjustRightInd w:val="0"/>
              <w:snapToGrid w:val="0"/>
              <w:spacing w:line="400" w:lineRule="exact"/>
              <w:jc w:val="center"/>
              <w:rPr>
                <w:rFonts w:ascii="宋体" w:hAnsi="宋体" w:cs="宋体"/>
                <w:kern w:val="0"/>
                <w:szCs w:val="21"/>
              </w:rPr>
            </w:pPr>
            <w:r>
              <w:rPr>
                <w:rFonts w:ascii="宋体" w:hAnsi="宋体"/>
                <w:szCs w:val="21"/>
              </w:rPr>
              <w:t>3.6.2</w:t>
            </w:r>
          </w:p>
        </w:tc>
        <w:tc>
          <w:tcPr>
            <w:tcW w:w="6827" w:type="dxa"/>
            <w:tcBorders>
              <w:top w:val="single" w:color="000000" w:sz="4" w:space="0"/>
              <w:left w:val="nil"/>
              <w:bottom w:val="single" w:color="000000" w:sz="4" w:space="0"/>
              <w:right w:val="single" w:color="000000" w:sz="4" w:space="0"/>
            </w:tcBorders>
            <w:vAlign w:val="center"/>
          </w:tcPr>
          <w:p w14:paraId="4401E93A">
            <w:pPr>
              <w:widowControl/>
              <w:adjustRightInd w:val="0"/>
              <w:snapToGrid w:val="0"/>
              <w:spacing w:line="400" w:lineRule="exact"/>
              <w:rPr>
                <w:rFonts w:ascii="宋体" w:hAnsi="宋体"/>
                <w:szCs w:val="21"/>
              </w:rPr>
            </w:pPr>
            <w:r>
              <w:rPr>
                <w:rFonts w:hint="eastAsia" w:ascii="宋体" w:hAnsi="宋体"/>
                <w:szCs w:val="21"/>
              </w:rPr>
              <w:t>评标委员会在评标过程中发现投标人存在</w:t>
            </w:r>
            <w:r>
              <w:rPr>
                <w:rFonts w:hint="eastAsia" w:ascii="宋体" w:hAnsi="宋体"/>
                <w:kern w:val="0"/>
                <w:szCs w:val="21"/>
              </w:rPr>
              <w:t>串通投标、弄虚作假、行贿等违法行为的</w:t>
            </w:r>
            <w:r>
              <w:rPr>
                <w:rFonts w:hint="eastAsia" w:ascii="宋体" w:hAnsi="宋体"/>
                <w:szCs w:val="21"/>
              </w:rPr>
              <w:t>，评标委员会应否决其投标。</w:t>
            </w:r>
          </w:p>
        </w:tc>
      </w:tr>
      <w:tr w14:paraId="322E210B">
        <w:tblPrEx>
          <w:tblCellMar>
            <w:top w:w="0" w:type="dxa"/>
            <w:left w:w="108" w:type="dxa"/>
            <w:bottom w:w="0" w:type="dxa"/>
            <w:right w:w="108" w:type="dxa"/>
          </w:tblCellMar>
        </w:tblPrEx>
        <w:trPr>
          <w:trHeight w:val="2564" w:hRule="atLeast"/>
        </w:trPr>
        <w:tc>
          <w:tcPr>
            <w:tcW w:w="990" w:type="dxa"/>
            <w:tcBorders>
              <w:top w:val="single" w:color="auto" w:sz="4" w:space="0"/>
              <w:left w:val="single" w:color="000000" w:sz="4" w:space="0"/>
              <w:bottom w:val="single" w:color="auto" w:sz="4" w:space="0"/>
              <w:right w:val="single" w:color="000000" w:sz="4" w:space="0"/>
            </w:tcBorders>
            <w:vAlign w:val="center"/>
          </w:tcPr>
          <w:p w14:paraId="56D3AB8C">
            <w:pPr>
              <w:widowControl/>
              <w:adjustRightInd w:val="0"/>
              <w:snapToGrid w:val="0"/>
              <w:spacing w:line="400" w:lineRule="exact"/>
              <w:jc w:val="center"/>
              <w:rPr>
                <w:rFonts w:ascii="宋体" w:hAnsi="宋体" w:cs="宋体"/>
                <w:kern w:val="0"/>
                <w:szCs w:val="21"/>
              </w:rPr>
            </w:pPr>
            <w:r>
              <w:rPr>
                <w:rFonts w:ascii="宋体" w:hAnsi="宋体" w:cs="宋体"/>
                <w:kern w:val="0"/>
                <w:szCs w:val="21"/>
              </w:rPr>
              <w:t>3.7</w:t>
            </w:r>
          </w:p>
          <w:p w14:paraId="2350DA28">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投标文件的澄清和说明</w:t>
            </w:r>
          </w:p>
        </w:tc>
        <w:tc>
          <w:tcPr>
            <w:tcW w:w="1130" w:type="dxa"/>
            <w:tcBorders>
              <w:top w:val="single" w:color="000000" w:sz="4" w:space="0"/>
              <w:left w:val="nil"/>
              <w:bottom w:val="single" w:color="000000" w:sz="4" w:space="0"/>
              <w:right w:val="single" w:color="000000" w:sz="4" w:space="0"/>
            </w:tcBorders>
            <w:vAlign w:val="center"/>
          </w:tcPr>
          <w:p w14:paraId="5E65BD51">
            <w:pPr>
              <w:widowControl/>
              <w:adjustRightInd w:val="0"/>
              <w:snapToGrid w:val="0"/>
              <w:spacing w:line="400" w:lineRule="exact"/>
              <w:ind w:firstLine="120"/>
              <w:rPr>
                <w:rFonts w:ascii="宋体" w:hAnsi="宋体" w:cs="宋体"/>
                <w:kern w:val="0"/>
                <w:szCs w:val="21"/>
              </w:rPr>
            </w:pPr>
            <w:r>
              <w:rPr>
                <w:rFonts w:ascii="宋体" w:hAnsi="宋体" w:cs="宋体"/>
                <w:kern w:val="0"/>
                <w:szCs w:val="21"/>
              </w:rPr>
              <w:t>3.7.1</w:t>
            </w:r>
          </w:p>
        </w:tc>
        <w:tc>
          <w:tcPr>
            <w:tcW w:w="6827" w:type="dxa"/>
            <w:tcBorders>
              <w:top w:val="single" w:color="000000" w:sz="4" w:space="0"/>
              <w:left w:val="nil"/>
              <w:bottom w:val="single" w:color="000000" w:sz="4" w:space="0"/>
              <w:right w:val="single" w:color="000000" w:sz="4" w:space="0"/>
            </w:tcBorders>
            <w:vAlign w:val="center"/>
          </w:tcPr>
          <w:p w14:paraId="766F2902">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1）在评标过程中，评标委员会通过“</w:t>
            </w:r>
            <w:r>
              <w:rPr>
                <w:rFonts w:hint="eastAsia" w:ascii="宋体" w:hAnsi="宋体" w:cs="宋体"/>
                <w:szCs w:val="21"/>
              </w:rPr>
              <w:t>乐山市公共资源交易服务平台电子招投标系统</w:t>
            </w:r>
            <w:r>
              <w:rPr>
                <w:rFonts w:ascii="宋体" w:hAnsi="宋体" w:cs="宋体"/>
                <w:szCs w:val="21"/>
              </w:rPr>
              <w:t>”要求投标人对投标文件中含义不明确的内容、明显文字或计算错误进行澄清或说明。评标委员会不接受投标人主动提出的澄清、说明。</w:t>
            </w:r>
          </w:p>
          <w:p w14:paraId="02E91574">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2）投标人收到问题澄清通知后必须在规定时间内通过“</w:t>
            </w:r>
            <w:r>
              <w:rPr>
                <w:rFonts w:hint="eastAsia" w:ascii="宋体" w:hAnsi="宋体" w:cs="宋体"/>
                <w:szCs w:val="21"/>
              </w:rPr>
              <w:t>乐山市公共资源交易服务平台电子招投标系统</w:t>
            </w:r>
            <w:r>
              <w:rPr>
                <w:rFonts w:ascii="宋体" w:hAnsi="宋体" w:cs="宋体"/>
                <w:szCs w:val="21"/>
              </w:rPr>
              <w:t>”给予澄清，投标人的澄清必须加盖投标人单位电子印章或法定代表人或其委托代理人的</w:t>
            </w:r>
            <w:r>
              <w:rPr>
                <w:rFonts w:hint="eastAsia" w:ascii="宋体" w:hAnsi="宋体" w:cs="宋体"/>
                <w:szCs w:val="21"/>
                <w:lang w:val="en-US" w:eastAsia="zh-CN"/>
              </w:rPr>
              <w:t>个人</w:t>
            </w:r>
            <w:r>
              <w:rPr>
                <w:rFonts w:ascii="宋体" w:hAnsi="宋体" w:cs="宋体"/>
                <w:szCs w:val="21"/>
              </w:rPr>
              <w:t>电子签</w:t>
            </w:r>
            <w:r>
              <w:rPr>
                <w:rFonts w:hint="eastAsia" w:ascii="宋体" w:hAnsi="宋体" w:cs="宋体"/>
                <w:szCs w:val="21"/>
              </w:rPr>
              <w:t>名</w:t>
            </w:r>
            <w:r>
              <w:rPr>
                <w:rFonts w:ascii="宋体" w:hAnsi="宋体" w:cs="宋体"/>
                <w:szCs w:val="21"/>
              </w:rPr>
              <w:t>章</w:t>
            </w:r>
            <w:r>
              <w:rPr>
                <w:rFonts w:hint="eastAsia" w:ascii="宋体" w:hAnsi="宋体" w:cs="宋体"/>
                <w:szCs w:val="21"/>
              </w:rPr>
              <w:t>或个人电子印章</w:t>
            </w:r>
            <w:r>
              <w:rPr>
                <w:rFonts w:ascii="宋体" w:hAnsi="宋体" w:cs="宋体"/>
                <w:szCs w:val="21"/>
              </w:rPr>
              <w:t>。</w:t>
            </w:r>
          </w:p>
          <w:p w14:paraId="043D4908">
            <w:pPr>
              <w:widowControl/>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3）投标人不按评标委员会要求澄清或说明的，评标委员会应否决其投标。</w:t>
            </w:r>
          </w:p>
        </w:tc>
      </w:tr>
      <w:tr w14:paraId="5D5F111B">
        <w:tblPrEx>
          <w:tblCellMar>
            <w:top w:w="0" w:type="dxa"/>
            <w:left w:w="108" w:type="dxa"/>
            <w:bottom w:w="0" w:type="dxa"/>
            <w:right w:w="108" w:type="dxa"/>
          </w:tblCellMar>
        </w:tblPrEx>
        <w:trPr>
          <w:trHeight w:val="133" w:hRule="atLeast"/>
        </w:trPr>
        <w:tc>
          <w:tcPr>
            <w:tcW w:w="8947" w:type="dxa"/>
            <w:gridSpan w:val="3"/>
            <w:tcBorders>
              <w:top w:val="single" w:color="auto" w:sz="4" w:space="0"/>
              <w:left w:val="single" w:color="000000" w:sz="4" w:space="0"/>
              <w:bottom w:val="single" w:color="000000" w:sz="4" w:space="0"/>
              <w:right w:val="single" w:color="000000" w:sz="4" w:space="0"/>
            </w:tcBorders>
            <w:vAlign w:val="center"/>
          </w:tcPr>
          <w:p w14:paraId="5BA6B8B9">
            <w:pPr>
              <w:pStyle w:val="299"/>
              <w:adjustRightInd w:val="0"/>
              <w:snapToGrid w:val="0"/>
              <w:spacing w:line="32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23A8F165">
            <w:pPr>
              <w:pStyle w:val="299"/>
              <w:adjustRightInd w:val="0"/>
              <w:snapToGrid w:val="0"/>
              <w:spacing w:line="320" w:lineRule="exact"/>
              <w:rPr>
                <w:rFonts w:ascii="宋体" w:hAnsi="宋体" w:cs="宋体"/>
                <w:szCs w:val="21"/>
              </w:rPr>
            </w:pPr>
            <w:r>
              <w:rPr>
                <w:rFonts w:hint="eastAsia" w:ascii="宋体" w:hAnsi="宋体" w:cs="宋体"/>
                <w:szCs w:val="21"/>
              </w:rPr>
              <w:t>……</w:t>
            </w:r>
          </w:p>
        </w:tc>
      </w:tr>
    </w:tbl>
    <w:p w14:paraId="0129DC6B">
      <w:pPr>
        <w:ind w:firstLine="0" w:firstLineChars="0"/>
        <w:rPr>
          <w:rFonts w:ascii="黑体" w:hAnsi="黑体" w:eastAsia="黑体" w:cs="宋体"/>
          <w:sz w:val="28"/>
          <w:szCs w:val="28"/>
          <w:u w:val="single"/>
        </w:rPr>
      </w:pPr>
      <w:r>
        <w:rPr>
          <w:rFonts w:ascii="黑体" w:hAnsi="黑体" w:eastAsia="黑体" w:cs="宋体"/>
          <w:sz w:val="28"/>
          <w:szCs w:val="28"/>
          <w:u w:val="single"/>
        </w:rPr>
        <w:br w:type="page"/>
      </w:r>
    </w:p>
    <w:p w14:paraId="21254EAE">
      <w:pPr>
        <w:ind w:firstLine="2800" w:firstLineChars="1000"/>
        <w:rPr>
          <w:rFonts w:ascii="黑体" w:hAnsi="黑体" w:eastAsia="黑体" w:cs="宋体"/>
          <w:sz w:val="28"/>
          <w:szCs w:val="28"/>
        </w:rPr>
      </w:pPr>
      <w:r>
        <w:rPr>
          <w:rFonts w:ascii="黑体" w:hAnsi="黑体" w:eastAsia="黑体" w:cs="宋体"/>
          <w:sz w:val="28"/>
          <w:szCs w:val="28"/>
          <w:u w:val="single"/>
        </w:rPr>
        <w:t xml:space="preserve">        </w:t>
      </w:r>
      <w:r>
        <w:rPr>
          <w:rFonts w:hint="eastAsia" w:ascii="黑体" w:hAnsi="黑体" w:eastAsia="黑体" w:cs="宋体"/>
          <w:sz w:val="28"/>
          <w:szCs w:val="28"/>
        </w:rPr>
        <w:t>标段评分因素与权重分值</w:t>
      </w:r>
    </w:p>
    <w:p w14:paraId="402B5125">
      <w:pPr>
        <w:rPr>
          <w:rFonts w:ascii="宋体" w:hAnsi="宋体" w:cs="宋体"/>
        </w:rPr>
      </w:pPr>
    </w:p>
    <w:tbl>
      <w:tblPr>
        <w:tblStyle w:val="4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077"/>
        <w:gridCol w:w="1176"/>
        <w:gridCol w:w="3457"/>
        <w:gridCol w:w="709"/>
        <w:gridCol w:w="1262"/>
      </w:tblGrid>
      <w:tr w14:paraId="75E2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089" w:type="dxa"/>
            <w:vMerge w:val="restart"/>
            <w:vAlign w:val="center"/>
          </w:tcPr>
          <w:p w14:paraId="63EAD1D3">
            <w:pPr>
              <w:pStyle w:val="299"/>
              <w:adjustRightInd w:val="0"/>
              <w:snapToGrid w:val="0"/>
              <w:spacing w:line="276" w:lineRule="auto"/>
              <w:jc w:val="center"/>
              <w:rPr>
                <w:rFonts w:ascii="宋体" w:hAnsi="宋体" w:cs="宋体"/>
                <w:b/>
                <w:szCs w:val="21"/>
              </w:rPr>
            </w:pPr>
            <w:r>
              <w:rPr>
                <w:rFonts w:hint="eastAsia" w:ascii="宋体" w:hAnsi="宋体" w:cs="宋体"/>
                <w:b/>
                <w:szCs w:val="21"/>
              </w:rPr>
              <w:t>条款号</w:t>
            </w:r>
          </w:p>
        </w:tc>
        <w:tc>
          <w:tcPr>
            <w:tcW w:w="7681" w:type="dxa"/>
            <w:gridSpan w:val="5"/>
            <w:vAlign w:val="center"/>
          </w:tcPr>
          <w:p w14:paraId="00D71D3A">
            <w:pPr>
              <w:pStyle w:val="299"/>
              <w:adjustRightInd w:val="0"/>
              <w:snapToGrid w:val="0"/>
              <w:spacing w:line="276" w:lineRule="auto"/>
              <w:jc w:val="center"/>
              <w:rPr>
                <w:rFonts w:ascii="宋体" w:hAnsi="宋体" w:cs="宋体"/>
                <w:b/>
                <w:szCs w:val="21"/>
              </w:rPr>
            </w:pPr>
            <w:r>
              <w:rPr>
                <w:rFonts w:hint="eastAsia" w:ascii="宋体" w:hAnsi="宋体" w:cs="宋体"/>
                <w:b/>
                <w:szCs w:val="21"/>
              </w:rPr>
              <w:t>评分因素与权重分值</w:t>
            </w:r>
          </w:p>
        </w:tc>
      </w:tr>
      <w:tr w14:paraId="6C05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9" w:type="dxa"/>
            <w:vMerge w:val="continue"/>
            <w:vAlign w:val="center"/>
          </w:tcPr>
          <w:p w14:paraId="05F385D8">
            <w:pPr>
              <w:pStyle w:val="299"/>
              <w:adjustRightInd w:val="0"/>
              <w:snapToGrid w:val="0"/>
              <w:spacing w:line="276" w:lineRule="auto"/>
              <w:jc w:val="center"/>
              <w:rPr>
                <w:rFonts w:ascii="宋体" w:hAnsi="宋体" w:cs="宋体"/>
                <w:b/>
                <w:szCs w:val="21"/>
              </w:rPr>
            </w:pPr>
          </w:p>
        </w:tc>
        <w:tc>
          <w:tcPr>
            <w:tcW w:w="1077" w:type="dxa"/>
            <w:vAlign w:val="center"/>
          </w:tcPr>
          <w:p w14:paraId="4FFEFB45">
            <w:pPr>
              <w:pStyle w:val="299"/>
              <w:adjustRightInd w:val="0"/>
              <w:snapToGrid w:val="0"/>
              <w:spacing w:line="276" w:lineRule="auto"/>
              <w:jc w:val="center"/>
              <w:rPr>
                <w:rFonts w:ascii="宋体" w:hAnsi="宋体" w:cs="宋体"/>
                <w:b/>
                <w:szCs w:val="21"/>
              </w:rPr>
            </w:pPr>
            <w:r>
              <w:rPr>
                <w:rFonts w:hint="eastAsia" w:ascii="宋体" w:hAnsi="宋体" w:cs="宋体"/>
                <w:b/>
                <w:szCs w:val="21"/>
              </w:rPr>
              <w:t>评分因素</w:t>
            </w:r>
          </w:p>
        </w:tc>
        <w:tc>
          <w:tcPr>
            <w:tcW w:w="1176" w:type="dxa"/>
            <w:vAlign w:val="center"/>
          </w:tcPr>
          <w:p w14:paraId="20368097">
            <w:pPr>
              <w:pStyle w:val="299"/>
              <w:adjustRightInd w:val="0"/>
              <w:snapToGrid w:val="0"/>
              <w:spacing w:line="276" w:lineRule="auto"/>
              <w:jc w:val="center"/>
              <w:rPr>
                <w:rFonts w:ascii="宋体" w:hAnsi="宋体" w:cs="宋体"/>
                <w:b/>
                <w:szCs w:val="21"/>
              </w:rPr>
            </w:pPr>
            <w:r>
              <w:rPr>
                <w:rFonts w:hint="eastAsia" w:ascii="宋体" w:hAnsi="宋体" w:cs="宋体"/>
                <w:b/>
                <w:szCs w:val="21"/>
              </w:rPr>
              <w:t>评分因素权重分值</w:t>
            </w:r>
          </w:p>
        </w:tc>
        <w:tc>
          <w:tcPr>
            <w:tcW w:w="3457" w:type="dxa"/>
            <w:vAlign w:val="center"/>
          </w:tcPr>
          <w:p w14:paraId="5AA6F826">
            <w:pPr>
              <w:pStyle w:val="299"/>
              <w:adjustRightInd w:val="0"/>
              <w:snapToGrid w:val="0"/>
              <w:spacing w:line="276" w:lineRule="auto"/>
              <w:jc w:val="center"/>
              <w:rPr>
                <w:rFonts w:ascii="宋体" w:hAnsi="宋体" w:cs="宋体"/>
                <w:b/>
                <w:szCs w:val="21"/>
              </w:rPr>
            </w:pPr>
            <w:r>
              <w:rPr>
                <w:rFonts w:hint="eastAsia" w:ascii="宋体" w:hAnsi="宋体" w:cs="宋体"/>
                <w:b/>
                <w:szCs w:val="21"/>
              </w:rPr>
              <w:t>各评分因素细分项</w:t>
            </w:r>
          </w:p>
        </w:tc>
        <w:tc>
          <w:tcPr>
            <w:tcW w:w="709" w:type="dxa"/>
            <w:vAlign w:val="center"/>
          </w:tcPr>
          <w:p w14:paraId="77C7CD4B">
            <w:pPr>
              <w:pStyle w:val="299"/>
              <w:adjustRightInd w:val="0"/>
              <w:snapToGrid w:val="0"/>
              <w:spacing w:line="276" w:lineRule="auto"/>
              <w:jc w:val="center"/>
              <w:rPr>
                <w:rFonts w:ascii="宋体" w:hAnsi="宋体" w:cs="宋体"/>
                <w:b/>
                <w:szCs w:val="21"/>
              </w:rPr>
            </w:pPr>
            <w:r>
              <w:rPr>
                <w:rFonts w:hint="eastAsia" w:ascii="宋体" w:hAnsi="宋体" w:cs="宋体"/>
                <w:b/>
                <w:szCs w:val="21"/>
              </w:rPr>
              <w:t>分值</w:t>
            </w:r>
          </w:p>
        </w:tc>
        <w:tc>
          <w:tcPr>
            <w:tcW w:w="1262" w:type="dxa"/>
            <w:vAlign w:val="center"/>
          </w:tcPr>
          <w:p w14:paraId="5D2F8744">
            <w:pPr>
              <w:pStyle w:val="299"/>
              <w:adjustRightInd w:val="0"/>
              <w:snapToGrid w:val="0"/>
              <w:spacing w:line="276" w:lineRule="auto"/>
              <w:jc w:val="center"/>
              <w:rPr>
                <w:rFonts w:ascii="宋体" w:hAnsi="宋体" w:cs="宋体"/>
                <w:b/>
                <w:szCs w:val="21"/>
              </w:rPr>
            </w:pPr>
            <w:r>
              <w:rPr>
                <w:rFonts w:hint="eastAsia" w:ascii="宋体" w:hAnsi="宋体" w:cs="宋体"/>
                <w:b/>
                <w:szCs w:val="21"/>
              </w:rPr>
              <w:t>评分标准</w:t>
            </w:r>
          </w:p>
        </w:tc>
      </w:tr>
      <w:tr w14:paraId="217A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89" w:type="dxa"/>
            <w:vMerge w:val="restart"/>
            <w:vAlign w:val="center"/>
          </w:tcPr>
          <w:p w14:paraId="1C6B4568">
            <w:pPr>
              <w:pStyle w:val="299"/>
              <w:adjustRightInd w:val="0"/>
              <w:snapToGrid w:val="0"/>
              <w:spacing w:line="400" w:lineRule="exact"/>
              <w:jc w:val="center"/>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1）</w:t>
            </w:r>
          </w:p>
        </w:tc>
        <w:tc>
          <w:tcPr>
            <w:tcW w:w="1077" w:type="dxa"/>
            <w:vMerge w:val="restart"/>
            <w:vAlign w:val="center"/>
          </w:tcPr>
          <w:p w14:paraId="5F064133">
            <w:pPr>
              <w:pStyle w:val="299"/>
              <w:adjustRightInd w:val="0"/>
              <w:snapToGrid w:val="0"/>
              <w:spacing w:line="400" w:lineRule="exact"/>
              <w:jc w:val="center"/>
              <w:rPr>
                <w:rFonts w:ascii="宋体" w:hAnsi="宋体" w:cs="宋体"/>
                <w:szCs w:val="21"/>
              </w:rPr>
            </w:pPr>
            <w:r>
              <w:rPr>
                <w:rFonts w:hint="eastAsia" w:ascii="宋体" w:hAnsi="宋体" w:cs="宋体"/>
                <w:szCs w:val="21"/>
              </w:rPr>
              <w:t>设计施工总承包方案</w:t>
            </w:r>
            <w:r>
              <w:rPr>
                <w:rFonts w:ascii="宋体" w:hAnsi="宋体" w:cs="宋体"/>
                <w:szCs w:val="21"/>
              </w:rPr>
              <w:t>A</w:t>
            </w:r>
          </w:p>
        </w:tc>
        <w:tc>
          <w:tcPr>
            <w:tcW w:w="1176" w:type="dxa"/>
            <w:vMerge w:val="restart"/>
            <w:vAlign w:val="center"/>
          </w:tcPr>
          <w:p w14:paraId="09A8903B">
            <w:pPr>
              <w:pStyle w:val="299"/>
              <w:adjustRightInd w:val="0"/>
              <w:snapToGrid w:val="0"/>
              <w:spacing w:line="400" w:lineRule="exact"/>
              <w:jc w:val="center"/>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r>
              <w:rPr>
                <w:rFonts w:ascii="宋体" w:hAnsi="宋体" w:cs="宋体"/>
                <w:szCs w:val="21"/>
              </w:rPr>
              <w:t xml:space="preserve"> </w:t>
            </w:r>
          </w:p>
        </w:tc>
        <w:tc>
          <w:tcPr>
            <w:tcW w:w="3457" w:type="dxa"/>
            <w:vAlign w:val="center"/>
          </w:tcPr>
          <w:p w14:paraId="4A7CE0AD">
            <w:pPr>
              <w:pStyle w:val="299"/>
              <w:adjustRightInd w:val="0"/>
              <w:snapToGrid w:val="0"/>
              <w:spacing w:line="400" w:lineRule="exact"/>
              <w:rPr>
                <w:rFonts w:hint="default" w:ascii="宋体" w:hAnsi="宋体" w:eastAsia="宋体" w:cs="宋体"/>
                <w:szCs w:val="21"/>
                <w:lang w:val="en-US" w:eastAsia="zh-CN"/>
              </w:rPr>
            </w:pPr>
            <w:r>
              <w:rPr>
                <w:rFonts w:hint="eastAsia" w:ascii="宋体" w:hAnsi="宋体" w:cs="宋体"/>
                <w:szCs w:val="21"/>
              </w:rPr>
              <w:t>项目管理机构的组建</w:t>
            </w:r>
            <w:r>
              <w:rPr>
                <w:rFonts w:hint="eastAsia" w:ascii="宋体" w:hAnsi="宋体" w:cs="宋体"/>
                <w:szCs w:val="21"/>
                <w:lang w:val="en-US" w:eastAsia="zh-CN"/>
              </w:rPr>
              <w:t>A</w:t>
            </w:r>
            <w:r>
              <w:rPr>
                <w:rFonts w:hint="eastAsia" w:ascii="宋体" w:hAnsi="宋体" w:cs="宋体"/>
                <w:szCs w:val="21"/>
                <w:vertAlign w:val="subscript"/>
                <w:lang w:val="en-US" w:eastAsia="zh-CN"/>
              </w:rPr>
              <w:t>1</w:t>
            </w:r>
          </w:p>
        </w:tc>
        <w:tc>
          <w:tcPr>
            <w:tcW w:w="709" w:type="dxa"/>
            <w:vAlign w:val="center"/>
          </w:tcPr>
          <w:p w14:paraId="28ABCAB9">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2C5832F6">
            <w:pPr>
              <w:pStyle w:val="299"/>
              <w:adjustRightInd w:val="0"/>
              <w:snapToGrid w:val="0"/>
              <w:spacing w:line="400" w:lineRule="exact"/>
              <w:rPr>
                <w:rFonts w:ascii="宋体" w:hAnsi="宋体" w:cs="宋体"/>
                <w:szCs w:val="21"/>
              </w:rPr>
            </w:pPr>
            <w:r>
              <w:rPr>
                <w:rFonts w:ascii="宋体" w:hAnsi="宋体" w:cs="宋体"/>
                <w:szCs w:val="21"/>
              </w:rPr>
              <w:t xml:space="preserve"> </w:t>
            </w:r>
            <w:r>
              <w:rPr>
                <w:rFonts w:ascii="宋体" w:hAnsi="宋体" w:cs="宋体"/>
                <w:szCs w:val="21"/>
                <w:u w:val="single"/>
              </w:rPr>
              <w:t xml:space="preserve">               </w:t>
            </w:r>
          </w:p>
        </w:tc>
      </w:tr>
      <w:tr w14:paraId="542C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9" w:type="dxa"/>
            <w:vMerge w:val="continue"/>
            <w:vAlign w:val="center"/>
          </w:tcPr>
          <w:p w14:paraId="428A518B">
            <w:pPr>
              <w:pStyle w:val="299"/>
              <w:adjustRightInd w:val="0"/>
              <w:snapToGrid w:val="0"/>
              <w:spacing w:line="400" w:lineRule="exact"/>
              <w:jc w:val="center"/>
              <w:rPr>
                <w:rFonts w:ascii="宋体" w:hAnsi="宋体" w:cs="宋体"/>
                <w:szCs w:val="21"/>
              </w:rPr>
            </w:pPr>
          </w:p>
        </w:tc>
        <w:tc>
          <w:tcPr>
            <w:tcW w:w="1077" w:type="dxa"/>
            <w:vMerge w:val="continue"/>
            <w:vAlign w:val="center"/>
          </w:tcPr>
          <w:p w14:paraId="2001E69D">
            <w:pPr>
              <w:pStyle w:val="299"/>
              <w:adjustRightInd w:val="0"/>
              <w:snapToGrid w:val="0"/>
              <w:spacing w:line="400" w:lineRule="exact"/>
              <w:jc w:val="center"/>
              <w:rPr>
                <w:rFonts w:ascii="宋体" w:hAnsi="宋体" w:cs="宋体"/>
                <w:szCs w:val="21"/>
              </w:rPr>
            </w:pPr>
          </w:p>
        </w:tc>
        <w:tc>
          <w:tcPr>
            <w:tcW w:w="1176" w:type="dxa"/>
            <w:vMerge w:val="continue"/>
            <w:vAlign w:val="center"/>
          </w:tcPr>
          <w:p w14:paraId="7B25B2D9">
            <w:pPr>
              <w:pStyle w:val="299"/>
              <w:adjustRightInd w:val="0"/>
              <w:snapToGrid w:val="0"/>
              <w:spacing w:line="400" w:lineRule="exact"/>
              <w:jc w:val="center"/>
              <w:rPr>
                <w:rFonts w:ascii="宋体" w:hAnsi="宋体" w:cs="宋体"/>
                <w:szCs w:val="21"/>
                <w:u w:val="single"/>
              </w:rPr>
            </w:pPr>
          </w:p>
        </w:tc>
        <w:tc>
          <w:tcPr>
            <w:tcW w:w="3457" w:type="dxa"/>
            <w:vAlign w:val="center"/>
          </w:tcPr>
          <w:p w14:paraId="7F9A2359">
            <w:pPr>
              <w:pStyle w:val="299"/>
              <w:adjustRightInd w:val="0"/>
              <w:snapToGrid w:val="0"/>
              <w:spacing w:line="400" w:lineRule="exact"/>
              <w:rPr>
                <w:rFonts w:ascii="宋体" w:hAnsi="宋体" w:cs="宋体"/>
                <w:szCs w:val="21"/>
              </w:rPr>
            </w:pPr>
            <w:r>
              <w:rPr>
                <w:rFonts w:hint="eastAsia" w:ascii="宋体" w:hAnsi="宋体" w:cs="宋体"/>
                <w:szCs w:val="21"/>
              </w:rPr>
              <w:t>总体实施方案</w:t>
            </w:r>
            <w:r>
              <w:rPr>
                <w:rFonts w:hint="eastAsia" w:ascii="宋体" w:hAnsi="宋体" w:cs="宋体"/>
                <w:szCs w:val="21"/>
                <w:lang w:val="en-US" w:eastAsia="zh-CN"/>
              </w:rPr>
              <w:t>A</w:t>
            </w:r>
            <w:r>
              <w:rPr>
                <w:rFonts w:hint="eastAsia" w:ascii="宋体" w:hAnsi="宋体" w:cs="宋体"/>
                <w:szCs w:val="21"/>
                <w:vertAlign w:val="subscript"/>
                <w:lang w:val="en-US" w:eastAsia="zh-CN"/>
              </w:rPr>
              <w:t>2</w:t>
            </w:r>
          </w:p>
        </w:tc>
        <w:tc>
          <w:tcPr>
            <w:tcW w:w="709" w:type="dxa"/>
            <w:vAlign w:val="center"/>
          </w:tcPr>
          <w:p w14:paraId="2727707A">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66F6547E">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0275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9" w:type="dxa"/>
            <w:vMerge w:val="continue"/>
            <w:vAlign w:val="center"/>
          </w:tcPr>
          <w:p w14:paraId="44270A75">
            <w:pPr>
              <w:pStyle w:val="299"/>
              <w:adjustRightInd w:val="0"/>
              <w:snapToGrid w:val="0"/>
              <w:spacing w:line="400" w:lineRule="exact"/>
              <w:jc w:val="center"/>
              <w:rPr>
                <w:rFonts w:ascii="宋体" w:hAnsi="宋体" w:cs="宋体"/>
                <w:szCs w:val="21"/>
              </w:rPr>
            </w:pPr>
          </w:p>
        </w:tc>
        <w:tc>
          <w:tcPr>
            <w:tcW w:w="1077" w:type="dxa"/>
            <w:vMerge w:val="continue"/>
            <w:vAlign w:val="center"/>
          </w:tcPr>
          <w:p w14:paraId="18F76B3F">
            <w:pPr>
              <w:pStyle w:val="299"/>
              <w:adjustRightInd w:val="0"/>
              <w:snapToGrid w:val="0"/>
              <w:spacing w:line="400" w:lineRule="exact"/>
              <w:jc w:val="center"/>
              <w:rPr>
                <w:rFonts w:ascii="宋体" w:hAnsi="宋体" w:cs="宋体"/>
                <w:szCs w:val="21"/>
              </w:rPr>
            </w:pPr>
          </w:p>
        </w:tc>
        <w:tc>
          <w:tcPr>
            <w:tcW w:w="1176" w:type="dxa"/>
            <w:vMerge w:val="continue"/>
            <w:vAlign w:val="center"/>
          </w:tcPr>
          <w:p w14:paraId="13C0A489">
            <w:pPr>
              <w:pStyle w:val="299"/>
              <w:adjustRightInd w:val="0"/>
              <w:snapToGrid w:val="0"/>
              <w:spacing w:line="400" w:lineRule="exact"/>
              <w:jc w:val="center"/>
              <w:rPr>
                <w:rFonts w:ascii="宋体" w:hAnsi="宋体" w:cs="宋体"/>
                <w:szCs w:val="21"/>
                <w:u w:val="single"/>
              </w:rPr>
            </w:pPr>
          </w:p>
        </w:tc>
        <w:tc>
          <w:tcPr>
            <w:tcW w:w="3457" w:type="dxa"/>
            <w:vAlign w:val="center"/>
          </w:tcPr>
          <w:p w14:paraId="270F39B4">
            <w:pPr>
              <w:adjustRightInd w:val="0"/>
              <w:snapToGrid w:val="0"/>
              <w:spacing w:line="360" w:lineRule="exact"/>
              <w:rPr>
                <w:rFonts w:ascii="宋体" w:hAnsi="宋体" w:cs="宋体"/>
                <w:szCs w:val="21"/>
              </w:rPr>
            </w:pPr>
            <w:r>
              <w:rPr>
                <w:rFonts w:ascii="宋体" w:hAnsi="宋体"/>
                <w:szCs w:val="21"/>
              </w:rPr>
              <w:t>对初步设计的优化建议</w:t>
            </w:r>
            <w:r>
              <w:rPr>
                <w:rFonts w:hint="eastAsia" w:ascii="宋体" w:hAnsi="宋体" w:cs="宋体"/>
                <w:szCs w:val="21"/>
                <w:lang w:val="en-US" w:eastAsia="zh-CN"/>
              </w:rPr>
              <w:t>A</w:t>
            </w:r>
            <w:r>
              <w:rPr>
                <w:rFonts w:hint="eastAsia" w:ascii="宋体" w:hAnsi="宋体" w:cs="宋体"/>
                <w:szCs w:val="21"/>
                <w:vertAlign w:val="subscript"/>
                <w:lang w:val="en-US" w:eastAsia="zh-CN"/>
              </w:rPr>
              <w:t>3</w:t>
            </w:r>
          </w:p>
        </w:tc>
        <w:tc>
          <w:tcPr>
            <w:tcW w:w="709" w:type="dxa"/>
            <w:vAlign w:val="center"/>
          </w:tcPr>
          <w:p w14:paraId="7171A5C8">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7C74E321">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0519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vMerge w:val="continue"/>
            <w:vAlign w:val="center"/>
          </w:tcPr>
          <w:p w14:paraId="6C059FEC">
            <w:pPr>
              <w:pStyle w:val="299"/>
              <w:adjustRightInd w:val="0"/>
              <w:snapToGrid w:val="0"/>
              <w:spacing w:line="400" w:lineRule="exact"/>
              <w:jc w:val="center"/>
              <w:rPr>
                <w:rFonts w:ascii="宋体" w:hAnsi="宋体" w:cs="宋体"/>
                <w:szCs w:val="21"/>
              </w:rPr>
            </w:pPr>
          </w:p>
        </w:tc>
        <w:tc>
          <w:tcPr>
            <w:tcW w:w="1077" w:type="dxa"/>
            <w:vMerge w:val="continue"/>
            <w:vAlign w:val="center"/>
          </w:tcPr>
          <w:p w14:paraId="50F8909C">
            <w:pPr>
              <w:pStyle w:val="299"/>
              <w:adjustRightInd w:val="0"/>
              <w:snapToGrid w:val="0"/>
              <w:spacing w:line="400" w:lineRule="exact"/>
              <w:jc w:val="center"/>
              <w:rPr>
                <w:rFonts w:ascii="宋体" w:hAnsi="宋体" w:cs="宋体"/>
                <w:szCs w:val="21"/>
              </w:rPr>
            </w:pPr>
          </w:p>
        </w:tc>
        <w:tc>
          <w:tcPr>
            <w:tcW w:w="1176" w:type="dxa"/>
            <w:vMerge w:val="continue"/>
            <w:vAlign w:val="center"/>
          </w:tcPr>
          <w:p w14:paraId="2A2AA295">
            <w:pPr>
              <w:pStyle w:val="299"/>
              <w:adjustRightInd w:val="0"/>
              <w:snapToGrid w:val="0"/>
              <w:spacing w:line="400" w:lineRule="exact"/>
              <w:jc w:val="center"/>
              <w:rPr>
                <w:rFonts w:ascii="宋体" w:hAnsi="宋体" w:cs="宋体"/>
                <w:szCs w:val="21"/>
                <w:u w:val="single"/>
              </w:rPr>
            </w:pPr>
          </w:p>
        </w:tc>
        <w:tc>
          <w:tcPr>
            <w:tcW w:w="3457" w:type="dxa"/>
            <w:tcBorders>
              <w:top w:val="single" w:color="auto" w:sz="4" w:space="0"/>
              <w:left w:val="single" w:color="auto" w:sz="4" w:space="0"/>
              <w:bottom w:val="single" w:color="auto" w:sz="4" w:space="0"/>
              <w:right w:val="single" w:color="auto" w:sz="4" w:space="0"/>
            </w:tcBorders>
            <w:vAlign w:val="center"/>
          </w:tcPr>
          <w:p w14:paraId="2759A069">
            <w:pPr>
              <w:pStyle w:val="299"/>
              <w:adjustRightInd w:val="0"/>
              <w:snapToGrid w:val="0"/>
              <w:spacing w:line="400" w:lineRule="exact"/>
              <w:rPr>
                <w:rFonts w:ascii="宋体" w:hAnsi="宋体" w:cs="宋体"/>
                <w:szCs w:val="21"/>
              </w:rPr>
            </w:pPr>
            <w:r>
              <w:rPr>
                <w:rFonts w:hint="eastAsia" w:ascii="宋体" w:hAnsi="宋体"/>
                <w:szCs w:val="21"/>
              </w:rPr>
              <w:t>施工图</w:t>
            </w:r>
            <w:r>
              <w:rPr>
                <w:rFonts w:ascii="宋体" w:hAnsi="宋体"/>
                <w:szCs w:val="21"/>
              </w:rPr>
              <w:t>勘察设计阶段组织实施方案</w:t>
            </w:r>
            <w:r>
              <w:rPr>
                <w:rFonts w:hint="eastAsia" w:ascii="宋体" w:hAnsi="宋体" w:cs="宋体"/>
                <w:szCs w:val="21"/>
                <w:lang w:val="en-US" w:eastAsia="zh-CN"/>
              </w:rPr>
              <w:t>A</w:t>
            </w:r>
            <w:r>
              <w:rPr>
                <w:rFonts w:hint="eastAsia" w:ascii="宋体" w:hAnsi="宋体" w:cs="宋体"/>
                <w:szCs w:val="21"/>
                <w:vertAlign w:val="subscript"/>
                <w:lang w:val="en-US" w:eastAsia="zh-CN"/>
              </w:rPr>
              <w:t>4</w:t>
            </w:r>
          </w:p>
        </w:tc>
        <w:tc>
          <w:tcPr>
            <w:tcW w:w="709" w:type="dxa"/>
            <w:vAlign w:val="center"/>
          </w:tcPr>
          <w:p w14:paraId="5C03CE42">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51FB6F55">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2678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89" w:type="dxa"/>
            <w:vMerge w:val="continue"/>
            <w:vAlign w:val="center"/>
          </w:tcPr>
          <w:p w14:paraId="5D5DD95E">
            <w:pPr>
              <w:pStyle w:val="299"/>
              <w:adjustRightInd w:val="0"/>
              <w:snapToGrid w:val="0"/>
              <w:spacing w:line="400" w:lineRule="exact"/>
              <w:jc w:val="center"/>
              <w:rPr>
                <w:rFonts w:ascii="宋体" w:hAnsi="宋体" w:cs="宋体"/>
                <w:szCs w:val="21"/>
              </w:rPr>
            </w:pPr>
          </w:p>
        </w:tc>
        <w:tc>
          <w:tcPr>
            <w:tcW w:w="1077" w:type="dxa"/>
            <w:vMerge w:val="continue"/>
            <w:vAlign w:val="center"/>
          </w:tcPr>
          <w:p w14:paraId="44263FC1">
            <w:pPr>
              <w:pStyle w:val="299"/>
              <w:adjustRightInd w:val="0"/>
              <w:snapToGrid w:val="0"/>
              <w:spacing w:line="400" w:lineRule="exact"/>
              <w:jc w:val="center"/>
              <w:rPr>
                <w:rFonts w:ascii="宋体" w:hAnsi="宋体" w:cs="宋体"/>
                <w:szCs w:val="21"/>
              </w:rPr>
            </w:pPr>
          </w:p>
        </w:tc>
        <w:tc>
          <w:tcPr>
            <w:tcW w:w="1176" w:type="dxa"/>
            <w:vMerge w:val="continue"/>
            <w:vAlign w:val="center"/>
          </w:tcPr>
          <w:p w14:paraId="6E9BB7D2">
            <w:pPr>
              <w:pStyle w:val="299"/>
              <w:adjustRightInd w:val="0"/>
              <w:snapToGrid w:val="0"/>
              <w:spacing w:line="400" w:lineRule="exact"/>
              <w:jc w:val="center"/>
              <w:rPr>
                <w:rFonts w:ascii="宋体" w:hAnsi="宋体" w:cs="宋体"/>
                <w:szCs w:val="21"/>
                <w:u w:val="single"/>
              </w:rPr>
            </w:pPr>
          </w:p>
        </w:tc>
        <w:tc>
          <w:tcPr>
            <w:tcW w:w="3457" w:type="dxa"/>
            <w:tcBorders>
              <w:top w:val="single" w:color="auto" w:sz="4" w:space="0"/>
              <w:left w:val="single" w:color="auto" w:sz="4" w:space="0"/>
              <w:bottom w:val="single" w:color="auto" w:sz="4" w:space="0"/>
              <w:right w:val="single" w:color="auto" w:sz="4" w:space="0"/>
            </w:tcBorders>
            <w:vAlign w:val="center"/>
          </w:tcPr>
          <w:p w14:paraId="10DD8EFD">
            <w:pPr>
              <w:adjustRightInd w:val="0"/>
              <w:snapToGrid w:val="0"/>
              <w:spacing w:line="360" w:lineRule="exact"/>
              <w:rPr>
                <w:rFonts w:ascii="宋体" w:hAnsi="宋体" w:cs="宋体"/>
                <w:szCs w:val="21"/>
              </w:rPr>
            </w:pPr>
            <w:r>
              <w:rPr>
                <w:rFonts w:ascii="宋体" w:hAnsi="宋体"/>
                <w:szCs w:val="21"/>
              </w:rPr>
              <w:t>施工阶段组织实施方案</w:t>
            </w:r>
            <w:r>
              <w:rPr>
                <w:rFonts w:hint="eastAsia" w:ascii="宋体" w:hAnsi="宋体" w:cs="宋体"/>
                <w:szCs w:val="21"/>
                <w:lang w:val="en-US" w:eastAsia="zh-CN"/>
              </w:rPr>
              <w:t>A</w:t>
            </w:r>
            <w:r>
              <w:rPr>
                <w:rFonts w:hint="eastAsia" w:ascii="宋体" w:hAnsi="宋体" w:cs="宋体"/>
                <w:szCs w:val="21"/>
                <w:vertAlign w:val="subscript"/>
                <w:lang w:val="en-US" w:eastAsia="zh-CN"/>
              </w:rPr>
              <w:t>5</w:t>
            </w:r>
          </w:p>
        </w:tc>
        <w:tc>
          <w:tcPr>
            <w:tcW w:w="709" w:type="dxa"/>
            <w:vAlign w:val="center"/>
          </w:tcPr>
          <w:p w14:paraId="3A7548BF">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4FBCD28F">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26E6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89" w:type="dxa"/>
            <w:vMerge w:val="continue"/>
            <w:vAlign w:val="center"/>
          </w:tcPr>
          <w:p w14:paraId="0DCE9EC0">
            <w:pPr>
              <w:pStyle w:val="299"/>
              <w:adjustRightInd w:val="0"/>
              <w:snapToGrid w:val="0"/>
              <w:spacing w:line="400" w:lineRule="exact"/>
              <w:jc w:val="center"/>
              <w:rPr>
                <w:rFonts w:ascii="宋体" w:hAnsi="宋体" w:cs="宋体"/>
                <w:szCs w:val="21"/>
              </w:rPr>
            </w:pPr>
          </w:p>
        </w:tc>
        <w:tc>
          <w:tcPr>
            <w:tcW w:w="1077" w:type="dxa"/>
            <w:vMerge w:val="continue"/>
            <w:vAlign w:val="center"/>
          </w:tcPr>
          <w:p w14:paraId="5E693EDF">
            <w:pPr>
              <w:pStyle w:val="299"/>
              <w:adjustRightInd w:val="0"/>
              <w:snapToGrid w:val="0"/>
              <w:spacing w:line="400" w:lineRule="exact"/>
              <w:jc w:val="center"/>
              <w:rPr>
                <w:rFonts w:ascii="宋体" w:hAnsi="宋体" w:cs="宋体"/>
                <w:szCs w:val="21"/>
              </w:rPr>
            </w:pPr>
          </w:p>
        </w:tc>
        <w:tc>
          <w:tcPr>
            <w:tcW w:w="1176" w:type="dxa"/>
            <w:vMerge w:val="continue"/>
            <w:vAlign w:val="center"/>
          </w:tcPr>
          <w:p w14:paraId="16BDC5DD">
            <w:pPr>
              <w:pStyle w:val="299"/>
              <w:adjustRightInd w:val="0"/>
              <w:snapToGrid w:val="0"/>
              <w:spacing w:line="400" w:lineRule="exact"/>
              <w:jc w:val="center"/>
              <w:rPr>
                <w:rFonts w:ascii="宋体" w:hAnsi="宋体" w:cs="宋体"/>
                <w:szCs w:val="21"/>
                <w:u w:val="single"/>
              </w:rPr>
            </w:pPr>
          </w:p>
        </w:tc>
        <w:tc>
          <w:tcPr>
            <w:tcW w:w="3457" w:type="dxa"/>
            <w:vAlign w:val="center"/>
          </w:tcPr>
          <w:p w14:paraId="1E2693D2">
            <w:pPr>
              <w:pStyle w:val="299"/>
              <w:adjustRightInd w:val="0"/>
              <w:snapToGrid w:val="0"/>
              <w:spacing w:line="400" w:lineRule="exact"/>
              <w:rPr>
                <w:rFonts w:ascii="宋体" w:hAnsi="宋体" w:cs="宋体"/>
                <w:szCs w:val="21"/>
              </w:rPr>
            </w:pPr>
            <w:r>
              <w:rPr>
                <w:rFonts w:ascii="宋体" w:hAnsi="宋体"/>
                <w:szCs w:val="21"/>
              </w:rPr>
              <w:t>施工阶段</w:t>
            </w:r>
            <w:r>
              <w:rPr>
                <w:rFonts w:hint="eastAsia" w:ascii="宋体" w:hAnsi="宋体"/>
                <w:szCs w:val="21"/>
              </w:rPr>
              <w:t>的主要工程项目</w:t>
            </w:r>
            <w:r>
              <w:rPr>
                <w:rFonts w:ascii="宋体" w:hAnsi="宋体"/>
                <w:szCs w:val="21"/>
              </w:rPr>
              <w:t>技术服务方案</w:t>
            </w:r>
            <w:r>
              <w:rPr>
                <w:rFonts w:hint="eastAsia" w:ascii="宋体" w:hAnsi="宋体" w:cs="宋体"/>
                <w:szCs w:val="21"/>
                <w:lang w:val="en-US" w:eastAsia="zh-CN"/>
              </w:rPr>
              <w:t>A</w:t>
            </w:r>
            <w:r>
              <w:rPr>
                <w:rFonts w:hint="eastAsia" w:ascii="宋体" w:hAnsi="宋体" w:cs="宋体"/>
                <w:szCs w:val="21"/>
                <w:vertAlign w:val="subscript"/>
                <w:lang w:val="en-US" w:eastAsia="zh-CN"/>
              </w:rPr>
              <w:t>6</w:t>
            </w:r>
          </w:p>
        </w:tc>
        <w:tc>
          <w:tcPr>
            <w:tcW w:w="709" w:type="dxa"/>
            <w:vAlign w:val="center"/>
          </w:tcPr>
          <w:p w14:paraId="6BBE62A7">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0D5AF8D9">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68B8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89" w:type="dxa"/>
            <w:vMerge w:val="continue"/>
            <w:vAlign w:val="center"/>
          </w:tcPr>
          <w:p w14:paraId="64C8BE72">
            <w:pPr>
              <w:pStyle w:val="299"/>
              <w:adjustRightInd w:val="0"/>
              <w:snapToGrid w:val="0"/>
              <w:spacing w:line="400" w:lineRule="exact"/>
              <w:jc w:val="center"/>
              <w:rPr>
                <w:rFonts w:ascii="宋体" w:hAnsi="宋体" w:cs="宋体"/>
                <w:szCs w:val="21"/>
              </w:rPr>
            </w:pPr>
          </w:p>
        </w:tc>
        <w:tc>
          <w:tcPr>
            <w:tcW w:w="1077" w:type="dxa"/>
            <w:vMerge w:val="continue"/>
            <w:vAlign w:val="center"/>
          </w:tcPr>
          <w:p w14:paraId="184B0710">
            <w:pPr>
              <w:pStyle w:val="299"/>
              <w:adjustRightInd w:val="0"/>
              <w:snapToGrid w:val="0"/>
              <w:spacing w:line="400" w:lineRule="exact"/>
              <w:jc w:val="center"/>
              <w:rPr>
                <w:rFonts w:ascii="宋体" w:hAnsi="宋体" w:cs="宋体"/>
                <w:szCs w:val="21"/>
              </w:rPr>
            </w:pPr>
          </w:p>
        </w:tc>
        <w:tc>
          <w:tcPr>
            <w:tcW w:w="1176" w:type="dxa"/>
            <w:vMerge w:val="continue"/>
            <w:vAlign w:val="center"/>
          </w:tcPr>
          <w:p w14:paraId="2A66EB61">
            <w:pPr>
              <w:pStyle w:val="299"/>
              <w:adjustRightInd w:val="0"/>
              <w:snapToGrid w:val="0"/>
              <w:spacing w:line="400" w:lineRule="exact"/>
              <w:jc w:val="center"/>
              <w:rPr>
                <w:rFonts w:ascii="宋体" w:hAnsi="宋体" w:cs="宋体"/>
                <w:szCs w:val="21"/>
              </w:rPr>
            </w:pPr>
          </w:p>
        </w:tc>
        <w:tc>
          <w:tcPr>
            <w:tcW w:w="3457" w:type="dxa"/>
            <w:vAlign w:val="center"/>
          </w:tcPr>
          <w:p w14:paraId="3EC10627">
            <w:pPr>
              <w:adjustRightInd w:val="0"/>
              <w:snapToGrid w:val="0"/>
              <w:spacing w:line="360" w:lineRule="exact"/>
              <w:rPr>
                <w:rFonts w:ascii="宋体" w:hAnsi="宋体"/>
                <w:szCs w:val="21"/>
              </w:rPr>
            </w:pPr>
            <w:r>
              <w:rPr>
                <w:rFonts w:hint="eastAsia" w:ascii="宋体" w:hAnsi="宋体"/>
                <w:szCs w:val="21"/>
              </w:rPr>
              <w:t>项目实施与设计施工进度计划</w:t>
            </w:r>
            <w:r>
              <w:rPr>
                <w:rFonts w:hint="eastAsia" w:ascii="宋体" w:hAnsi="宋体" w:cs="宋体"/>
                <w:szCs w:val="21"/>
                <w:lang w:val="en-US" w:eastAsia="zh-CN"/>
              </w:rPr>
              <w:t>A</w:t>
            </w:r>
            <w:r>
              <w:rPr>
                <w:rFonts w:hint="eastAsia" w:ascii="宋体" w:hAnsi="宋体" w:cs="宋体"/>
                <w:szCs w:val="21"/>
                <w:vertAlign w:val="subscript"/>
                <w:lang w:val="en-US" w:eastAsia="zh-CN"/>
              </w:rPr>
              <w:t>7</w:t>
            </w:r>
          </w:p>
        </w:tc>
        <w:tc>
          <w:tcPr>
            <w:tcW w:w="709" w:type="dxa"/>
            <w:vAlign w:val="center"/>
          </w:tcPr>
          <w:p w14:paraId="6DBDB6FA">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43B6311E">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36EC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1089" w:type="dxa"/>
            <w:vMerge w:val="continue"/>
            <w:vAlign w:val="center"/>
          </w:tcPr>
          <w:p w14:paraId="5D1F023A">
            <w:pPr>
              <w:pStyle w:val="299"/>
              <w:adjustRightInd w:val="0"/>
              <w:snapToGrid w:val="0"/>
              <w:spacing w:line="400" w:lineRule="exact"/>
              <w:jc w:val="center"/>
              <w:rPr>
                <w:rFonts w:ascii="宋体" w:hAnsi="宋体" w:cs="宋体"/>
                <w:szCs w:val="21"/>
              </w:rPr>
            </w:pPr>
          </w:p>
        </w:tc>
        <w:tc>
          <w:tcPr>
            <w:tcW w:w="1077" w:type="dxa"/>
            <w:vMerge w:val="continue"/>
            <w:vAlign w:val="center"/>
          </w:tcPr>
          <w:p w14:paraId="5070FE90">
            <w:pPr>
              <w:pStyle w:val="299"/>
              <w:adjustRightInd w:val="0"/>
              <w:snapToGrid w:val="0"/>
              <w:spacing w:line="400" w:lineRule="exact"/>
              <w:jc w:val="center"/>
              <w:rPr>
                <w:rFonts w:ascii="宋体" w:hAnsi="宋体" w:cs="宋体"/>
                <w:szCs w:val="21"/>
              </w:rPr>
            </w:pPr>
          </w:p>
        </w:tc>
        <w:tc>
          <w:tcPr>
            <w:tcW w:w="1176" w:type="dxa"/>
            <w:vMerge w:val="continue"/>
            <w:vAlign w:val="center"/>
          </w:tcPr>
          <w:p w14:paraId="3866B880">
            <w:pPr>
              <w:pStyle w:val="299"/>
              <w:adjustRightInd w:val="0"/>
              <w:snapToGrid w:val="0"/>
              <w:spacing w:line="400" w:lineRule="exact"/>
              <w:rPr>
                <w:rFonts w:ascii="宋体" w:hAnsi="宋体" w:cs="宋体"/>
                <w:szCs w:val="21"/>
              </w:rPr>
            </w:pPr>
          </w:p>
        </w:tc>
        <w:tc>
          <w:tcPr>
            <w:tcW w:w="3457" w:type="dxa"/>
            <w:vAlign w:val="center"/>
          </w:tcPr>
          <w:p w14:paraId="3F4690D8">
            <w:pPr>
              <w:pStyle w:val="299"/>
              <w:adjustRightInd w:val="0"/>
              <w:snapToGrid w:val="0"/>
              <w:spacing w:line="400" w:lineRule="exact"/>
              <w:rPr>
                <w:rFonts w:ascii="宋体" w:hAnsi="宋体" w:cs="宋体"/>
                <w:szCs w:val="21"/>
              </w:rPr>
            </w:pPr>
            <w:r>
              <w:rPr>
                <w:rFonts w:hint="eastAsia" w:ascii="宋体" w:hAnsi="宋体" w:cs="宋体"/>
                <w:szCs w:val="21"/>
              </w:rPr>
              <w:t>质量管理体系</w:t>
            </w:r>
            <w:r>
              <w:rPr>
                <w:rFonts w:hint="eastAsia" w:ascii="宋体" w:hAnsi="宋体" w:cs="宋体"/>
                <w:szCs w:val="21"/>
                <w:lang w:val="en-US" w:eastAsia="zh-CN"/>
              </w:rPr>
              <w:t>A</w:t>
            </w:r>
            <w:r>
              <w:rPr>
                <w:rFonts w:hint="eastAsia" w:ascii="宋体" w:hAnsi="宋体" w:cs="宋体"/>
                <w:szCs w:val="21"/>
                <w:vertAlign w:val="subscript"/>
                <w:lang w:val="en-US" w:eastAsia="zh-CN"/>
              </w:rPr>
              <w:t>8</w:t>
            </w:r>
          </w:p>
        </w:tc>
        <w:tc>
          <w:tcPr>
            <w:tcW w:w="709" w:type="dxa"/>
            <w:vAlign w:val="center"/>
          </w:tcPr>
          <w:p w14:paraId="7CB3E466">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5EE93A8F">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3481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89" w:type="dxa"/>
            <w:vMerge w:val="continue"/>
            <w:vAlign w:val="center"/>
          </w:tcPr>
          <w:p w14:paraId="4769EDEB">
            <w:pPr>
              <w:pStyle w:val="299"/>
              <w:adjustRightInd w:val="0"/>
              <w:snapToGrid w:val="0"/>
              <w:spacing w:line="400" w:lineRule="exact"/>
              <w:jc w:val="center"/>
              <w:rPr>
                <w:rFonts w:ascii="宋体" w:hAnsi="宋体" w:cs="宋体"/>
                <w:szCs w:val="21"/>
              </w:rPr>
            </w:pPr>
          </w:p>
        </w:tc>
        <w:tc>
          <w:tcPr>
            <w:tcW w:w="1077" w:type="dxa"/>
            <w:vMerge w:val="continue"/>
            <w:vAlign w:val="center"/>
          </w:tcPr>
          <w:p w14:paraId="7515AE4C">
            <w:pPr>
              <w:pStyle w:val="299"/>
              <w:adjustRightInd w:val="0"/>
              <w:snapToGrid w:val="0"/>
              <w:spacing w:line="400" w:lineRule="exact"/>
              <w:jc w:val="center"/>
              <w:rPr>
                <w:rFonts w:ascii="宋体" w:hAnsi="宋体" w:cs="宋体"/>
                <w:szCs w:val="21"/>
              </w:rPr>
            </w:pPr>
          </w:p>
        </w:tc>
        <w:tc>
          <w:tcPr>
            <w:tcW w:w="1176" w:type="dxa"/>
            <w:vMerge w:val="continue"/>
            <w:vAlign w:val="center"/>
          </w:tcPr>
          <w:p w14:paraId="1BA0EB12">
            <w:pPr>
              <w:pStyle w:val="299"/>
              <w:adjustRightInd w:val="0"/>
              <w:snapToGrid w:val="0"/>
              <w:spacing w:line="400" w:lineRule="exact"/>
              <w:rPr>
                <w:rFonts w:ascii="宋体" w:hAnsi="宋体" w:cs="宋体"/>
                <w:szCs w:val="21"/>
              </w:rPr>
            </w:pPr>
          </w:p>
        </w:tc>
        <w:tc>
          <w:tcPr>
            <w:tcW w:w="3457" w:type="dxa"/>
            <w:vAlign w:val="center"/>
          </w:tcPr>
          <w:p w14:paraId="758F74F2">
            <w:pPr>
              <w:pStyle w:val="299"/>
              <w:adjustRightInd w:val="0"/>
              <w:snapToGrid w:val="0"/>
              <w:spacing w:line="400" w:lineRule="exact"/>
              <w:rPr>
                <w:rFonts w:ascii="宋体" w:hAnsi="宋体" w:cs="宋体"/>
                <w:szCs w:val="21"/>
              </w:rPr>
            </w:pPr>
            <w:r>
              <w:rPr>
                <w:rFonts w:hint="eastAsia" w:ascii="宋体" w:hAnsi="宋体" w:cs="宋体"/>
                <w:szCs w:val="21"/>
              </w:rPr>
              <w:t>……</w:t>
            </w:r>
          </w:p>
        </w:tc>
        <w:tc>
          <w:tcPr>
            <w:tcW w:w="709" w:type="dxa"/>
            <w:vAlign w:val="center"/>
          </w:tcPr>
          <w:p w14:paraId="73E4711C">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7DDC9222">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64CF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1089" w:type="dxa"/>
            <w:vMerge w:val="continue"/>
            <w:vAlign w:val="center"/>
          </w:tcPr>
          <w:p w14:paraId="37C1A81F">
            <w:pPr>
              <w:pStyle w:val="299"/>
              <w:adjustRightInd w:val="0"/>
              <w:snapToGrid w:val="0"/>
              <w:spacing w:line="400" w:lineRule="exact"/>
              <w:jc w:val="center"/>
              <w:rPr>
                <w:rFonts w:ascii="宋体" w:hAnsi="宋体" w:cs="宋体"/>
                <w:szCs w:val="21"/>
              </w:rPr>
            </w:pPr>
          </w:p>
        </w:tc>
        <w:tc>
          <w:tcPr>
            <w:tcW w:w="1077" w:type="dxa"/>
            <w:vMerge w:val="continue"/>
            <w:vAlign w:val="center"/>
          </w:tcPr>
          <w:p w14:paraId="5A1E2B2C">
            <w:pPr>
              <w:pStyle w:val="299"/>
              <w:adjustRightInd w:val="0"/>
              <w:snapToGrid w:val="0"/>
              <w:spacing w:line="400" w:lineRule="exact"/>
              <w:jc w:val="center"/>
              <w:rPr>
                <w:rFonts w:ascii="宋体" w:hAnsi="宋体" w:cs="宋体"/>
                <w:szCs w:val="21"/>
              </w:rPr>
            </w:pPr>
          </w:p>
        </w:tc>
        <w:tc>
          <w:tcPr>
            <w:tcW w:w="1176" w:type="dxa"/>
            <w:vMerge w:val="continue"/>
            <w:vAlign w:val="center"/>
          </w:tcPr>
          <w:p w14:paraId="23C76901">
            <w:pPr>
              <w:pStyle w:val="299"/>
              <w:adjustRightInd w:val="0"/>
              <w:snapToGrid w:val="0"/>
              <w:spacing w:line="400" w:lineRule="exact"/>
              <w:rPr>
                <w:rFonts w:ascii="宋体" w:hAnsi="宋体" w:cs="宋体"/>
                <w:szCs w:val="21"/>
              </w:rPr>
            </w:pPr>
          </w:p>
        </w:tc>
        <w:tc>
          <w:tcPr>
            <w:tcW w:w="5428" w:type="dxa"/>
            <w:gridSpan w:val="3"/>
            <w:vAlign w:val="center"/>
          </w:tcPr>
          <w:p w14:paraId="63137D48">
            <w:pPr>
              <w:pStyle w:val="299"/>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rPr>
            </w:pPr>
            <w:r>
              <w:rPr>
                <w:rFonts w:hint="eastAsia" w:ascii="宋体" w:hAnsi="宋体" w:cs="宋体"/>
                <w:lang w:val="en-US" w:eastAsia="zh-CN"/>
              </w:rPr>
              <w:t>1.</w:t>
            </w:r>
            <w:r>
              <w:rPr>
                <w:rFonts w:hint="eastAsia" w:ascii="宋体" w:hAnsi="宋体" w:cs="宋体"/>
              </w:rPr>
              <w:t xml:space="preserve">各评分因素细分项得分计算方式：  </w:t>
            </w:r>
          </w:p>
          <w:p w14:paraId="2D265361">
            <w:pPr>
              <w:pStyle w:val="299"/>
              <w:keepNext w:val="0"/>
              <w:keepLines w:val="0"/>
              <w:pageBreakBefore w:val="0"/>
              <w:widowControl w:val="0"/>
              <w:kinsoku/>
              <w:wordWrap/>
              <w:overflowPunct/>
              <w:topLinePunct w:val="0"/>
              <w:autoSpaceDE/>
              <w:autoSpaceDN/>
              <w:bidi w:val="0"/>
              <w:adjustRightInd w:val="0"/>
              <w:snapToGrid w:val="0"/>
              <w:spacing w:line="400" w:lineRule="exact"/>
              <w:ind w:firstLine="200" w:firstLineChars="100"/>
              <w:textAlignment w:val="auto"/>
              <w:rPr>
                <w:rFonts w:hint="eastAsia" w:ascii="宋体" w:hAnsi="宋体" w:cs="宋体"/>
              </w:rPr>
            </w:pPr>
            <w:r>
              <w:rPr>
                <w:rFonts w:hint="eastAsia" w:ascii="宋体" w:hAnsi="宋体" w:cs="宋体"/>
                <w:color w:val="000000"/>
                <w:kern w:val="0"/>
                <w:sz w:val="20"/>
                <w:szCs w:val="20"/>
                <w:lang w:val="en-US" w:eastAsia="zh-CN" w:bidi="ar"/>
              </w:rPr>
              <w:t>□</w:t>
            </w:r>
            <w:r>
              <w:rPr>
                <w:rFonts w:hint="eastAsia" w:ascii="宋体" w:hAnsi="宋体" w:cs="宋体"/>
                <w:color w:val="000000"/>
                <w:szCs w:val="21"/>
              </w:rPr>
              <w:t>方式一：</w:t>
            </w:r>
            <w:r>
              <w:rPr>
                <w:rFonts w:hint="eastAsia" w:ascii="宋体" w:hAnsi="宋体" w:cs="宋体"/>
              </w:rPr>
              <w:t>各评分因素细分项得分应以评标委员会各成员的打分平均值确定。</w:t>
            </w:r>
          </w:p>
          <w:p w14:paraId="5B59CB82">
            <w:pPr>
              <w:pStyle w:val="299"/>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rPr>
            </w:pPr>
            <w:r>
              <w:rPr>
                <w:rFonts w:hint="eastAsia" w:ascii="宋体" w:hAnsi="宋体" w:cs="宋体"/>
                <w:lang w:val="en-US" w:eastAsia="zh-CN"/>
              </w:rPr>
              <w:t>注：</w:t>
            </w:r>
            <w:r>
              <w:rPr>
                <w:rFonts w:hint="eastAsia" w:ascii="宋体" w:hAnsi="宋体" w:cs="宋体"/>
              </w:rPr>
              <w:t>适用于评标委员会成员总数为5人。</w:t>
            </w:r>
          </w:p>
          <w:p w14:paraId="7844DF21">
            <w:pPr>
              <w:pStyle w:val="299"/>
              <w:keepNext w:val="0"/>
              <w:keepLines w:val="0"/>
              <w:pageBreakBefore w:val="0"/>
              <w:widowControl w:val="0"/>
              <w:kinsoku/>
              <w:wordWrap/>
              <w:overflowPunct/>
              <w:topLinePunct w:val="0"/>
              <w:autoSpaceDE/>
              <w:autoSpaceDN/>
              <w:bidi w:val="0"/>
              <w:adjustRightInd w:val="0"/>
              <w:snapToGrid w:val="0"/>
              <w:spacing w:line="400" w:lineRule="exact"/>
              <w:ind w:firstLine="200" w:firstLineChars="100"/>
              <w:textAlignment w:val="auto"/>
              <w:rPr>
                <w:rFonts w:hint="eastAsia" w:ascii="宋体" w:hAnsi="宋体" w:cs="宋体"/>
              </w:rPr>
            </w:pPr>
            <w:r>
              <w:rPr>
                <w:rFonts w:hint="eastAsia" w:ascii="宋体" w:hAnsi="宋体" w:cs="宋体"/>
                <w:color w:val="000000"/>
                <w:kern w:val="0"/>
                <w:sz w:val="20"/>
                <w:szCs w:val="20"/>
                <w:lang w:val="en-US" w:eastAsia="zh-CN" w:bidi="ar"/>
              </w:rPr>
              <w:t>□</w:t>
            </w:r>
            <w:r>
              <w:rPr>
                <w:rFonts w:hint="eastAsia" w:ascii="宋体" w:hAnsi="宋体" w:cs="宋体"/>
                <w:color w:val="000000"/>
                <w:szCs w:val="21"/>
              </w:rPr>
              <w:t>方式二：</w:t>
            </w:r>
            <w:r>
              <w:rPr>
                <w:rFonts w:hint="eastAsia" w:ascii="宋体" w:hAnsi="宋体" w:cs="宋体"/>
              </w:rPr>
              <w:t>各评分因素细分项得分，以评标委员会各成员的打分去掉一个最高和一个最低分后，计算平均值确定。</w:t>
            </w:r>
          </w:p>
          <w:p w14:paraId="0822023E">
            <w:pPr>
              <w:pStyle w:val="299"/>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color w:val="000000"/>
                <w:szCs w:val="21"/>
              </w:rPr>
            </w:pPr>
            <w:r>
              <w:rPr>
                <w:rFonts w:hint="eastAsia" w:ascii="宋体" w:hAnsi="宋体" w:cs="宋体"/>
                <w:lang w:val="en-US" w:eastAsia="zh-CN"/>
              </w:rPr>
              <w:t>注：</w:t>
            </w:r>
            <w:r>
              <w:rPr>
                <w:rFonts w:hint="eastAsia" w:ascii="宋体" w:hAnsi="宋体" w:cs="宋体"/>
              </w:rPr>
              <w:t>适用于评标委员会成员总数为7人。</w:t>
            </w:r>
          </w:p>
          <w:p w14:paraId="3113FC09">
            <w:pPr>
              <w:pStyle w:val="299"/>
              <w:keepNext w:val="0"/>
              <w:keepLines w:val="0"/>
              <w:pageBreakBefore w:val="0"/>
              <w:widowControl w:val="0"/>
              <w:kinsoku/>
              <w:wordWrap/>
              <w:overflowPunct/>
              <w:topLinePunct w:val="0"/>
              <w:autoSpaceDE/>
              <w:autoSpaceDN/>
              <w:bidi w:val="0"/>
              <w:adjustRightInd w:val="0"/>
              <w:snapToGrid w:val="0"/>
              <w:spacing w:line="400" w:lineRule="exact"/>
              <w:ind w:firstLine="200" w:firstLineChars="100"/>
              <w:textAlignment w:val="auto"/>
              <w:rPr>
                <w:rFonts w:hint="eastAsia" w:ascii="宋体" w:hAnsi="宋体" w:cs="宋体"/>
              </w:rPr>
            </w:pPr>
            <w:r>
              <w:rPr>
                <w:rFonts w:hint="eastAsia" w:ascii="宋体" w:hAnsi="宋体" w:cs="宋体"/>
                <w:color w:val="000000"/>
                <w:kern w:val="0"/>
                <w:sz w:val="20"/>
                <w:szCs w:val="20"/>
                <w:lang w:val="en-US" w:eastAsia="zh-CN" w:bidi="ar"/>
              </w:rPr>
              <w:t>□</w:t>
            </w:r>
            <w:r>
              <w:rPr>
                <w:rFonts w:hint="eastAsia" w:ascii="宋体" w:hAnsi="宋体" w:cs="宋体"/>
                <w:color w:val="000000"/>
                <w:szCs w:val="21"/>
              </w:rPr>
              <w:t>方式三：</w:t>
            </w:r>
            <w:r>
              <w:rPr>
                <w:rFonts w:hint="eastAsia" w:ascii="宋体" w:hAnsi="宋体" w:cs="宋体"/>
              </w:rPr>
              <w:t>各评分因素细分项得分计算步骤如下：</w:t>
            </w:r>
          </w:p>
          <w:p w14:paraId="4D06B47E">
            <w:pPr>
              <w:pStyle w:val="299"/>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rPr>
            </w:pP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计算各专家对所有投标人评分因素细分项最高评分与最低评分的差值（简称“分差值”），确定分差值最大专家的个数。</w:t>
            </w:r>
          </w:p>
          <w:p w14:paraId="5F20794E">
            <w:pPr>
              <w:pStyle w:val="299"/>
              <w:keepNext w:val="0"/>
              <w:keepLines w:val="0"/>
              <w:pageBreakBefore w:val="0"/>
              <w:widowControl w:val="0"/>
              <w:numPr>
                <w:ilvl w:val="255"/>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rPr>
            </w:pP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同一细分项，若分差值最大的专家个数≤2名，则去掉分差值最大的专家该细分项评分；若分差值最大的专家个数≥3名，则保留所有专家细分项评分。</w:t>
            </w:r>
          </w:p>
          <w:p w14:paraId="376DED63">
            <w:pPr>
              <w:pStyle w:val="29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rPr>
            </w:pPr>
            <w:r>
              <w:rPr>
                <w:rFonts w:hint="eastAsia" w:ascii="宋体" w:hAnsi="宋体" w:cs="宋体"/>
              </w:rPr>
              <w:fldChar w:fldCharType="begin"/>
            </w:r>
            <w:r>
              <w:rPr>
                <w:rFonts w:hint="eastAsia" w:ascii="宋体" w:hAnsi="宋体" w:cs="宋体"/>
              </w:rPr>
              <w:instrText xml:space="preserve"> = 3 \* GB3 \* MERGEFORMAT </w:instrText>
            </w:r>
            <w:r>
              <w:rPr>
                <w:rFonts w:hint="eastAsia" w:ascii="宋体" w:hAnsi="宋体" w:cs="宋体"/>
              </w:rPr>
              <w:fldChar w:fldCharType="separate"/>
            </w:r>
            <w:r>
              <w:rPr>
                <w:rFonts w:hint="eastAsia" w:ascii="宋体" w:hAnsi="宋体" w:cs="宋体"/>
              </w:rPr>
              <w:t>③</w:t>
            </w:r>
            <w:r>
              <w:rPr>
                <w:rFonts w:hint="eastAsia" w:ascii="宋体" w:hAnsi="宋体" w:cs="宋体"/>
              </w:rPr>
              <w:fldChar w:fldCharType="end"/>
            </w:r>
            <w:r>
              <w:rPr>
                <w:rFonts w:hint="eastAsia" w:ascii="宋体" w:hAnsi="宋体" w:cs="宋体"/>
              </w:rPr>
              <w:t>各评分因素细分项最终得分应以完成上述</w:t>
            </w: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步骤后，再对仍保留的专家细分项评分去掉一个最高和一个最低分后计算平均值。</w:t>
            </w:r>
          </w:p>
          <w:p w14:paraId="644B8285">
            <w:pPr>
              <w:pStyle w:val="299"/>
              <w:keepNext w:val="0"/>
              <w:keepLines w:val="0"/>
              <w:pageBreakBefore w:val="0"/>
              <w:widowControl w:val="0"/>
              <w:kinsoku/>
              <w:wordWrap/>
              <w:overflowPunct/>
              <w:topLinePunct w:val="0"/>
              <w:autoSpaceDE/>
              <w:autoSpaceDN/>
              <w:bidi w:val="0"/>
              <w:adjustRightInd w:val="0"/>
              <w:snapToGrid w:val="0"/>
              <w:spacing w:line="400" w:lineRule="exact"/>
              <w:ind w:firstLine="243" w:firstLineChars="116"/>
              <w:textAlignment w:val="auto"/>
              <w:rPr>
                <w:rFonts w:hint="eastAsia" w:ascii="宋体" w:hAnsi="宋体" w:cs="宋体"/>
              </w:rPr>
            </w:pPr>
            <w:r>
              <w:rPr>
                <w:rFonts w:hint="eastAsia" w:ascii="宋体" w:hAnsi="宋体" w:cs="宋体"/>
                <w:lang w:val="en-US" w:eastAsia="zh-CN"/>
              </w:rPr>
              <w:t>注：</w:t>
            </w:r>
            <w:r>
              <w:rPr>
                <w:rFonts w:hint="eastAsia" w:ascii="宋体" w:hAnsi="宋体" w:cs="宋体"/>
              </w:rPr>
              <w:t>适用于评标委员会成员总数为9人及以上。</w:t>
            </w:r>
          </w:p>
          <w:p w14:paraId="3C111AEA">
            <w:pPr>
              <w:pStyle w:val="299"/>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cs="宋体"/>
                <w:szCs w:val="21"/>
              </w:rPr>
            </w:pPr>
            <w:r>
              <w:rPr>
                <w:rFonts w:hint="eastAsia" w:ascii="宋体" w:hAnsi="宋体" w:cs="宋体"/>
                <w:lang w:val="en-US" w:eastAsia="zh-CN"/>
              </w:rPr>
              <w:t>2.</w:t>
            </w:r>
            <w:r>
              <w:rPr>
                <w:rFonts w:hint="eastAsia" w:ascii="宋体" w:hAnsi="宋体" w:cs="宋体"/>
              </w:rPr>
              <w:t>投标人投标文件中技术建议书各评分因素细分项无内容的得0分。</w:t>
            </w:r>
          </w:p>
          <w:p w14:paraId="409CD6AE">
            <w:pPr>
              <w:pStyle w:val="29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Cs w:val="21"/>
              </w:rPr>
            </w:pPr>
            <w:r>
              <w:rPr>
                <w:rFonts w:hint="eastAsia" w:ascii="宋体" w:hAnsi="宋体" w:cs="宋体"/>
                <w:b/>
                <w:szCs w:val="21"/>
              </w:rPr>
              <w:t>□</w:t>
            </w:r>
            <w:r>
              <w:rPr>
                <w:rFonts w:hint="eastAsia" w:ascii="宋体" w:hAnsi="宋体" w:cs="宋体"/>
                <w:b/>
                <w:szCs w:val="21"/>
                <w:lang w:val="en-US" w:eastAsia="zh-CN"/>
              </w:rPr>
              <w:t xml:space="preserve"> </w:t>
            </w:r>
            <w:r>
              <w:rPr>
                <w:rFonts w:hint="eastAsia" w:ascii="宋体" w:hAnsi="宋体" w:cs="宋体"/>
                <w:lang w:val="en-US" w:eastAsia="zh-CN"/>
              </w:rPr>
              <w:t>3.</w:t>
            </w:r>
            <w:r>
              <w:t>招标人对</w:t>
            </w:r>
            <w:r>
              <w:rPr>
                <w:rFonts w:hint="eastAsia" w:ascii="宋体" w:hAnsi="宋体" w:cs="宋体"/>
                <w:szCs w:val="21"/>
              </w:rPr>
              <w:t>设计施工总承包方案</w:t>
            </w:r>
            <w:r>
              <w:t>评审采用暗标方式的</w:t>
            </w:r>
            <w:r>
              <w:rPr>
                <w:rFonts w:hint="eastAsia"/>
              </w:rPr>
              <w:t>，投标人</w:t>
            </w:r>
            <w:r>
              <w:rPr>
                <w:rFonts w:hint="eastAsia" w:ascii="宋体" w:hAnsi="宋体" w:cs="宋体"/>
                <w:szCs w:val="21"/>
              </w:rPr>
              <w:t>设计施工总承包方案</w:t>
            </w:r>
            <w:r>
              <w:rPr>
                <w:rFonts w:hint="eastAsia" w:ascii="宋体" w:hAnsi="宋体"/>
                <w:kern w:val="0"/>
              </w:rPr>
              <w:t>中出现投标人的名称和其他可识别投标人身份的文字、符号、标识等时，其</w:t>
            </w:r>
            <w:r>
              <w:rPr>
                <w:rFonts w:hint="eastAsia" w:ascii="宋体" w:hAnsi="宋体" w:cs="宋体"/>
                <w:szCs w:val="21"/>
              </w:rPr>
              <w:t>设计施工总承包方案</w:t>
            </w:r>
            <w:r>
              <w:rPr>
                <w:rFonts w:hint="eastAsia" w:ascii="宋体" w:hAnsi="宋体"/>
                <w:kern w:val="0"/>
              </w:rPr>
              <w:t>评审得分为</w:t>
            </w:r>
            <w:r>
              <w:rPr>
                <w:rFonts w:hint="eastAsia" w:ascii="宋体" w:hAnsi="宋体"/>
                <w:kern w:val="0"/>
                <w:u w:val="single"/>
              </w:rPr>
              <w:t xml:space="preserve"> </w:t>
            </w:r>
            <w:r>
              <w:rPr>
                <w:rFonts w:ascii="宋体" w:hAnsi="宋体"/>
                <w:kern w:val="0"/>
                <w:u w:val="single"/>
              </w:rPr>
              <w:t xml:space="preserve">0 </w:t>
            </w:r>
            <w:r>
              <w:rPr>
                <w:rFonts w:hint="eastAsia" w:ascii="宋体" w:hAnsi="宋体"/>
                <w:kern w:val="0"/>
              </w:rPr>
              <w:t>分。</w:t>
            </w:r>
          </w:p>
          <w:p w14:paraId="556286D4">
            <w:pPr>
              <w:pStyle w:val="299"/>
              <w:adjustRightInd w:val="0"/>
              <w:snapToGrid w:val="0"/>
              <w:spacing w:line="400" w:lineRule="exact"/>
              <w:rPr>
                <w:rFonts w:ascii="宋体" w:hAnsi="宋体" w:cs="宋体"/>
                <w:szCs w:val="21"/>
                <w:u w:val="single"/>
              </w:rPr>
            </w:pPr>
            <w:r>
              <w:rPr>
                <w:rFonts w:hint="eastAsia" w:ascii="宋体" w:hAnsi="宋体" w:cs="宋体"/>
                <w:szCs w:val="21"/>
              </w:rPr>
              <w:t>……</w:t>
            </w:r>
          </w:p>
        </w:tc>
      </w:tr>
      <w:tr w14:paraId="0449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14:paraId="291EFD88">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7FB7122A">
            <w:pPr>
              <w:pStyle w:val="299"/>
              <w:adjustRightInd w:val="0"/>
              <w:snapToGrid w:val="0"/>
              <w:spacing w:line="400" w:lineRule="exact"/>
              <w:rPr>
                <w:rFonts w:ascii="宋体" w:hAnsi="宋体" w:cs="宋体"/>
                <w:szCs w:val="21"/>
                <w:u w:val="single"/>
              </w:rPr>
            </w:pPr>
            <w:r>
              <w:rPr>
                <w:rFonts w:hint="eastAsia" w:ascii="宋体" w:hAnsi="宋体" w:cs="宋体"/>
                <w:szCs w:val="21"/>
              </w:rPr>
              <w:t>……</w:t>
            </w:r>
          </w:p>
        </w:tc>
      </w:tr>
    </w:tbl>
    <w:p w14:paraId="4B126581">
      <w:pPr>
        <w:jc w:val="left"/>
        <w:rPr>
          <w:rFonts w:ascii="宋体" w:hAnsi="宋体" w:cs="宋体"/>
        </w:rPr>
      </w:pPr>
      <w:r>
        <w:rPr>
          <w:rFonts w:hint="eastAsia" w:ascii="宋体" w:hAnsi="宋体" w:cs="宋体"/>
        </w:rPr>
        <w:br w:type="page"/>
      </w:r>
    </w:p>
    <w:p w14:paraId="22EAC994">
      <w:pPr>
        <w:jc w:val="right"/>
        <w:rPr>
          <w:rFonts w:ascii="宋体" w:hAnsi="宋体" w:cs="宋体"/>
        </w:rPr>
      </w:pPr>
      <w:r>
        <w:rPr>
          <w:rFonts w:hint="eastAsia" w:ascii="宋体" w:hAnsi="宋体" w:cs="宋体"/>
        </w:rPr>
        <w:t>续上表</w:t>
      </w:r>
    </w:p>
    <w:tbl>
      <w:tblPr>
        <w:tblStyle w:val="4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57"/>
        <w:gridCol w:w="873"/>
        <w:gridCol w:w="851"/>
        <w:gridCol w:w="850"/>
        <w:gridCol w:w="488"/>
        <w:gridCol w:w="709"/>
        <w:gridCol w:w="3594"/>
      </w:tblGrid>
      <w:tr w14:paraId="3889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975" w:type="dxa"/>
            <w:vMerge w:val="restart"/>
            <w:vAlign w:val="center"/>
          </w:tcPr>
          <w:p w14:paraId="0A02923E">
            <w:pPr>
              <w:pStyle w:val="299"/>
              <w:spacing w:line="276" w:lineRule="auto"/>
              <w:jc w:val="center"/>
              <w:rPr>
                <w:rFonts w:ascii="宋体" w:hAnsi="宋体" w:cs="宋体"/>
                <w:b/>
                <w:szCs w:val="21"/>
              </w:rPr>
            </w:pPr>
            <w:r>
              <w:rPr>
                <w:rFonts w:hint="eastAsia" w:ascii="宋体" w:hAnsi="宋体" w:cs="宋体"/>
                <w:b/>
                <w:szCs w:val="21"/>
              </w:rPr>
              <w:t>条款号</w:t>
            </w:r>
          </w:p>
        </w:tc>
        <w:tc>
          <w:tcPr>
            <w:tcW w:w="7922" w:type="dxa"/>
            <w:gridSpan w:val="7"/>
            <w:vAlign w:val="center"/>
          </w:tcPr>
          <w:p w14:paraId="3B25A177">
            <w:pPr>
              <w:pStyle w:val="299"/>
              <w:spacing w:line="276" w:lineRule="auto"/>
              <w:ind w:firstLine="316" w:firstLineChars="150"/>
              <w:jc w:val="center"/>
              <w:rPr>
                <w:rFonts w:ascii="宋体" w:hAnsi="宋体" w:cs="宋体"/>
                <w:b/>
                <w:szCs w:val="21"/>
              </w:rPr>
            </w:pPr>
            <w:r>
              <w:rPr>
                <w:rFonts w:hint="eastAsia" w:ascii="宋体" w:hAnsi="宋体" w:cs="宋体"/>
                <w:b/>
                <w:szCs w:val="21"/>
              </w:rPr>
              <w:t>评分因素与权重分值</w:t>
            </w:r>
          </w:p>
        </w:tc>
      </w:tr>
      <w:tr w14:paraId="0B7B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975" w:type="dxa"/>
            <w:vMerge w:val="continue"/>
            <w:vAlign w:val="center"/>
          </w:tcPr>
          <w:p w14:paraId="5511C204">
            <w:pPr>
              <w:pStyle w:val="299"/>
              <w:spacing w:line="276" w:lineRule="auto"/>
              <w:jc w:val="center"/>
              <w:rPr>
                <w:rFonts w:ascii="宋体" w:hAnsi="宋体" w:cs="宋体"/>
                <w:b/>
                <w:szCs w:val="21"/>
              </w:rPr>
            </w:pPr>
          </w:p>
        </w:tc>
        <w:tc>
          <w:tcPr>
            <w:tcW w:w="1430" w:type="dxa"/>
            <w:gridSpan w:val="2"/>
            <w:vAlign w:val="center"/>
          </w:tcPr>
          <w:p w14:paraId="363B009C">
            <w:pPr>
              <w:pStyle w:val="299"/>
              <w:spacing w:line="276" w:lineRule="auto"/>
              <w:jc w:val="center"/>
              <w:rPr>
                <w:rFonts w:ascii="宋体" w:hAnsi="宋体" w:cs="宋体"/>
                <w:b/>
                <w:szCs w:val="21"/>
              </w:rPr>
            </w:pPr>
            <w:r>
              <w:rPr>
                <w:rFonts w:hint="eastAsia" w:ascii="宋体" w:hAnsi="宋体" w:cs="宋体"/>
                <w:b/>
                <w:szCs w:val="21"/>
              </w:rPr>
              <w:t>评分因素</w:t>
            </w:r>
          </w:p>
        </w:tc>
        <w:tc>
          <w:tcPr>
            <w:tcW w:w="851" w:type="dxa"/>
            <w:vAlign w:val="center"/>
          </w:tcPr>
          <w:p w14:paraId="22CC66DC">
            <w:pPr>
              <w:pStyle w:val="299"/>
              <w:spacing w:line="276" w:lineRule="auto"/>
              <w:jc w:val="center"/>
              <w:rPr>
                <w:rFonts w:ascii="宋体" w:hAnsi="宋体" w:cs="宋体"/>
                <w:b/>
                <w:szCs w:val="21"/>
              </w:rPr>
            </w:pPr>
            <w:r>
              <w:rPr>
                <w:rFonts w:hint="eastAsia" w:ascii="宋体" w:hAnsi="宋体" w:cs="宋体"/>
                <w:b/>
                <w:szCs w:val="21"/>
              </w:rPr>
              <w:t>评分因素权重分值</w:t>
            </w:r>
          </w:p>
        </w:tc>
        <w:tc>
          <w:tcPr>
            <w:tcW w:w="1338" w:type="dxa"/>
            <w:gridSpan w:val="2"/>
            <w:vAlign w:val="center"/>
          </w:tcPr>
          <w:p w14:paraId="1CE0AA4A">
            <w:pPr>
              <w:pStyle w:val="299"/>
              <w:spacing w:line="276" w:lineRule="auto"/>
              <w:jc w:val="center"/>
              <w:rPr>
                <w:rFonts w:ascii="宋体" w:hAnsi="宋体" w:cs="宋体"/>
                <w:b/>
                <w:szCs w:val="21"/>
              </w:rPr>
            </w:pPr>
            <w:r>
              <w:rPr>
                <w:rFonts w:hint="eastAsia" w:ascii="宋体" w:hAnsi="宋体" w:cs="宋体"/>
                <w:b/>
                <w:szCs w:val="21"/>
              </w:rPr>
              <w:t>各评分因素</w:t>
            </w:r>
          </w:p>
          <w:p w14:paraId="1D67F653">
            <w:pPr>
              <w:pStyle w:val="299"/>
              <w:spacing w:line="276" w:lineRule="auto"/>
              <w:jc w:val="center"/>
              <w:rPr>
                <w:rFonts w:ascii="宋体" w:hAnsi="宋体" w:cs="宋体"/>
                <w:b/>
                <w:szCs w:val="21"/>
              </w:rPr>
            </w:pPr>
            <w:r>
              <w:rPr>
                <w:rFonts w:hint="eastAsia" w:ascii="宋体" w:hAnsi="宋体" w:cs="宋体"/>
                <w:b/>
                <w:szCs w:val="21"/>
              </w:rPr>
              <w:t>细分项</w:t>
            </w:r>
          </w:p>
        </w:tc>
        <w:tc>
          <w:tcPr>
            <w:tcW w:w="709" w:type="dxa"/>
            <w:vAlign w:val="center"/>
          </w:tcPr>
          <w:p w14:paraId="62F7B3B0">
            <w:pPr>
              <w:pStyle w:val="299"/>
              <w:spacing w:line="276" w:lineRule="auto"/>
              <w:jc w:val="center"/>
              <w:rPr>
                <w:rFonts w:ascii="宋体" w:hAnsi="宋体" w:cs="宋体"/>
                <w:b/>
                <w:szCs w:val="21"/>
                <w:u w:val="single"/>
              </w:rPr>
            </w:pPr>
            <w:r>
              <w:rPr>
                <w:rFonts w:hint="eastAsia" w:ascii="宋体" w:hAnsi="宋体" w:cs="宋体"/>
                <w:b/>
                <w:szCs w:val="21"/>
              </w:rPr>
              <w:t>分值</w:t>
            </w:r>
          </w:p>
        </w:tc>
        <w:tc>
          <w:tcPr>
            <w:tcW w:w="3594" w:type="dxa"/>
            <w:vAlign w:val="center"/>
          </w:tcPr>
          <w:p w14:paraId="23B4CECB">
            <w:pPr>
              <w:pStyle w:val="299"/>
              <w:spacing w:line="276" w:lineRule="auto"/>
              <w:ind w:firstLine="316" w:firstLineChars="150"/>
              <w:jc w:val="center"/>
              <w:rPr>
                <w:rFonts w:ascii="宋体" w:hAnsi="宋体" w:cs="宋体"/>
                <w:b/>
                <w:szCs w:val="21"/>
              </w:rPr>
            </w:pPr>
            <w:r>
              <w:rPr>
                <w:rFonts w:hint="eastAsia" w:ascii="宋体" w:hAnsi="宋体" w:cs="宋体"/>
                <w:b/>
                <w:szCs w:val="21"/>
              </w:rPr>
              <w:t>评分标准</w:t>
            </w:r>
          </w:p>
        </w:tc>
      </w:tr>
      <w:tr w14:paraId="495C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14:paraId="3E898D01">
            <w:pPr>
              <w:pStyle w:val="299"/>
              <w:spacing w:line="400" w:lineRule="exact"/>
              <w:jc w:val="center"/>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2）</w:t>
            </w:r>
          </w:p>
        </w:tc>
        <w:tc>
          <w:tcPr>
            <w:tcW w:w="1430" w:type="dxa"/>
            <w:gridSpan w:val="2"/>
            <w:vMerge w:val="restart"/>
            <w:vAlign w:val="center"/>
          </w:tcPr>
          <w:p w14:paraId="5A7C6E41">
            <w:pPr>
              <w:pStyle w:val="299"/>
              <w:spacing w:line="400" w:lineRule="exact"/>
              <w:jc w:val="center"/>
              <w:rPr>
                <w:rFonts w:ascii="宋体" w:hAnsi="宋体" w:cs="宋体"/>
                <w:szCs w:val="21"/>
              </w:rPr>
            </w:pPr>
            <w:r>
              <w:rPr>
                <w:rFonts w:hint="eastAsia" w:cs="宋体" w:asciiTheme="minorEastAsia" w:hAnsiTheme="minorEastAsia" w:eastAsiaTheme="minorEastAsia"/>
                <w:b/>
                <w:szCs w:val="21"/>
              </w:rPr>
              <w:t xml:space="preserve">□ </w:t>
            </w:r>
            <w:r>
              <w:rPr>
                <w:rFonts w:hint="eastAsia" w:ascii="宋体" w:hAnsi="宋体" w:cs="宋体"/>
                <w:szCs w:val="21"/>
              </w:rPr>
              <w:t>主要人员</w:t>
            </w:r>
          </w:p>
          <w:p w14:paraId="2D419769">
            <w:pPr>
              <w:pStyle w:val="299"/>
              <w:spacing w:line="400" w:lineRule="exact"/>
              <w:jc w:val="center"/>
              <w:rPr>
                <w:rFonts w:ascii="宋体" w:hAnsi="宋体" w:cs="宋体"/>
                <w:szCs w:val="21"/>
              </w:rPr>
            </w:pPr>
            <w:r>
              <w:rPr>
                <w:rFonts w:ascii="宋体" w:hAnsi="宋体" w:cs="宋体"/>
                <w:szCs w:val="21"/>
              </w:rPr>
              <w:t>B</w:t>
            </w:r>
          </w:p>
        </w:tc>
        <w:tc>
          <w:tcPr>
            <w:tcW w:w="851" w:type="dxa"/>
            <w:vMerge w:val="restart"/>
            <w:vAlign w:val="center"/>
          </w:tcPr>
          <w:p w14:paraId="3BF5BF1C">
            <w:pPr>
              <w:pStyle w:val="299"/>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7241CD9A">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kern w:val="0"/>
                <w:szCs w:val="21"/>
              </w:rPr>
              <w:t>设计项目负责人任职资格与业绩</w:t>
            </w:r>
            <w:r>
              <w:rPr>
                <w:rFonts w:asciiTheme="minorEastAsia" w:hAnsiTheme="minorEastAsia" w:eastAsiaTheme="minorEastAsia"/>
                <w:kern w:val="0"/>
                <w:szCs w:val="21"/>
              </w:rPr>
              <w:t>B</w:t>
            </w:r>
            <w:r>
              <w:rPr>
                <w:rFonts w:asciiTheme="minorEastAsia" w:hAnsiTheme="minorEastAsia" w:eastAsiaTheme="minorEastAsia"/>
                <w:kern w:val="0"/>
                <w:szCs w:val="21"/>
                <w:vertAlign w:val="subscript"/>
              </w:rPr>
              <w:t>1</w:t>
            </w:r>
          </w:p>
        </w:tc>
        <w:tc>
          <w:tcPr>
            <w:tcW w:w="709" w:type="dxa"/>
            <w:vAlign w:val="center"/>
          </w:tcPr>
          <w:p w14:paraId="4202A5EA">
            <w:pPr>
              <w:pStyle w:val="299"/>
              <w:adjustRightInd w:val="0"/>
              <w:snapToGrid w:val="0"/>
              <w:spacing w:line="400" w:lineRule="exact"/>
              <w:rPr>
                <w:rFonts w:cs="宋体" w:asciiTheme="minorEastAsia" w:hAnsiTheme="minorEastAsia" w:eastAsiaTheme="minorEastAsia"/>
                <w:szCs w:val="21"/>
                <w:u w:val="single"/>
              </w:rPr>
            </w:pP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tc>
        <w:tc>
          <w:tcPr>
            <w:tcW w:w="3594" w:type="dxa"/>
            <w:vAlign w:val="center"/>
          </w:tcPr>
          <w:p w14:paraId="624F8B0F">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满足资格审查条件最低要求得</w:t>
            </w:r>
          </w:p>
          <w:p w14:paraId="163985CA">
            <w:pPr>
              <w:widowControl/>
              <w:adjustRightInd w:val="0"/>
              <w:snapToGrid w:val="0"/>
              <w:spacing w:line="400" w:lineRule="exact"/>
              <w:rPr>
                <w:rFonts w:asciiTheme="minorEastAsia" w:hAnsiTheme="minorEastAsia" w:eastAsiaTheme="minorEastAsia"/>
                <w:kern w:val="0"/>
                <w:szCs w:val="21"/>
              </w:rPr>
            </w:pP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p w14:paraId="3B6AC13C">
            <w:pPr>
              <w:widowControl/>
              <w:spacing w:line="400" w:lineRule="exact"/>
              <w:rPr>
                <w:rFonts w:ascii="宋体" w:hAnsi="宋体"/>
                <w:kern w:val="0"/>
                <w:szCs w:val="21"/>
              </w:rPr>
            </w:pP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p>
          <w:p w14:paraId="340EACFB">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p>
          <w:p w14:paraId="0762E57C">
            <w:pPr>
              <w:pStyle w:val="48"/>
              <w:spacing w:after="0" w:line="400" w:lineRule="exact"/>
              <w:ind w:left="0" w:leftChars="0" w:firstLine="210" w:firstLineChars="100"/>
            </w:pPr>
            <w:r>
              <w:rPr>
                <w:rFonts w:hint="eastAsia"/>
              </w:rPr>
              <w:t>注：</w:t>
            </w:r>
            <w:r>
              <w:rPr>
                <w:rFonts w:hint="eastAsia" w:ascii="宋体" w:hAnsi="宋体" w:cs="宋体"/>
              </w:rPr>
              <w:t>资格条件中已作为最低要求的不得再作为加分的内容，下同。</w:t>
            </w:r>
          </w:p>
          <w:p w14:paraId="0D329FD3">
            <w:pPr>
              <w:widowControl/>
              <w:spacing w:line="400" w:lineRule="exact"/>
              <w:rPr>
                <w:rFonts w:ascii="宋体" w:hAnsi="宋体"/>
                <w:kern w:val="0"/>
                <w:szCs w:val="21"/>
              </w:rPr>
            </w:pPr>
            <w:r>
              <w:rPr>
                <w:rFonts w:hint="eastAsia" w:ascii="宋体" w:hAnsi="宋体"/>
                <w:kern w:val="0"/>
                <w:szCs w:val="21"/>
              </w:rPr>
              <w:t>（4）扣除满足资格条件最低要求的业绩数量后：</w:t>
            </w:r>
          </w:p>
          <w:p w14:paraId="25CDC8AF">
            <w:pPr>
              <w:widowControl/>
              <w:spacing w:line="400" w:lineRule="exact"/>
              <w:ind w:left="211" w:hanging="211" w:hangingChars="100"/>
              <w:jc w:val="left"/>
              <w:rPr>
                <w:rFonts w:ascii="宋体" w:hAnsi="宋体"/>
                <w:kern w:val="0"/>
                <w:szCs w:val="21"/>
              </w:rPr>
            </w:pPr>
            <w:r>
              <w:rPr>
                <w:rFonts w:hint="eastAsia" w:ascii="宋体" w:hAnsi="宋体" w:cs="宋体"/>
                <w:b/>
                <w:szCs w:val="21"/>
              </w:rPr>
              <w:t>□</w:t>
            </w:r>
            <w:r>
              <w:rPr>
                <w:rFonts w:hint="eastAsia" w:ascii="宋体" w:hAnsi="宋体"/>
                <w:kern w:val="0"/>
                <w:szCs w:val="21"/>
              </w:rPr>
              <w:t>每增加</w:t>
            </w:r>
            <w:r>
              <w:rPr>
                <w:rFonts w:hint="eastAsia" w:ascii="宋体" w:hAnsi="宋体"/>
                <w:kern w:val="0"/>
                <w:szCs w:val="21"/>
                <w:u w:val="single"/>
              </w:rPr>
              <w:t xml:space="preserve"> 1 </w:t>
            </w:r>
            <w:r>
              <w:rPr>
                <w:rFonts w:hint="eastAsia" w:ascii="宋体" w:hAnsi="宋体"/>
                <w:kern w:val="0"/>
                <w:szCs w:val="21"/>
              </w:rPr>
              <w:t>段不低于</w:t>
            </w:r>
            <w:r>
              <w:rPr>
                <w:rFonts w:hint="eastAsia" w:ascii="宋体" w:hAnsi="宋体"/>
                <w:kern w:val="0"/>
                <w:szCs w:val="21"/>
                <w:u w:val="single"/>
              </w:rPr>
              <w:t xml:space="preserve">     </w:t>
            </w:r>
            <w:r>
              <w:rPr>
                <w:rFonts w:hint="eastAsia" w:ascii="宋体" w:hAnsi="宋体"/>
                <w:kern w:val="0"/>
                <w:szCs w:val="21"/>
              </w:rPr>
              <w:t>公里的国内（□新建；□改扩建；□新建或改扩建）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公路（□初步；□施工图；□初步或施工图）勘察设计工作项目负责人业绩加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6A6EBE31">
            <w:pPr>
              <w:pStyle w:val="48"/>
              <w:spacing w:after="0" w:line="400" w:lineRule="exact"/>
              <w:ind w:left="0" w:leftChars="0" w:firstLine="210" w:firstLineChars="100"/>
              <w:rPr>
                <w:rFonts w:ascii="宋体" w:hAnsi="宋体"/>
                <w:kern w:val="0"/>
                <w:szCs w:val="21"/>
              </w:rPr>
            </w:pPr>
            <w:r>
              <w:rPr>
                <w:rFonts w:hint="eastAsia" w:ascii="宋体" w:hAnsi="宋体"/>
                <w:kern w:val="0"/>
                <w:szCs w:val="21"/>
              </w:rPr>
              <w:t>注：“□新建；□改扩建；□新建或改扩建”“□初步；□施工图；□初步或施工图”为单选项，下同。</w:t>
            </w:r>
          </w:p>
          <w:p w14:paraId="11E2BDAD">
            <w:pPr>
              <w:widowControl/>
              <w:adjustRightInd w:val="0"/>
              <w:snapToGrid w:val="0"/>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397D5570">
            <w:pPr>
              <w:widowControl/>
              <w:adjustRightInd w:val="0"/>
              <w:snapToGrid w:val="0"/>
              <w:spacing w:line="400" w:lineRule="exact"/>
              <w:rPr>
                <w:rFonts w:cs="宋体" w:asciiTheme="minorEastAsia" w:hAnsiTheme="minorEastAsia" w:eastAsiaTheme="minorEastAsia"/>
                <w:kern w:val="0"/>
                <w:szCs w:val="21"/>
              </w:rPr>
            </w:pPr>
            <w:r>
              <w:rPr>
                <w:rFonts w:hint="eastAsia" w:ascii="宋体" w:hAnsi="宋体"/>
                <w:kern w:val="0"/>
                <w:szCs w:val="21"/>
              </w:rPr>
              <w:t>（1）、（2）、（3）、（4）合计得分最多至满分为止。</w:t>
            </w:r>
          </w:p>
        </w:tc>
      </w:tr>
      <w:tr w14:paraId="4A28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975" w:type="dxa"/>
            <w:vMerge w:val="continue"/>
            <w:vAlign w:val="center"/>
          </w:tcPr>
          <w:p w14:paraId="63FBF2AA">
            <w:pPr>
              <w:pStyle w:val="299"/>
              <w:spacing w:line="400" w:lineRule="exact"/>
              <w:jc w:val="center"/>
              <w:rPr>
                <w:rFonts w:ascii="宋体" w:hAnsi="宋体" w:cs="宋体"/>
                <w:szCs w:val="21"/>
              </w:rPr>
            </w:pPr>
          </w:p>
        </w:tc>
        <w:tc>
          <w:tcPr>
            <w:tcW w:w="1430" w:type="dxa"/>
            <w:gridSpan w:val="2"/>
            <w:vMerge w:val="continue"/>
            <w:vAlign w:val="center"/>
          </w:tcPr>
          <w:p w14:paraId="01026F8A">
            <w:pPr>
              <w:pStyle w:val="299"/>
              <w:spacing w:line="400" w:lineRule="exact"/>
              <w:jc w:val="center"/>
              <w:rPr>
                <w:rFonts w:ascii="宋体" w:hAnsi="宋体" w:cs="宋体"/>
                <w:szCs w:val="21"/>
              </w:rPr>
            </w:pPr>
          </w:p>
        </w:tc>
        <w:tc>
          <w:tcPr>
            <w:tcW w:w="851" w:type="dxa"/>
            <w:vMerge w:val="continue"/>
            <w:vAlign w:val="center"/>
          </w:tcPr>
          <w:p w14:paraId="16273568">
            <w:pPr>
              <w:pStyle w:val="299"/>
              <w:spacing w:line="400" w:lineRule="exact"/>
              <w:rPr>
                <w:rFonts w:ascii="宋体" w:hAnsi="宋体" w:cs="宋体"/>
                <w:szCs w:val="21"/>
                <w:u w:val="single"/>
              </w:rPr>
            </w:pPr>
          </w:p>
        </w:tc>
        <w:tc>
          <w:tcPr>
            <w:tcW w:w="1338" w:type="dxa"/>
            <w:gridSpan w:val="2"/>
            <w:vAlign w:val="center"/>
          </w:tcPr>
          <w:p w14:paraId="1263B946">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b w:val="0"/>
                <w:bCs/>
                <w:szCs w:val="21"/>
              </w:rPr>
              <w:t>勘察设计技术负责人或总设计师</w:t>
            </w:r>
            <w:r>
              <w:rPr>
                <w:rFonts w:hint="eastAsia" w:cs="宋体" w:asciiTheme="minorEastAsia" w:hAnsiTheme="minorEastAsia" w:eastAsiaTheme="minorEastAsia"/>
                <w:szCs w:val="21"/>
              </w:rPr>
              <w:t>任职资格与业绩</w:t>
            </w:r>
            <w:r>
              <w:rPr>
                <w:rFonts w:asciiTheme="minorEastAsia" w:hAnsiTheme="minorEastAsia" w:eastAsiaTheme="minorEastAsia"/>
                <w:kern w:val="0"/>
                <w:szCs w:val="21"/>
              </w:rPr>
              <w:t>B</w:t>
            </w:r>
            <w:r>
              <w:rPr>
                <w:rFonts w:asciiTheme="minorEastAsia" w:hAnsiTheme="minorEastAsia" w:eastAsiaTheme="minorEastAsia"/>
                <w:kern w:val="0"/>
                <w:szCs w:val="21"/>
                <w:vertAlign w:val="subscript"/>
              </w:rPr>
              <w:t>2</w:t>
            </w:r>
          </w:p>
        </w:tc>
        <w:tc>
          <w:tcPr>
            <w:tcW w:w="709" w:type="dxa"/>
            <w:vAlign w:val="center"/>
          </w:tcPr>
          <w:p w14:paraId="3172BB89">
            <w:pPr>
              <w:pStyle w:val="299"/>
              <w:adjustRightInd w:val="0"/>
              <w:snapToGrid w:val="0"/>
              <w:spacing w:line="400" w:lineRule="exact"/>
              <w:rPr>
                <w:rFonts w:cs="宋体" w:asciiTheme="minorEastAsia" w:hAnsiTheme="minorEastAsia" w:eastAsiaTheme="minorEastAsia"/>
                <w:szCs w:val="21"/>
                <w:u w:val="single"/>
              </w:rPr>
            </w:pP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tc>
        <w:tc>
          <w:tcPr>
            <w:tcW w:w="3594" w:type="dxa"/>
            <w:vAlign w:val="center"/>
          </w:tcPr>
          <w:p w14:paraId="26722825">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（1）满足资格审查条件最低要求得</w:t>
            </w:r>
          </w:p>
          <w:p w14:paraId="546FAC7E">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p w14:paraId="3FE4D98E">
            <w:pPr>
              <w:widowControl/>
              <w:spacing w:line="400" w:lineRule="exact"/>
              <w:rPr>
                <w:rFonts w:ascii="宋体" w:hAnsi="宋体"/>
                <w:kern w:val="0"/>
                <w:szCs w:val="21"/>
              </w:rPr>
            </w:pPr>
            <w:r>
              <w:rPr>
                <w:rFonts w:hint="eastAsia" w:ascii="宋体" w:hAnsi="宋体"/>
                <w:kern w:val="0"/>
                <w:szCs w:val="21"/>
                <w:lang w:eastAsia="zh-CN"/>
              </w:rPr>
              <w:t>（</w:t>
            </w: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77401C0B">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p>
          <w:p w14:paraId="592ABD59">
            <w:pPr>
              <w:widowControl/>
              <w:spacing w:line="400" w:lineRule="exact"/>
              <w:rPr>
                <w:rFonts w:ascii="宋体" w:hAnsi="宋体"/>
                <w:kern w:val="0"/>
                <w:szCs w:val="21"/>
              </w:rPr>
            </w:pPr>
            <w:r>
              <w:rPr>
                <w:rFonts w:hint="eastAsia" w:ascii="宋体" w:hAnsi="宋体"/>
                <w:kern w:val="0"/>
                <w:szCs w:val="21"/>
              </w:rPr>
              <w:t>（4）扣除满足资格条件最低要求的业绩数量后：</w:t>
            </w:r>
          </w:p>
          <w:p w14:paraId="384D1F39">
            <w:pPr>
              <w:widowControl/>
              <w:spacing w:line="400" w:lineRule="exact"/>
              <w:rPr>
                <w:rFonts w:ascii="宋体" w:hAnsi="宋体"/>
                <w:kern w:val="0"/>
                <w:szCs w:val="21"/>
              </w:rPr>
            </w:pPr>
            <w:r>
              <w:rPr>
                <w:rFonts w:hint="eastAsia" w:ascii="宋体" w:hAnsi="宋体"/>
                <w:b/>
                <w:bCs/>
                <w:kern w:val="0"/>
                <w:szCs w:val="21"/>
              </w:rPr>
              <w:t>□</w:t>
            </w:r>
            <w:r>
              <w:rPr>
                <w:rFonts w:hint="eastAsia" w:ascii="宋体" w:hAnsi="宋体"/>
                <w:kern w:val="0"/>
                <w:szCs w:val="21"/>
              </w:rPr>
              <w:t>每增加</w:t>
            </w:r>
            <w:r>
              <w:rPr>
                <w:rFonts w:hint="eastAsia" w:ascii="宋体" w:hAnsi="宋体"/>
                <w:kern w:val="0"/>
                <w:szCs w:val="21"/>
                <w:u w:val="single"/>
              </w:rPr>
              <w:t>1</w:t>
            </w:r>
            <w:r>
              <w:rPr>
                <w:rFonts w:hint="eastAsia" w:ascii="宋体" w:hAnsi="宋体"/>
                <w:kern w:val="0"/>
                <w:szCs w:val="21"/>
              </w:rPr>
              <w:t>段不低于</w:t>
            </w:r>
            <w:r>
              <w:rPr>
                <w:rFonts w:hint="eastAsia" w:ascii="宋体" w:hAnsi="宋体"/>
                <w:kern w:val="0"/>
                <w:szCs w:val="21"/>
                <w:u w:val="single"/>
              </w:rPr>
              <w:t xml:space="preserve">   </w:t>
            </w:r>
            <w:r>
              <w:rPr>
                <w:rFonts w:hint="eastAsia" w:ascii="宋体" w:hAnsi="宋体"/>
                <w:kern w:val="0"/>
                <w:szCs w:val="21"/>
              </w:rPr>
              <w:t>公里的国内</w:t>
            </w:r>
          </w:p>
          <w:p w14:paraId="0D7402B5">
            <w:pPr>
              <w:widowControl/>
              <w:spacing w:line="400" w:lineRule="exact"/>
              <w:ind w:firstLine="210" w:firstLineChars="100"/>
              <w:rPr>
                <w:rFonts w:ascii="宋体" w:hAnsi="宋体"/>
                <w:kern w:val="0"/>
                <w:szCs w:val="21"/>
              </w:rPr>
            </w:pPr>
            <w:r>
              <w:rPr>
                <w:rFonts w:hint="eastAsia" w:ascii="宋体" w:hAnsi="宋体"/>
                <w:kern w:val="0"/>
                <w:szCs w:val="21"/>
              </w:rPr>
              <w:t>（□新建；</w:t>
            </w:r>
            <w:r>
              <w:rPr>
                <w:rFonts w:hint="eastAsia" w:ascii="宋体" w:hAnsi="宋体"/>
                <w:kern w:val="0"/>
                <w:szCs w:val="21"/>
              </w:rPr>
              <w:sym w:font="Wingdings 2" w:char="00A3"/>
            </w:r>
            <w:r>
              <w:rPr>
                <w:rFonts w:hint="eastAsia" w:ascii="宋体" w:hAnsi="宋体"/>
                <w:kern w:val="0"/>
                <w:szCs w:val="21"/>
              </w:rPr>
              <w:t>改扩建；□新建或改</w:t>
            </w:r>
          </w:p>
          <w:p w14:paraId="7F2137FE">
            <w:pPr>
              <w:widowControl/>
              <w:spacing w:line="400" w:lineRule="exact"/>
              <w:ind w:firstLine="210" w:firstLineChars="100"/>
              <w:rPr>
                <w:rFonts w:ascii="宋体" w:hAnsi="宋体"/>
                <w:kern w:val="0"/>
                <w:szCs w:val="21"/>
              </w:rPr>
            </w:pPr>
            <w:r>
              <w:rPr>
                <w:rFonts w:hint="eastAsia" w:ascii="宋体" w:hAnsi="宋体"/>
                <w:kern w:val="0"/>
                <w:szCs w:val="21"/>
              </w:rPr>
              <w:t>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公路（□初</w:t>
            </w:r>
          </w:p>
          <w:p w14:paraId="6CB1D007">
            <w:pPr>
              <w:widowControl/>
              <w:spacing w:line="400" w:lineRule="exact"/>
              <w:ind w:left="210" w:leftChars="100"/>
              <w:rPr>
                <w:rFonts w:ascii="宋体" w:hAnsi="宋体"/>
                <w:kern w:val="0"/>
                <w:szCs w:val="21"/>
              </w:rPr>
            </w:pPr>
            <w:r>
              <w:rPr>
                <w:rFonts w:hint="eastAsia" w:ascii="宋体" w:hAnsi="宋体"/>
                <w:kern w:val="0"/>
                <w:szCs w:val="21"/>
              </w:rPr>
              <w:t>步；</w:t>
            </w:r>
            <w:r>
              <w:rPr>
                <w:rFonts w:hint="eastAsia" w:ascii="宋体" w:hAnsi="宋体"/>
                <w:kern w:val="0"/>
                <w:szCs w:val="21"/>
              </w:rPr>
              <w:sym w:font="Wingdings 2" w:char="00A3"/>
            </w:r>
            <w:r>
              <w:rPr>
                <w:rFonts w:hint="eastAsia" w:ascii="宋体" w:hAnsi="宋体"/>
                <w:kern w:val="0"/>
                <w:szCs w:val="21"/>
              </w:rPr>
              <w:t>施工图；□初步或施工图）勘察设计工作项目负责人或技术负责人或总设计师业绩加</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4741ECD8">
            <w:pPr>
              <w:widowControl/>
              <w:adjustRightInd w:val="0"/>
              <w:snapToGrid w:val="0"/>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0CF53294">
            <w:pPr>
              <w:widowControl/>
              <w:adjustRightInd w:val="0"/>
              <w:snapToGrid w:val="0"/>
              <w:spacing w:line="400" w:lineRule="exact"/>
              <w:rPr>
                <w:rFonts w:cs="宋体" w:asciiTheme="minorEastAsia" w:hAnsiTheme="minorEastAsia" w:eastAsiaTheme="minorEastAsia"/>
                <w:kern w:val="0"/>
                <w:szCs w:val="21"/>
              </w:rPr>
            </w:pPr>
            <w:r>
              <w:rPr>
                <w:rFonts w:hint="eastAsia" w:ascii="宋体" w:hAnsi="宋体"/>
                <w:kern w:val="0"/>
                <w:szCs w:val="21"/>
              </w:rPr>
              <w:t>（1）、（2）、（3）、（4）合计得分最多至满分为止。</w:t>
            </w:r>
          </w:p>
        </w:tc>
      </w:tr>
      <w:tr w14:paraId="08FC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4A1627D1">
            <w:pPr>
              <w:pStyle w:val="299"/>
              <w:spacing w:line="400" w:lineRule="exact"/>
              <w:jc w:val="center"/>
              <w:rPr>
                <w:rFonts w:ascii="宋体" w:hAnsi="宋体" w:cs="宋体"/>
                <w:szCs w:val="21"/>
              </w:rPr>
            </w:pPr>
          </w:p>
        </w:tc>
        <w:tc>
          <w:tcPr>
            <w:tcW w:w="1430" w:type="dxa"/>
            <w:gridSpan w:val="2"/>
            <w:vMerge w:val="continue"/>
            <w:vAlign w:val="center"/>
          </w:tcPr>
          <w:p w14:paraId="39ECD18C">
            <w:pPr>
              <w:pStyle w:val="299"/>
              <w:spacing w:line="400" w:lineRule="exact"/>
              <w:jc w:val="center"/>
              <w:rPr>
                <w:rFonts w:ascii="宋体" w:hAnsi="宋体" w:cs="宋体"/>
                <w:szCs w:val="21"/>
              </w:rPr>
            </w:pPr>
          </w:p>
        </w:tc>
        <w:tc>
          <w:tcPr>
            <w:tcW w:w="851" w:type="dxa"/>
            <w:vMerge w:val="continue"/>
            <w:vAlign w:val="center"/>
          </w:tcPr>
          <w:p w14:paraId="17FA80F5">
            <w:pPr>
              <w:pStyle w:val="299"/>
              <w:spacing w:line="400" w:lineRule="exact"/>
              <w:rPr>
                <w:rFonts w:ascii="宋体" w:hAnsi="宋体" w:cs="宋体"/>
                <w:szCs w:val="21"/>
              </w:rPr>
            </w:pPr>
          </w:p>
        </w:tc>
        <w:tc>
          <w:tcPr>
            <w:tcW w:w="1338" w:type="dxa"/>
            <w:gridSpan w:val="2"/>
            <w:vAlign w:val="center"/>
          </w:tcPr>
          <w:p w14:paraId="42DA1C59">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项目经理任职资格与业绩</w:t>
            </w:r>
            <w:r>
              <w:rPr>
                <w:rFonts w:cs="宋体" w:asciiTheme="minorEastAsia" w:hAnsiTheme="minorEastAsia" w:eastAsiaTheme="minorEastAsia"/>
                <w:szCs w:val="21"/>
                <w:u w:val="none"/>
              </w:rPr>
              <w:t>B</w:t>
            </w:r>
            <w:r>
              <w:rPr>
                <w:rFonts w:cs="宋体" w:asciiTheme="minorEastAsia" w:hAnsiTheme="minorEastAsia" w:eastAsiaTheme="minorEastAsia"/>
                <w:szCs w:val="21"/>
                <w:u w:val="none"/>
                <w:vertAlign w:val="subscript"/>
              </w:rPr>
              <w:t>3</w:t>
            </w:r>
          </w:p>
        </w:tc>
        <w:tc>
          <w:tcPr>
            <w:tcW w:w="709" w:type="dxa"/>
            <w:vAlign w:val="center"/>
          </w:tcPr>
          <w:p w14:paraId="2182E520">
            <w:pPr>
              <w:pStyle w:val="299"/>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594" w:type="dxa"/>
            <w:vAlign w:val="center"/>
          </w:tcPr>
          <w:p w14:paraId="537AF13B">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（1）满足资格审查条件最低要求得</w:t>
            </w:r>
          </w:p>
          <w:p w14:paraId="2E3105CD">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p w14:paraId="7067CF20">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2）技术职称每升高一级加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91D4CE8">
            <w:pPr>
              <w:widowControl/>
              <w:adjustRightInd w:val="0"/>
              <w:snapToGrid w:val="0"/>
              <w:spacing w:line="400" w:lineRule="exact"/>
              <w:ind w:firstLine="210" w:firstLineChars="100"/>
              <w:rPr>
                <w:rFonts w:ascii="宋体" w:hAnsi="宋体" w:cs="宋体"/>
                <w:kern w:val="0"/>
                <w:szCs w:val="21"/>
              </w:rPr>
            </w:pPr>
            <w:r>
              <w:rPr>
                <w:rFonts w:hint="eastAsia" w:ascii="宋体" w:hAnsi="宋体" w:cs="宋体"/>
                <w:kern w:val="0"/>
                <w:szCs w:val="21"/>
              </w:rPr>
              <w:t>注：</w:t>
            </w:r>
            <w:r>
              <w:rPr>
                <w:rFonts w:ascii="宋体" w:hAnsi="宋体" w:cs="宋体"/>
                <w:kern w:val="0"/>
                <w:szCs w:val="21"/>
              </w:rPr>
              <w:t>资格条件最低要求为工程师时，最多按升高2级考虑，即最多加分至正（教授级或研究员级）高级工程师。</w:t>
            </w:r>
            <w:r>
              <w:rPr>
                <w:rFonts w:hint="eastAsia" w:ascii="宋体" w:hAnsi="宋体" w:cs="宋体"/>
                <w:kern w:val="0"/>
                <w:szCs w:val="21"/>
              </w:rPr>
              <w:t>下同。</w:t>
            </w:r>
          </w:p>
          <w:p w14:paraId="15622BDF">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3）扣除满足资格条件最低要求的业绩</w:t>
            </w:r>
            <w:r>
              <w:rPr>
                <w:rFonts w:hint="eastAsia" w:ascii="宋体" w:hAnsi="宋体" w:cs="宋体"/>
                <w:kern w:val="0"/>
                <w:szCs w:val="21"/>
              </w:rPr>
              <w:t>数量后：</w:t>
            </w:r>
          </w:p>
          <w:p w14:paraId="34191650">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ascii="宋体" w:hAnsi="宋体" w:cs="宋体"/>
                <w:kern w:val="0"/>
                <w:szCs w:val="21"/>
                <w:u w:val="single"/>
              </w:rPr>
              <w:t xml:space="preserve"> 1 </w:t>
            </w:r>
            <w:r>
              <w:rPr>
                <w:rFonts w:hint="eastAsia" w:ascii="宋体" w:hAnsi="宋体" w:cs="宋体"/>
                <w:kern w:val="0"/>
                <w:szCs w:val="21"/>
              </w:rPr>
              <w:t>个</w:t>
            </w:r>
            <w:r>
              <w:rPr>
                <w:rFonts w:hint="eastAsia" w:ascii="宋体" w:hAnsi="宋体" w:cs="宋体"/>
                <w:szCs w:val="21"/>
              </w:rPr>
              <w:t>（□新建；□改扩建；□新建或改扩建）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166BC432">
            <w:pPr>
              <w:pStyle w:val="48"/>
              <w:spacing w:after="0" w:line="400" w:lineRule="exact"/>
              <w:ind w:left="0" w:leftChars="0" w:firstLine="210" w:firstLineChars="100"/>
              <w:rPr>
                <w:rFonts w:ascii="宋体" w:hAnsi="宋体"/>
              </w:rPr>
            </w:pPr>
            <w:r>
              <w:rPr>
                <w:rFonts w:hint="eastAsia" w:ascii="宋体" w:hAnsi="宋体"/>
              </w:rPr>
              <w:t>注：1</w:t>
            </w:r>
            <w:r>
              <w:rPr>
                <w:rFonts w:ascii="宋体" w:hAnsi="宋体"/>
              </w:rPr>
              <w:t>.</w:t>
            </w:r>
            <w:r>
              <w:rPr>
                <w:rFonts w:hint="eastAsia" w:ascii="宋体" w:hAnsi="宋体"/>
              </w:rPr>
              <w:t>“</w:t>
            </w:r>
            <w:r>
              <w:rPr>
                <w:rFonts w:hint="eastAsia" w:ascii="宋体" w:hAnsi="宋体" w:cs="宋体"/>
                <w:szCs w:val="21"/>
              </w:rPr>
              <w:t>□新建；□改扩建；□新建或改扩建</w:t>
            </w:r>
            <w:r>
              <w:rPr>
                <w:rFonts w:hint="eastAsia" w:ascii="宋体" w:hAnsi="宋体"/>
              </w:rPr>
              <w:t>”为单选项，下同。</w:t>
            </w:r>
          </w:p>
          <w:p w14:paraId="51CCD88E">
            <w:pPr>
              <w:pStyle w:val="48"/>
              <w:spacing w:after="0" w:line="400" w:lineRule="exact"/>
              <w:ind w:left="0" w:leftChars="0" w:firstLine="210" w:firstLineChars="100"/>
              <w:rPr>
                <w:rFonts w:ascii="宋体" w:hAnsi="宋体" w:cs="宋体"/>
                <w:kern w:val="0"/>
                <w:szCs w:val="21"/>
              </w:rPr>
            </w:pPr>
            <w:r>
              <w:rPr>
                <w:rFonts w:hint="eastAsia" w:ascii="宋体" w:hAnsi="宋体"/>
              </w:rPr>
              <w:t>2</w:t>
            </w:r>
            <w:r>
              <w:rPr>
                <w:rFonts w:ascii="宋体" w:hAnsi="宋体"/>
              </w:rPr>
              <w:t>.</w:t>
            </w:r>
            <w:r>
              <w:rPr>
                <w:rFonts w:hint="eastAsia"/>
              </w:rPr>
              <w:t>路基土建工程指须至少包含“路基工程、桥涵工程”或“路基工程、隧道工程”的项目。下同。</w:t>
            </w:r>
          </w:p>
          <w:p w14:paraId="401E5B4C">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w:t>
            </w:r>
            <w:r>
              <w:rPr>
                <w:rFonts w:hint="eastAsia"/>
              </w:rPr>
              <w:t>该桥梁工程可为路基土建工程中包含的内容或者单独桥梁工程合同的项目</w:t>
            </w:r>
            <w:r>
              <w:rPr>
                <w:rFonts w:hint="eastAsia" w:ascii="宋体" w:hAnsi="宋体"/>
              </w:rPr>
              <w:t>。下同。</w:t>
            </w:r>
            <w:r>
              <w:rPr>
                <w:rFonts w:hint="eastAsia" w:ascii="宋体" w:hAnsi="宋体" w:cs="宋体"/>
                <w:szCs w:val="21"/>
              </w:rPr>
              <w:t>）</w:t>
            </w:r>
            <w:r>
              <w:rPr>
                <w:rFonts w:hint="eastAsia" w:ascii="宋体" w:hAnsi="宋体" w:cs="宋体"/>
                <w:kern w:val="0"/>
                <w:szCs w:val="21"/>
              </w:rPr>
              <w:t>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kern w:val="0"/>
                <w:szCs w:val="21"/>
                <w:u w:val="single"/>
              </w:rPr>
              <w:t xml:space="preserve"> 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6D1C179">
            <w:pPr>
              <w:pStyle w:val="48"/>
              <w:spacing w:after="0" w:line="400" w:lineRule="exact"/>
              <w:ind w:left="0" w:leftChars="0" w:firstLine="210" w:firstLineChars="100"/>
              <w:rPr>
                <w:rFonts w:ascii="宋体" w:hAnsi="宋体" w:cs="宋体"/>
                <w:kern w:val="0"/>
                <w:szCs w:val="21"/>
                <w:u w:val="single"/>
              </w:rPr>
            </w:pPr>
            <w:r>
              <w:rPr>
                <w:rFonts w:hint="eastAsia"/>
              </w:rPr>
              <w:t>注：编号</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rPr>
              <w:t>为资格审查条件中招标人作了桥型要求的桥梁类型顺序编号，按照设置前后顺序编列。原则上建议桥梁类型不超过2种。下同。</w:t>
            </w:r>
          </w:p>
          <w:p w14:paraId="277D8D46">
            <w:pPr>
              <w:adjustRightInd w:val="0"/>
              <w:snapToGrid w:val="0"/>
              <w:spacing w:line="400" w:lineRule="exact"/>
              <w:ind w:left="211" w:leftChars="0"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w:t>
            </w:r>
            <w:r>
              <w:rPr>
                <w:rFonts w:hint="eastAsia" w:ascii="宋体" w:hAnsi="宋体" w:cs="宋体"/>
                <w:szCs w:val="21"/>
              </w:rPr>
              <w:sym w:font="Wingdings 2" w:char="00A3"/>
            </w:r>
            <w:r>
              <w:rPr>
                <w:rFonts w:hint="eastAsia" w:ascii="宋体" w:hAnsi="宋体" w:cs="宋体"/>
                <w:szCs w:val="21"/>
              </w:rPr>
              <w:t>长隧道及以上；□特长隧道；□单洞长度</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szCs w:val="21"/>
              </w:rPr>
              <w:t>米及以上特长隧道）施工项目</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w:t>
            </w:r>
          </w:p>
          <w:p w14:paraId="2C486DDB">
            <w:pPr>
              <w:pStyle w:val="37"/>
              <w:spacing w:line="400" w:lineRule="exact"/>
              <w:ind w:left="0" w:leftChars="0" w:firstLine="210" w:firstLineChars="100"/>
              <w:jc w:val="both"/>
              <w:rPr>
                <w:rFonts w:ascii="宋体" w:hAnsi="宋体"/>
                <w:sz w:val="21"/>
                <w:szCs w:val="24"/>
              </w:rPr>
            </w:pPr>
            <w:r>
              <w:rPr>
                <w:rFonts w:hint="eastAsia" w:ascii="宋体" w:hAnsi="宋体"/>
                <w:sz w:val="21"/>
                <w:szCs w:val="24"/>
              </w:rPr>
              <w:t>注：</w:t>
            </w:r>
            <w:r>
              <w:rPr>
                <w:rFonts w:ascii="宋体" w:hAnsi="宋体"/>
                <w:sz w:val="21"/>
                <w:szCs w:val="24"/>
              </w:rPr>
              <w:t>1.</w:t>
            </w:r>
            <w:r>
              <w:rPr>
                <w:rFonts w:hint="eastAsia" w:ascii="宋体" w:hAnsi="宋体"/>
                <w:sz w:val="21"/>
                <w:szCs w:val="24"/>
              </w:rPr>
              <w:t>单洞长度对于具有双洞的隧道，其承担隧道长度以左右线隧道长度较长的为准；若只有单洞的，则以承担单洞隧道长度数据为准。隧道单洞长度不含斜井、竖井、支洞。下同。</w:t>
            </w:r>
          </w:p>
          <w:p w14:paraId="4EF67F92">
            <w:pPr>
              <w:pStyle w:val="48"/>
              <w:spacing w:line="400" w:lineRule="exact"/>
              <w:ind w:left="0" w:leftChars="0" w:firstLine="210" w:firstLineChars="100"/>
              <w:rPr>
                <w:rFonts w:ascii="宋体" w:hAnsi="宋体" w:cs="宋体"/>
                <w:kern w:val="0"/>
                <w:szCs w:val="21"/>
              </w:rPr>
            </w:pPr>
            <w:r>
              <w:rPr>
                <w:rStyle w:val="59"/>
                <w:rFonts w:ascii="宋体" w:hAnsi="宋体"/>
                <w:vertAlign w:val="baseline"/>
              </w:rPr>
              <w:t>2</w:t>
            </w:r>
            <w:r>
              <w:rPr>
                <w:rFonts w:ascii="宋体" w:hAnsi="宋体"/>
              </w:rPr>
              <w:t>.</w:t>
            </w:r>
            <w:r>
              <w:rPr>
                <w:rFonts w:hint="eastAsia" w:ascii="宋体" w:hAnsi="宋体"/>
              </w:rPr>
              <w:t>隧道为单选项，该隧道工程可为路基土建工程中包含的内容或者单独隧道工程合同的项目。下同。</w:t>
            </w:r>
          </w:p>
          <w:p w14:paraId="5279C8E9">
            <w:pPr>
              <w:adjustRightInd w:val="0"/>
              <w:snapToGrid w:val="0"/>
              <w:spacing w:line="400" w:lineRule="exact"/>
              <w:ind w:left="211" w:hanging="211" w:hangingChars="100"/>
              <w:jc w:val="left"/>
              <w:rPr>
                <w:rFonts w:ascii="宋体" w:hAnsi="宋体" w:cs="宋体"/>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EE24A8E">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w:t>
            </w:r>
            <w:r>
              <w:rPr>
                <w:rFonts w:hint="eastAsia" w:ascii="宋体" w:hAnsi="宋体"/>
                <w:szCs w:val="21"/>
              </w:rPr>
              <w:t>交通安全设施工程施工</w:t>
            </w:r>
            <w:r>
              <w:rPr>
                <w:rFonts w:hint="eastAsia" w:ascii="宋体" w:hAnsi="宋体" w:cs="宋体"/>
                <w:szCs w:val="21"/>
              </w:rPr>
              <w:t>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2C1E0105">
            <w:pPr>
              <w:adjustRightInd w:val="0"/>
              <w:snapToGrid w:val="0"/>
              <w:spacing w:line="400" w:lineRule="exact"/>
              <w:ind w:left="211" w:leftChars="0"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公路隧道</w:t>
            </w:r>
            <w:r>
              <w:rPr>
                <w:rFonts w:hint="eastAsia" w:ascii="宋体" w:hAnsi="宋体"/>
                <w:szCs w:val="21"/>
              </w:rPr>
              <w:t>机电工程施工</w:t>
            </w:r>
            <w:r>
              <w:rPr>
                <w:rFonts w:hint="eastAsia" w:ascii="宋体" w:hAnsi="宋体" w:cs="宋体"/>
                <w:szCs w:val="21"/>
              </w:rPr>
              <w:t>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w:t>
            </w:r>
          </w:p>
          <w:p w14:paraId="7CBDC462">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w:t>
            </w:r>
            <w:r>
              <w:rPr>
                <w:rFonts w:hint="eastAsia" w:ascii="宋体" w:hAnsi="宋体"/>
                <w:szCs w:val="21"/>
              </w:rPr>
              <w:t>国内房建工程施工项目中担任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66629F13">
            <w:pPr>
              <w:widowControl/>
              <w:adjustRightInd w:val="0"/>
              <w:snapToGrid w:val="0"/>
              <w:spacing w:line="400" w:lineRule="exact"/>
              <w:jc w:val="left"/>
              <w:rPr>
                <w:rFonts w:ascii="宋体" w:hAnsi="宋体" w:cs="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2681D77A">
            <w:pPr>
              <w:widowControl/>
              <w:adjustRightInd w:val="0"/>
              <w:snapToGrid w:val="0"/>
              <w:spacing w:line="400" w:lineRule="exact"/>
              <w:rPr>
                <w:rFonts w:cs="宋体" w:asciiTheme="minorEastAsia" w:hAnsiTheme="minorEastAsia" w:eastAsiaTheme="minorEastAsia"/>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w:t>
            </w:r>
            <w:r>
              <w:rPr>
                <w:rFonts w:ascii="宋体" w:hAnsi="宋体" w:cs="宋体"/>
                <w:kern w:val="0"/>
                <w:szCs w:val="21"/>
              </w:rPr>
              <w:t xml:space="preserve">2） </w:t>
            </w:r>
            <w:r>
              <w:rPr>
                <w:rFonts w:hint="eastAsia" w:ascii="宋体" w:hAnsi="宋体" w:cs="宋体"/>
                <w:kern w:val="0"/>
                <w:szCs w:val="21"/>
              </w:rPr>
              <w:t>、（</w:t>
            </w:r>
            <w:r>
              <w:rPr>
                <w:rFonts w:ascii="宋体" w:hAnsi="宋体" w:cs="宋体"/>
                <w:kern w:val="0"/>
                <w:szCs w:val="21"/>
              </w:rPr>
              <w:t>3）合计得分最多至满分为止。</w:t>
            </w:r>
          </w:p>
        </w:tc>
      </w:tr>
      <w:tr w14:paraId="68C1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5" w:type="dxa"/>
            <w:vMerge w:val="restart"/>
            <w:vAlign w:val="center"/>
          </w:tcPr>
          <w:p w14:paraId="46CCE4A2">
            <w:pPr>
              <w:pStyle w:val="299"/>
              <w:spacing w:line="400" w:lineRule="exact"/>
              <w:jc w:val="center"/>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2）</w:t>
            </w:r>
          </w:p>
        </w:tc>
        <w:tc>
          <w:tcPr>
            <w:tcW w:w="1430" w:type="dxa"/>
            <w:gridSpan w:val="2"/>
            <w:vMerge w:val="restart"/>
            <w:vAlign w:val="center"/>
          </w:tcPr>
          <w:p w14:paraId="421AA86F">
            <w:pPr>
              <w:pStyle w:val="299"/>
              <w:spacing w:line="400" w:lineRule="exact"/>
              <w:jc w:val="center"/>
              <w:rPr>
                <w:rFonts w:ascii="宋体" w:hAnsi="宋体" w:cs="宋体"/>
                <w:szCs w:val="21"/>
              </w:rPr>
            </w:pPr>
            <w:r>
              <w:rPr>
                <w:rFonts w:hint="eastAsia" w:cs="宋体" w:asciiTheme="minorEastAsia" w:hAnsiTheme="minorEastAsia" w:eastAsiaTheme="minorEastAsia"/>
                <w:b/>
                <w:szCs w:val="21"/>
              </w:rPr>
              <w:t xml:space="preserve">□ </w:t>
            </w:r>
            <w:r>
              <w:rPr>
                <w:rFonts w:hint="eastAsia" w:ascii="宋体" w:hAnsi="宋体" w:cs="宋体"/>
                <w:szCs w:val="21"/>
              </w:rPr>
              <w:t>主要人员</w:t>
            </w:r>
          </w:p>
          <w:p w14:paraId="6B32595C">
            <w:pPr>
              <w:pStyle w:val="299"/>
              <w:spacing w:line="400" w:lineRule="exact"/>
              <w:jc w:val="center"/>
              <w:rPr>
                <w:rFonts w:ascii="宋体" w:hAnsi="宋体" w:cs="宋体"/>
                <w:szCs w:val="21"/>
              </w:rPr>
            </w:pPr>
            <w:r>
              <w:rPr>
                <w:rFonts w:ascii="宋体" w:hAnsi="宋体" w:cs="宋体"/>
                <w:szCs w:val="21"/>
              </w:rPr>
              <w:t>B</w:t>
            </w:r>
          </w:p>
        </w:tc>
        <w:tc>
          <w:tcPr>
            <w:tcW w:w="851" w:type="dxa"/>
            <w:vMerge w:val="restart"/>
            <w:vAlign w:val="center"/>
          </w:tcPr>
          <w:p w14:paraId="1E472C17">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2992D691">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项目总工任职资格与业绩</w:t>
            </w:r>
            <w:r>
              <w:rPr>
                <w:rFonts w:cs="宋体" w:asciiTheme="minorEastAsia" w:hAnsiTheme="minorEastAsia" w:eastAsiaTheme="minorEastAsia"/>
                <w:szCs w:val="21"/>
                <w:u w:val="none"/>
              </w:rPr>
              <w:t>B</w:t>
            </w:r>
            <w:r>
              <w:rPr>
                <w:rFonts w:cs="宋体" w:asciiTheme="minorEastAsia" w:hAnsiTheme="minorEastAsia" w:eastAsiaTheme="minorEastAsia"/>
                <w:szCs w:val="21"/>
                <w:u w:val="none"/>
                <w:vertAlign w:val="subscript"/>
              </w:rPr>
              <w:t>4</w:t>
            </w:r>
          </w:p>
        </w:tc>
        <w:tc>
          <w:tcPr>
            <w:tcW w:w="709" w:type="dxa"/>
            <w:vAlign w:val="center"/>
          </w:tcPr>
          <w:p w14:paraId="04F07D3D">
            <w:pPr>
              <w:pStyle w:val="299"/>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594" w:type="dxa"/>
            <w:vAlign w:val="center"/>
          </w:tcPr>
          <w:p w14:paraId="03C53C6A">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（1）满足资格审查条件最低要求得</w:t>
            </w:r>
          </w:p>
          <w:p w14:paraId="694D1C52">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p w14:paraId="116C3C39">
            <w:pPr>
              <w:widowControl/>
              <w:numPr>
                <w:ilvl w:val="255"/>
                <w:numId w:val="0"/>
              </w:numPr>
              <w:adjustRightInd w:val="0"/>
              <w:snapToGrid w:val="0"/>
              <w:spacing w:line="400" w:lineRule="exact"/>
              <w:ind w:firstLine="0" w:firstLineChars="0"/>
              <w:rPr>
                <w:rFonts w:ascii="宋体" w:hAnsi="宋体" w:cs="宋体"/>
                <w:kern w:val="0"/>
                <w:szCs w:val="21"/>
              </w:rPr>
            </w:pPr>
            <w:r>
              <w:rPr>
                <w:rFonts w:hint="eastAsia" w:ascii="宋体" w:hAnsi="宋体" w:cs="宋体"/>
                <w:kern w:val="0"/>
                <w:szCs w:val="21"/>
              </w:rPr>
              <w:t>（2）</w:t>
            </w:r>
            <w:r>
              <w:rPr>
                <w:rFonts w:ascii="宋体" w:hAnsi="宋体" w:cs="宋体"/>
                <w:kern w:val="0"/>
                <w:szCs w:val="21"/>
              </w:rPr>
              <w:t>技术职称每升高一级加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5830401D">
            <w:pPr>
              <w:widowControl/>
              <w:numPr>
                <w:ilvl w:val="255"/>
                <w:numId w:val="0"/>
              </w:numPr>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3）扣除满足资格条件最低要求的业绩</w:t>
            </w:r>
            <w:r>
              <w:rPr>
                <w:rFonts w:hint="eastAsia" w:ascii="宋体" w:hAnsi="宋体" w:cs="宋体"/>
                <w:kern w:val="0"/>
                <w:szCs w:val="21"/>
              </w:rPr>
              <w:t>数量后：</w:t>
            </w:r>
          </w:p>
          <w:p w14:paraId="40DD1B0C">
            <w:pPr>
              <w:widowControl/>
              <w:adjustRightInd w:val="0"/>
              <w:snapToGrid w:val="0"/>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kern w:val="0"/>
                <w:szCs w:val="21"/>
              </w:rPr>
              <w:t>每增加</w:t>
            </w:r>
            <w:r>
              <w:rPr>
                <w:rFonts w:ascii="宋体" w:hAnsi="宋体" w:cs="宋体"/>
                <w:kern w:val="0"/>
                <w:szCs w:val="21"/>
                <w:u w:val="single"/>
              </w:rPr>
              <w:t xml:space="preserve"> 1 </w:t>
            </w:r>
            <w:r>
              <w:rPr>
                <w:rFonts w:hint="eastAsia" w:ascii="宋体" w:hAnsi="宋体" w:cs="宋体"/>
                <w:kern w:val="0"/>
                <w:szCs w:val="21"/>
              </w:rPr>
              <w:t>个</w:t>
            </w:r>
            <w:r>
              <w:rPr>
                <w:rFonts w:hint="eastAsia" w:ascii="宋体" w:hAnsi="宋体" w:cs="宋体"/>
                <w:szCs w:val="21"/>
              </w:rPr>
              <w:t>（□新建；□改扩建；□新建或改扩建）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71EBB750">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w:t>
            </w:r>
            <w:r>
              <w:rPr>
                <w:rFonts w:hint="eastAsia" w:ascii="宋体" w:hAnsi="宋体" w:cs="宋体"/>
                <w:kern w:val="0"/>
                <w:szCs w:val="21"/>
              </w:rPr>
              <w:t>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hint="eastAsia" w:ascii="宋体" w:hAnsi="宋体" w:cs="宋体"/>
                <w:kern w:val="0"/>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p>
          <w:p w14:paraId="3E0616E9">
            <w:pPr>
              <w:widowControl/>
              <w:adjustRightInd w:val="0"/>
              <w:snapToGrid w:val="0"/>
              <w:spacing w:line="400" w:lineRule="exact"/>
              <w:ind w:left="210" w:leftChars="100"/>
              <w:jc w:val="left"/>
              <w:rPr>
                <w:rFonts w:ascii="宋体" w:hAnsi="宋体" w:cs="宋体"/>
                <w:kern w:val="0"/>
                <w:szCs w:val="21"/>
                <w:u w:val="single"/>
              </w:rPr>
            </w:pPr>
            <w:r>
              <w:rPr>
                <w:rFonts w:ascii="宋体" w:hAnsi="宋体" w:cs="宋体"/>
                <w:kern w:val="0"/>
                <w:szCs w:val="21"/>
                <w:u w:val="single"/>
              </w:rPr>
              <w:t xml:space="preserve">   </w:t>
            </w:r>
            <w:r>
              <w:rPr>
                <w:rFonts w:hint="eastAsia" w:ascii="宋体" w:hAnsi="宋体" w:cs="宋体"/>
                <w:kern w:val="0"/>
                <w:szCs w:val="21"/>
              </w:rPr>
              <w:t>分；□每增加</w:t>
            </w:r>
            <w:r>
              <w:rPr>
                <w:rFonts w:hint="eastAsia" w:ascii="宋体" w:hAnsi="宋体" w:cs="宋体"/>
                <w:kern w:val="0"/>
                <w:szCs w:val="21"/>
                <w:u w:val="single"/>
              </w:rPr>
              <w:t xml:space="preserve"> </w:t>
            </w:r>
            <w:r>
              <w:rPr>
                <w:rFonts w:ascii="宋体" w:hAnsi="宋体" w:cs="宋体"/>
                <w:kern w:val="0"/>
                <w:szCs w:val="21"/>
                <w:u w:val="single"/>
              </w:rPr>
              <w:t>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3835F2FA">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ascii="宋体" w:hAnsi="宋体" w:cs="宋体"/>
                <w:kern w:val="0"/>
                <w:szCs w:val="21"/>
                <w:u w:val="single"/>
              </w:rPr>
              <w:t xml:space="preserve">    </w:t>
            </w:r>
            <w:r>
              <w:rPr>
                <w:rFonts w:hint="eastAsia" w:ascii="宋体" w:hAnsi="宋体" w:cs="宋体"/>
                <w:szCs w:val="21"/>
              </w:rPr>
              <w:t>米及以上特长隧道）施工项目</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r>
              <w:rPr>
                <w:rFonts w:ascii="宋体" w:hAnsi="宋体" w:cs="宋体"/>
                <w:kern w:val="0"/>
                <w:szCs w:val="21"/>
              </w:rPr>
              <w:t xml:space="preserve"> </w:t>
            </w:r>
          </w:p>
          <w:p w14:paraId="398E527B">
            <w:pPr>
              <w:widowControl/>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056433F0">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w:t>
            </w:r>
            <w:r>
              <w:rPr>
                <w:rFonts w:hint="eastAsia" w:ascii="宋体" w:hAnsi="宋体"/>
                <w:szCs w:val="21"/>
              </w:rPr>
              <w:t>交通安全设施工程施工</w:t>
            </w:r>
            <w:r>
              <w:rPr>
                <w:rFonts w:hint="eastAsia" w:ascii="宋体" w:hAnsi="宋体" w:cs="宋体"/>
                <w:szCs w:val="21"/>
              </w:rPr>
              <w:t>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p>
          <w:p w14:paraId="2CACDA06">
            <w:pPr>
              <w:adjustRightInd w:val="0"/>
              <w:snapToGrid w:val="0"/>
              <w:spacing w:line="400" w:lineRule="exact"/>
              <w:ind w:left="210" w:leftChars="100"/>
              <w:jc w:val="left"/>
              <w:rPr>
                <w:rFonts w:ascii="宋体" w:hAnsi="宋体" w:cs="宋体"/>
                <w:kern w:val="0"/>
                <w:szCs w:val="21"/>
              </w:rPr>
            </w:pP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1F970BA3">
            <w:pPr>
              <w:adjustRightInd w:val="0"/>
              <w:snapToGrid w:val="0"/>
              <w:spacing w:line="400" w:lineRule="exact"/>
              <w:ind w:left="211" w:hanging="211" w:hangingChars="100"/>
              <w:jc w:val="lef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公路隧道</w:t>
            </w:r>
            <w:r>
              <w:rPr>
                <w:rFonts w:hint="eastAsia" w:ascii="宋体" w:hAnsi="宋体"/>
                <w:szCs w:val="21"/>
              </w:rPr>
              <w:t>机电工程施工</w:t>
            </w:r>
            <w:r>
              <w:rPr>
                <w:rFonts w:hint="eastAsia" w:ascii="宋体" w:hAnsi="宋体" w:cs="宋体"/>
                <w:szCs w:val="21"/>
              </w:rPr>
              <w:t>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4999B77E">
            <w:pPr>
              <w:widowControl/>
              <w:adjustRightInd w:val="0"/>
              <w:snapToGrid w:val="0"/>
              <w:spacing w:line="400" w:lineRule="exact"/>
              <w:ind w:left="422" w:hanging="422" w:hangingChars="200"/>
              <w:rPr>
                <w:rFonts w:ascii="宋体" w:hAnsi="宋体"/>
                <w:szCs w:val="21"/>
              </w:rPr>
            </w:pPr>
            <w:r>
              <w:rPr>
                <w:rFonts w:hint="eastAsia" w:ascii="宋体" w:hAnsi="宋体" w:cs="宋体"/>
                <w:b/>
                <w:szCs w:val="21"/>
              </w:rPr>
              <w:sym w:font="Wingdings 2" w:char="00A3"/>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w:t>
            </w:r>
            <w:r>
              <w:rPr>
                <w:rFonts w:hint="eastAsia" w:ascii="宋体" w:hAnsi="宋体"/>
                <w:szCs w:val="21"/>
              </w:rPr>
              <w:t>国内房建工程施工项</w:t>
            </w:r>
          </w:p>
          <w:p w14:paraId="6A78C39F">
            <w:pPr>
              <w:widowControl/>
              <w:adjustRightInd w:val="0"/>
              <w:snapToGrid w:val="0"/>
              <w:spacing w:line="400" w:lineRule="exact"/>
              <w:ind w:left="430" w:leftChars="105" w:hanging="210" w:hangingChars="100"/>
              <w:rPr>
                <w:rFonts w:ascii="宋体" w:hAnsi="宋体" w:cs="宋体"/>
                <w:kern w:val="0"/>
                <w:szCs w:val="21"/>
              </w:rPr>
            </w:pPr>
            <w:r>
              <w:rPr>
                <w:rFonts w:hint="eastAsia" w:ascii="宋体" w:hAnsi="宋体"/>
                <w:szCs w:val="21"/>
              </w:rPr>
              <w:t>目中担任</w:t>
            </w:r>
            <w:r>
              <w:rPr>
                <w:rFonts w:hint="eastAsia" w:ascii="宋体" w:hAnsi="宋体" w:cs="宋体"/>
                <w:kern w:val="0"/>
                <w:szCs w:val="21"/>
              </w:rPr>
              <w:t>资格审查要求职务业绩加</w:t>
            </w:r>
          </w:p>
          <w:p w14:paraId="0F31EAF9">
            <w:pPr>
              <w:widowControl/>
              <w:adjustRightInd w:val="0"/>
              <w:snapToGrid w:val="0"/>
              <w:spacing w:line="400" w:lineRule="exact"/>
              <w:ind w:left="430" w:leftChars="105" w:hanging="210" w:hangingChars="100"/>
              <w:rPr>
                <w:rFonts w:ascii="宋体" w:hAnsi="宋体" w:cs="宋体"/>
                <w:b/>
                <w:szCs w:val="21"/>
              </w:rPr>
            </w:pP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0564D003">
            <w:pPr>
              <w:widowControl/>
              <w:adjustRightInd w:val="0"/>
              <w:snapToGrid w:val="0"/>
              <w:spacing w:line="400" w:lineRule="exact"/>
              <w:jc w:val="lef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其他：</w:t>
            </w:r>
            <w:r>
              <w:rPr>
                <w:rFonts w:ascii="宋体" w:hAnsi="宋体" w:cs="宋体"/>
                <w:szCs w:val="21"/>
                <w:u w:val="single"/>
              </w:rPr>
              <w:t xml:space="preserve">    </w:t>
            </w:r>
          </w:p>
          <w:p w14:paraId="186B7318">
            <w:pPr>
              <w:widowControl/>
              <w:adjustRightInd w:val="0"/>
              <w:snapToGrid w:val="0"/>
              <w:spacing w:line="400" w:lineRule="exact"/>
              <w:rPr>
                <w:rFonts w:cs="宋体" w:asciiTheme="minorEastAsia" w:hAnsiTheme="minorEastAsia" w:eastAsiaTheme="minorEastAsia"/>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3）合计得分最多至满分为止。</w:t>
            </w:r>
          </w:p>
        </w:tc>
      </w:tr>
      <w:tr w14:paraId="76EA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75" w:type="dxa"/>
            <w:vMerge w:val="continue"/>
            <w:vAlign w:val="center"/>
          </w:tcPr>
          <w:p w14:paraId="40DB6D45">
            <w:pPr>
              <w:pStyle w:val="299"/>
              <w:spacing w:line="400" w:lineRule="exact"/>
              <w:jc w:val="center"/>
              <w:rPr>
                <w:rFonts w:ascii="宋体" w:hAnsi="宋体" w:cs="宋体"/>
                <w:szCs w:val="21"/>
              </w:rPr>
            </w:pPr>
          </w:p>
        </w:tc>
        <w:tc>
          <w:tcPr>
            <w:tcW w:w="1430" w:type="dxa"/>
            <w:gridSpan w:val="2"/>
            <w:vMerge w:val="continue"/>
            <w:vAlign w:val="center"/>
          </w:tcPr>
          <w:p w14:paraId="6DA042AC">
            <w:pPr>
              <w:pStyle w:val="299"/>
              <w:spacing w:line="400" w:lineRule="exact"/>
              <w:jc w:val="center"/>
              <w:rPr>
                <w:rFonts w:ascii="宋体" w:hAnsi="宋体" w:cs="宋体"/>
                <w:szCs w:val="21"/>
              </w:rPr>
            </w:pPr>
          </w:p>
        </w:tc>
        <w:tc>
          <w:tcPr>
            <w:tcW w:w="851" w:type="dxa"/>
            <w:vMerge w:val="continue"/>
            <w:vAlign w:val="center"/>
          </w:tcPr>
          <w:p w14:paraId="358869C1">
            <w:pPr>
              <w:pStyle w:val="299"/>
              <w:spacing w:line="400" w:lineRule="exact"/>
              <w:rPr>
                <w:rFonts w:ascii="宋体" w:hAnsi="宋体" w:cs="宋体"/>
                <w:szCs w:val="21"/>
              </w:rPr>
            </w:pPr>
          </w:p>
        </w:tc>
        <w:tc>
          <w:tcPr>
            <w:tcW w:w="850" w:type="dxa"/>
            <w:vMerge w:val="restart"/>
            <w:vAlign w:val="center"/>
          </w:tcPr>
          <w:p w14:paraId="003012D4">
            <w:pPr>
              <w:pStyle w:val="299"/>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其他管理和技术人员任职资格与业绩</w:t>
            </w:r>
            <w:r>
              <w:rPr>
                <w:rFonts w:cs="宋体" w:asciiTheme="minorEastAsia" w:hAnsiTheme="minorEastAsia" w:eastAsiaTheme="minorEastAsia"/>
                <w:szCs w:val="21"/>
              </w:rPr>
              <w:t xml:space="preserve"> B</w:t>
            </w:r>
            <w:r>
              <w:rPr>
                <w:rFonts w:hint="eastAsia" w:cs="宋体" w:asciiTheme="minorEastAsia" w:hAnsiTheme="minorEastAsia" w:eastAsiaTheme="minorEastAsia"/>
                <w:szCs w:val="21"/>
                <w:vertAlign w:val="subscript"/>
                <w:lang w:val="en-US" w:eastAsia="zh-CN"/>
              </w:rPr>
              <w:t>6</w:t>
            </w:r>
            <w:r>
              <w:rPr>
                <w:rStyle w:val="59"/>
                <w:rFonts w:cs="宋体" w:asciiTheme="minorEastAsia" w:hAnsiTheme="minorEastAsia" w:eastAsiaTheme="minorEastAsia"/>
                <w:szCs w:val="21"/>
              </w:rPr>
              <w:t xml:space="preserve"> </w:t>
            </w:r>
          </w:p>
        </w:tc>
        <w:tc>
          <w:tcPr>
            <w:tcW w:w="488" w:type="dxa"/>
            <w:vAlign w:val="center"/>
          </w:tcPr>
          <w:p w14:paraId="7F331B07">
            <w:pPr>
              <w:pStyle w:val="299"/>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c>
          <w:tcPr>
            <w:tcW w:w="709" w:type="dxa"/>
            <w:vAlign w:val="center"/>
          </w:tcPr>
          <w:p w14:paraId="0F0D7534">
            <w:pPr>
              <w:pStyle w:val="299"/>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594" w:type="dxa"/>
            <w:vAlign w:val="center"/>
          </w:tcPr>
          <w:p w14:paraId="65C7932B">
            <w:pPr>
              <w:widowControl/>
              <w:adjustRightInd w:val="0"/>
              <w:snapToGrid w:val="0"/>
              <w:spacing w:line="380" w:lineRule="exact"/>
              <w:jc w:val="left"/>
              <w:rPr>
                <w:rFonts w:cs="宋体" w:asciiTheme="minorEastAsia" w:hAnsiTheme="minorEastAsia" w:eastAsiaTheme="minorEastAsia"/>
                <w:kern w:val="0"/>
                <w:szCs w:val="21"/>
              </w:rPr>
            </w:pPr>
            <w:r>
              <w:rPr>
                <w:rFonts w:cs="宋体" w:asciiTheme="minorEastAsia" w:hAnsiTheme="minorEastAsia" w:eastAsiaTheme="minorEastAsia"/>
                <w:szCs w:val="21"/>
                <w:u w:val="single"/>
              </w:rPr>
              <w:t xml:space="preserve">       </w:t>
            </w:r>
          </w:p>
        </w:tc>
      </w:tr>
      <w:tr w14:paraId="4417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75" w:type="dxa"/>
            <w:vMerge w:val="continue"/>
            <w:vAlign w:val="center"/>
          </w:tcPr>
          <w:p w14:paraId="79C74274">
            <w:pPr>
              <w:pStyle w:val="299"/>
              <w:spacing w:line="400" w:lineRule="exact"/>
              <w:jc w:val="center"/>
              <w:rPr>
                <w:rFonts w:ascii="宋体" w:hAnsi="宋体" w:cs="宋体"/>
                <w:szCs w:val="21"/>
              </w:rPr>
            </w:pPr>
          </w:p>
        </w:tc>
        <w:tc>
          <w:tcPr>
            <w:tcW w:w="1430" w:type="dxa"/>
            <w:gridSpan w:val="2"/>
            <w:vMerge w:val="continue"/>
            <w:vAlign w:val="center"/>
          </w:tcPr>
          <w:p w14:paraId="716974F9">
            <w:pPr>
              <w:pStyle w:val="299"/>
              <w:spacing w:line="400" w:lineRule="exact"/>
              <w:jc w:val="center"/>
              <w:rPr>
                <w:rFonts w:ascii="宋体" w:hAnsi="宋体" w:cs="宋体"/>
                <w:szCs w:val="21"/>
              </w:rPr>
            </w:pPr>
          </w:p>
        </w:tc>
        <w:tc>
          <w:tcPr>
            <w:tcW w:w="851" w:type="dxa"/>
            <w:vMerge w:val="continue"/>
            <w:vAlign w:val="center"/>
          </w:tcPr>
          <w:p w14:paraId="23297395">
            <w:pPr>
              <w:pStyle w:val="299"/>
              <w:spacing w:line="400" w:lineRule="exact"/>
              <w:rPr>
                <w:rFonts w:ascii="宋体" w:hAnsi="宋体" w:cs="宋体"/>
                <w:szCs w:val="21"/>
              </w:rPr>
            </w:pPr>
          </w:p>
        </w:tc>
        <w:tc>
          <w:tcPr>
            <w:tcW w:w="850" w:type="dxa"/>
            <w:vMerge w:val="continue"/>
            <w:vAlign w:val="center"/>
          </w:tcPr>
          <w:p w14:paraId="0D088606">
            <w:pPr>
              <w:pStyle w:val="299"/>
              <w:adjustRightInd w:val="0"/>
              <w:snapToGrid w:val="0"/>
              <w:spacing w:line="400" w:lineRule="exact"/>
              <w:rPr>
                <w:rFonts w:cs="宋体" w:asciiTheme="minorEastAsia" w:hAnsiTheme="minorEastAsia" w:eastAsiaTheme="minorEastAsia"/>
                <w:szCs w:val="21"/>
              </w:rPr>
            </w:pPr>
          </w:p>
        </w:tc>
        <w:tc>
          <w:tcPr>
            <w:tcW w:w="488" w:type="dxa"/>
            <w:vAlign w:val="center"/>
          </w:tcPr>
          <w:p w14:paraId="2F803E9C">
            <w:pPr>
              <w:pStyle w:val="299"/>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c>
          <w:tcPr>
            <w:tcW w:w="709" w:type="dxa"/>
            <w:vAlign w:val="center"/>
          </w:tcPr>
          <w:p w14:paraId="7402D7E1">
            <w:pPr>
              <w:pStyle w:val="299"/>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594" w:type="dxa"/>
            <w:vAlign w:val="center"/>
          </w:tcPr>
          <w:p w14:paraId="7610F276">
            <w:pPr>
              <w:widowControl/>
              <w:adjustRightInd w:val="0"/>
              <w:snapToGrid w:val="0"/>
              <w:spacing w:line="380" w:lineRule="exact"/>
              <w:jc w:val="left"/>
              <w:rPr>
                <w:rFonts w:cs="宋体" w:asciiTheme="minorEastAsia" w:hAnsiTheme="minorEastAsia" w:eastAsiaTheme="minorEastAsia"/>
                <w:kern w:val="0"/>
                <w:szCs w:val="21"/>
              </w:rPr>
            </w:pPr>
            <w:r>
              <w:rPr>
                <w:rFonts w:cs="宋体" w:asciiTheme="minorEastAsia" w:hAnsiTheme="minorEastAsia" w:eastAsiaTheme="minorEastAsia"/>
                <w:szCs w:val="21"/>
                <w:u w:val="single"/>
              </w:rPr>
              <w:t xml:space="preserve">       </w:t>
            </w:r>
          </w:p>
        </w:tc>
      </w:tr>
      <w:tr w14:paraId="0C63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42D20F2C">
            <w:pPr>
              <w:pStyle w:val="299"/>
              <w:spacing w:line="400" w:lineRule="exact"/>
              <w:jc w:val="center"/>
              <w:rPr>
                <w:rFonts w:ascii="宋体" w:hAnsi="宋体" w:cs="宋体"/>
                <w:szCs w:val="21"/>
              </w:rPr>
            </w:pPr>
          </w:p>
        </w:tc>
        <w:tc>
          <w:tcPr>
            <w:tcW w:w="1430" w:type="dxa"/>
            <w:gridSpan w:val="2"/>
            <w:vMerge w:val="continue"/>
            <w:vAlign w:val="center"/>
          </w:tcPr>
          <w:p w14:paraId="2631972E">
            <w:pPr>
              <w:pStyle w:val="299"/>
              <w:spacing w:line="400" w:lineRule="exact"/>
              <w:jc w:val="center"/>
              <w:rPr>
                <w:rFonts w:ascii="宋体" w:hAnsi="宋体" w:cs="宋体"/>
                <w:szCs w:val="21"/>
              </w:rPr>
            </w:pPr>
          </w:p>
        </w:tc>
        <w:tc>
          <w:tcPr>
            <w:tcW w:w="851" w:type="dxa"/>
            <w:vMerge w:val="continue"/>
            <w:vAlign w:val="center"/>
          </w:tcPr>
          <w:p w14:paraId="48A66EC8">
            <w:pPr>
              <w:pStyle w:val="299"/>
              <w:spacing w:line="400" w:lineRule="exact"/>
              <w:rPr>
                <w:rFonts w:ascii="宋体" w:hAnsi="宋体" w:cs="宋体"/>
                <w:szCs w:val="21"/>
              </w:rPr>
            </w:pPr>
          </w:p>
        </w:tc>
        <w:tc>
          <w:tcPr>
            <w:tcW w:w="850" w:type="dxa"/>
            <w:vMerge w:val="continue"/>
            <w:vAlign w:val="center"/>
          </w:tcPr>
          <w:p w14:paraId="2361FB7C">
            <w:pPr>
              <w:pStyle w:val="299"/>
              <w:adjustRightInd w:val="0"/>
              <w:snapToGrid w:val="0"/>
              <w:spacing w:line="400" w:lineRule="exact"/>
              <w:rPr>
                <w:rFonts w:cs="宋体" w:asciiTheme="minorEastAsia" w:hAnsiTheme="minorEastAsia" w:eastAsiaTheme="minorEastAsia"/>
                <w:szCs w:val="21"/>
              </w:rPr>
            </w:pPr>
          </w:p>
        </w:tc>
        <w:tc>
          <w:tcPr>
            <w:tcW w:w="488" w:type="dxa"/>
            <w:vAlign w:val="center"/>
          </w:tcPr>
          <w:p w14:paraId="5B1812D9">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709" w:type="dxa"/>
            <w:vAlign w:val="center"/>
          </w:tcPr>
          <w:p w14:paraId="4B99A3E2">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w:t>
            </w:r>
          </w:p>
        </w:tc>
        <w:tc>
          <w:tcPr>
            <w:tcW w:w="3594" w:type="dxa"/>
            <w:vAlign w:val="center"/>
          </w:tcPr>
          <w:p w14:paraId="04F2D1C9">
            <w:pPr>
              <w:widowControl/>
              <w:adjustRightInd w:val="0"/>
              <w:snapToGrid w:val="0"/>
              <w:spacing w:line="3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p>
        </w:tc>
      </w:tr>
      <w:tr w14:paraId="71C6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8"/>
            <w:vAlign w:val="center"/>
          </w:tcPr>
          <w:p w14:paraId="7A9A9AA0">
            <w:pPr>
              <w:widowControl/>
              <w:adjustRightInd w:val="0"/>
              <w:snapToGrid w:val="0"/>
              <w:spacing w:line="380" w:lineRule="exact"/>
              <w:jc w:val="left"/>
              <w:rPr>
                <w:rFonts w:hint="eastAsia" w:cs="宋体" w:asciiTheme="minorEastAsia" w:hAnsiTheme="minorEastAsia" w:eastAsiaTheme="minorEastAsia"/>
                <w:szCs w:val="21"/>
              </w:rPr>
            </w:pPr>
            <w:r>
              <w:rPr>
                <w:rFonts w:hint="eastAsia" w:ascii="宋体" w:hAnsi="宋体" w:cs="宋体"/>
                <w:lang w:val="en-US" w:eastAsia="zh-CN"/>
              </w:rPr>
              <w:t>注：</w:t>
            </w:r>
            <w:r>
              <w:rPr>
                <w:rFonts w:hint="eastAsia" w:ascii="宋体" w:hAnsi="宋体" w:cs="宋体"/>
              </w:rPr>
              <w:t>主要人员得分为各人员得分合计，即：</w:t>
            </w:r>
            <w:r>
              <w:rPr>
                <w:rFonts w:ascii="宋体" w:hAnsi="宋体" w:cs="宋体"/>
              </w:rPr>
              <w:t>B=B</w:t>
            </w:r>
            <w:r>
              <w:rPr>
                <w:rFonts w:ascii="宋体" w:hAnsi="宋体" w:cs="宋体"/>
                <w:vertAlign w:val="subscript"/>
              </w:rPr>
              <w:t>1</w:t>
            </w:r>
            <w:r>
              <w:rPr>
                <w:rFonts w:ascii="宋体" w:hAnsi="宋体" w:cs="宋体"/>
              </w:rPr>
              <w:t>+B</w:t>
            </w:r>
            <w:r>
              <w:rPr>
                <w:rFonts w:ascii="宋体" w:hAnsi="宋体" w:cs="宋体"/>
                <w:vertAlign w:val="subscript"/>
              </w:rPr>
              <w:t>2</w:t>
            </w:r>
            <w:r>
              <w:rPr>
                <w:rFonts w:ascii="宋体" w:hAnsi="宋体" w:cs="宋体"/>
              </w:rPr>
              <w:t>+B</w:t>
            </w:r>
            <w:r>
              <w:rPr>
                <w:rFonts w:ascii="宋体" w:hAnsi="宋体" w:cs="宋体"/>
                <w:vertAlign w:val="subscript"/>
              </w:rPr>
              <w:t>3</w:t>
            </w:r>
            <w:r>
              <w:rPr>
                <w:rFonts w:ascii="宋体" w:hAnsi="宋体" w:cs="宋体"/>
              </w:rPr>
              <w:t>+</w:t>
            </w:r>
            <w:r>
              <w:rPr>
                <w:rFonts w:hint="eastAsia" w:ascii="宋体" w:hAnsi="宋体" w:cs="宋体"/>
              </w:rPr>
              <w:t>…。</w:t>
            </w:r>
          </w:p>
        </w:tc>
      </w:tr>
      <w:tr w14:paraId="76B0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75" w:type="dxa"/>
            <w:vMerge w:val="restart"/>
            <w:vAlign w:val="center"/>
          </w:tcPr>
          <w:p w14:paraId="2C43E0B3">
            <w:pPr>
              <w:pStyle w:val="299"/>
              <w:spacing w:line="400" w:lineRule="exact"/>
              <w:jc w:val="center"/>
              <w:rPr>
                <w:rFonts w:ascii="宋体" w:hAnsi="宋体" w:cs="宋体"/>
                <w:szCs w:val="21"/>
              </w:rPr>
            </w:pPr>
          </w:p>
          <w:p w14:paraId="7D2BB15C">
            <w:pPr>
              <w:pStyle w:val="299"/>
              <w:spacing w:line="400" w:lineRule="exact"/>
              <w:jc w:val="center"/>
              <w:rPr>
                <w:rFonts w:ascii="宋体" w:hAnsi="宋体" w:cs="宋体"/>
                <w:szCs w:val="21"/>
              </w:rPr>
            </w:pPr>
            <w:r>
              <w:rPr>
                <w:rFonts w:ascii="宋体" w:hAnsi="宋体" w:cs="宋体"/>
                <w:szCs w:val="21"/>
              </w:rPr>
              <w:t>2.2.2</w:t>
            </w:r>
            <w:r>
              <w:rPr>
                <w:rFonts w:hint="eastAsia" w:ascii="宋体" w:hAnsi="宋体" w:cs="宋体"/>
                <w:szCs w:val="21"/>
              </w:rPr>
              <w:t>（</w:t>
            </w:r>
            <w:r>
              <w:rPr>
                <w:rFonts w:ascii="宋体" w:hAnsi="宋体" w:cs="宋体"/>
                <w:szCs w:val="21"/>
              </w:rPr>
              <w:t>3</w:t>
            </w:r>
            <w:r>
              <w:rPr>
                <w:rFonts w:hint="eastAsia" w:ascii="宋体" w:hAnsi="宋体" w:cs="宋体"/>
                <w:szCs w:val="21"/>
              </w:rPr>
              <w:t>）</w:t>
            </w:r>
          </w:p>
        </w:tc>
        <w:tc>
          <w:tcPr>
            <w:tcW w:w="557" w:type="dxa"/>
            <w:vMerge w:val="restart"/>
            <w:vAlign w:val="center"/>
          </w:tcPr>
          <w:p w14:paraId="2FF18D20">
            <w:pPr>
              <w:pStyle w:val="299"/>
              <w:spacing w:line="400" w:lineRule="exact"/>
              <w:jc w:val="center"/>
              <w:rPr>
                <w:rFonts w:hint="eastAsia" w:ascii="宋体" w:hAnsi="宋体" w:cs="宋体"/>
                <w:szCs w:val="21"/>
              </w:rPr>
            </w:pPr>
          </w:p>
          <w:p w14:paraId="538872C4">
            <w:pPr>
              <w:pStyle w:val="299"/>
              <w:spacing w:line="400" w:lineRule="exact"/>
              <w:jc w:val="center"/>
              <w:rPr>
                <w:rFonts w:ascii="宋体" w:hAnsi="宋体" w:cs="宋体"/>
                <w:szCs w:val="21"/>
              </w:rPr>
            </w:pPr>
            <w:r>
              <w:rPr>
                <w:rFonts w:hint="eastAsia" w:ascii="宋体" w:hAnsi="宋体" w:cs="宋体"/>
                <w:szCs w:val="21"/>
              </w:rPr>
              <w:t>其他因素</w:t>
            </w:r>
            <w:r>
              <w:rPr>
                <w:rFonts w:ascii="宋体" w:hAnsi="宋体" w:cs="宋体"/>
                <w:szCs w:val="21"/>
              </w:rPr>
              <w:t>D</w:t>
            </w:r>
          </w:p>
        </w:tc>
        <w:tc>
          <w:tcPr>
            <w:tcW w:w="873" w:type="dxa"/>
            <w:vMerge w:val="restart"/>
            <w:vAlign w:val="center"/>
          </w:tcPr>
          <w:p w14:paraId="4549CCA8">
            <w:pPr>
              <w:pStyle w:val="299"/>
              <w:spacing w:line="400" w:lineRule="exact"/>
              <w:jc w:val="center"/>
              <w:rPr>
                <w:rFonts w:ascii="宋体" w:hAnsi="宋体" w:cs="宋体"/>
                <w:szCs w:val="21"/>
              </w:rPr>
            </w:pPr>
            <w:r>
              <w:rPr>
                <w:rFonts w:hint="eastAsia" w:ascii="宋体" w:hAnsi="宋体" w:cs="宋体"/>
                <w:b/>
                <w:szCs w:val="21"/>
              </w:rPr>
              <w:sym w:font="Wingdings 2" w:char="00A3"/>
            </w:r>
            <w:r>
              <w:rPr>
                <w:rFonts w:hint="eastAsia" w:ascii="宋体" w:hAnsi="宋体" w:cs="宋体"/>
                <w:szCs w:val="21"/>
              </w:rPr>
              <w:t>技术</w:t>
            </w:r>
          </w:p>
          <w:p w14:paraId="1E031BB0">
            <w:pPr>
              <w:pStyle w:val="299"/>
              <w:spacing w:line="400" w:lineRule="exact"/>
              <w:jc w:val="center"/>
              <w:rPr>
                <w:rFonts w:ascii="宋体" w:hAnsi="宋体" w:cs="宋体"/>
                <w:szCs w:val="21"/>
              </w:rPr>
            </w:pPr>
            <w:r>
              <w:rPr>
                <w:rFonts w:hint="eastAsia" w:ascii="宋体" w:hAnsi="宋体" w:cs="宋体"/>
                <w:szCs w:val="21"/>
              </w:rPr>
              <w:t>能力</w:t>
            </w:r>
            <w:r>
              <w:rPr>
                <w:rFonts w:ascii="宋体" w:hAnsi="宋体" w:cs="宋体"/>
                <w:szCs w:val="21"/>
              </w:rPr>
              <w:t>G</w:t>
            </w:r>
          </w:p>
        </w:tc>
        <w:tc>
          <w:tcPr>
            <w:tcW w:w="851" w:type="dxa"/>
            <w:vMerge w:val="restart"/>
            <w:vAlign w:val="center"/>
          </w:tcPr>
          <w:p w14:paraId="3B5C9D69">
            <w:pPr>
              <w:pStyle w:val="299"/>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p w14:paraId="186CF08A">
            <w:pPr>
              <w:pStyle w:val="299"/>
              <w:spacing w:line="480" w:lineRule="exact"/>
              <w:ind w:left="0" w:firstLine="0" w:firstLineChars="0"/>
              <w:rPr>
                <w:rFonts w:ascii="宋体" w:hAnsi="宋体" w:cs="宋体"/>
                <w:szCs w:val="21"/>
                <w:u w:val="single"/>
              </w:rPr>
            </w:pPr>
          </w:p>
        </w:tc>
        <w:tc>
          <w:tcPr>
            <w:tcW w:w="1338" w:type="dxa"/>
            <w:gridSpan w:val="2"/>
            <w:vAlign w:val="center"/>
          </w:tcPr>
          <w:p w14:paraId="4FB8ED0A">
            <w:pPr>
              <w:pStyle w:val="299"/>
              <w:spacing w:line="400" w:lineRule="exact"/>
              <w:jc w:val="left"/>
              <w:rPr>
                <w:rFonts w:ascii="宋体" w:hAnsi="宋体" w:cs="宋体"/>
                <w:szCs w:val="21"/>
              </w:rPr>
            </w:pPr>
            <w:r>
              <w:rPr>
                <w:rFonts w:ascii="宋体" w:hAnsi="宋体" w:cs="宋体"/>
                <w:szCs w:val="21"/>
                <w:u w:val="single"/>
              </w:rPr>
              <w:t xml:space="preserve">      </w:t>
            </w:r>
          </w:p>
        </w:tc>
        <w:tc>
          <w:tcPr>
            <w:tcW w:w="709" w:type="dxa"/>
            <w:vAlign w:val="center"/>
          </w:tcPr>
          <w:p w14:paraId="6CE84373">
            <w:pPr>
              <w:pStyle w:val="299"/>
              <w:spacing w:line="400" w:lineRule="exact"/>
              <w:jc w:val="center"/>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2BBCE3D3">
            <w:pPr>
              <w:pStyle w:val="299"/>
              <w:spacing w:line="400" w:lineRule="exact"/>
              <w:jc w:val="left"/>
              <w:rPr>
                <w:rFonts w:ascii="宋体" w:hAnsi="宋体" w:cs="宋体"/>
                <w:szCs w:val="21"/>
              </w:rPr>
            </w:pPr>
            <w:r>
              <w:rPr>
                <w:rFonts w:ascii="宋体" w:hAnsi="宋体" w:cs="宋体"/>
                <w:szCs w:val="21"/>
                <w:u w:val="single"/>
              </w:rPr>
              <w:t xml:space="preserve">       </w:t>
            </w:r>
          </w:p>
        </w:tc>
      </w:tr>
      <w:tr w14:paraId="58EA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5" w:type="dxa"/>
            <w:vMerge w:val="continue"/>
            <w:vAlign w:val="center"/>
          </w:tcPr>
          <w:p w14:paraId="729CE953">
            <w:pPr>
              <w:pStyle w:val="299"/>
              <w:spacing w:line="400" w:lineRule="exact"/>
              <w:jc w:val="center"/>
              <w:rPr>
                <w:rFonts w:ascii="宋体" w:hAnsi="宋体" w:cs="宋体"/>
                <w:szCs w:val="21"/>
              </w:rPr>
            </w:pPr>
          </w:p>
        </w:tc>
        <w:tc>
          <w:tcPr>
            <w:tcW w:w="557" w:type="dxa"/>
            <w:vMerge w:val="continue"/>
            <w:vAlign w:val="center"/>
          </w:tcPr>
          <w:p w14:paraId="77D1664B">
            <w:pPr>
              <w:pStyle w:val="299"/>
              <w:spacing w:line="400" w:lineRule="exact"/>
              <w:jc w:val="center"/>
              <w:rPr>
                <w:rFonts w:ascii="宋体" w:hAnsi="宋体" w:cs="宋体"/>
                <w:szCs w:val="21"/>
              </w:rPr>
            </w:pPr>
          </w:p>
        </w:tc>
        <w:tc>
          <w:tcPr>
            <w:tcW w:w="873" w:type="dxa"/>
            <w:vMerge w:val="continue"/>
            <w:vAlign w:val="center"/>
          </w:tcPr>
          <w:p w14:paraId="33F5D36A">
            <w:pPr>
              <w:pStyle w:val="299"/>
              <w:spacing w:line="400" w:lineRule="exact"/>
              <w:jc w:val="center"/>
              <w:rPr>
                <w:rFonts w:ascii="宋体" w:hAnsi="宋体" w:cs="宋体"/>
                <w:szCs w:val="21"/>
              </w:rPr>
            </w:pPr>
          </w:p>
        </w:tc>
        <w:tc>
          <w:tcPr>
            <w:tcW w:w="851" w:type="dxa"/>
            <w:vMerge w:val="continue"/>
            <w:vAlign w:val="center"/>
          </w:tcPr>
          <w:p w14:paraId="4B4009E4">
            <w:pPr>
              <w:pStyle w:val="299"/>
              <w:spacing w:line="400" w:lineRule="exact"/>
              <w:rPr>
                <w:rFonts w:ascii="宋体" w:hAnsi="宋体" w:cs="宋体"/>
                <w:szCs w:val="21"/>
              </w:rPr>
            </w:pPr>
          </w:p>
        </w:tc>
        <w:tc>
          <w:tcPr>
            <w:tcW w:w="1338" w:type="dxa"/>
            <w:gridSpan w:val="2"/>
            <w:vAlign w:val="center"/>
          </w:tcPr>
          <w:p w14:paraId="58EBACD9">
            <w:pPr>
              <w:pStyle w:val="299"/>
              <w:spacing w:line="400" w:lineRule="exact"/>
              <w:jc w:val="left"/>
              <w:rPr>
                <w:rFonts w:ascii="宋体" w:hAnsi="宋体" w:cs="宋体"/>
                <w:b/>
                <w:szCs w:val="21"/>
              </w:rPr>
            </w:pPr>
            <w:r>
              <w:rPr>
                <w:rFonts w:ascii="宋体" w:hAnsi="宋体" w:cs="宋体"/>
                <w:szCs w:val="21"/>
                <w:u w:val="single"/>
              </w:rPr>
              <w:t xml:space="preserve">      </w:t>
            </w:r>
          </w:p>
        </w:tc>
        <w:tc>
          <w:tcPr>
            <w:tcW w:w="709" w:type="dxa"/>
            <w:vAlign w:val="center"/>
          </w:tcPr>
          <w:p w14:paraId="1745D351">
            <w:pPr>
              <w:pStyle w:val="299"/>
              <w:spacing w:line="400" w:lineRule="exact"/>
              <w:ind w:left="0" w:firstLine="0" w:firstLineChars="0"/>
              <w:jc w:val="center"/>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2C58125E">
            <w:pPr>
              <w:pStyle w:val="299"/>
              <w:spacing w:line="400" w:lineRule="exact"/>
              <w:jc w:val="left"/>
              <w:rPr>
                <w:rFonts w:ascii="宋体" w:hAnsi="宋体" w:cs="宋体"/>
                <w:kern w:val="0"/>
                <w:szCs w:val="21"/>
              </w:rPr>
            </w:pPr>
            <w:r>
              <w:rPr>
                <w:rFonts w:ascii="宋体" w:hAnsi="宋体" w:cs="宋体"/>
                <w:szCs w:val="21"/>
                <w:u w:val="single"/>
              </w:rPr>
              <w:t xml:space="preserve">       </w:t>
            </w:r>
          </w:p>
        </w:tc>
      </w:tr>
      <w:tr w14:paraId="6A03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248CFE1A">
            <w:pPr>
              <w:pStyle w:val="299"/>
              <w:spacing w:line="400" w:lineRule="exact"/>
              <w:jc w:val="center"/>
              <w:rPr>
                <w:rFonts w:ascii="宋体" w:hAnsi="宋体" w:cs="宋体"/>
                <w:szCs w:val="21"/>
              </w:rPr>
            </w:pPr>
          </w:p>
        </w:tc>
        <w:tc>
          <w:tcPr>
            <w:tcW w:w="557" w:type="dxa"/>
            <w:vMerge w:val="continue"/>
            <w:vAlign w:val="center"/>
          </w:tcPr>
          <w:p w14:paraId="23920455">
            <w:pPr>
              <w:pStyle w:val="299"/>
              <w:spacing w:line="400" w:lineRule="exact"/>
              <w:jc w:val="center"/>
              <w:rPr>
                <w:rFonts w:ascii="宋体" w:hAnsi="宋体" w:cs="宋体"/>
                <w:szCs w:val="21"/>
              </w:rPr>
            </w:pPr>
          </w:p>
        </w:tc>
        <w:tc>
          <w:tcPr>
            <w:tcW w:w="873" w:type="dxa"/>
            <w:vMerge w:val="restart"/>
            <w:vAlign w:val="center"/>
          </w:tcPr>
          <w:p w14:paraId="45DE6337">
            <w:pPr>
              <w:pStyle w:val="299"/>
              <w:spacing w:line="400" w:lineRule="exact"/>
              <w:jc w:val="center"/>
              <w:rPr>
                <w:rFonts w:ascii="宋体" w:hAnsi="宋体" w:cs="宋体"/>
                <w:szCs w:val="21"/>
              </w:rPr>
            </w:pPr>
            <w:r>
              <w:rPr>
                <w:rFonts w:hint="eastAsia" w:ascii="宋体" w:hAnsi="宋体" w:cs="宋体"/>
                <w:szCs w:val="21"/>
              </w:rPr>
              <w:t>业绩</w:t>
            </w:r>
            <w:r>
              <w:rPr>
                <w:rFonts w:ascii="宋体" w:hAnsi="宋体" w:cs="宋体"/>
                <w:szCs w:val="21"/>
              </w:rPr>
              <w:t>C</w:t>
            </w:r>
          </w:p>
        </w:tc>
        <w:tc>
          <w:tcPr>
            <w:tcW w:w="851" w:type="dxa"/>
            <w:vMerge w:val="restart"/>
            <w:vAlign w:val="center"/>
          </w:tcPr>
          <w:p w14:paraId="47D0FAC9">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shd w:val="clear" w:color="auto" w:fill="auto"/>
            <w:vAlign w:val="center"/>
          </w:tcPr>
          <w:p w14:paraId="4FA4E111">
            <w:pPr>
              <w:pStyle w:val="299"/>
              <w:spacing w:line="400" w:lineRule="exact"/>
              <w:jc w:val="left"/>
              <w:rPr>
                <w:rFonts w:hint="eastAsia" w:ascii="宋体" w:hAnsi="宋体" w:eastAsia="宋体" w:cs="宋体"/>
                <w:b/>
                <w:kern w:val="2"/>
                <w:sz w:val="21"/>
                <w:szCs w:val="21"/>
                <w:lang w:val="en-US" w:eastAsia="zh-CN" w:bidi="ar-SA"/>
              </w:rPr>
            </w:pPr>
            <w:r>
              <w:rPr>
                <w:rFonts w:hint="eastAsia" w:ascii="宋体" w:hAnsi="宋体" w:cs="宋体"/>
                <w:b/>
                <w:szCs w:val="21"/>
              </w:rPr>
              <w:t>（</w:t>
            </w:r>
            <w:r>
              <w:rPr>
                <w:rFonts w:ascii="宋体" w:hAnsi="宋体" w:cs="宋体"/>
                <w:b/>
                <w:szCs w:val="21"/>
              </w:rPr>
              <w:t>1）业绩基本要求C</w:t>
            </w:r>
            <w:r>
              <w:rPr>
                <w:rFonts w:ascii="宋体" w:hAnsi="宋体" w:cs="宋体"/>
                <w:b/>
                <w:szCs w:val="21"/>
                <w:vertAlign w:val="subscript"/>
              </w:rPr>
              <w:t>0</w:t>
            </w:r>
          </w:p>
        </w:tc>
        <w:tc>
          <w:tcPr>
            <w:tcW w:w="709" w:type="dxa"/>
            <w:shd w:val="clear" w:color="auto" w:fill="auto"/>
            <w:vAlign w:val="center"/>
          </w:tcPr>
          <w:p w14:paraId="5EAAC071">
            <w:pPr>
              <w:pStyle w:val="299"/>
              <w:spacing w:line="480" w:lineRule="exact"/>
              <w:ind w:left="105" w:leftChars="0" w:hanging="105" w:hangingChars="50"/>
              <w:rPr>
                <w:rFonts w:ascii="宋体" w:hAnsi="宋体" w:eastAsia="宋体" w:cs="宋体"/>
                <w:kern w:val="2"/>
                <w:sz w:val="21"/>
                <w:szCs w:val="21"/>
                <w:u w:val="single"/>
                <w:lang w:val="en-US" w:eastAsia="zh-CN" w:bidi="ar-SA"/>
              </w:rPr>
            </w:pPr>
            <w:r>
              <w:rPr>
                <w:rFonts w:ascii="宋体" w:hAnsi="宋体" w:cs="宋体"/>
                <w:szCs w:val="21"/>
                <w:u w:val="single"/>
              </w:rPr>
              <w:t xml:space="preserve">  </w:t>
            </w:r>
            <w:r>
              <w:rPr>
                <w:rFonts w:hint="eastAsia" w:ascii="宋体" w:hAnsi="宋体" w:cs="宋体"/>
                <w:szCs w:val="21"/>
              </w:rPr>
              <w:t>分</w:t>
            </w:r>
          </w:p>
        </w:tc>
        <w:tc>
          <w:tcPr>
            <w:tcW w:w="3594" w:type="dxa"/>
            <w:shd w:val="clear" w:color="auto" w:fill="auto"/>
            <w:vAlign w:val="center"/>
          </w:tcPr>
          <w:p w14:paraId="06911CE6">
            <w:pPr>
              <w:pStyle w:val="299"/>
              <w:spacing w:line="38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1）满足资格审查条件最低要求得</w:t>
            </w:r>
          </w:p>
          <w:p w14:paraId="36BA3A85">
            <w:pPr>
              <w:pStyle w:val="299"/>
              <w:spacing w:line="380" w:lineRule="exact"/>
              <w:rPr>
                <w:rFonts w:hint="eastAsia" w:ascii="宋体" w:hAnsi="宋体" w:eastAsia="宋体" w:cs="宋体"/>
                <w:kern w:val="0"/>
                <w:sz w:val="21"/>
                <w:szCs w:val="21"/>
                <w:lang w:val="en-US" w:eastAsia="zh-CN" w:bidi="ar-SA"/>
              </w:rPr>
            </w:pPr>
            <w:r>
              <w:rPr>
                <w:rFonts w:ascii="宋体" w:hAnsi="宋体" w:cs="宋体"/>
                <w:szCs w:val="21"/>
                <w:u w:val="single"/>
              </w:rPr>
              <w:t xml:space="preserve">    </w:t>
            </w:r>
            <w:r>
              <w:rPr>
                <w:rFonts w:hint="eastAsia" w:ascii="宋体" w:hAnsi="宋体" w:cs="宋体"/>
                <w:kern w:val="0"/>
                <w:szCs w:val="21"/>
              </w:rPr>
              <w:t>分；</w:t>
            </w:r>
          </w:p>
        </w:tc>
      </w:tr>
      <w:tr w14:paraId="70EA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58F552EB">
            <w:pPr>
              <w:pStyle w:val="299"/>
              <w:spacing w:line="400" w:lineRule="exact"/>
              <w:jc w:val="center"/>
              <w:rPr>
                <w:rFonts w:ascii="宋体" w:hAnsi="宋体" w:cs="宋体"/>
                <w:szCs w:val="21"/>
              </w:rPr>
            </w:pPr>
          </w:p>
        </w:tc>
        <w:tc>
          <w:tcPr>
            <w:tcW w:w="557" w:type="dxa"/>
            <w:vMerge w:val="continue"/>
            <w:vAlign w:val="center"/>
          </w:tcPr>
          <w:p w14:paraId="13C1A894">
            <w:pPr>
              <w:pStyle w:val="299"/>
              <w:spacing w:line="400" w:lineRule="exact"/>
              <w:jc w:val="center"/>
              <w:rPr>
                <w:rFonts w:ascii="宋体" w:hAnsi="宋体" w:cs="宋体"/>
                <w:szCs w:val="21"/>
              </w:rPr>
            </w:pPr>
          </w:p>
        </w:tc>
        <w:tc>
          <w:tcPr>
            <w:tcW w:w="873" w:type="dxa"/>
            <w:vMerge w:val="continue"/>
            <w:vAlign w:val="center"/>
          </w:tcPr>
          <w:p w14:paraId="470E1B87">
            <w:pPr>
              <w:pStyle w:val="299"/>
              <w:spacing w:line="400" w:lineRule="exact"/>
              <w:jc w:val="center"/>
              <w:rPr>
                <w:rFonts w:ascii="宋体" w:hAnsi="宋体" w:cs="宋体"/>
                <w:szCs w:val="21"/>
              </w:rPr>
            </w:pPr>
          </w:p>
        </w:tc>
        <w:tc>
          <w:tcPr>
            <w:tcW w:w="851" w:type="dxa"/>
            <w:vMerge w:val="continue"/>
            <w:vAlign w:val="center"/>
          </w:tcPr>
          <w:p w14:paraId="6D942B6F">
            <w:pPr>
              <w:pStyle w:val="299"/>
              <w:spacing w:line="400" w:lineRule="exact"/>
              <w:rPr>
                <w:rFonts w:ascii="宋体" w:hAnsi="宋体" w:cs="宋体"/>
                <w:szCs w:val="21"/>
              </w:rPr>
            </w:pPr>
          </w:p>
        </w:tc>
        <w:tc>
          <w:tcPr>
            <w:tcW w:w="1338" w:type="dxa"/>
            <w:gridSpan w:val="2"/>
            <w:vAlign w:val="center"/>
          </w:tcPr>
          <w:p w14:paraId="042F4FCA">
            <w:pPr>
              <w:pStyle w:val="299"/>
              <w:spacing w:line="400" w:lineRule="exact"/>
              <w:jc w:val="left"/>
              <w:rPr>
                <w:rFonts w:ascii="宋体" w:hAnsi="宋体" w:cs="宋体"/>
                <w:b/>
                <w:szCs w:val="21"/>
              </w:rPr>
            </w:pPr>
            <w:r>
              <w:rPr>
                <w:rFonts w:hint="eastAsia" w:ascii="宋体" w:hAnsi="宋体"/>
                <w:b/>
                <w:bCs/>
                <w:kern w:val="0"/>
                <w:szCs w:val="21"/>
              </w:rPr>
              <w:t>□</w:t>
            </w:r>
            <w:r>
              <w:rPr>
                <w:rFonts w:hint="eastAsia" w:ascii="宋体" w:hAnsi="宋体"/>
                <w:kern w:val="0"/>
                <w:szCs w:val="21"/>
              </w:rPr>
              <w:t>（2）勘察设计业绩</w:t>
            </w:r>
            <w:r>
              <w:rPr>
                <w:rFonts w:hint="eastAsia" w:ascii="宋体" w:hAnsi="宋体"/>
                <w:kern w:val="0"/>
                <w:szCs w:val="21"/>
                <w:u w:val="none"/>
              </w:rPr>
              <w:t>C</w:t>
            </w:r>
            <w:r>
              <w:rPr>
                <w:rFonts w:hint="eastAsia" w:ascii="宋体" w:hAnsi="宋体"/>
                <w:kern w:val="0"/>
                <w:szCs w:val="21"/>
                <w:u w:val="none"/>
                <w:vertAlign w:val="subscript"/>
              </w:rPr>
              <w:t>1</w:t>
            </w:r>
          </w:p>
        </w:tc>
        <w:tc>
          <w:tcPr>
            <w:tcW w:w="709" w:type="dxa"/>
            <w:vAlign w:val="center"/>
          </w:tcPr>
          <w:p w14:paraId="4A8CC1CE">
            <w:pPr>
              <w:pStyle w:val="299"/>
              <w:spacing w:line="480" w:lineRule="exact"/>
              <w:ind w:left="105" w:hanging="105" w:hangingChars="50"/>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217D1B7F">
            <w:pPr>
              <w:widowControl/>
              <w:adjustRightInd w:val="0"/>
              <w:snapToGrid w:val="0"/>
              <w:spacing w:line="400" w:lineRule="exact"/>
              <w:rPr>
                <w:rFonts w:ascii="宋体" w:hAnsi="宋体" w:cs="宋体"/>
                <w:kern w:val="0"/>
                <w:szCs w:val="21"/>
              </w:rPr>
            </w:pPr>
            <w:r>
              <w:rPr>
                <w:rFonts w:hint="eastAsia" w:ascii="宋体" w:hAnsi="宋体"/>
                <w:kern w:val="0"/>
                <w:szCs w:val="21"/>
              </w:rPr>
              <w:t>（2）</w:t>
            </w:r>
            <w:r>
              <w:rPr>
                <w:rFonts w:ascii="宋体" w:hAnsi="宋体" w:cs="宋体"/>
                <w:kern w:val="0"/>
                <w:szCs w:val="21"/>
              </w:rPr>
              <w:t>扣除满足资格审查条件完成数量后：</w:t>
            </w:r>
          </w:p>
          <w:p w14:paraId="14F46848">
            <w:pPr>
              <w:widowControl/>
              <w:adjustRightInd w:val="0"/>
              <w:snapToGrid w:val="0"/>
              <w:spacing w:line="400" w:lineRule="exact"/>
              <w:ind w:firstLine="210" w:firstLineChars="100"/>
              <w:rPr>
                <w:rFonts w:ascii="宋体" w:hAnsi="宋体"/>
                <w:kern w:val="0"/>
                <w:szCs w:val="21"/>
              </w:rPr>
            </w:pPr>
            <w:r>
              <w:rPr>
                <w:rFonts w:hint="eastAsia" w:ascii="宋体" w:hAnsi="宋体"/>
                <w:kern w:val="0"/>
                <w:szCs w:val="21"/>
              </w:rPr>
              <w:t>每增加</w:t>
            </w:r>
            <w:r>
              <w:rPr>
                <w:rFonts w:ascii="宋体" w:hAnsi="宋体" w:cs="宋体"/>
                <w:kern w:val="0"/>
                <w:szCs w:val="21"/>
                <w:u w:val="single"/>
              </w:rPr>
              <w:t xml:space="preserve">   </w:t>
            </w:r>
            <w:r>
              <w:rPr>
                <w:rFonts w:hint="eastAsia" w:ascii="宋体" w:hAnsi="宋体" w:cs="宋体"/>
                <w:kern w:val="0"/>
                <w:szCs w:val="21"/>
              </w:rPr>
              <w:t>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2EDAD549">
            <w:pPr>
              <w:widowControl/>
              <w:adjustRightInd w:val="0"/>
              <w:snapToGrid w:val="0"/>
              <w:spacing w:line="400" w:lineRule="exact"/>
              <w:rPr>
                <w:rFonts w:ascii="宋体" w:hAnsi="宋体" w:cs="宋体"/>
                <w:kern w:val="0"/>
                <w:szCs w:val="21"/>
              </w:rPr>
            </w:pPr>
            <w:r>
              <w:rPr>
                <w:rFonts w:hint="eastAsia" w:ascii="宋体" w:hAnsi="宋体"/>
                <w:kern w:val="0"/>
                <w:szCs w:val="21"/>
              </w:rPr>
              <w:t xml:space="preserve"> ……</w:t>
            </w:r>
          </w:p>
        </w:tc>
      </w:tr>
      <w:tr w14:paraId="268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75" w:type="dxa"/>
            <w:vMerge w:val="continue"/>
            <w:vAlign w:val="center"/>
          </w:tcPr>
          <w:p w14:paraId="5951B6A8">
            <w:pPr>
              <w:pStyle w:val="299"/>
              <w:spacing w:line="400" w:lineRule="exact"/>
              <w:jc w:val="center"/>
              <w:rPr>
                <w:rFonts w:ascii="宋体" w:hAnsi="宋体" w:cs="宋体"/>
                <w:szCs w:val="21"/>
              </w:rPr>
            </w:pPr>
          </w:p>
        </w:tc>
        <w:tc>
          <w:tcPr>
            <w:tcW w:w="557" w:type="dxa"/>
            <w:vMerge w:val="continue"/>
            <w:vAlign w:val="center"/>
          </w:tcPr>
          <w:p w14:paraId="77C3BE2B">
            <w:pPr>
              <w:pStyle w:val="299"/>
              <w:spacing w:line="400" w:lineRule="exact"/>
              <w:jc w:val="center"/>
              <w:rPr>
                <w:rFonts w:ascii="宋体" w:hAnsi="宋体" w:cs="宋体"/>
                <w:szCs w:val="21"/>
              </w:rPr>
            </w:pPr>
          </w:p>
        </w:tc>
        <w:tc>
          <w:tcPr>
            <w:tcW w:w="873" w:type="dxa"/>
            <w:vMerge w:val="continue"/>
            <w:vAlign w:val="center"/>
          </w:tcPr>
          <w:p w14:paraId="66551848">
            <w:pPr>
              <w:pStyle w:val="299"/>
              <w:spacing w:line="400" w:lineRule="exact"/>
              <w:jc w:val="center"/>
              <w:rPr>
                <w:rFonts w:ascii="宋体" w:hAnsi="宋体" w:cs="宋体"/>
                <w:szCs w:val="21"/>
              </w:rPr>
            </w:pPr>
          </w:p>
        </w:tc>
        <w:tc>
          <w:tcPr>
            <w:tcW w:w="851" w:type="dxa"/>
            <w:vMerge w:val="continue"/>
            <w:vAlign w:val="center"/>
          </w:tcPr>
          <w:p w14:paraId="16100F12">
            <w:pPr>
              <w:pStyle w:val="299"/>
              <w:spacing w:line="400" w:lineRule="exact"/>
              <w:rPr>
                <w:rFonts w:ascii="宋体" w:hAnsi="宋体" w:cs="宋体"/>
                <w:szCs w:val="21"/>
              </w:rPr>
            </w:pPr>
          </w:p>
        </w:tc>
        <w:tc>
          <w:tcPr>
            <w:tcW w:w="1338" w:type="dxa"/>
            <w:gridSpan w:val="2"/>
            <w:vAlign w:val="center"/>
          </w:tcPr>
          <w:p w14:paraId="0789F1B9">
            <w:pPr>
              <w:pStyle w:val="299"/>
              <w:spacing w:line="400" w:lineRule="exact"/>
              <w:jc w:val="left"/>
              <w:rPr>
                <w:rFonts w:ascii="宋体" w:hAnsi="宋体" w:cs="宋体"/>
                <w:b/>
                <w:szCs w:val="21"/>
              </w:rPr>
            </w:pPr>
            <w:r>
              <w:rPr>
                <w:rFonts w:hint="eastAsia" w:ascii="宋体" w:hAnsi="宋体"/>
                <w:b/>
                <w:bCs/>
                <w:kern w:val="0"/>
                <w:szCs w:val="21"/>
              </w:rPr>
              <w:t>□</w:t>
            </w:r>
            <w:r>
              <w:rPr>
                <w:rFonts w:hint="eastAsia" w:ascii="宋体" w:hAnsi="宋体"/>
                <w:kern w:val="0"/>
                <w:szCs w:val="21"/>
              </w:rPr>
              <w:t>（3）施工业绩</w:t>
            </w:r>
            <w:r>
              <w:rPr>
                <w:rFonts w:hint="eastAsia" w:ascii="宋体" w:hAnsi="宋体"/>
                <w:kern w:val="0"/>
                <w:szCs w:val="21"/>
                <w:u w:val="none"/>
              </w:rPr>
              <w:t>C</w:t>
            </w:r>
            <w:r>
              <w:rPr>
                <w:rFonts w:hint="eastAsia" w:ascii="宋体" w:hAnsi="宋体"/>
                <w:kern w:val="0"/>
                <w:szCs w:val="21"/>
                <w:u w:val="none"/>
                <w:vertAlign w:val="subscript"/>
              </w:rPr>
              <w:t>2</w:t>
            </w:r>
          </w:p>
        </w:tc>
        <w:tc>
          <w:tcPr>
            <w:tcW w:w="709" w:type="dxa"/>
            <w:vAlign w:val="center"/>
          </w:tcPr>
          <w:p w14:paraId="018F0169">
            <w:pPr>
              <w:pStyle w:val="299"/>
              <w:spacing w:line="480" w:lineRule="exact"/>
              <w:ind w:left="105" w:hanging="105" w:hangingChars="50"/>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296008C9">
            <w:pPr>
              <w:widowControl/>
              <w:adjustRightInd w:val="0"/>
              <w:snapToGrid w:val="0"/>
              <w:spacing w:line="400" w:lineRule="exact"/>
              <w:rPr>
                <w:rFonts w:ascii="宋体" w:hAnsi="宋体" w:cs="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cs="宋体"/>
                <w:kern w:val="0"/>
                <w:szCs w:val="21"/>
              </w:rPr>
              <w:t>扣除满足资格审查条件完成数量后：</w:t>
            </w:r>
          </w:p>
          <w:p w14:paraId="30F6FEFE">
            <w:pPr>
              <w:widowControl/>
              <w:adjustRightInd w:val="0"/>
              <w:snapToGrid w:val="0"/>
              <w:spacing w:line="400" w:lineRule="exact"/>
              <w:ind w:firstLine="210" w:firstLineChars="100"/>
              <w:rPr>
                <w:rFonts w:ascii="宋体" w:hAnsi="宋体"/>
                <w:kern w:val="0"/>
                <w:szCs w:val="21"/>
              </w:rPr>
            </w:pPr>
            <w:r>
              <w:rPr>
                <w:rFonts w:hint="eastAsia" w:ascii="宋体" w:hAnsi="宋体"/>
                <w:kern w:val="0"/>
                <w:szCs w:val="21"/>
              </w:rPr>
              <w:t>每增加</w:t>
            </w:r>
            <w:r>
              <w:rPr>
                <w:rFonts w:ascii="宋体" w:hAnsi="宋体" w:cs="宋体"/>
                <w:kern w:val="0"/>
                <w:szCs w:val="21"/>
                <w:u w:val="single"/>
              </w:rPr>
              <w:t xml:space="preserve">   </w:t>
            </w:r>
            <w:r>
              <w:rPr>
                <w:rFonts w:hint="eastAsia" w:ascii="宋体" w:hAnsi="宋体" w:cs="宋体"/>
                <w:kern w:val="0"/>
                <w:szCs w:val="21"/>
              </w:rPr>
              <w:t>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72276F46">
            <w:pPr>
              <w:pStyle w:val="299"/>
              <w:spacing w:line="380" w:lineRule="exact"/>
              <w:ind w:firstLine="210" w:firstLineChars="100"/>
              <w:rPr>
                <w:rFonts w:ascii="宋体" w:hAnsi="宋体" w:cs="宋体"/>
                <w:kern w:val="0"/>
                <w:szCs w:val="21"/>
              </w:rPr>
            </w:pPr>
            <w:r>
              <w:rPr>
                <w:rFonts w:hint="eastAsia" w:ascii="宋体" w:hAnsi="宋体"/>
                <w:kern w:val="0"/>
                <w:szCs w:val="21"/>
              </w:rPr>
              <w:t>……</w:t>
            </w:r>
          </w:p>
        </w:tc>
      </w:tr>
      <w:tr w14:paraId="65F4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7D64342C">
            <w:pPr>
              <w:pStyle w:val="299"/>
              <w:spacing w:line="400" w:lineRule="exact"/>
              <w:jc w:val="center"/>
              <w:rPr>
                <w:rFonts w:ascii="宋体" w:hAnsi="宋体" w:cs="宋体"/>
                <w:szCs w:val="21"/>
              </w:rPr>
            </w:pPr>
          </w:p>
        </w:tc>
        <w:tc>
          <w:tcPr>
            <w:tcW w:w="557" w:type="dxa"/>
            <w:vMerge w:val="continue"/>
            <w:vAlign w:val="center"/>
          </w:tcPr>
          <w:p w14:paraId="41A097CC">
            <w:pPr>
              <w:pStyle w:val="299"/>
              <w:spacing w:line="400" w:lineRule="exact"/>
              <w:jc w:val="center"/>
              <w:rPr>
                <w:rFonts w:ascii="宋体" w:hAnsi="宋体" w:cs="宋体"/>
                <w:szCs w:val="21"/>
              </w:rPr>
            </w:pPr>
          </w:p>
        </w:tc>
        <w:tc>
          <w:tcPr>
            <w:tcW w:w="873" w:type="dxa"/>
            <w:vMerge w:val="continue"/>
            <w:vAlign w:val="center"/>
          </w:tcPr>
          <w:p w14:paraId="2DE3EE5F">
            <w:pPr>
              <w:pStyle w:val="299"/>
              <w:spacing w:line="400" w:lineRule="exact"/>
              <w:jc w:val="center"/>
              <w:rPr>
                <w:rFonts w:ascii="宋体" w:hAnsi="宋体" w:cs="宋体"/>
                <w:szCs w:val="21"/>
              </w:rPr>
            </w:pPr>
          </w:p>
        </w:tc>
        <w:tc>
          <w:tcPr>
            <w:tcW w:w="851" w:type="dxa"/>
            <w:vMerge w:val="continue"/>
            <w:vAlign w:val="center"/>
          </w:tcPr>
          <w:p w14:paraId="52FFF096">
            <w:pPr>
              <w:pStyle w:val="299"/>
              <w:spacing w:line="400" w:lineRule="exact"/>
              <w:rPr>
                <w:rFonts w:ascii="宋体" w:hAnsi="宋体" w:cs="宋体"/>
                <w:szCs w:val="21"/>
              </w:rPr>
            </w:pPr>
          </w:p>
        </w:tc>
        <w:tc>
          <w:tcPr>
            <w:tcW w:w="1338" w:type="dxa"/>
            <w:gridSpan w:val="2"/>
            <w:vAlign w:val="center"/>
          </w:tcPr>
          <w:p w14:paraId="344E21A7">
            <w:pPr>
              <w:pStyle w:val="299"/>
              <w:spacing w:line="400" w:lineRule="exact"/>
              <w:jc w:val="left"/>
              <w:rPr>
                <w:rFonts w:ascii="宋体" w:hAnsi="宋体" w:cs="宋体"/>
                <w:b/>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4）其他</w:t>
            </w:r>
            <w:r>
              <w:rPr>
                <w:rFonts w:ascii="宋体" w:hAnsi="宋体" w:cs="宋体"/>
                <w:szCs w:val="21"/>
                <w:u w:val="none"/>
              </w:rPr>
              <w:t>C</w:t>
            </w:r>
            <w:r>
              <w:rPr>
                <w:rFonts w:ascii="宋体" w:hAnsi="宋体" w:cs="宋体"/>
                <w:szCs w:val="21"/>
                <w:u w:val="none"/>
                <w:vertAlign w:val="subscript"/>
              </w:rPr>
              <w:t>3</w:t>
            </w:r>
            <w:r>
              <w:rPr>
                <w:rFonts w:hint="eastAsia" w:ascii="宋体" w:hAnsi="宋体" w:cs="宋体"/>
                <w:szCs w:val="21"/>
              </w:rPr>
              <w:t>：</w:t>
            </w:r>
            <w:r>
              <w:rPr>
                <w:rFonts w:ascii="宋体" w:hAnsi="宋体" w:cs="宋体"/>
                <w:szCs w:val="21"/>
                <w:u w:val="single"/>
              </w:rPr>
              <w:t xml:space="preserve">      </w:t>
            </w:r>
          </w:p>
        </w:tc>
        <w:tc>
          <w:tcPr>
            <w:tcW w:w="709" w:type="dxa"/>
            <w:vAlign w:val="center"/>
          </w:tcPr>
          <w:p w14:paraId="34772817">
            <w:pPr>
              <w:pStyle w:val="299"/>
              <w:spacing w:line="480" w:lineRule="exact"/>
              <w:ind w:left="105" w:hanging="105" w:hangingChars="50"/>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067C3D00">
            <w:pPr>
              <w:pStyle w:val="299"/>
              <w:spacing w:line="380" w:lineRule="exact"/>
              <w:rPr>
                <w:rFonts w:ascii="宋体" w:hAnsi="宋体" w:cs="宋体"/>
                <w:kern w:val="0"/>
                <w:szCs w:val="21"/>
              </w:rPr>
            </w:pPr>
            <w:r>
              <w:rPr>
                <w:rFonts w:ascii="宋体" w:hAnsi="宋体" w:cs="宋体"/>
                <w:b/>
                <w:szCs w:val="21"/>
                <w:u w:val="single"/>
              </w:rPr>
              <w:t xml:space="preserve">       </w:t>
            </w:r>
            <w:r>
              <w:rPr>
                <w:rFonts w:ascii="宋体" w:hAnsi="宋体" w:cs="宋体"/>
                <w:b/>
                <w:szCs w:val="21"/>
              </w:rPr>
              <w:t xml:space="preserve"> </w:t>
            </w:r>
          </w:p>
        </w:tc>
      </w:tr>
      <w:tr w14:paraId="5138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58E27B92">
            <w:pPr>
              <w:pStyle w:val="299"/>
              <w:spacing w:line="400" w:lineRule="exact"/>
              <w:jc w:val="center"/>
              <w:rPr>
                <w:rFonts w:ascii="宋体" w:hAnsi="宋体" w:cs="宋体"/>
                <w:szCs w:val="21"/>
              </w:rPr>
            </w:pPr>
          </w:p>
        </w:tc>
        <w:tc>
          <w:tcPr>
            <w:tcW w:w="557" w:type="dxa"/>
            <w:vMerge w:val="continue"/>
            <w:vAlign w:val="center"/>
          </w:tcPr>
          <w:p w14:paraId="20B623D5">
            <w:pPr>
              <w:pStyle w:val="299"/>
              <w:spacing w:line="400" w:lineRule="exact"/>
              <w:jc w:val="center"/>
              <w:rPr>
                <w:rFonts w:ascii="宋体" w:hAnsi="宋体" w:cs="宋体"/>
                <w:szCs w:val="21"/>
              </w:rPr>
            </w:pPr>
          </w:p>
        </w:tc>
        <w:tc>
          <w:tcPr>
            <w:tcW w:w="873" w:type="dxa"/>
            <w:vMerge w:val="continue"/>
            <w:vAlign w:val="center"/>
          </w:tcPr>
          <w:p w14:paraId="4C105E48">
            <w:pPr>
              <w:pStyle w:val="299"/>
              <w:spacing w:line="400" w:lineRule="exact"/>
              <w:jc w:val="center"/>
              <w:rPr>
                <w:rFonts w:ascii="宋体" w:hAnsi="宋体" w:cs="宋体"/>
                <w:szCs w:val="21"/>
              </w:rPr>
            </w:pPr>
          </w:p>
        </w:tc>
        <w:tc>
          <w:tcPr>
            <w:tcW w:w="851" w:type="dxa"/>
            <w:vMerge w:val="continue"/>
            <w:vAlign w:val="center"/>
          </w:tcPr>
          <w:p w14:paraId="74EDF02F">
            <w:pPr>
              <w:pStyle w:val="299"/>
              <w:spacing w:line="400" w:lineRule="exact"/>
              <w:rPr>
                <w:rFonts w:ascii="宋体" w:hAnsi="宋体" w:cs="宋体"/>
                <w:szCs w:val="21"/>
              </w:rPr>
            </w:pPr>
          </w:p>
        </w:tc>
        <w:tc>
          <w:tcPr>
            <w:tcW w:w="5641" w:type="dxa"/>
            <w:gridSpan w:val="4"/>
            <w:vAlign w:val="center"/>
          </w:tcPr>
          <w:p w14:paraId="2CA5FFC9">
            <w:pPr>
              <w:widowControl/>
              <w:adjustRightInd w:val="0"/>
              <w:snapToGrid w:val="0"/>
              <w:spacing w:line="380" w:lineRule="exact"/>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满足资格审查条件</w:t>
            </w:r>
            <w:r>
              <w:rPr>
                <w:rFonts w:cs="宋体" w:asciiTheme="minorEastAsia" w:hAnsiTheme="minorEastAsia" w:eastAsiaTheme="minorEastAsia"/>
                <w:kern w:val="0"/>
                <w:szCs w:val="21"/>
              </w:rPr>
              <w:t>最低要求得分</w:t>
            </w:r>
            <w:r>
              <w:rPr>
                <w:rFonts w:hint="eastAsia" w:cs="宋体" w:asciiTheme="minorEastAsia" w:hAnsiTheme="minorEastAsia" w:eastAsiaTheme="minorEastAsia"/>
                <w:szCs w:val="21"/>
              </w:rPr>
              <w:t>与扣除</w:t>
            </w:r>
            <w:r>
              <w:rPr>
                <w:rFonts w:cs="宋体" w:asciiTheme="minorEastAsia" w:hAnsiTheme="minorEastAsia" w:eastAsiaTheme="minorEastAsia"/>
                <w:szCs w:val="21"/>
              </w:rPr>
              <w:t>满足资格审查条件完成数量后的</w:t>
            </w:r>
            <w:r>
              <w:rPr>
                <w:rFonts w:hint="eastAsia" w:cs="宋体" w:asciiTheme="minorEastAsia" w:hAnsiTheme="minorEastAsia" w:eastAsiaTheme="minorEastAsia"/>
                <w:szCs w:val="21"/>
              </w:rPr>
              <w:t>所有</w:t>
            </w:r>
            <w:r>
              <w:rPr>
                <w:rFonts w:cs="宋体" w:asciiTheme="minorEastAsia" w:hAnsiTheme="minorEastAsia" w:eastAsiaTheme="minorEastAsia"/>
                <w:szCs w:val="21"/>
              </w:rPr>
              <w:t>加分项</w:t>
            </w:r>
            <w:r>
              <w:rPr>
                <w:rFonts w:hint="eastAsia" w:cs="宋体" w:asciiTheme="minorEastAsia" w:hAnsiTheme="minorEastAsia" w:eastAsiaTheme="minorEastAsia"/>
                <w:szCs w:val="21"/>
              </w:rPr>
              <w:t>合计得分最多至满分</w:t>
            </w:r>
            <w:r>
              <w:rPr>
                <w:rFonts w:hint="eastAsia" w:cs="宋体" w:asciiTheme="minorEastAsia" w:hAnsiTheme="minorEastAsia" w:eastAsiaTheme="minorEastAsia"/>
                <w:kern w:val="0"/>
                <w:szCs w:val="21"/>
              </w:rPr>
              <w:t>为止。</w:t>
            </w:r>
          </w:p>
        </w:tc>
      </w:tr>
      <w:tr w14:paraId="6443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00E7EB4A">
            <w:pPr>
              <w:pStyle w:val="299"/>
              <w:spacing w:line="400" w:lineRule="exact"/>
              <w:jc w:val="center"/>
              <w:rPr>
                <w:rFonts w:ascii="宋体" w:hAnsi="宋体" w:cs="宋体"/>
                <w:szCs w:val="21"/>
              </w:rPr>
            </w:pPr>
          </w:p>
        </w:tc>
        <w:tc>
          <w:tcPr>
            <w:tcW w:w="557" w:type="dxa"/>
            <w:vMerge w:val="continue"/>
            <w:vAlign w:val="center"/>
          </w:tcPr>
          <w:p w14:paraId="1182321C">
            <w:pPr>
              <w:pStyle w:val="299"/>
              <w:spacing w:line="400" w:lineRule="exact"/>
              <w:jc w:val="center"/>
              <w:rPr>
                <w:rFonts w:ascii="宋体" w:hAnsi="宋体" w:cs="宋体"/>
                <w:szCs w:val="21"/>
              </w:rPr>
            </w:pPr>
          </w:p>
        </w:tc>
        <w:tc>
          <w:tcPr>
            <w:tcW w:w="873" w:type="dxa"/>
            <w:vMerge w:val="restart"/>
            <w:vAlign w:val="center"/>
          </w:tcPr>
          <w:p w14:paraId="2265246F">
            <w:pPr>
              <w:pStyle w:val="299"/>
              <w:spacing w:line="400" w:lineRule="exact"/>
              <w:jc w:val="center"/>
              <w:rPr>
                <w:rFonts w:ascii="宋体" w:hAnsi="宋体" w:cs="宋体"/>
                <w:szCs w:val="21"/>
              </w:rPr>
            </w:pPr>
            <w:r>
              <w:rPr>
                <w:rFonts w:hint="eastAsia" w:ascii="宋体" w:hAnsi="宋体" w:cs="宋体"/>
                <w:szCs w:val="21"/>
              </w:rPr>
              <w:t>履约信誉</w:t>
            </w:r>
            <w:r>
              <w:rPr>
                <w:rFonts w:ascii="宋体" w:hAnsi="宋体" w:cs="宋体"/>
                <w:szCs w:val="21"/>
                <w:u w:val="none"/>
              </w:rPr>
              <w:t>H</w:t>
            </w:r>
          </w:p>
        </w:tc>
        <w:tc>
          <w:tcPr>
            <w:tcW w:w="851" w:type="dxa"/>
            <w:vMerge w:val="restart"/>
            <w:vAlign w:val="center"/>
          </w:tcPr>
          <w:p w14:paraId="633ADDE2">
            <w:pPr>
              <w:pStyle w:val="299"/>
              <w:spacing w:line="400" w:lineRule="exact"/>
              <w:ind w:left="315" w:hanging="315" w:hangingChars="150"/>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573B4AE2">
            <w:pPr>
              <w:pStyle w:val="299"/>
              <w:spacing w:line="400" w:lineRule="exact"/>
              <w:jc w:val="center"/>
              <w:rPr>
                <w:rFonts w:ascii="宋体" w:hAnsi="宋体" w:cs="宋体"/>
                <w:szCs w:val="21"/>
              </w:rPr>
            </w:pPr>
            <w:r>
              <w:rPr>
                <w:rFonts w:hint="eastAsia" w:cs="宋体" w:asciiTheme="minorEastAsia" w:hAnsiTheme="minorEastAsia" w:eastAsiaTheme="minorEastAsia"/>
                <w:szCs w:val="21"/>
              </w:rPr>
              <w:t>投标人在四川省</w:t>
            </w:r>
            <w:r>
              <w:rPr>
                <w:rFonts w:hint="eastAsia" w:ascii="宋体" w:hAnsi="宋体" w:cs="宋体" w:eastAsiaTheme="minorEastAsia"/>
                <w:bCs/>
                <w:kern w:val="0"/>
                <w:szCs w:val="21"/>
              </w:rPr>
              <w:t>交通运输厅公布的</w:t>
            </w:r>
            <w:r>
              <w:rPr>
                <w:rFonts w:hint="eastAsia" w:ascii="宋体" w:hAnsi="宋体" w:cs="宋体"/>
                <w:bCs/>
                <w:kern w:val="0"/>
                <w:szCs w:val="21"/>
              </w:rPr>
              <w:t>信用评价等级</w:t>
            </w:r>
            <w:r>
              <w:rPr>
                <w:rFonts w:ascii="宋体" w:hAnsi="宋体" w:cs="宋体"/>
                <w:szCs w:val="21"/>
                <w:u w:val="none"/>
              </w:rPr>
              <w:t>H</w:t>
            </w:r>
            <w:r>
              <w:rPr>
                <w:rFonts w:ascii="宋体" w:hAnsi="宋体" w:cs="宋体"/>
                <w:szCs w:val="21"/>
                <w:u w:val="none"/>
                <w:vertAlign w:val="subscript"/>
              </w:rPr>
              <w:t>1</w:t>
            </w:r>
          </w:p>
        </w:tc>
        <w:tc>
          <w:tcPr>
            <w:tcW w:w="709" w:type="dxa"/>
            <w:vAlign w:val="center"/>
          </w:tcPr>
          <w:p w14:paraId="2F9BBEA9">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4B7E11C1">
            <w:pPr>
              <w:widowControl/>
              <w:spacing w:line="400" w:lineRule="exact"/>
              <w:ind w:firstLine="0" w:firstLineChars="0"/>
              <w:rPr>
                <w:rFonts w:hint="eastAsia" w:ascii="宋体" w:hAnsi="宋体"/>
                <w:szCs w:val="21"/>
              </w:rPr>
            </w:pPr>
            <w:r>
              <w:rPr>
                <w:rFonts w:hint="eastAsia" w:cs="宋体" w:asciiTheme="minorEastAsia" w:hAnsiTheme="minorEastAsia" w:eastAsiaTheme="minorEastAsia"/>
                <w:bCs/>
                <w:kern w:val="0"/>
                <w:szCs w:val="21"/>
              </w:rPr>
              <w:t>投标截止时间在四川省交通运输厅网站公布的：</w:t>
            </w:r>
            <w:r>
              <w:rPr>
                <w:rFonts w:hint="eastAsia" w:ascii="宋体" w:hAnsi="宋体" w:cs="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四川省重点公路建设从业单位信用评价等级；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t>；</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四川省农村公路建设从业单位信用评价等级；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t>；</w:t>
            </w:r>
            <w:r>
              <w:rPr>
                <w:rFonts w:hint="eastAsia" w:ascii="宋体" w:hAnsi="宋体"/>
                <w:bCs/>
                <w:szCs w:val="21"/>
                <w:u w:val="single"/>
              </w:rPr>
              <w:sym w:font="Wingdings 2" w:char="00A3"/>
            </w:r>
            <w:r>
              <w:rPr>
                <w:rFonts w:hint="eastAsia"/>
                <w:szCs w:val="21"/>
                <w:u w:val="single"/>
              </w:rPr>
              <w:t>四川省重点公路养护工程从业单位信用</w:t>
            </w:r>
            <w:r>
              <w:rPr>
                <w:rFonts w:hint="eastAsia"/>
                <w:szCs w:val="21"/>
                <w:u w:val="single"/>
                <w:lang w:val="en-US" w:eastAsia="zh-CN"/>
              </w:rPr>
              <w:t>评价等级</w:t>
            </w:r>
            <w:r>
              <w:rPr>
                <w:rFonts w:hint="eastAsia" w:ascii="宋体" w:hAnsi="宋体"/>
                <w:szCs w:val="21"/>
              </w:rPr>
              <w:t>。</w:t>
            </w:r>
          </w:p>
          <w:p w14:paraId="4321B49C">
            <w:pPr>
              <w:widowControl/>
              <w:spacing w:line="400" w:lineRule="exact"/>
              <w:ind w:firstLine="210" w:firstLineChars="100"/>
              <w:rPr>
                <w:rFonts w:ascii="宋体" w:hAnsi="宋体" w:cs="宋体"/>
                <w:bCs/>
                <w:kern w:val="0"/>
                <w:szCs w:val="21"/>
              </w:rPr>
            </w:pPr>
            <w:r>
              <w:rPr>
                <w:rFonts w:ascii="宋体" w:hAnsi="宋体" w:cs="宋体"/>
                <w:bCs/>
                <w:kern w:val="0"/>
                <w:szCs w:val="21"/>
              </w:rPr>
              <w:t>AA</w:t>
            </w:r>
            <w:r>
              <w:rPr>
                <w:rFonts w:hint="eastAsia" w:ascii="宋体" w:hAnsi="宋体" w:cs="宋体"/>
                <w:bCs/>
                <w:kern w:val="0"/>
                <w:szCs w:val="21"/>
              </w:rPr>
              <w:t>级及以上得分：</w:t>
            </w:r>
            <w:r>
              <w:rPr>
                <w:rFonts w:hint="eastAsia" w:cs="宋体" w:asciiTheme="minorEastAsia" w:hAnsiTheme="minorEastAsia" w:eastAsiaTheme="minorEastAsia"/>
                <w:bCs/>
                <w:kern w:val="0"/>
                <w:szCs w:val="21"/>
                <w:u w:val="single"/>
              </w:rPr>
              <w:t>信用评价等级权重分值</w:t>
            </w:r>
            <w:r>
              <w:rPr>
                <w:rFonts w:hint="eastAsia" w:ascii="宋体" w:hAnsi="宋体" w:cs="宋体"/>
                <w:bCs/>
                <w:kern w:val="0"/>
                <w:szCs w:val="21"/>
                <w:u w:val="single"/>
              </w:rPr>
              <w:t>×</w:t>
            </w:r>
            <w:r>
              <w:rPr>
                <w:rFonts w:ascii="宋体" w:hAnsi="宋体" w:cs="宋体"/>
                <w:bCs/>
                <w:kern w:val="0"/>
                <w:szCs w:val="21"/>
                <w:u w:val="single"/>
              </w:rPr>
              <w:t>1.0</w:t>
            </w:r>
            <w:r>
              <w:rPr>
                <w:rFonts w:hint="eastAsia" w:ascii="宋体" w:hAnsi="宋体" w:cs="宋体"/>
                <w:bCs/>
                <w:kern w:val="0"/>
                <w:szCs w:val="21"/>
              </w:rPr>
              <w:t>分；</w:t>
            </w:r>
          </w:p>
          <w:p w14:paraId="246031DD">
            <w:pPr>
              <w:widowControl/>
              <w:spacing w:line="400" w:lineRule="exact"/>
              <w:ind w:firstLine="210" w:firstLineChars="100"/>
              <w:rPr>
                <w:rFonts w:ascii="宋体" w:hAnsi="宋体" w:cs="宋体"/>
                <w:bCs/>
                <w:kern w:val="0"/>
                <w:szCs w:val="21"/>
              </w:rPr>
            </w:pPr>
            <w:r>
              <w:rPr>
                <w:rFonts w:ascii="宋体" w:hAnsi="宋体" w:cs="宋体"/>
                <w:bCs/>
                <w:kern w:val="0"/>
                <w:szCs w:val="21"/>
              </w:rPr>
              <w:t>A</w:t>
            </w:r>
            <w:r>
              <w:rPr>
                <w:rFonts w:hint="eastAsia" w:ascii="宋体" w:hAnsi="宋体" w:cs="宋体"/>
                <w:bCs/>
                <w:kern w:val="0"/>
                <w:szCs w:val="21"/>
              </w:rPr>
              <w:t>级得分：</w:t>
            </w:r>
            <w:r>
              <w:rPr>
                <w:rFonts w:hint="eastAsia" w:cs="宋体" w:asciiTheme="minorEastAsia" w:hAnsiTheme="minorEastAsia" w:eastAsiaTheme="minorEastAsia"/>
                <w:bCs/>
                <w:kern w:val="0"/>
                <w:szCs w:val="21"/>
                <w:u w:val="single"/>
              </w:rPr>
              <w:t>信用评价等级权重分值</w:t>
            </w:r>
            <w:r>
              <w:rPr>
                <w:rFonts w:hint="eastAsia" w:ascii="宋体" w:hAnsi="宋体" w:cs="宋体"/>
                <w:bCs/>
                <w:kern w:val="0"/>
                <w:szCs w:val="21"/>
                <w:u w:val="single"/>
              </w:rPr>
              <w:t>×</w:t>
            </w:r>
            <w:r>
              <w:rPr>
                <w:rFonts w:hint="eastAsia" w:cs="宋体" w:asciiTheme="minorEastAsia" w:hAnsiTheme="minorEastAsia" w:eastAsiaTheme="minorEastAsia"/>
                <w:bCs/>
                <w:kern w:val="0"/>
                <w:szCs w:val="21"/>
                <w:u w:val="single"/>
                <w:lang w:val="en-US" w:eastAsia="zh-CN"/>
              </w:rPr>
              <w:t>项目对应信用管理办法设置比例</w:t>
            </w:r>
            <w:r>
              <w:rPr>
                <w:rFonts w:ascii="宋体" w:hAnsi="宋体" w:cs="宋体"/>
                <w:bCs/>
                <w:kern w:val="0"/>
                <w:szCs w:val="21"/>
              </w:rPr>
              <w:t>分</w:t>
            </w:r>
            <w:r>
              <w:rPr>
                <w:rFonts w:hint="eastAsia" w:ascii="宋体" w:hAnsi="宋体" w:cs="宋体"/>
                <w:bCs/>
                <w:kern w:val="0"/>
                <w:szCs w:val="21"/>
              </w:rPr>
              <w:t>；</w:t>
            </w:r>
          </w:p>
          <w:p w14:paraId="55D832D1">
            <w:pPr>
              <w:widowControl/>
              <w:spacing w:line="400" w:lineRule="exact"/>
              <w:ind w:firstLine="210" w:firstLineChars="100"/>
              <w:rPr>
                <w:rFonts w:ascii="宋体" w:hAnsi="宋体" w:cs="宋体"/>
                <w:bCs/>
                <w:kern w:val="0"/>
                <w:szCs w:val="21"/>
              </w:rPr>
            </w:pPr>
            <w:r>
              <w:rPr>
                <w:rFonts w:ascii="宋体" w:hAnsi="宋体" w:cs="宋体"/>
                <w:bCs/>
                <w:kern w:val="0"/>
                <w:szCs w:val="21"/>
              </w:rPr>
              <w:t>B级</w:t>
            </w:r>
            <w:r>
              <w:rPr>
                <w:rFonts w:hint="eastAsia" w:ascii="宋体" w:hAnsi="宋体" w:cs="宋体"/>
                <w:bCs/>
                <w:kern w:val="0"/>
                <w:szCs w:val="21"/>
              </w:rPr>
              <w:t>得分：</w:t>
            </w:r>
            <w:r>
              <w:rPr>
                <w:rFonts w:hint="eastAsia" w:cs="宋体" w:asciiTheme="minorEastAsia" w:hAnsiTheme="minorEastAsia" w:eastAsiaTheme="minorEastAsia"/>
                <w:bCs/>
                <w:kern w:val="0"/>
                <w:szCs w:val="21"/>
                <w:u w:val="single"/>
              </w:rPr>
              <w:t>信用评价等级权重分值</w:t>
            </w:r>
            <w:r>
              <w:rPr>
                <w:rFonts w:hint="eastAsia" w:ascii="宋体" w:hAnsi="宋体" w:cs="宋体"/>
                <w:bCs/>
                <w:kern w:val="0"/>
                <w:szCs w:val="21"/>
                <w:u w:val="single"/>
              </w:rPr>
              <w:t>×</w:t>
            </w:r>
            <w:r>
              <w:rPr>
                <w:rFonts w:hint="eastAsia" w:cs="宋体" w:asciiTheme="minorEastAsia" w:hAnsiTheme="minorEastAsia" w:eastAsiaTheme="minorEastAsia"/>
                <w:bCs/>
                <w:kern w:val="0"/>
                <w:szCs w:val="21"/>
                <w:u w:val="single"/>
                <w:lang w:val="en-US" w:eastAsia="zh-CN"/>
              </w:rPr>
              <w:t>项目对应信用管理办法设置比例</w:t>
            </w:r>
            <w:r>
              <w:rPr>
                <w:rFonts w:ascii="宋体" w:hAnsi="宋体" w:cs="宋体"/>
                <w:bCs/>
                <w:kern w:val="0"/>
                <w:szCs w:val="21"/>
              </w:rPr>
              <w:t>分</w:t>
            </w:r>
            <w:r>
              <w:rPr>
                <w:rFonts w:hint="eastAsia" w:ascii="宋体" w:hAnsi="宋体" w:cs="宋体"/>
                <w:bCs/>
                <w:kern w:val="0"/>
                <w:szCs w:val="21"/>
              </w:rPr>
              <w:t>；</w:t>
            </w:r>
          </w:p>
          <w:p w14:paraId="247933B4">
            <w:pPr>
              <w:widowControl/>
              <w:spacing w:line="400" w:lineRule="exact"/>
              <w:ind w:firstLine="210" w:firstLineChars="100"/>
              <w:rPr>
                <w:rFonts w:ascii="宋体" w:hAnsi="宋体" w:cs="宋体"/>
                <w:bCs/>
                <w:kern w:val="0"/>
                <w:szCs w:val="21"/>
              </w:rPr>
            </w:pPr>
            <w:r>
              <w:rPr>
                <w:rFonts w:ascii="宋体" w:hAnsi="宋体" w:cs="宋体"/>
                <w:bCs/>
                <w:kern w:val="0"/>
                <w:szCs w:val="21"/>
              </w:rPr>
              <w:t>C级</w:t>
            </w:r>
            <w:r>
              <w:rPr>
                <w:rFonts w:hint="eastAsia" w:ascii="宋体" w:hAnsi="宋体" w:cs="宋体"/>
                <w:bCs/>
                <w:kern w:val="0"/>
                <w:szCs w:val="21"/>
              </w:rPr>
              <w:t>得分：</w:t>
            </w:r>
            <w:r>
              <w:rPr>
                <w:rFonts w:hint="eastAsia" w:ascii="宋体" w:hAnsi="宋体" w:cs="宋体"/>
                <w:bCs/>
                <w:kern w:val="0"/>
                <w:szCs w:val="21"/>
                <w:u w:val="single"/>
                <w:lang w:val="en-US" w:eastAsia="zh-CN"/>
              </w:rPr>
              <w:t xml:space="preserve"> </w:t>
            </w:r>
            <w:r>
              <w:rPr>
                <w:rFonts w:ascii="宋体" w:hAnsi="宋体" w:cs="宋体"/>
                <w:bCs/>
                <w:kern w:val="0"/>
                <w:szCs w:val="21"/>
                <w:u w:val="single"/>
              </w:rPr>
              <w:t>0</w:t>
            </w:r>
            <w:r>
              <w:rPr>
                <w:rFonts w:hint="eastAsia" w:ascii="宋体" w:hAnsi="宋体" w:cs="宋体"/>
                <w:bCs/>
                <w:kern w:val="0"/>
                <w:szCs w:val="21"/>
                <w:u w:val="single"/>
              </w:rPr>
              <w:t xml:space="preserve"> </w:t>
            </w:r>
            <w:r>
              <w:rPr>
                <w:rFonts w:ascii="宋体" w:hAnsi="宋体" w:cs="宋体"/>
                <w:bCs/>
                <w:kern w:val="0"/>
                <w:szCs w:val="21"/>
              </w:rPr>
              <w:t>。</w:t>
            </w:r>
          </w:p>
          <w:p w14:paraId="3941A3B0">
            <w:pPr>
              <w:pStyle w:val="299"/>
              <w:adjustRightInd w:val="0"/>
              <w:snapToGrid w:val="0"/>
              <w:spacing w:line="360" w:lineRule="exact"/>
              <w:ind w:firstLine="210" w:firstLineChars="100"/>
              <w:rPr>
                <w:rFonts w:ascii="宋体" w:hAnsi="宋体" w:cs="宋体"/>
                <w:bCs/>
                <w:kern w:val="0"/>
                <w:szCs w:val="21"/>
              </w:rPr>
            </w:pPr>
            <w:r>
              <w:rPr>
                <w:rFonts w:hint="eastAsia" w:ascii="宋体" w:hAnsi="宋体" w:cs="宋体"/>
                <w:bCs/>
                <w:kern w:val="0"/>
                <w:szCs w:val="21"/>
              </w:rPr>
              <w:t>注：</w:t>
            </w:r>
            <w:r>
              <w:rPr>
                <w:rFonts w:hint="eastAsia" w:ascii="宋体" w:hAnsi="宋体" w:cs="宋体"/>
                <w:bCs/>
                <w:kern w:val="0"/>
                <w:szCs w:val="21"/>
                <w:lang w:val="en-US" w:eastAsia="zh-CN"/>
              </w:rPr>
              <w:t>1.</w:t>
            </w:r>
            <w:r>
              <w:rPr>
                <w:rFonts w:hint="eastAsia" w:ascii="宋体" w:hAnsi="宋体" w:cs="宋体"/>
                <w:szCs w:val="21"/>
              </w:rPr>
              <w:t>允许联合体投标时，以联合体形式投标的，投标人</w:t>
            </w:r>
            <w:r>
              <w:rPr>
                <w:rFonts w:ascii="宋体" w:hAnsi="宋体" w:cs="宋体"/>
                <w:szCs w:val="21"/>
              </w:rPr>
              <w:t>在</w:t>
            </w:r>
            <w:r>
              <w:rPr>
                <w:rFonts w:hint="eastAsia" w:ascii="宋体" w:hAnsi="宋体" w:cs="宋体"/>
                <w:szCs w:val="21"/>
              </w:rPr>
              <w:t>上述同一信用评价体系的信用</w:t>
            </w:r>
            <w:r>
              <w:rPr>
                <w:rFonts w:ascii="宋体" w:hAnsi="宋体" w:cs="宋体"/>
                <w:szCs w:val="21"/>
              </w:rPr>
              <w:t>评价等级</w:t>
            </w:r>
            <w:r>
              <w:rPr>
                <w:rFonts w:hint="eastAsia" w:ascii="宋体" w:hAnsi="宋体" w:cs="宋体"/>
                <w:szCs w:val="21"/>
              </w:rPr>
              <w:t>以联合体中信用评价等级低的为准</w:t>
            </w:r>
            <w:r>
              <w:rPr>
                <w:rFonts w:hint="eastAsia" w:ascii="宋体" w:hAnsi="宋体" w:cs="宋体"/>
                <w:bCs/>
                <w:kern w:val="0"/>
                <w:szCs w:val="21"/>
              </w:rPr>
              <w:t>。</w:t>
            </w:r>
          </w:p>
          <w:p w14:paraId="1F81D926">
            <w:pPr>
              <w:widowControl/>
              <w:numPr>
                <w:ilvl w:val="-1"/>
                <w:numId w:val="0"/>
              </w:numPr>
              <w:spacing w:line="400" w:lineRule="exact"/>
              <w:ind w:firstLine="210" w:firstLineChars="100"/>
              <w:rPr>
                <w:rFonts w:hint="eastAsia" w:ascii="宋体" w:hAnsi="宋体" w:cs="宋体"/>
                <w:szCs w:val="21"/>
              </w:rPr>
            </w:pPr>
            <w:r>
              <w:rPr>
                <w:rFonts w:hint="eastAsia" w:ascii="宋体" w:hAnsi="宋体"/>
                <w:lang w:val="en-US" w:eastAsia="zh-CN"/>
              </w:rPr>
              <w:t>2.</w:t>
            </w:r>
            <w:r>
              <w:rPr>
                <w:rFonts w:hint="eastAsia" w:ascii="宋体" w:hAnsi="宋体"/>
              </w:rPr>
              <w:t>招标人根据投标人在四川省交通运输厅网站公布的四川省重点公路</w:t>
            </w:r>
            <w:r>
              <w:rPr>
                <w:rFonts w:hint="eastAsia" w:ascii="宋体" w:hAnsi="宋体" w:cs="宋体"/>
                <w:bCs/>
                <w:kern w:val="0"/>
                <w:szCs w:val="21"/>
              </w:rPr>
              <w:t>建设从业单位信用评价等级或</w:t>
            </w:r>
            <w:r>
              <w:rPr>
                <w:rFonts w:hint="eastAsia" w:ascii="宋体" w:hAnsi="宋体"/>
              </w:rPr>
              <w:t>四川省农村公路</w:t>
            </w:r>
            <w:r>
              <w:rPr>
                <w:rFonts w:hint="eastAsia" w:ascii="宋体" w:hAnsi="宋体" w:cs="宋体"/>
                <w:bCs/>
                <w:kern w:val="0"/>
                <w:szCs w:val="21"/>
              </w:rPr>
              <w:t>建设从业单位信用评价等级</w:t>
            </w:r>
            <w:r>
              <w:rPr>
                <w:rFonts w:hint="eastAsia" w:ascii="宋体" w:hAnsi="宋体" w:cs="宋体"/>
                <w:bCs/>
                <w:kern w:val="0"/>
                <w:szCs w:val="21"/>
                <w:u w:val="none"/>
                <w:lang w:val="en-US" w:eastAsia="zh-CN"/>
              </w:rPr>
              <w:t>或</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cs="宋体"/>
                <w:bCs/>
                <w:kern w:val="0"/>
                <w:szCs w:val="21"/>
              </w:rPr>
              <w:t>对其履约信用进行评分。</w:t>
            </w:r>
          </w:p>
          <w:p w14:paraId="233A92DF">
            <w:pPr>
              <w:widowControl/>
              <w:numPr>
                <w:ilvl w:val="-1"/>
                <w:numId w:val="0"/>
              </w:numPr>
              <w:spacing w:line="400" w:lineRule="exact"/>
              <w:ind w:firstLine="210" w:firstLineChars="100"/>
              <w:rPr>
                <w:rFonts w:ascii="宋体" w:hAnsi="宋体" w:cs="宋体"/>
                <w:szCs w:val="21"/>
              </w:rPr>
            </w:pPr>
            <w:r>
              <w:rPr>
                <w:rFonts w:hint="eastAsia" w:ascii="宋体" w:hAnsi="宋体" w:cs="宋体"/>
                <w:bCs/>
                <w:kern w:val="0"/>
                <w:szCs w:val="21"/>
                <w:lang w:val="en-US" w:eastAsia="zh-CN"/>
              </w:rPr>
              <w:t>3.</w:t>
            </w:r>
            <w:r>
              <w:rPr>
                <w:rFonts w:hint="eastAsia" w:ascii="宋体" w:hAnsi="宋体" w:cs="宋体"/>
                <w:bCs/>
                <w:kern w:val="0"/>
                <w:szCs w:val="21"/>
              </w:rPr>
              <w:t>独立投标人以勘察设计、施工中信用评价等级低的为准。</w:t>
            </w:r>
          </w:p>
        </w:tc>
      </w:tr>
      <w:tr w14:paraId="7DA9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vMerge w:val="continue"/>
            <w:vAlign w:val="center"/>
          </w:tcPr>
          <w:p w14:paraId="44CE5EAB">
            <w:pPr>
              <w:pStyle w:val="299"/>
              <w:spacing w:line="400" w:lineRule="exact"/>
              <w:jc w:val="center"/>
              <w:rPr>
                <w:rFonts w:ascii="宋体" w:hAnsi="宋体" w:cs="宋体"/>
                <w:szCs w:val="21"/>
              </w:rPr>
            </w:pPr>
          </w:p>
        </w:tc>
        <w:tc>
          <w:tcPr>
            <w:tcW w:w="557" w:type="dxa"/>
            <w:vMerge w:val="continue"/>
            <w:vAlign w:val="center"/>
          </w:tcPr>
          <w:p w14:paraId="64615777">
            <w:pPr>
              <w:pStyle w:val="299"/>
              <w:spacing w:line="400" w:lineRule="exact"/>
              <w:jc w:val="center"/>
              <w:rPr>
                <w:rFonts w:ascii="宋体" w:hAnsi="宋体" w:cs="宋体"/>
                <w:szCs w:val="21"/>
              </w:rPr>
            </w:pPr>
          </w:p>
        </w:tc>
        <w:tc>
          <w:tcPr>
            <w:tcW w:w="873" w:type="dxa"/>
            <w:vMerge w:val="continue"/>
            <w:vAlign w:val="center"/>
          </w:tcPr>
          <w:p w14:paraId="34DF906B">
            <w:pPr>
              <w:pStyle w:val="299"/>
              <w:spacing w:line="400" w:lineRule="exact"/>
              <w:rPr>
                <w:rFonts w:ascii="宋体" w:hAnsi="宋体" w:cs="宋体"/>
                <w:szCs w:val="21"/>
              </w:rPr>
            </w:pPr>
          </w:p>
        </w:tc>
        <w:tc>
          <w:tcPr>
            <w:tcW w:w="851" w:type="dxa"/>
            <w:vMerge w:val="continue"/>
            <w:vAlign w:val="center"/>
          </w:tcPr>
          <w:p w14:paraId="7E55C629">
            <w:pPr>
              <w:pStyle w:val="299"/>
              <w:spacing w:line="400" w:lineRule="exact"/>
              <w:rPr>
                <w:rFonts w:ascii="宋体" w:hAnsi="宋体" w:cs="宋体"/>
                <w:szCs w:val="21"/>
              </w:rPr>
            </w:pPr>
          </w:p>
        </w:tc>
        <w:tc>
          <w:tcPr>
            <w:tcW w:w="1338" w:type="dxa"/>
            <w:gridSpan w:val="2"/>
            <w:vAlign w:val="center"/>
          </w:tcPr>
          <w:p w14:paraId="3FAAAB98">
            <w:pPr>
              <w:pStyle w:val="299"/>
              <w:spacing w:line="400" w:lineRule="exact"/>
              <w:rPr>
                <w:rFonts w:ascii="宋体" w:hAnsi="宋体" w:cs="宋体"/>
                <w:b/>
                <w:bCs/>
                <w:szCs w:val="21"/>
              </w:rPr>
            </w:pPr>
            <w:r>
              <w:rPr>
                <w:rFonts w:hint="eastAsia" w:ascii="宋体" w:hAnsi="宋体" w:cs="宋体"/>
                <w:b/>
                <w:bCs/>
                <w:szCs w:val="21"/>
              </w:rPr>
              <w:t>□</w:t>
            </w:r>
            <w:r>
              <w:rPr>
                <w:rFonts w:ascii="宋体" w:hAnsi="宋体" w:cs="宋体"/>
                <w:b/>
                <w:bCs/>
                <w:szCs w:val="21"/>
                <w:u w:val="single"/>
              </w:rPr>
              <w:t xml:space="preserve">         </w:t>
            </w:r>
          </w:p>
        </w:tc>
        <w:tc>
          <w:tcPr>
            <w:tcW w:w="709" w:type="dxa"/>
            <w:vAlign w:val="center"/>
          </w:tcPr>
          <w:p w14:paraId="6AA6FD8E">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0EF53977">
            <w:pPr>
              <w:pStyle w:val="299"/>
              <w:spacing w:line="400" w:lineRule="exact"/>
              <w:rPr>
                <w:rFonts w:ascii="宋体" w:hAnsi="宋体" w:cs="宋体"/>
                <w:szCs w:val="21"/>
              </w:rPr>
            </w:pPr>
            <w:r>
              <w:rPr>
                <w:rFonts w:ascii="宋体" w:hAnsi="宋体" w:cs="宋体"/>
                <w:szCs w:val="21"/>
                <w:u w:val="single"/>
              </w:rPr>
              <w:t xml:space="preserve">        </w:t>
            </w:r>
          </w:p>
        </w:tc>
      </w:tr>
      <w:tr w14:paraId="34F0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dxa"/>
            <w:vMerge w:val="continue"/>
            <w:vAlign w:val="center"/>
          </w:tcPr>
          <w:p w14:paraId="598753FC">
            <w:pPr>
              <w:pStyle w:val="299"/>
              <w:spacing w:line="400" w:lineRule="exact"/>
              <w:jc w:val="center"/>
              <w:rPr>
                <w:rFonts w:ascii="宋体" w:hAnsi="宋体" w:cs="宋体"/>
                <w:szCs w:val="21"/>
              </w:rPr>
            </w:pPr>
          </w:p>
        </w:tc>
        <w:tc>
          <w:tcPr>
            <w:tcW w:w="557" w:type="dxa"/>
            <w:vMerge w:val="continue"/>
            <w:vAlign w:val="center"/>
          </w:tcPr>
          <w:p w14:paraId="460CB08E">
            <w:pPr>
              <w:pStyle w:val="299"/>
              <w:spacing w:line="400" w:lineRule="exact"/>
              <w:jc w:val="center"/>
              <w:rPr>
                <w:rFonts w:ascii="宋体" w:hAnsi="宋体" w:cs="宋体"/>
                <w:szCs w:val="21"/>
              </w:rPr>
            </w:pPr>
          </w:p>
        </w:tc>
        <w:tc>
          <w:tcPr>
            <w:tcW w:w="873" w:type="dxa"/>
            <w:vMerge w:val="restart"/>
            <w:vAlign w:val="center"/>
          </w:tcPr>
          <w:p w14:paraId="5517358D">
            <w:pPr>
              <w:pStyle w:val="299"/>
              <w:spacing w:line="400" w:lineRule="exact"/>
              <w:jc w:val="center"/>
              <w:rPr>
                <w:rFonts w:ascii="宋体" w:hAnsi="宋体" w:cs="宋体"/>
                <w:szCs w:val="21"/>
              </w:rPr>
            </w:pPr>
            <w:r>
              <w:rPr>
                <w:rFonts w:hint="eastAsia" w:ascii="宋体" w:hAnsi="宋体" w:cs="宋体"/>
                <w:b/>
                <w:bCs/>
                <w:szCs w:val="21"/>
              </w:rPr>
              <w:sym w:font="Wingdings 2" w:char="00A3"/>
            </w:r>
            <w:r>
              <w:rPr>
                <w:rStyle w:val="58"/>
                <w:rFonts w:hint="eastAsia"/>
              </w:rPr>
              <w:t>其他</w:t>
            </w:r>
          </w:p>
        </w:tc>
        <w:tc>
          <w:tcPr>
            <w:tcW w:w="851" w:type="dxa"/>
            <w:vMerge w:val="restart"/>
            <w:vAlign w:val="center"/>
          </w:tcPr>
          <w:p w14:paraId="51B2EAD9">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7F9241BA">
            <w:pPr>
              <w:pStyle w:val="299"/>
              <w:adjustRightInd w:val="0"/>
              <w:snapToGrid w:val="0"/>
              <w:spacing w:line="380" w:lineRule="exact"/>
              <w:rPr>
                <w:rFonts w:ascii="宋体" w:hAnsi="宋体" w:cs="宋体"/>
                <w:szCs w:val="21"/>
              </w:rPr>
            </w:pPr>
            <w:r>
              <w:rPr>
                <w:rFonts w:hint="eastAsia" w:ascii="宋体" w:hAnsi="宋体" w:cs="宋体"/>
                <w:color w:val="auto"/>
                <w:szCs w:val="21"/>
                <w:highlight w:val="none"/>
              </w:rPr>
              <w:t>……</w:t>
            </w:r>
          </w:p>
        </w:tc>
        <w:tc>
          <w:tcPr>
            <w:tcW w:w="709" w:type="dxa"/>
            <w:vAlign w:val="center"/>
          </w:tcPr>
          <w:p w14:paraId="12E984AB">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0BDB170E">
            <w:pPr>
              <w:pStyle w:val="299"/>
              <w:spacing w:line="400" w:lineRule="exact"/>
              <w:rPr>
                <w:rFonts w:ascii="宋体" w:hAnsi="宋体" w:cs="宋体"/>
                <w:szCs w:val="21"/>
              </w:rPr>
            </w:pPr>
            <w:r>
              <w:rPr>
                <w:rFonts w:ascii="宋体" w:hAnsi="宋体" w:cs="宋体"/>
                <w:szCs w:val="21"/>
                <w:u w:val="single"/>
              </w:rPr>
              <w:t xml:space="preserve">        </w:t>
            </w:r>
          </w:p>
        </w:tc>
      </w:tr>
      <w:tr w14:paraId="3D09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75" w:type="dxa"/>
            <w:vMerge w:val="continue"/>
            <w:vAlign w:val="center"/>
          </w:tcPr>
          <w:p w14:paraId="72FF8B79">
            <w:pPr>
              <w:pStyle w:val="299"/>
              <w:spacing w:line="400" w:lineRule="exact"/>
              <w:jc w:val="center"/>
              <w:rPr>
                <w:rFonts w:ascii="宋体" w:hAnsi="宋体" w:cs="宋体"/>
                <w:szCs w:val="21"/>
              </w:rPr>
            </w:pPr>
          </w:p>
        </w:tc>
        <w:tc>
          <w:tcPr>
            <w:tcW w:w="557" w:type="dxa"/>
            <w:vMerge w:val="continue"/>
            <w:vAlign w:val="center"/>
          </w:tcPr>
          <w:p w14:paraId="590A0A42">
            <w:pPr>
              <w:pStyle w:val="299"/>
              <w:spacing w:line="400" w:lineRule="exact"/>
              <w:jc w:val="center"/>
              <w:rPr>
                <w:rFonts w:ascii="宋体" w:hAnsi="宋体" w:cs="宋体"/>
                <w:szCs w:val="21"/>
              </w:rPr>
            </w:pPr>
          </w:p>
        </w:tc>
        <w:tc>
          <w:tcPr>
            <w:tcW w:w="873" w:type="dxa"/>
            <w:vMerge w:val="continue"/>
            <w:vAlign w:val="center"/>
          </w:tcPr>
          <w:p w14:paraId="0142C087">
            <w:pPr>
              <w:pStyle w:val="299"/>
              <w:spacing w:line="400" w:lineRule="exact"/>
              <w:jc w:val="center"/>
              <w:rPr>
                <w:rFonts w:ascii="宋体" w:hAnsi="宋体" w:cs="宋体"/>
                <w:szCs w:val="21"/>
              </w:rPr>
            </w:pPr>
          </w:p>
        </w:tc>
        <w:tc>
          <w:tcPr>
            <w:tcW w:w="851" w:type="dxa"/>
            <w:vMerge w:val="continue"/>
            <w:vAlign w:val="center"/>
          </w:tcPr>
          <w:p w14:paraId="32B4FA0D">
            <w:pPr>
              <w:pStyle w:val="299"/>
              <w:spacing w:line="400" w:lineRule="exact"/>
              <w:rPr>
                <w:rFonts w:ascii="宋体" w:hAnsi="宋体" w:cs="宋体"/>
                <w:szCs w:val="21"/>
              </w:rPr>
            </w:pPr>
          </w:p>
        </w:tc>
        <w:tc>
          <w:tcPr>
            <w:tcW w:w="1338" w:type="dxa"/>
            <w:gridSpan w:val="2"/>
            <w:vAlign w:val="center"/>
          </w:tcPr>
          <w:p w14:paraId="2C5200EC">
            <w:pPr>
              <w:pStyle w:val="299"/>
              <w:adjustRightInd w:val="0"/>
              <w:snapToGrid w:val="0"/>
              <w:spacing w:line="380" w:lineRule="exact"/>
              <w:rPr>
                <w:rFonts w:ascii="宋体" w:hAnsi="宋体" w:cs="宋体"/>
                <w:szCs w:val="21"/>
              </w:rPr>
            </w:pPr>
            <w:r>
              <w:rPr>
                <w:rFonts w:hint="eastAsia" w:ascii="宋体" w:hAnsi="宋体" w:cs="宋体"/>
                <w:color w:val="auto"/>
                <w:szCs w:val="21"/>
                <w:highlight w:val="none"/>
              </w:rPr>
              <w:t>……</w:t>
            </w:r>
          </w:p>
        </w:tc>
        <w:tc>
          <w:tcPr>
            <w:tcW w:w="709" w:type="dxa"/>
            <w:vAlign w:val="center"/>
          </w:tcPr>
          <w:p w14:paraId="333DF33F">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594" w:type="dxa"/>
            <w:vAlign w:val="center"/>
          </w:tcPr>
          <w:p w14:paraId="2A4F2A4D">
            <w:pPr>
              <w:pStyle w:val="299"/>
              <w:spacing w:line="400" w:lineRule="exact"/>
              <w:rPr>
                <w:rFonts w:ascii="宋体" w:hAnsi="宋体" w:cs="宋体"/>
                <w:szCs w:val="21"/>
              </w:rPr>
            </w:pPr>
            <w:r>
              <w:rPr>
                <w:rFonts w:ascii="宋体" w:hAnsi="宋体" w:cs="宋体"/>
                <w:szCs w:val="21"/>
                <w:u w:val="single"/>
              </w:rPr>
              <w:t xml:space="preserve">        </w:t>
            </w:r>
          </w:p>
        </w:tc>
      </w:tr>
      <w:tr w14:paraId="1EC0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8"/>
            <w:vAlign w:val="center"/>
          </w:tcPr>
          <w:p w14:paraId="69CE175E">
            <w:pPr>
              <w:pStyle w:val="299"/>
              <w:spacing w:line="400" w:lineRule="exact"/>
              <w:rPr>
                <w:rFonts w:hint="eastAsia" w:ascii="宋体" w:hAnsi="宋体" w:cs="宋体"/>
                <w:szCs w:val="21"/>
              </w:rPr>
            </w:pPr>
            <w:r>
              <w:rPr>
                <w:rFonts w:hint="eastAsia"/>
                <w:lang w:val="en-US" w:eastAsia="zh-CN"/>
              </w:rPr>
              <w:t>注</w:t>
            </w:r>
            <w:r>
              <w:rPr>
                <w:rFonts w:hint="eastAsia" w:ascii="宋体" w:hAnsi="宋体" w:cs="宋体"/>
                <w:lang w:val="en-US" w:eastAsia="zh-CN"/>
              </w:rPr>
              <w:t>：</w:t>
            </w:r>
            <w:r>
              <w:rPr>
                <w:rFonts w:hint="eastAsia" w:ascii="宋体" w:hAnsi="宋体" w:cs="宋体"/>
              </w:rPr>
              <w:t>其他因素D得分为技术能力G、业绩C、履约信誉H、其他等得分合计，即：D=G+C+H+…</w:t>
            </w:r>
            <w:r>
              <w:rPr>
                <w:rFonts w:hint="eastAsia"/>
              </w:rPr>
              <w:t>。</w:t>
            </w:r>
          </w:p>
        </w:tc>
      </w:tr>
      <w:tr w14:paraId="584F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8"/>
            <w:vAlign w:val="center"/>
          </w:tcPr>
          <w:p w14:paraId="5A4DB5A2">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441B9713">
            <w:pPr>
              <w:pStyle w:val="299"/>
              <w:spacing w:line="400" w:lineRule="exact"/>
              <w:rPr>
                <w:rFonts w:ascii="宋体" w:hAnsi="宋体" w:cs="宋体"/>
                <w:szCs w:val="21"/>
                <w:u w:val="single"/>
              </w:rPr>
            </w:pPr>
            <w:r>
              <w:rPr>
                <w:rFonts w:hint="eastAsia" w:ascii="宋体" w:hAnsi="宋体" w:cs="宋体"/>
                <w:szCs w:val="21"/>
              </w:rPr>
              <w:t>……</w:t>
            </w:r>
          </w:p>
        </w:tc>
      </w:tr>
    </w:tbl>
    <w:p w14:paraId="1FB62984">
      <w:pPr>
        <w:pStyle w:val="299"/>
        <w:adjustRightInd w:val="0"/>
        <w:snapToGrid w:val="0"/>
        <w:spacing w:line="380" w:lineRule="exact"/>
        <w:rPr>
          <w:rFonts w:ascii="宋体" w:hAnsi="宋体"/>
        </w:rPr>
      </w:pPr>
      <w:bookmarkStart w:id="652" w:name="_Toc53685667"/>
      <w:r>
        <w:rPr>
          <w:rFonts w:hint="eastAsia"/>
          <w:lang w:val="en-US" w:eastAsia="zh-CN"/>
        </w:rPr>
        <w:t>注：</w:t>
      </w:r>
      <w:r>
        <w:rPr>
          <w:rFonts w:hint="eastAsia" w:ascii="宋体" w:hAnsi="宋体"/>
        </w:rPr>
        <w:t>招标人应根据项目具体情况确定各评分因素及评分因素权重分值，并对各评分因素进行细分（如有）、确定各评分因素细分项的分值，</w:t>
      </w:r>
      <w:r>
        <w:rPr>
          <w:rFonts w:hint="eastAsia" w:ascii="宋体" w:hAnsi="宋体" w:cs="宋体"/>
        </w:rPr>
        <w:t>各评分因素细分项权重分值合计应为各项评分因素权重分值满分</w:t>
      </w:r>
      <w:r>
        <w:rPr>
          <w:rFonts w:hint="eastAsia" w:ascii="宋体" w:hAnsi="宋体"/>
        </w:rPr>
        <w:t>。各评分因素（评标价和履约信誉评分项除外）得分一般不得低于其权重分值的</w:t>
      </w:r>
      <w:r>
        <w:rPr>
          <w:rFonts w:ascii="宋体" w:hAnsi="宋体"/>
        </w:rPr>
        <w:t>60%</w:t>
      </w:r>
      <w:r>
        <w:rPr>
          <w:rFonts w:hint="eastAsia" w:ascii="宋体" w:hAnsi="宋体"/>
        </w:rPr>
        <w:t>。评标委员会成员对某一项评分因素的评分低于权重分值60%的，应在评标报告中作出说明。</w:t>
      </w:r>
    </w:p>
    <w:p w14:paraId="5E4DAE0C">
      <w:pPr>
        <w:adjustRightInd w:val="0"/>
        <w:snapToGrid w:val="0"/>
        <w:spacing w:before="0" w:beforeLines="0" w:after="0" w:afterLines="0"/>
        <w:jc w:val="left"/>
        <w:rPr>
          <w:rStyle w:val="128"/>
          <w:rFonts w:ascii="黑体" w:hAnsi="黑体" w:cs="黑体"/>
          <w:b/>
          <w:bCs w:val="0"/>
          <w:sz w:val="30"/>
          <w:szCs w:val="30"/>
        </w:rPr>
      </w:pPr>
      <w:r>
        <w:rPr>
          <w:rStyle w:val="128"/>
          <w:rFonts w:ascii="黑体" w:hAnsi="黑体" w:cs="黑体"/>
          <w:b/>
          <w:bCs w:val="0"/>
          <w:sz w:val="30"/>
          <w:szCs w:val="30"/>
        </w:rPr>
        <w:br w:type="page"/>
      </w:r>
    </w:p>
    <w:p w14:paraId="19FAD3F1">
      <w:pPr>
        <w:pStyle w:val="3"/>
        <w:adjustRightInd w:val="0"/>
        <w:snapToGrid w:val="0"/>
        <w:spacing w:before="0" w:beforeLines="0" w:after="0" w:afterLines="0" w:line="360" w:lineRule="auto"/>
        <w:jc w:val="left"/>
        <w:rPr>
          <w:rStyle w:val="128"/>
          <w:rFonts w:ascii="黑体" w:hAnsi="黑体" w:cs="黑体"/>
          <w:b/>
          <w:bCs w:val="0"/>
          <w:sz w:val="30"/>
          <w:szCs w:val="30"/>
        </w:rPr>
      </w:pPr>
      <w:r>
        <w:rPr>
          <w:rStyle w:val="128"/>
          <w:rFonts w:ascii="黑体" w:hAnsi="黑体" w:cs="黑体"/>
          <w:b/>
          <w:bCs w:val="0"/>
          <w:sz w:val="30"/>
          <w:szCs w:val="30"/>
        </w:rPr>
        <w:t>评标办法（</w:t>
      </w:r>
      <w:r>
        <w:rPr>
          <w:rFonts w:hint="eastAsia" w:ascii="黑体" w:hAnsi="黑体" w:cs="黑体"/>
          <w:sz w:val="30"/>
          <w:szCs w:val="30"/>
        </w:rPr>
        <w:t>技术评分最低标价法</w:t>
      </w:r>
      <w:r>
        <w:rPr>
          <w:rStyle w:val="128"/>
          <w:rFonts w:hint="eastAsia" w:ascii="黑体" w:hAnsi="黑体" w:cs="黑体"/>
          <w:b/>
          <w:bCs w:val="0"/>
          <w:sz w:val="30"/>
          <w:szCs w:val="30"/>
        </w:rPr>
        <w:t>正文）</w:t>
      </w:r>
      <w:bookmarkEnd w:id="652"/>
    </w:p>
    <w:p w14:paraId="2D1A72EC">
      <w:pPr>
        <w:pStyle w:val="2"/>
        <w:spacing w:before="360" w:after="240" w:line="240" w:lineRule="atLeast"/>
        <w:rPr>
          <w:rFonts w:ascii="黑体"/>
          <w:b/>
          <w:bCs w:val="0"/>
          <w:sz w:val="28"/>
          <w:szCs w:val="28"/>
        </w:rPr>
      </w:pPr>
      <w:bookmarkStart w:id="653" w:name="_Toc53685668"/>
      <w:r>
        <w:rPr>
          <w:rFonts w:hint="eastAsia" w:ascii="黑体"/>
          <w:b/>
          <w:bCs w:val="0"/>
          <w:sz w:val="28"/>
          <w:szCs w:val="28"/>
        </w:rPr>
        <w:t>1.评标方法</w:t>
      </w:r>
      <w:bookmarkEnd w:id="653"/>
      <w:r>
        <w:rPr>
          <w:rFonts w:ascii="黑体"/>
          <w:b/>
          <w:bCs w:val="0"/>
          <w:sz w:val="28"/>
          <w:szCs w:val="28"/>
        </w:rPr>
        <w:t xml:space="preserve"> </w:t>
      </w:r>
    </w:p>
    <w:p w14:paraId="4BCFF909">
      <w:pPr>
        <w:widowControl/>
        <w:spacing w:line="360" w:lineRule="auto"/>
        <w:ind w:firstLine="480" w:firstLineChars="200"/>
        <w:rPr>
          <w:rFonts w:ascii="宋体" w:hAnsi="宋体"/>
          <w:kern w:val="0"/>
          <w:sz w:val="24"/>
        </w:rPr>
      </w:pPr>
      <w:r>
        <w:rPr>
          <w:rFonts w:hint="eastAsia" w:ascii="宋体" w:hAnsi="宋体"/>
          <w:kern w:val="0"/>
          <w:sz w:val="24"/>
        </w:rPr>
        <w:t>本次评标采用技术评分最低标价法。评标委员会对满足招标文件实质性要求的投标文件，根据本章第</w:t>
      </w:r>
      <w:r>
        <w:rPr>
          <w:rFonts w:ascii="宋体" w:hAnsi="宋体"/>
          <w:kern w:val="0"/>
          <w:sz w:val="24"/>
        </w:rPr>
        <w:t>2.2</w:t>
      </w:r>
      <w:r>
        <w:rPr>
          <w:rFonts w:hint="eastAsia" w:ascii="宋体" w:hAnsi="宋体"/>
          <w:kern w:val="0"/>
          <w:sz w:val="24"/>
        </w:rPr>
        <w:t>款规定第一个信封（商务及技术文件）的评分标准进行打分，按照得分由高到低排序</w:t>
      </w:r>
      <w:r>
        <w:rPr>
          <w:rFonts w:ascii="宋体" w:hAnsi="宋体"/>
          <w:kern w:val="0"/>
          <w:sz w:val="24"/>
        </w:rPr>
        <w:t>，对排名在招标文件规定的数量以内的</w:t>
      </w:r>
      <w:r>
        <w:rPr>
          <w:rFonts w:hint="eastAsia" w:ascii="宋体" w:hAnsi="宋体"/>
          <w:kern w:val="0"/>
          <w:sz w:val="24"/>
        </w:rPr>
        <w:t>第二个信封</w:t>
      </w:r>
      <w:r>
        <w:rPr>
          <w:rFonts w:hint="eastAsia" w:ascii="宋体" w:hAnsi="宋体"/>
          <w:kern w:val="0"/>
          <w:sz w:val="24"/>
          <w:lang w:eastAsia="zh-CN"/>
        </w:rPr>
        <w:t>（</w:t>
      </w:r>
      <w:r>
        <w:rPr>
          <w:rFonts w:ascii="宋体" w:hAnsi="宋体"/>
          <w:kern w:val="0"/>
          <w:sz w:val="24"/>
        </w:rPr>
        <w:t>报</w:t>
      </w:r>
      <w:r>
        <w:rPr>
          <w:rFonts w:hint="eastAsia" w:ascii="宋体" w:hAnsi="宋体"/>
          <w:kern w:val="0"/>
          <w:sz w:val="24"/>
        </w:rPr>
        <w:t>价文件</w:t>
      </w:r>
      <w:r>
        <w:rPr>
          <w:rFonts w:hint="eastAsia" w:ascii="宋体" w:hAnsi="宋体"/>
          <w:kern w:val="0"/>
          <w:sz w:val="24"/>
          <w:lang w:eastAsia="zh-CN"/>
        </w:rPr>
        <w:t>）</w:t>
      </w:r>
      <w:r>
        <w:rPr>
          <w:rFonts w:ascii="宋体" w:hAnsi="宋体"/>
          <w:kern w:val="0"/>
          <w:sz w:val="24"/>
        </w:rPr>
        <w:t>进行评审，按照评标价由低到</w:t>
      </w:r>
      <w:r>
        <w:rPr>
          <w:rFonts w:hint="eastAsia" w:ascii="宋体" w:hAnsi="宋体"/>
          <w:kern w:val="0"/>
          <w:sz w:val="24"/>
        </w:rPr>
        <w:t>高的顺序推荐中标候选人，或根据招标人授权直接确定中标人，但投标报价低于其成本的除外。评标价相等时，评标委员会应按照评标办法前附表规定的优先次序推荐中标候选人或确定中标人。</w:t>
      </w:r>
      <w:r>
        <w:rPr>
          <w:rFonts w:ascii="宋体" w:hAnsi="宋体"/>
          <w:kern w:val="0"/>
          <w:sz w:val="24"/>
        </w:rPr>
        <w:t xml:space="preserve"> </w:t>
      </w:r>
    </w:p>
    <w:p w14:paraId="2C95EC3C">
      <w:pPr>
        <w:pStyle w:val="2"/>
        <w:spacing w:before="360" w:after="240" w:line="240" w:lineRule="atLeast"/>
        <w:rPr>
          <w:rFonts w:ascii="黑体"/>
          <w:b/>
          <w:bCs w:val="0"/>
          <w:sz w:val="28"/>
          <w:szCs w:val="28"/>
        </w:rPr>
      </w:pPr>
      <w:bookmarkStart w:id="654" w:name="_Toc53685669"/>
      <w:r>
        <w:rPr>
          <w:rFonts w:hint="eastAsia" w:ascii="黑体"/>
          <w:b/>
          <w:bCs w:val="0"/>
          <w:sz w:val="28"/>
          <w:szCs w:val="28"/>
        </w:rPr>
        <w:t>2.评审标准</w:t>
      </w:r>
      <w:bookmarkEnd w:id="654"/>
      <w:r>
        <w:rPr>
          <w:rFonts w:ascii="黑体"/>
          <w:b/>
          <w:bCs w:val="0"/>
          <w:sz w:val="28"/>
          <w:szCs w:val="28"/>
        </w:rPr>
        <w:t xml:space="preserve"> </w:t>
      </w:r>
    </w:p>
    <w:p w14:paraId="5C341D8F">
      <w:pPr>
        <w:pStyle w:val="2"/>
        <w:spacing w:before="0" w:after="0" w:line="360" w:lineRule="auto"/>
        <w:rPr>
          <w:rFonts w:hint="eastAsia" w:ascii="黑体"/>
          <w:b w:val="0"/>
          <w:sz w:val="28"/>
          <w:szCs w:val="28"/>
        </w:rPr>
      </w:pPr>
      <w:bookmarkStart w:id="655" w:name="_Toc53685670"/>
      <w:r>
        <w:rPr>
          <w:rFonts w:hint="eastAsia" w:ascii="黑体"/>
          <w:b w:val="0"/>
          <w:sz w:val="28"/>
          <w:szCs w:val="28"/>
        </w:rPr>
        <w:t>2.1 初步评审标准</w:t>
      </w:r>
      <w:bookmarkEnd w:id="655"/>
      <w:r>
        <w:rPr>
          <w:rFonts w:hint="eastAsia" w:ascii="黑体"/>
          <w:b w:val="0"/>
          <w:sz w:val="28"/>
          <w:szCs w:val="28"/>
        </w:rPr>
        <w:t xml:space="preserve"> </w:t>
      </w:r>
    </w:p>
    <w:p w14:paraId="2F151EDA">
      <w:pPr>
        <w:widowControl/>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 xml:space="preserve">2.1.1 </w:t>
      </w:r>
      <w:r>
        <w:rPr>
          <w:rFonts w:hint="eastAsia" w:ascii="宋体" w:hAnsi="宋体" w:cs="宋体"/>
          <w:kern w:val="0"/>
          <w:sz w:val="24"/>
        </w:rPr>
        <w:t>形式评审标准：见评标办法前附表。</w:t>
      </w:r>
    </w:p>
    <w:p w14:paraId="037A21D7">
      <w:pPr>
        <w:widowControl/>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2.1.2</w:t>
      </w:r>
      <w:r>
        <w:rPr>
          <w:rFonts w:ascii="宋体" w:hAnsi="宋体" w:cs="宋体"/>
          <w:kern w:val="0"/>
          <w:sz w:val="24"/>
        </w:rPr>
        <w:t xml:space="preserve"> 资格评审标准：见评标办法前附表。</w:t>
      </w:r>
    </w:p>
    <w:p w14:paraId="0FF89B73">
      <w:pPr>
        <w:widowControl/>
        <w:adjustRightInd w:val="0"/>
        <w:snapToGrid w:val="0"/>
        <w:spacing w:line="360" w:lineRule="auto"/>
        <w:ind w:firstLine="480" w:firstLineChars="200"/>
        <w:rPr>
          <w:rFonts w:ascii="宋体" w:hAnsi="宋体"/>
          <w:kern w:val="0"/>
          <w:sz w:val="24"/>
        </w:rPr>
      </w:pPr>
      <w:r>
        <w:rPr>
          <w:rFonts w:ascii="宋体" w:hAnsi="宋体"/>
          <w:bCs/>
          <w:kern w:val="0"/>
          <w:sz w:val="24"/>
        </w:rPr>
        <w:t>2.1.3</w:t>
      </w:r>
      <w:r>
        <w:rPr>
          <w:rFonts w:ascii="宋体" w:hAnsi="宋体"/>
          <w:kern w:val="0"/>
          <w:sz w:val="24"/>
        </w:rPr>
        <w:t xml:space="preserve"> 响应性评审标准：见评标办法前附表。</w:t>
      </w:r>
    </w:p>
    <w:p w14:paraId="3FD6376C">
      <w:pPr>
        <w:pStyle w:val="2"/>
        <w:spacing w:before="0" w:after="0" w:line="360" w:lineRule="auto"/>
        <w:rPr>
          <w:rFonts w:hint="eastAsia" w:ascii="黑体"/>
          <w:b w:val="0"/>
          <w:sz w:val="28"/>
          <w:szCs w:val="28"/>
        </w:rPr>
      </w:pPr>
      <w:bookmarkStart w:id="656" w:name="_Toc53685671"/>
      <w:r>
        <w:rPr>
          <w:rFonts w:hint="eastAsia" w:ascii="黑体"/>
          <w:b w:val="0"/>
          <w:sz w:val="28"/>
          <w:szCs w:val="28"/>
        </w:rPr>
        <w:t>2.2分值构成与评分标准</w:t>
      </w:r>
      <w:bookmarkEnd w:id="656"/>
    </w:p>
    <w:p w14:paraId="6F368F73">
      <w:pPr>
        <w:widowControl/>
        <w:adjustRightInd w:val="0"/>
        <w:snapToGrid w:val="0"/>
        <w:spacing w:line="360" w:lineRule="auto"/>
        <w:ind w:firstLine="480" w:firstLineChars="200"/>
        <w:rPr>
          <w:rFonts w:ascii="宋体" w:hAnsi="宋体"/>
          <w:kern w:val="0"/>
          <w:sz w:val="24"/>
        </w:rPr>
      </w:pPr>
      <w:r>
        <w:rPr>
          <w:rFonts w:ascii="宋体" w:hAnsi="宋体" w:cs="宋体"/>
          <w:kern w:val="0"/>
          <w:sz w:val="24"/>
        </w:rPr>
        <w:t>2.2.1</w:t>
      </w:r>
      <w:r>
        <w:rPr>
          <w:rFonts w:hint="eastAsia" w:ascii="宋体" w:hAnsi="宋体" w:cs="宋体"/>
          <w:kern w:val="0"/>
          <w:sz w:val="24"/>
          <w:lang w:val="en-US" w:eastAsia="zh-CN"/>
        </w:rPr>
        <w:t xml:space="preserve"> </w:t>
      </w:r>
      <w:r>
        <w:rPr>
          <w:rFonts w:ascii="宋体" w:hAnsi="宋体" w:cs="宋体"/>
          <w:kern w:val="0"/>
          <w:sz w:val="24"/>
        </w:rPr>
        <w:t>第一个信封评分</w:t>
      </w:r>
      <w:r>
        <w:rPr>
          <w:rFonts w:hint="eastAsia" w:ascii="宋体" w:hAnsi="宋体" w:cs="宋体"/>
          <w:kern w:val="0"/>
          <w:sz w:val="24"/>
        </w:rPr>
        <w:t>分值构成</w:t>
      </w:r>
    </w:p>
    <w:p w14:paraId="24813C66">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1）设计施工</w:t>
      </w:r>
      <w:r>
        <w:rPr>
          <w:rFonts w:hint="eastAsia" w:ascii="宋体" w:hAnsi="宋体"/>
          <w:kern w:val="0"/>
          <w:sz w:val="24"/>
        </w:rPr>
        <w:t>总承包</w:t>
      </w:r>
      <w:r>
        <w:rPr>
          <w:rFonts w:ascii="宋体" w:hAnsi="宋体"/>
          <w:kern w:val="0"/>
          <w:sz w:val="24"/>
        </w:rPr>
        <w:t>方案：见评标办法前附表。</w:t>
      </w:r>
    </w:p>
    <w:p w14:paraId="00C7B394">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2）主要人员：见评标办法前附表。</w:t>
      </w:r>
    </w:p>
    <w:p w14:paraId="02709B0D">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3）其他评分因素</w:t>
      </w:r>
      <w:r>
        <w:rPr>
          <w:rFonts w:hint="eastAsia" w:ascii="宋体" w:hAnsi="宋体"/>
          <w:kern w:val="0"/>
          <w:sz w:val="24"/>
        </w:rPr>
        <w:t>：见评标办法前附表。</w:t>
      </w:r>
    </w:p>
    <w:p w14:paraId="39C5C056">
      <w:pPr>
        <w:widowControl/>
        <w:adjustRightInd w:val="0"/>
        <w:snapToGrid w:val="0"/>
        <w:spacing w:line="360" w:lineRule="auto"/>
        <w:ind w:firstLine="480" w:firstLineChars="200"/>
        <w:rPr>
          <w:rFonts w:ascii="宋体" w:hAnsi="宋体"/>
          <w:sz w:val="24"/>
        </w:rPr>
      </w:pPr>
      <w:r>
        <w:rPr>
          <w:rFonts w:ascii="宋体" w:hAnsi="宋体"/>
          <w:sz w:val="24"/>
        </w:rPr>
        <w:t>2.2.2</w:t>
      </w:r>
      <w:r>
        <w:rPr>
          <w:rFonts w:hint="eastAsia" w:ascii="宋体" w:hAnsi="宋体"/>
          <w:sz w:val="24"/>
          <w:lang w:val="en-US" w:eastAsia="zh-CN"/>
        </w:rPr>
        <w:t xml:space="preserve"> </w:t>
      </w:r>
      <w:r>
        <w:rPr>
          <w:rFonts w:hint="eastAsia" w:ascii="宋体" w:hAnsi="宋体"/>
          <w:sz w:val="24"/>
        </w:rPr>
        <w:t>第一个信封</w:t>
      </w:r>
      <w:r>
        <w:rPr>
          <w:rFonts w:ascii="宋体" w:hAnsi="宋体"/>
          <w:sz w:val="24"/>
        </w:rPr>
        <w:t>评分</w:t>
      </w:r>
      <w:r>
        <w:rPr>
          <w:rFonts w:hint="eastAsia" w:ascii="宋体" w:hAnsi="宋体"/>
          <w:sz w:val="24"/>
        </w:rPr>
        <w:t>标准</w:t>
      </w:r>
    </w:p>
    <w:p w14:paraId="0EF8F96A">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1）设计施工</w:t>
      </w:r>
      <w:r>
        <w:rPr>
          <w:rFonts w:hint="eastAsia" w:ascii="宋体" w:hAnsi="宋体"/>
          <w:kern w:val="0"/>
          <w:sz w:val="24"/>
        </w:rPr>
        <w:t>总承包</w:t>
      </w:r>
      <w:r>
        <w:rPr>
          <w:rFonts w:ascii="宋体" w:hAnsi="宋体"/>
          <w:kern w:val="0"/>
          <w:sz w:val="24"/>
        </w:rPr>
        <w:t>方案评分标准：见评标办法前附表。</w:t>
      </w:r>
    </w:p>
    <w:p w14:paraId="0E97D226">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2）主要人员评分标准：见评标办法前附表。</w:t>
      </w:r>
    </w:p>
    <w:p w14:paraId="2C653377">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3）其他因素</w:t>
      </w:r>
      <w:r>
        <w:rPr>
          <w:rFonts w:hint="eastAsia" w:ascii="宋体" w:hAnsi="宋体"/>
          <w:kern w:val="0"/>
          <w:sz w:val="24"/>
        </w:rPr>
        <w:t>评分标准：见评标办法前附表。</w:t>
      </w:r>
    </w:p>
    <w:p w14:paraId="1220E661">
      <w:pPr>
        <w:widowControl/>
        <w:adjustRightInd w:val="0"/>
        <w:snapToGrid w:val="0"/>
        <w:spacing w:line="360" w:lineRule="auto"/>
        <w:ind w:firstLine="480" w:firstLineChars="200"/>
        <w:rPr>
          <w:rFonts w:ascii="宋体" w:hAnsi="宋体"/>
          <w:kern w:val="0"/>
          <w:sz w:val="24"/>
        </w:rPr>
      </w:pPr>
      <w:r>
        <w:rPr>
          <w:rFonts w:ascii="宋体" w:hAnsi="宋体"/>
          <w:sz w:val="24"/>
        </w:rPr>
        <w:t>2.2.3</w:t>
      </w:r>
      <w:r>
        <w:rPr>
          <w:rFonts w:hint="eastAsia" w:ascii="宋体" w:hAnsi="宋体"/>
          <w:sz w:val="24"/>
          <w:lang w:val="en-US" w:eastAsia="zh-CN"/>
        </w:rPr>
        <w:t xml:space="preserve"> </w:t>
      </w:r>
      <w:r>
        <w:rPr>
          <w:rFonts w:ascii="宋体" w:hAnsi="宋体"/>
          <w:sz w:val="24"/>
        </w:rPr>
        <w:t>第二个信封详细评审标准</w:t>
      </w:r>
      <w:r>
        <w:rPr>
          <w:rFonts w:hint="eastAsia" w:ascii="宋体" w:hAnsi="宋体"/>
          <w:sz w:val="24"/>
        </w:rPr>
        <w:t>：</w:t>
      </w:r>
      <w:r>
        <w:rPr>
          <w:rFonts w:hint="eastAsia" w:ascii="宋体" w:hAnsi="宋体"/>
          <w:kern w:val="0"/>
          <w:sz w:val="24"/>
        </w:rPr>
        <w:t>见评标办法前附表。</w:t>
      </w:r>
    </w:p>
    <w:p w14:paraId="7A7E74A6">
      <w:pPr>
        <w:pStyle w:val="2"/>
        <w:spacing w:before="360" w:after="240" w:line="240" w:lineRule="atLeast"/>
        <w:rPr>
          <w:rFonts w:ascii="黑体"/>
          <w:b/>
          <w:bCs w:val="0"/>
          <w:sz w:val="28"/>
          <w:szCs w:val="28"/>
        </w:rPr>
      </w:pPr>
      <w:bookmarkStart w:id="657" w:name="_Toc53685672"/>
      <w:r>
        <w:rPr>
          <w:rFonts w:hint="eastAsia" w:ascii="黑体"/>
          <w:b/>
          <w:bCs w:val="0"/>
          <w:sz w:val="28"/>
          <w:szCs w:val="28"/>
        </w:rPr>
        <w:t>3.评标程序</w:t>
      </w:r>
      <w:bookmarkEnd w:id="657"/>
      <w:r>
        <w:rPr>
          <w:rFonts w:ascii="黑体"/>
          <w:b/>
          <w:bCs w:val="0"/>
          <w:sz w:val="28"/>
          <w:szCs w:val="28"/>
        </w:rPr>
        <w:t xml:space="preserve"> </w:t>
      </w:r>
    </w:p>
    <w:p w14:paraId="04B445C3">
      <w:pPr>
        <w:pStyle w:val="2"/>
        <w:spacing w:before="0" w:after="0" w:line="360" w:lineRule="auto"/>
        <w:rPr>
          <w:rFonts w:hint="eastAsia" w:ascii="黑体"/>
          <w:b w:val="0"/>
          <w:sz w:val="28"/>
          <w:szCs w:val="28"/>
        </w:rPr>
      </w:pPr>
      <w:bookmarkStart w:id="658" w:name="_Toc53685673"/>
      <w:r>
        <w:rPr>
          <w:rFonts w:hint="eastAsia" w:ascii="黑体"/>
          <w:b w:val="0"/>
          <w:sz w:val="28"/>
          <w:szCs w:val="28"/>
        </w:rPr>
        <w:t>3.1 第一个信封初步评审</w:t>
      </w:r>
      <w:bookmarkEnd w:id="658"/>
      <w:r>
        <w:rPr>
          <w:rFonts w:hint="eastAsia" w:ascii="黑体"/>
          <w:b w:val="0"/>
          <w:sz w:val="28"/>
          <w:szCs w:val="28"/>
        </w:rPr>
        <w:t xml:space="preserve"> </w:t>
      </w:r>
    </w:p>
    <w:p w14:paraId="2F36FCD6">
      <w:pPr>
        <w:widowControl/>
        <w:snapToGrid w:val="0"/>
        <w:spacing w:line="360" w:lineRule="auto"/>
        <w:ind w:firstLine="480" w:firstLineChars="200"/>
        <w:rPr>
          <w:rFonts w:ascii="宋体" w:hAnsi="宋体"/>
          <w:kern w:val="0"/>
          <w:sz w:val="24"/>
        </w:rPr>
      </w:pPr>
      <w:r>
        <w:rPr>
          <w:rFonts w:ascii="宋体" w:hAnsi="宋体"/>
          <w:kern w:val="0"/>
          <w:sz w:val="24"/>
        </w:rPr>
        <w:t>3.1.1</w:t>
      </w:r>
      <w:r>
        <w:rPr>
          <w:rFonts w:hint="eastAsia" w:ascii="宋体" w:hAnsi="宋体"/>
          <w:kern w:val="0"/>
          <w:sz w:val="24"/>
          <w:lang w:val="en-US" w:eastAsia="zh-CN"/>
        </w:rPr>
        <w:t xml:space="preserve"> </w:t>
      </w:r>
      <w:r>
        <w:rPr>
          <w:rFonts w:hint="eastAsia" w:ascii="宋体" w:hAnsi="宋体"/>
          <w:kern w:val="0"/>
          <w:sz w:val="24"/>
        </w:rPr>
        <w:t>评标委员会依据本章第</w:t>
      </w:r>
      <w:r>
        <w:rPr>
          <w:rFonts w:ascii="宋体" w:hAnsi="宋体"/>
          <w:kern w:val="0"/>
          <w:sz w:val="24"/>
        </w:rPr>
        <w:t>2.1</w:t>
      </w:r>
      <w:r>
        <w:rPr>
          <w:rFonts w:hint="eastAsia" w:ascii="宋体" w:hAnsi="宋体"/>
          <w:kern w:val="0"/>
          <w:sz w:val="24"/>
        </w:rPr>
        <w:t>款规定的标准对投标文件第一个信封（商务及技术文件）进行初步评审。有一项不符合评审标准的，评标委员会应否决其投标。</w:t>
      </w:r>
      <w:r>
        <w:rPr>
          <w:rFonts w:ascii="宋体" w:hAnsi="宋体"/>
          <w:kern w:val="0"/>
          <w:sz w:val="24"/>
        </w:rPr>
        <w:t xml:space="preserve"> </w:t>
      </w:r>
    </w:p>
    <w:p w14:paraId="28754F00">
      <w:pPr>
        <w:pStyle w:val="2"/>
        <w:spacing w:before="0" w:after="0" w:line="360" w:lineRule="auto"/>
        <w:rPr>
          <w:rFonts w:hint="eastAsia" w:ascii="黑体"/>
          <w:b w:val="0"/>
          <w:sz w:val="28"/>
          <w:szCs w:val="28"/>
        </w:rPr>
      </w:pPr>
      <w:bookmarkStart w:id="659" w:name="_Toc53685674"/>
      <w:r>
        <w:rPr>
          <w:rFonts w:hint="eastAsia" w:ascii="黑体"/>
          <w:b w:val="0"/>
          <w:sz w:val="28"/>
          <w:szCs w:val="28"/>
        </w:rPr>
        <w:t>3.2第一个信封详细评审</w:t>
      </w:r>
      <w:bookmarkEnd w:id="659"/>
    </w:p>
    <w:p w14:paraId="07FCFAB4">
      <w:pPr>
        <w:spacing w:line="360" w:lineRule="auto"/>
        <w:ind w:firstLine="480" w:firstLineChars="200"/>
        <w:rPr>
          <w:rFonts w:ascii="宋体" w:hAnsi="宋体" w:cs="宋体"/>
          <w:sz w:val="24"/>
        </w:rPr>
      </w:pPr>
      <w:r>
        <w:rPr>
          <w:rFonts w:ascii="宋体" w:hAnsi="宋体" w:cs="宋体"/>
          <w:sz w:val="24"/>
        </w:rPr>
        <w:t xml:space="preserve">3.2.1 </w:t>
      </w:r>
      <w:r>
        <w:rPr>
          <w:rFonts w:hint="eastAsia" w:ascii="宋体" w:hAnsi="宋体" w:cs="宋体"/>
          <w:sz w:val="24"/>
        </w:rPr>
        <w:t>评标委员会按本章第</w:t>
      </w:r>
      <w:r>
        <w:rPr>
          <w:rFonts w:ascii="宋体" w:hAnsi="宋体" w:cs="宋体"/>
          <w:sz w:val="24"/>
        </w:rPr>
        <w:t>2.2款规定的量化因素和分值进行打分，并计算出各投标人的商务和技术得分。</w:t>
      </w:r>
    </w:p>
    <w:p w14:paraId="75D7385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1）按本章第2.2.2项（1）目规定的评审因素和分值对</w:t>
      </w:r>
      <w:r>
        <w:rPr>
          <w:rFonts w:ascii="宋体" w:hAnsi="宋体"/>
          <w:kern w:val="0"/>
          <w:sz w:val="24"/>
        </w:rPr>
        <w:t>设计施工</w:t>
      </w:r>
      <w:r>
        <w:rPr>
          <w:rFonts w:hint="eastAsia" w:ascii="宋体" w:hAnsi="宋体"/>
          <w:kern w:val="0"/>
          <w:sz w:val="24"/>
        </w:rPr>
        <w:t>总承包</w:t>
      </w:r>
      <w:r>
        <w:rPr>
          <w:rFonts w:ascii="宋体" w:hAnsi="宋体"/>
          <w:kern w:val="0"/>
          <w:sz w:val="24"/>
        </w:rPr>
        <w:t>方案</w:t>
      </w:r>
      <w:r>
        <w:rPr>
          <w:rFonts w:ascii="宋体" w:hAnsi="宋体" w:cs="宋体"/>
          <w:sz w:val="24"/>
        </w:rPr>
        <w:t>计算出得分A；</w:t>
      </w:r>
    </w:p>
    <w:p w14:paraId="1A341C0B">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2）按本章第2.2.2项（2）目规定的评审因素和分值对主要人员部分计算出得分B；</w:t>
      </w:r>
    </w:p>
    <w:p w14:paraId="129F9D15">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w:t>
      </w:r>
      <w:r>
        <w:rPr>
          <w:rFonts w:ascii="宋体" w:hAnsi="宋体" w:cs="宋体"/>
          <w:sz w:val="24"/>
        </w:rPr>
        <w:t>3）按本章第2.2.2项（3）目规定的评审因素和分值对其他部分计算出得分D</w:t>
      </w:r>
      <w:r>
        <w:rPr>
          <w:rFonts w:hint="eastAsia" w:ascii="宋体" w:hAnsi="宋体" w:cs="宋体"/>
          <w:sz w:val="24"/>
          <w:lang w:eastAsia="zh-CN"/>
        </w:rPr>
        <w:t>。</w:t>
      </w:r>
    </w:p>
    <w:p w14:paraId="73BDE26D">
      <w:pPr>
        <w:spacing w:line="360" w:lineRule="auto"/>
        <w:ind w:firstLine="480" w:firstLineChars="200"/>
        <w:rPr>
          <w:rFonts w:ascii="宋体" w:hAnsi="宋体" w:cs="宋体"/>
          <w:sz w:val="24"/>
        </w:rPr>
      </w:pPr>
      <w:r>
        <w:rPr>
          <w:rFonts w:ascii="宋体" w:hAnsi="宋体" w:cs="宋体"/>
          <w:sz w:val="24"/>
        </w:rPr>
        <w:t xml:space="preserve">3.2.2 </w:t>
      </w:r>
      <w:r>
        <w:rPr>
          <w:rFonts w:hint="eastAsia" w:ascii="宋体" w:hAnsi="宋体" w:cs="宋体"/>
          <w:sz w:val="24"/>
        </w:rPr>
        <w:t>投标人的商务和技术得分分值计算保留小数点后</w:t>
      </w:r>
      <w:r>
        <w:rPr>
          <w:rFonts w:ascii="宋体" w:hAnsi="宋体"/>
          <w:kern w:val="0"/>
          <w:sz w:val="24"/>
        </w:rPr>
        <w:t>位数</w:t>
      </w:r>
      <w:r>
        <w:rPr>
          <w:rFonts w:hint="eastAsia" w:ascii="宋体" w:hAnsi="宋体"/>
          <w:kern w:val="0"/>
          <w:sz w:val="24"/>
        </w:rPr>
        <w:t>：</w:t>
      </w:r>
      <w:r>
        <w:rPr>
          <w:rFonts w:ascii="宋体" w:hAnsi="宋体"/>
          <w:kern w:val="0"/>
          <w:sz w:val="24"/>
        </w:rPr>
        <w:t>见评标办法前附表</w:t>
      </w:r>
      <w:r>
        <w:rPr>
          <w:rFonts w:hint="eastAsia" w:ascii="宋体" w:hAnsi="宋体" w:cs="宋体"/>
          <w:sz w:val="24"/>
        </w:rPr>
        <w:t>。</w:t>
      </w:r>
    </w:p>
    <w:p w14:paraId="367A9475">
      <w:pPr>
        <w:spacing w:line="360" w:lineRule="auto"/>
        <w:ind w:firstLine="480" w:firstLineChars="200"/>
        <w:rPr>
          <w:rFonts w:ascii="宋体" w:hAnsi="宋体" w:cs="宋体"/>
          <w:sz w:val="24"/>
        </w:rPr>
      </w:pPr>
      <w:r>
        <w:rPr>
          <w:rFonts w:ascii="宋体" w:hAnsi="宋体" w:cs="宋体"/>
          <w:sz w:val="24"/>
        </w:rPr>
        <w:t xml:space="preserve">3.2.3 </w:t>
      </w:r>
      <w:r>
        <w:rPr>
          <w:rFonts w:hint="eastAsia" w:ascii="宋体" w:hAnsi="宋体" w:cs="宋体"/>
          <w:sz w:val="24"/>
        </w:rPr>
        <w:t>投标人的商务和技术得分＝</w:t>
      </w:r>
      <w:r>
        <w:rPr>
          <w:rFonts w:ascii="宋体" w:hAnsi="宋体" w:cs="宋体"/>
          <w:sz w:val="24"/>
        </w:rPr>
        <w:t>A＋B＋D。</w:t>
      </w:r>
    </w:p>
    <w:p w14:paraId="22F5202A">
      <w:pPr>
        <w:spacing w:line="360"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lang w:val="en-US" w:eastAsia="zh-CN"/>
        </w:rPr>
        <w:t xml:space="preserve"> </w:t>
      </w:r>
      <w:r>
        <w:rPr>
          <w:rFonts w:ascii="宋体" w:hAnsi="宋体" w:cs="宋体"/>
          <w:sz w:val="24"/>
        </w:rPr>
        <w:t>评标委员会按照投标人的商务和技术得分由高到低排序，排名在评标办法前附表规定数量</w:t>
      </w:r>
      <w:r>
        <w:rPr>
          <w:rFonts w:hint="eastAsia" w:ascii="宋体" w:hAnsi="宋体" w:cs="宋体"/>
          <w:sz w:val="24"/>
        </w:rPr>
        <w:t>以</w:t>
      </w:r>
      <w:r>
        <w:rPr>
          <w:rFonts w:ascii="宋体" w:hAnsi="宋体" w:cs="宋体"/>
          <w:sz w:val="24"/>
        </w:rPr>
        <w:t>内的</w:t>
      </w:r>
      <w:r>
        <w:rPr>
          <w:rFonts w:hint="eastAsia" w:ascii="宋体" w:hAnsi="宋体" w:cs="宋体"/>
          <w:sz w:val="24"/>
        </w:rPr>
        <w:t>投标人，</w:t>
      </w:r>
      <w:r>
        <w:rPr>
          <w:rFonts w:ascii="宋体" w:hAnsi="宋体" w:cs="宋体"/>
          <w:sz w:val="24"/>
        </w:rPr>
        <w:t>其</w:t>
      </w:r>
      <w:r>
        <w:rPr>
          <w:rFonts w:hint="eastAsia" w:ascii="宋体" w:hAnsi="宋体" w:cs="宋体"/>
          <w:sz w:val="24"/>
        </w:rPr>
        <w:t>投标文件第一个信封（商务及技术文件）通过详细评审。</w:t>
      </w:r>
    </w:p>
    <w:p w14:paraId="09678C50">
      <w:pPr>
        <w:spacing w:line="360" w:lineRule="auto"/>
        <w:ind w:firstLine="480" w:firstLineChars="200"/>
        <w:rPr>
          <w:rFonts w:ascii="宋体" w:hAnsi="宋体" w:cs="宋体"/>
          <w:sz w:val="24"/>
        </w:rPr>
      </w:pPr>
      <w:r>
        <w:rPr>
          <w:rFonts w:ascii="宋体" w:hAnsi="宋体" w:cs="宋体"/>
          <w:sz w:val="24"/>
        </w:rPr>
        <w:t>3.2.5</w:t>
      </w:r>
      <w:r>
        <w:rPr>
          <w:rFonts w:hint="eastAsia" w:ascii="宋体" w:hAnsi="宋体" w:cs="宋体"/>
          <w:sz w:val="24"/>
          <w:lang w:val="en-US" w:eastAsia="zh-CN"/>
        </w:rPr>
        <w:t xml:space="preserve"> </w:t>
      </w:r>
      <w:r>
        <w:rPr>
          <w:rFonts w:ascii="宋体" w:hAnsi="宋体" w:cs="宋体"/>
          <w:sz w:val="24"/>
        </w:rPr>
        <w:t>通过投标文件是一个信封（</w:t>
      </w:r>
      <w:r>
        <w:rPr>
          <w:rFonts w:hint="eastAsia" w:ascii="宋体" w:hAnsi="宋体" w:cs="宋体"/>
          <w:sz w:val="24"/>
        </w:rPr>
        <w:t>商务及技术文件</w:t>
      </w:r>
      <w:r>
        <w:rPr>
          <w:rFonts w:ascii="宋体" w:hAnsi="宋体" w:cs="宋体"/>
          <w:sz w:val="24"/>
        </w:rPr>
        <w:t>）</w:t>
      </w:r>
      <w:r>
        <w:rPr>
          <w:rFonts w:hint="eastAsia" w:ascii="宋体" w:hAnsi="宋体" w:cs="宋体"/>
          <w:sz w:val="24"/>
        </w:rPr>
        <w:t>初步评审</w:t>
      </w:r>
      <w:r>
        <w:rPr>
          <w:rFonts w:ascii="宋体" w:hAnsi="宋体" w:cs="宋体"/>
          <w:sz w:val="24"/>
        </w:rPr>
        <w:t>的投标人不少于3</w:t>
      </w:r>
      <w:r>
        <w:rPr>
          <w:rFonts w:hint="eastAsia" w:ascii="宋体" w:hAnsi="宋体" w:cs="宋体"/>
          <w:sz w:val="24"/>
          <w:lang w:val="en-US" w:eastAsia="zh-CN"/>
        </w:rPr>
        <w:t>名</w:t>
      </w:r>
      <w:r>
        <w:rPr>
          <w:rFonts w:ascii="宋体" w:hAnsi="宋体" w:cs="宋体"/>
          <w:sz w:val="24"/>
        </w:rPr>
        <w:t>且</w:t>
      </w:r>
      <w:r>
        <w:rPr>
          <w:rFonts w:hint="eastAsia" w:ascii="宋体" w:hAnsi="宋体" w:cs="宋体"/>
          <w:sz w:val="24"/>
        </w:rPr>
        <w:t>未超过</w:t>
      </w:r>
      <w:r>
        <w:rPr>
          <w:rFonts w:ascii="宋体" w:hAnsi="宋体" w:cs="宋体"/>
          <w:sz w:val="24"/>
        </w:rPr>
        <w:t>评标办法前附表第3.2.4项规定数量的，均通过投标文件第一个信封</w:t>
      </w:r>
      <w:r>
        <w:rPr>
          <w:rFonts w:hint="eastAsia" w:ascii="宋体" w:hAnsi="宋体" w:cs="宋体"/>
          <w:sz w:val="24"/>
        </w:rPr>
        <w:t>（</w:t>
      </w:r>
      <w:r>
        <w:rPr>
          <w:rFonts w:hint="eastAsia" w:ascii="宋体" w:hAnsi="宋体" w:cs="宋体"/>
          <w:sz w:val="24"/>
          <w:lang w:val="en-US" w:eastAsia="zh-CN"/>
        </w:rPr>
        <w:t>商务</w:t>
      </w:r>
      <w:r>
        <w:rPr>
          <w:rFonts w:ascii="宋体" w:hAnsi="宋体" w:cs="宋体"/>
          <w:sz w:val="24"/>
        </w:rPr>
        <w:t>及技术文件</w:t>
      </w:r>
      <w:r>
        <w:rPr>
          <w:rFonts w:hint="eastAsia" w:ascii="宋体" w:hAnsi="宋体" w:cs="宋体"/>
          <w:sz w:val="24"/>
        </w:rPr>
        <w:t>）详细评审</w:t>
      </w:r>
      <w:r>
        <w:rPr>
          <w:rFonts w:ascii="宋体" w:hAnsi="宋体" w:cs="宋体"/>
          <w:sz w:val="24"/>
        </w:rPr>
        <w:t>，不再对投标人的商务和技术文件进行评分</w:t>
      </w:r>
      <w:r>
        <w:rPr>
          <w:rFonts w:hint="eastAsia" w:ascii="宋体" w:hAnsi="宋体" w:cs="宋体"/>
          <w:sz w:val="24"/>
        </w:rPr>
        <w:t>。</w:t>
      </w:r>
    </w:p>
    <w:p w14:paraId="6DA16DBC">
      <w:pPr>
        <w:pStyle w:val="2"/>
        <w:spacing w:before="0" w:after="0" w:line="360" w:lineRule="auto"/>
        <w:rPr>
          <w:rFonts w:hint="eastAsia" w:ascii="黑体"/>
          <w:b w:val="0"/>
          <w:sz w:val="28"/>
          <w:szCs w:val="28"/>
        </w:rPr>
      </w:pPr>
      <w:bookmarkStart w:id="660" w:name="_Toc53685675"/>
      <w:r>
        <w:rPr>
          <w:rFonts w:hint="eastAsia" w:ascii="黑体"/>
          <w:b w:val="0"/>
          <w:sz w:val="28"/>
          <w:szCs w:val="28"/>
        </w:rPr>
        <w:t>3.3第二个信封开标</w:t>
      </w:r>
      <w:bookmarkEnd w:id="660"/>
      <w:r>
        <w:rPr>
          <w:rFonts w:hint="eastAsia" w:ascii="黑体"/>
          <w:b w:val="0"/>
          <w:sz w:val="28"/>
          <w:szCs w:val="28"/>
        </w:rPr>
        <w:t xml:space="preserve"> </w:t>
      </w:r>
    </w:p>
    <w:p w14:paraId="489895AD">
      <w:pPr>
        <w:widowControl/>
        <w:snapToGrid w:val="0"/>
        <w:spacing w:line="360" w:lineRule="auto"/>
        <w:ind w:firstLine="420"/>
        <w:rPr>
          <w:rFonts w:hint="eastAsia" w:ascii="宋体" w:hAnsi="宋体" w:cs="宋体"/>
          <w:kern w:val="0"/>
          <w:sz w:val="24"/>
        </w:rPr>
      </w:pPr>
      <w:r>
        <w:rPr>
          <w:rFonts w:hint="eastAsia" w:ascii="宋体" w:hAnsi="宋体" w:cs="宋体"/>
          <w:kern w:val="0"/>
          <w:sz w:val="24"/>
        </w:rPr>
        <w:t>第一个信封（商务及技术文件）评审结束后，招标人将按照第二章“投标人须知”</w:t>
      </w:r>
      <w:r>
        <w:rPr>
          <w:rFonts w:ascii="宋体" w:hAnsi="宋体" w:cs="宋体"/>
          <w:kern w:val="0"/>
          <w:sz w:val="24"/>
        </w:rPr>
        <w:t xml:space="preserve"> </w:t>
      </w:r>
      <w:r>
        <w:rPr>
          <w:rFonts w:hint="eastAsia" w:ascii="宋体" w:hAnsi="宋体" w:cs="宋体"/>
          <w:kern w:val="0"/>
          <w:sz w:val="24"/>
        </w:rPr>
        <w:t>第</w:t>
      </w:r>
      <w:r>
        <w:rPr>
          <w:rFonts w:ascii="宋体" w:hAnsi="宋体"/>
          <w:kern w:val="0"/>
          <w:sz w:val="24"/>
        </w:rPr>
        <w:t>5.1</w:t>
      </w:r>
      <w:r>
        <w:rPr>
          <w:rFonts w:hint="eastAsia" w:ascii="宋体" w:hAnsi="宋体" w:cs="宋体"/>
          <w:kern w:val="0"/>
          <w:sz w:val="24"/>
        </w:rPr>
        <w:t>款规定的时间和地点对通过投标文件第一个信封（商务及技术文件）评审的投标文件第二个信封（报价文件）进行开标。</w:t>
      </w:r>
      <w:bookmarkStart w:id="661" w:name="_Toc53685676"/>
    </w:p>
    <w:p w14:paraId="313E08D0">
      <w:pPr>
        <w:pStyle w:val="2"/>
        <w:spacing w:before="0" w:after="0" w:line="360" w:lineRule="auto"/>
        <w:rPr>
          <w:rFonts w:hint="eastAsia" w:ascii="黑体"/>
          <w:b w:val="0"/>
          <w:sz w:val="28"/>
          <w:szCs w:val="28"/>
        </w:rPr>
      </w:pPr>
      <w:r>
        <w:rPr>
          <w:rFonts w:hint="eastAsia" w:ascii="黑体"/>
          <w:b w:val="0"/>
          <w:sz w:val="28"/>
          <w:szCs w:val="28"/>
        </w:rPr>
        <w:t>3.4 第二个信封初步评审</w:t>
      </w:r>
      <w:bookmarkEnd w:id="661"/>
      <w:r>
        <w:rPr>
          <w:rFonts w:hint="eastAsia" w:ascii="黑体"/>
          <w:b w:val="0"/>
          <w:sz w:val="28"/>
          <w:szCs w:val="28"/>
        </w:rPr>
        <w:t xml:space="preserve"> </w:t>
      </w:r>
    </w:p>
    <w:p w14:paraId="7CCDB1AF">
      <w:pPr>
        <w:widowControl/>
        <w:snapToGrid w:val="0"/>
        <w:spacing w:before="240" w:after="240" w:line="360" w:lineRule="auto"/>
        <w:ind w:firstLine="420"/>
        <w:rPr>
          <w:rFonts w:ascii="宋体" w:hAnsi="宋体" w:cs="宋体"/>
          <w:kern w:val="0"/>
          <w:sz w:val="24"/>
        </w:rPr>
      </w:pPr>
      <w:r>
        <w:rPr>
          <w:rFonts w:hint="eastAsia" w:ascii="宋体" w:hAnsi="宋体" w:cs="宋体"/>
          <w:kern w:val="0"/>
          <w:sz w:val="24"/>
        </w:rPr>
        <w:t>3.4.1 评标委员会依据本章第2.1.1项、第2.1.3项规定的评审标准对投标文件第二个信封（报价文件）进行初步评审。有一项不符合评审标准的，评标委员会应否决其投标。</w:t>
      </w:r>
      <w:r>
        <w:rPr>
          <w:rFonts w:ascii="宋体" w:hAnsi="宋体" w:cs="宋体"/>
          <w:kern w:val="0"/>
          <w:sz w:val="24"/>
        </w:rPr>
        <w:t xml:space="preserve"> </w:t>
      </w:r>
    </w:p>
    <w:p w14:paraId="05DE1FF3">
      <w:pPr>
        <w:widowControl/>
        <w:snapToGrid w:val="0"/>
        <w:spacing w:line="360" w:lineRule="auto"/>
        <w:ind w:firstLine="420"/>
        <w:rPr>
          <w:rFonts w:ascii="宋体" w:hAnsi="宋体" w:cs="宋体"/>
          <w:kern w:val="0"/>
          <w:sz w:val="24"/>
        </w:rPr>
      </w:pPr>
      <w:r>
        <w:rPr>
          <w:rFonts w:ascii="宋体" w:hAnsi="宋体"/>
          <w:kern w:val="0"/>
          <w:sz w:val="24"/>
        </w:rPr>
        <w:t xml:space="preserve">3.4.2 </w:t>
      </w:r>
      <w:r>
        <w:rPr>
          <w:rFonts w:hint="eastAsia" w:ascii="宋体" w:hAnsi="宋体" w:cs="宋体"/>
          <w:kern w:val="0"/>
          <w:sz w:val="24"/>
        </w:rPr>
        <w:t>投标报价有算术错误的，评标委员会按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126EE645">
      <w:pPr>
        <w:widowControl/>
        <w:spacing w:line="360" w:lineRule="auto"/>
        <w:ind w:firstLine="480"/>
        <w:rPr>
          <w:rFonts w:ascii="宋体" w:hAnsi="宋体"/>
          <w:kern w:val="0"/>
          <w:sz w:val="24"/>
        </w:rPr>
      </w:pPr>
      <w:r>
        <w:rPr>
          <w:rFonts w:ascii="宋体" w:hAnsi="宋体"/>
          <w:kern w:val="0"/>
          <w:sz w:val="24"/>
        </w:rPr>
        <w:t xml:space="preserve">3.4.3 </w:t>
      </w:r>
      <w:r>
        <w:rPr>
          <w:rFonts w:hint="eastAsia" w:ascii="宋体" w:hAnsi="宋体" w:cs="宋体"/>
          <w:kern w:val="0"/>
          <w:sz w:val="24"/>
        </w:rPr>
        <w:t>价格清单中的投标报价有其他错误的，评标委员会按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4224558B">
      <w:pPr>
        <w:widowControl/>
        <w:snapToGrid w:val="0"/>
        <w:spacing w:line="360" w:lineRule="auto"/>
        <w:ind w:firstLine="480"/>
        <w:rPr>
          <w:rFonts w:ascii="宋体" w:hAnsi="宋体"/>
          <w:kern w:val="0"/>
          <w:sz w:val="24"/>
        </w:rPr>
      </w:pPr>
      <w:r>
        <w:rPr>
          <w:rFonts w:ascii="宋体" w:hAnsi="宋体"/>
          <w:kern w:val="0"/>
          <w:sz w:val="24"/>
        </w:rPr>
        <w:t xml:space="preserve">3.4.4 </w:t>
      </w:r>
      <w:r>
        <w:rPr>
          <w:rFonts w:hint="eastAsia" w:ascii="宋体" w:hAnsi="宋体"/>
          <w:kern w:val="0"/>
          <w:sz w:val="24"/>
        </w:rPr>
        <w:t>修正后的最终投标报价若超过最高投标限价（如有），评标委员会应否决其投标。</w:t>
      </w:r>
      <w:r>
        <w:rPr>
          <w:rFonts w:ascii="宋体" w:hAnsi="宋体"/>
          <w:kern w:val="0"/>
          <w:sz w:val="24"/>
        </w:rPr>
        <w:t xml:space="preserve"> </w:t>
      </w:r>
    </w:p>
    <w:p w14:paraId="50CE6FF6">
      <w:pPr>
        <w:pStyle w:val="2"/>
        <w:spacing w:before="0" w:after="0" w:line="360" w:lineRule="auto"/>
        <w:rPr>
          <w:rFonts w:hint="eastAsia" w:ascii="黑体"/>
          <w:b w:val="0"/>
          <w:sz w:val="28"/>
          <w:szCs w:val="28"/>
        </w:rPr>
      </w:pPr>
      <w:bookmarkStart w:id="662" w:name="_Toc53685677"/>
      <w:r>
        <w:rPr>
          <w:rFonts w:hint="eastAsia" w:ascii="黑体"/>
          <w:b w:val="0"/>
          <w:sz w:val="28"/>
          <w:szCs w:val="28"/>
        </w:rPr>
        <w:t>3.5 第二个信封详细评审</w:t>
      </w:r>
      <w:bookmarkEnd w:id="662"/>
      <w:r>
        <w:rPr>
          <w:rFonts w:hint="eastAsia" w:ascii="黑体"/>
          <w:b w:val="0"/>
          <w:sz w:val="28"/>
          <w:szCs w:val="28"/>
        </w:rPr>
        <w:t xml:space="preserve"> </w:t>
      </w:r>
    </w:p>
    <w:p w14:paraId="4F0BE57F">
      <w:pPr>
        <w:spacing w:line="360" w:lineRule="auto"/>
        <w:ind w:firstLine="480" w:firstLineChars="200"/>
        <w:rPr>
          <w:rFonts w:ascii="宋体" w:hAnsi="宋体" w:cs="宋体"/>
          <w:sz w:val="24"/>
        </w:rPr>
      </w:pPr>
      <w:r>
        <w:rPr>
          <w:rFonts w:ascii="宋体" w:hAnsi="宋体" w:cs="宋体"/>
          <w:sz w:val="24"/>
        </w:rPr>
        <w:t xml:space="preserve">3.5.1 </w:t>
      </w:r>
      <w:r>
        <w:rPr>
          <w:rFonts w:hint="eastAsia" w:ascii="宋体" w:hAnsi="宋体" w:cs="宋体"/>
          <w:sz w:val="24"/>
        </w:rPr>
        <w:t>评标委员会按本章第</w:t>
      </w:r>
      <w:r>
        <w:rPr>
          <w:rFonts w:ascii="宋体" w:hAnsi="宋体" w:cs="宋体"/>
          <w:sz w:val="24"/>
        </w:rPr>
        <w:t>2.2.3</w:t>
      </w:r>
      <w:r>
        <w:rPr>
          <w:rFonts w:hint="eastAsia" w:ascii="宋体" w:hAnsi="宋体" w:cs="宋体"/>
          <w:sz w:val="24"/>
        </w:rPr>
        <w:t>项规定的评审因素和标准计算出评标价。</w:t>
      </w:r>
      <w:r>
        <w:rPr>
          <w:rFonts w:ascii="宋体" w:hAnsi="宋体" w:cs="宋体"/>
          <w:sz w:val="24"/>
        </w:rPr>
        <w:t xml:space="preserve"> </w:t>
      </w:r>
    </w:p>
    <w:p w14:paraId="326CCB0E">
      <w:pPr>
        <w:widowControl/>
        <w:snapToGrid w:val="0"/>
        <w:spacing w:line="360" w:lineRule="auto"/>
        <w:ind w:firstLine="480"/>
        <w:rPr>
          <w:rFonts w:ascii="宋体" w:hAnsi="宋体"/>
          <w:kern w:val="0"/>
          <w:sz w:val="24"/>
        </w:rPr>
      </w:pPr>
      <w:r>
        <w:rPr>
          <w:rFonts w:ascii="宋体" w:hAnsi="宋体" w:cs="宋体"/>
          <w:sz w:val="24"/>
        </w:rPr>
        <w:t>3.5.2</w:t>
      </w:r>
      <w:r>
        <w:rPr>
          <w:rFonts w:hint="eastAsia" w:ascii="宋体" w:hAnsi="宋体"/>
          <w:kern w:val="0"/>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rPr>
        <w:t xml:space="preserve"> </w:t>
      </w:r>
    </w:p>
    <w:p w14:paraId="073928CE">
      <w:pPr>
        <w:pStyle w:val="2"/>
        <w:spacing w:before="0" w:after="0" w:line="360" w:lineRule="auto"/>
        <w:rPr>
          <w:rFonts w:hint="eastAsia" w:ascii="黑体"/>
          <w:b w:val="0"/>
          <w:sz w:val="28"/>
          <w:szCs w:val="28"/>
        </w:rPr>
      </w:pPr>
      <w:bookmarkStart w:id="663" w:name="_Toc53685678"/>
      <w:r>
        <w:rPr>
          <w:rFonts w:hint="eastAsia" w:ascii="黑体"/>
          <w:b w:val="0"/>
          <w:sz w:val="28"/>
          <w:szCs w:val="28"/>
        </w:rPr>
        <w:t>3.6 投标文件相关信息的核查</w:t>
      </w:r>
      <w:bookmarkEnd w:id="663"/>
      <w:r>
        <w:rPr>
          <w:rFonts w:hint="eastAsia" w:ascii="黑体"/>
          <w:b w:val="0"/>
          <w:sz w:val="28"/>
          <w:szCs w:val="28"/>
        </w:rPr>
        <w:t xml:space="preserve"> </w:t>
      </w:r>
    </w:p>
    <w:p w14:paraId="1ECCE548">
      <w:pPr>
        <w:widowControl/>
        <w:snapToGrid w:val="0"/>
        <w:spacing w:line="360" w:lineRule="auto"/>
        <w:ind w:firstLine="480"/>
        <w:rPr>
          <w:rFonts w:ascii="宋体" w:hAnsi="宋体"/>
          <w:kern w:val="0"/>
          <w:sz w:val="24"/>
        </w:rPr>
      </w:pPr>
      <w:r>
        <w:rPr>
          <w:rFonts w:ascii="宋体" w:hAnsi="宋体"/>
          <w:kern w:val="0"/>
          <w:sz w:val="24"/>
        </w:rPr>
        <w:t xml:space="preserve">3.6.1 </w:t>
      </w:r>
      <w:r>
        <w:rPr>
          <w:rFonts w:hint="eastAsia" w:ascii="宋体" w:hAnsi="宋体"/>
          <w:kern w:val="0"/>
          <w:sz w:val="24"/>
        </w:rPr>
        <w:t>在评标过程中，评标委员会应查询交通运输主管部门“</w:t>
      </w:r>
      <w:r>
        <w:rPr>
          <w:rFonts w:hint="eastAsia" w:ascii="宋体" w:hAnsi="宋体"/>
          <w:kern w:val="0"/>
          <w:sz w:val="24"/>
          <w:lang w:val="en-US" w:eastAsia="zh-CN"/>
        </w:rPr>
        <w:t>全国</w:t>
      </w:r>
      <w:r>
        <w:rPr>
          <w:rFonts w:hint="eastAsia" w:ascii="宋体" w:hAnsi="宋体"/>
          <w:kern w:val="0"/>
          <w:sz w:val="24"/>
        </w:rPr>
        <w:t>公路建设市场</w:t>
      </w:r>
      <w:r>
        <w:rPr>
          <w:rFonts w:hint="eastAsia" w:ascii="宋体" w:hAnsi="宋体"/>
          <w:kern w:val="0"/>
          <w:sz w:val="24"/>
          <w:lang w:val="en-US" w:eastAsia="zh-CN"/>
        </w:rPr>
        <w:t>监督</w:t>
      </w:r>
      <w:r>
        <w:rPr>
          <w:rFonts w:hint="eastAsia" w:ascii="宋体" w:hAnsi="宋体"/>
          <w:kern w:val="0"/>
          <w:sz w:val="24"/>
        </w:rPr>
        <w:t>管理系统”，对投标人的资质、业绩、主要人员资历</w:t>
      </w:r>
      <w:r>
        <w:rPr>
          <w:rFonts w:hint="eastAsia" w:ascii="宋体" w:hAnsi="宋体"/>
          <w:kern w:val="0"/>
          <w:sz w:val="24"/>
          <w:lang w:val="en-US" w:eastAsia="zh-CN"/>
        </w:rPr>
        <w:t>等</w:t>
      </w:r>
      <w:r>
        <w:rPr>
          <w:rFonts w:hint="eastAsia" w:ascii="宋体" w:hAnsi="宋体"/>
          <w:kern w:val="0"/>
          <w:sz w:val="24"/>
        </w:rPr>
        <w:t>信息进行核实，信用等级</w:t>
      </w:r>
      <w:r>
        <w:rPr>
          <w:rFonts w:hint="eastAsia" w:ascii="宋体" w:hAnsi="宋体"/>
          <w:sz w:val="24"/>
        </w:rPr>
        <w:t>信息应以“信用交通·四川”上查询结果为准</w:t>
      </w:r>
      <w:r>
        <w:rPr>
          <w:rFonts w:hint="eastAsia" w:ascii="宋体" w:hAnsi="宋体" w:cs="宋体"/>
          <w:sz w:val="24"/>
        </w:rPr>
        <w:t>。</w:t>
      </w:r>
      <w:r>
        <w:rPr>
          <w:rFonts w:hint="eastAsia" w:ascii="宋体" w:hAnsi="宋体"/>
          <w:kern w:val="0"/>
          <w:sz w:val="24"/>
        </w:rPr>
        <w:t>若投标文件载明的信息与上述</w:t>
      </w:r>
      <w:r>
        <w:rPr>
          <w:rFonts w:ascii="宋体" w:hAnsi="宋体"/>
          <w:kern w:val="0"/>
          <w:sz w:val="24"/>
        </w:rPr>
        <w:t>信息发布平台</w:t>
      </w:r>
      <w:r>
        <w:rPr>
          <w:rFonts w:hint="eastAsia" w:ascii="宋体" w:hAnsi="宋体"/>
          <w:kern w:val="0"/>
          <w:sz w:val="24"/>
        </w:rPr>
        <w:t>发布的信息不符，使得投标人的资格条件不符合招标文件规定的，评标委员会应否决其投标。</w:t>
      </w:r>
    </w:p>
    <w:p w14:paraId="330DFF32">
      <w:pPr>
        <w:widowControl/>
        <w:snapToGrid w:val="0"/>
        <w:spacing w:line="360" w:lineRule="auto"/>
        <w:ind w:firstLine="480"/>
        <w:rPr>
          <w:rFonts w:ascii="宋体" w:hAnsi="宋体"/>
          <w:kern w:val="0"/>
          <w:sz w:val="24"/>
        </w:rPr>
      </w:pPr>
      <w:r>
        <w:rPr>
          <w:rFonts w:ascii="宋体" w:hAnsi="宋体"/>
          <w:kern w:val="0"/>
          <w:sz w:val="24"/>
        </w:rPr>
        <w:t xml:space="preserve">3.6.2 </w:t>
      </w:r>
      <w:r>
        <w:rPr>
          <w:rFonts w:hint="eastAsia" w:ascii="宋体" w:hAnsi="宋体"/>
          <w:kern w:val="0"/>
          <w:sz w:val="24"/>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rPr>
        <w:t xml:space="preserve"> </w:t>
      </w:r>
    </w:p>
    <w:p w14:paraId="60EC1400">
      <w:pPr>
        <w:widowControl/>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）有下列情形之一的，属于投标人相互串通投标：</w:t>
      </w:r>
      <w:r>
        <w:rPr>
          <w:rFonts w:ascii="宋体" w:hAnsi="宋体"/>
          <w:kern w:val="0"/>
          <w:sz w:val="24"/>
        </w:rPr>
        <w:t xml:space="preserve"> </w:t>
      </w:r>
    </w:p>
    <w:p w14:paraId="31C7260F">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投标人之间协商投标报价等投标文件的实质性内容；</w:t>
      </w:r>
      <w:r>
        <w:rPr>
          <w:rFonts w:ascii="宋体" w:hAnsi="宋体"/>
          <w:kern w:val="0"/>
          <w:sz w:val="24"/>
        </w:rPr>
        <w:t xml:space="preserve"> </w:t>
      </w:r>
    </w:p>
    <w:p w14:paraId="24E73C29">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投标人之间约定中标人；</w:t>
      </w:r>
      <w:r>
        <w:rPr>
          <w:rFonts w:ascii="宋体" w:hAnsi="宋体"/>
          <w:kern w:val="0"/>
          <w:sz w:val="24"/>
        </w:rPr>
        <w:t xml:space="preserve"> </w:t>
      </w:r>
    </w:p>
    <w:p w14:paraId="317C2557">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投标人之间约定部分投标人放弃投标或中标；</w:t>
      </w:r>
      <w:r>
        <w:rPr>
          <w:rFonts w:ascii="宋体" w:hAnsi="宋体"/>
          <w:kern w:val="0"/>
          <w:sz w:val="24"/>
        </w:rPr>
        <w:t xml:space="preserve"> </w:t>
      </w:r>
    </w:p>
    <w:p w14:paraId="1CD1A225">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属于同一集团、协会、商会等组织成员的投标人按照该组织要求协同投标；</w:t>
      </w:r>
      <w:r>
        <w:rPr>
          <w:rFonts w:ascii="宋体" w:hAnsi="宋体"/>
          <w:kern w:val="0"/>
          <w:sz w:val="24"/>
        </w:rPr>
        <w:t xml:space="preserve"> </w:t>
      </w:r>
    </w:p>
    <w:p w14:paraId="246BB5BE">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投标人之间为谋取中标或排斥特定投标人而采取的其他联合行动。</w:t>
      </w:r>
      <w:r>
        <w:rPr>
          <w:rFonts w:ascii="宋体" w:hAnsi="宋体"/>
          <w:kern w:val="0"/>
          <w:sz w:val="24"/>
        </w:rPr>
        <w:t xml:space="preserve"> </w:t>
      </w:r>
    </w:p>
    <w:p w14:paraId="59DFF9BC">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）有下列情形之一的，视为投标人相互串通投标：</w:t>
      </w:r>
      <w:r>
        <w:rPr>
          <w:rFonts w:ascii="宋体" w:hAnsi="宋体"/>
          <w:kern w:val="0"/>
          <w:sz w:val="24"/>
        </w:rPr>
        <w:t xml:space="preserve"> </w:t>
      </w:r>
    </w:p>
    <w:p w14:paraId="6C294022">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不同投标人的投标文件由同一单位或个人编制；</w:t>
      </w:r>
      <w:r>
        <w:rPr>
          <w:rFonts w:ascii="宋体" w:hAnsi="宋体"/>
          <w:kern w:val="0"/>
          <w:sz w:val="24"/>
        </w:rPr>
        <w:t xml:space="preserve"> </w:t>
      </w:r>
    </w:p>
    <w:p w14:paraId="3322DE10">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不同投标人委托同一单位或个人办理投标事宜；</w:t>
      </w:r>
      <w:r>
        <w:rPr>
          <w:rFonts w:ascii="宋体" w:hAnsi="宋体"/>
          <w:kern w:val="0"/>
          <w:sz w:val="24"/>
        </w:rPr>
        <w:t xml:space="preserve"> </w:t>
      </w:r>
    </w:p>
    <w:p w14:paraId="4FE174DD">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不同投标人的投标文件载明的项目管理成员为同一人；</w:t>
      </w:r>
      <w:r>
        <w:rPr>
          <w:rFonts w:ascii="宋体" w:hAnsi="宋体"/>
          <w:kern w:val="0"/>
          <w:sz w:val="24"/>
        </w:rPr>
        <w:t xml:space="preserve"> </w:t>
      </w:r>
    </w:p>
    <w:p w14:paraId="30F40302">
      <w:pPr>
        <w:widowControl/>
        <w:snapToGrid w:val="0"/>
        <w:spacing w:line="360" w:lineRule="auto"/>
        <w:ind w:left="420"/>
        <w:jc w:val="both"/>
        <w:rPr>
          <w:rFonts w:ascii="宋体" w:hAnsi="宋体"/>
          <w:kern w:val="0"/>
          <w:sz w:val="24"/>
        </w:rPr>
      </w:pPr>
      <w:r>
        <w:rPr>
          <w:rFonts w:ascii="宋体" w:hAnsi="宋体"/>
          <w:kern w:val="0"/>
          <w:sz w:val="24"/>
        </w:rPr>
        <w:t>d.</w:t>
      </w:r>
      <w:r>
        <w:rPr>
          <w:rFonts w:hint="eastAsia" w:ascii="宋体" w:hAnsi="宋体"/>
          <w:kern w:val="0"/>
          <w:sz w:val="24"/>
        </w:rPr>
        <w:t>不同投标人的投标文件异常一致或投标报价呈规律性差异；</w:t>
      </w:r>
      <w:r>
        <w:rPr>
          <w:rFonts w:ascii="宋体" w:hAnsi="宋体"/>
          <w:kern w:val="0"/>
          <w:sz w:val="24"/>
        </w:rPr>
        <w:t xml:space="preserve"> </w:t>
      </w:r>
    </w:p>
    <w:p w14:paraId="36781D0E">
      <w:pPr>
        <w:widowControl/>
        <w:snapToGrid w:val="0"/>
        <w:spacing w:line="360" w:lineRule="auto"/>
        <w:ind w:left="420"/>
        <w:jc w:val="both"/>
        <w:rPr>
          <w:rFonts w:ascii="宋体" w:hAnsi="宋体"/>
          <w:kern w:val="0"/>
          <w:sz w:val="24"/>
        </w:rPr>
      </w:pPr>
      <w:r>
        <w:rPr>
          <w:rFonts w:ascii="宋体" w:hAnsi="宋体"/>
          <w:kern w:val="0"/>
          <w:sz w:val="24"/>
        </w:rPr>
        <w:t>e.</w:t>
      </w:r>
      <w:r>
        <w:rPr>
          <w:rFonts w:hint="eastAsia" w:ascii="宋体" w:hAnsi="宋体"/>
          <w:kern w:val="0"/>
          <w:sz w:val="24"/>
        </w:rPr>
        <w:t>不同投标人的投标文件相互混装；</w:t>
      </w:r>
      <w:r>
        <w:rPr>
          <w:rFonts w:ascii="宋体" w:hAnsi="宋体"/>
          <w:kern w:val="0"/>
          <w:sz w:val="24"/>
        </w:rPr>
        <w:t xml:space="preserve"> </w:t>
      </w:r>
    </w:p>
    <w:p w14:paraId="360806ED">
      <w:pPr>
        <w:widowControl/>
        <w:snapToGrid w:val="0"/>
        <w:spacing w:line="360" w:lineRule="auto"/>
        <w:ind w:left="420"/>
        <w:jc w:val="both"/>
        <w:rPr>
          <w:rFonts w:hint="eastAsia" w:ascii="宋体" w:hAnsi="宋体"/>
          <w:kern w:val="0"/>
          <w:sz w:val="24"/>
        </w:rPr>
      </w:pPr>
      <w:r>
        <w:rPr>
          <w:rFonts w:ascii="宋体" w:hAnsi="宋体"/>
          <w:kern w:val="0"/>
          <w:sz w:val="24"/>
        </w:rPr>
        <w:t>f.</w:t>
      </w:r>
      <w:r>
        <w:rPr>
          <w:rFonts w:hint="eastAsia" w:ascii="宋体" w:hAnsi="宋体"/>
          <w:kern w:val="0"/>
          <w:sz w:val="24"/>
        </w:rPr>
        <w:t>不同投标人的投标保证金从同一单位或个人的账户转出；</w:t>
      </w:r>
    </w:p>
    <w:p w14:paraId="4B078BD4">
      <w:pPr>
        <w:widowControl/>
        <w:snapToGrid w:val="0"/>
        <w:spacing w:line="360" w:lineRule="auto"/>
        <w:ind w:left="420" w:firstLine="0"/>
        <w:jc w:val="both"/>
        <w:rPr>
          <w:rFonts w:ascii="宋体" w:hAnsi="宋体"/>
          <w:kern w:val="0"/>
          <w:sz w:val="24"/>
        </w:rPr>
      </w:pPr>
      <w:r>
        <w:rPr>
          <w:rFonts w:ascii="宋体" w:hAnsi="宋体"/>
          <w:kern w:val="0"/>
          <w:sz w:val="24"/>
        </w:rPr>
        <w:t>g.对同一标段不同投标人电子投标文件的文件制作机器码或文件创建标识码相同；</w:t>
      </w:r>
    </w:p>
    <w:p w14:paraId="2CE113E5">
      <w:pPr>
        <w:widowControl/>
        <w:snapToGrid w:val="0"/>
        <w:spacing w:line="360" w:lineRule="auto"/>
        <w:ind w:left="420" w:firstLine="0"/>
        <w:jc w:val="both"/>
        <w:rPr>
          <w:rFonts w:hint="eastAsia" w:ascii="宋体" w:hAnsi="宋体"/>
          <w:kern w:val="0"/>
          <w:sz w:val="24"/>
        </w:rPr>
      </w:pPr>
      <w:r>
        <w:rPr>
          <w:rFonts w:ascii="宋体" w:hAnsi="宋体"/>
          <w:kern w:val="0"/>
          <w:sz w:val="24"/>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rPr>
        <w:t>；</w:t>
      </w:r>
    </w:p>
    <w:p w14:paraId="23585A70">
      <w:pPr>
        <w:widowControl/>
        <w:snapToGrid w:val="0"/>
        <w:spacing w:line="360" w:lineRule="auto"/>
        <w:ind w:left="420" w:firstLine="0"/>
        <w:jc w:val="both"/>
        <w:rPr>
          <w:rFonts w:ascii="宋体" w:hAnsi="宋体"/>
          <w:kern w:val="0"/>
          <w:sz w:val="24"/>
        </w:rPr>
      </w:pPr>
      <w:r>
        <w:rPr>
          <w:rFonts w:hint="eastAsia" w:ascii="宋体" w:hAnsi="宋体"/>
          <w:kern w:val="0"/>
          <w:sz w:val="24"/>
        </w:rPr>
        <w:t>j.</w:t>
      </w:r>
      <w:r>
        <w:rPr>
          <w:rFonts w:ascii="宋体" w:hAnsi="宋体"/>
          <w:kern w:val="0"/>
          <w:sz w:val="24"/>
        </w:rPr>
        <w:t>不同投标人通过同一单位或者个人账户购买电子保函的。</w:t>
      </w:r>
    </w:p>
    <w:p w14:paraId="1A336346">
      <w:pPr>
        <w:widowControl/>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）有下列情形之一的，属于招标人与投标人串通投标：</w:t>
      </w:r>
    </w:p>
    <w:p w14:paraId="6A348EA3">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招标人在开标前开启投标文件并将有关信息泄露给其他投标人；</w:t>
      </w:r>
      <w:r>
        <w:rPr>
          <w:rFonts w:ascii="宋体" w:hAnsi="宋体"/>
          <w:kern w:val="0"/>
          <w:sz w:val="24"/>
        </w:rPr>
        <w:t xml:space="preserve"> </w:t>
      </w:r>
    </w:p>
    <w:p w14:paraId="6212EB34">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招标人直接或间接向投标人泄露标底、评标委员会成员等信息；</w:t>
      </w:r>
      <w:r>
        <w:rPr>
          <w:rFonts w:ascii="宋体" w:hAnsi="宋体"/>
          <w:kern w:val="0"/>
          <w:sz w:val="24"/>
        </w:rPr>
        <w:t xml:space="preserve"> </w:t>
      </w:r>
    </w:p>
    <w:p w14:paraId="63D7D011">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招标人明示或暗示投标人压低或抬高投标报价；</w:t>
      </w:r>
      <w:r>
        <w:rPr>
          <w:rFonts w:ascii="宋体" w:hAnsi="宋体"/>
          <w:kern w:val="0"/>
          <w:sz w:val="24"/>
        </w:rPr>
        <w:t xml:space="preserve"> </w:t>
      </w:r>
    </w:p>
    <w:p w14:paraId="495C52D3">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招标人授意投标人撤换、修改投标文件；</w:t>
      </w:r>
      <w:r>
        <w:rPr>
          <w:rFonts w:ascii="宋体" w:hAnsi="宋体"/>
          <w:kern w:val="0"/>
          <w:sz w:val="24"/>
        </w:rPr>
        <w:t xml:space="preserve"> </w:t>
      </w:r>
    </w:p>
    <w:p w14:paraId="245BF4B6">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招标人明示或暗示投标人为特定投标人中标提供方便；</w:t>
      </w:r>
      <w:r>
        <w:rPr>
          <w:rFonts w:ascii="宋体" w:hAnsi="宋体"/>
          <w:kern w:val="0"/>
          <w:sz w:val="24"/>
        </w:rPr>
        <w:t xml:space="preserve"> </w:t>
      </w:r>
    </w:p>
    <w:p w14:paraId="35637519">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招标人与投标人为谋求特定投标人中标而采取的其他串通行为。</w:t>
      </w:r>
    </w:p>
    <w:p w14:paraId="7CA91E34">
      <w:pPr>
        <w:widowControl/>
        <w:spacing w:line="360" w:lineRule="auto"/>
        <w:ind w:firstLine="480"/>
        <w:jc w:val="left"/>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有下列情形之一的，属于电子招标投标交易平台运营机构或其人员与投标人串通投标：</w:t>
      </w:r>
    </w:p>
    <w:p w14:paraId="6BB34E84">
      <w:pPr>
        <w:widowControl/>
        <w:spacing w:line="360" w:lineRule="auto"/>
        <w:ind w:firstLine="480"/>
        <w:jc w:val="left"/>
        <w:rPr>
          <w:rFonts w:ascii="宋体" w:hAnsi="宋体"/>
          <w:kern w:val="0"/>
          <w:sz w:val="24"/>
        </w:rPr>
      </w:pPr>
      <w:r>
        <w:rPr>
          <w:rFonts w:ascii="宋体" w:hAnsi="宋体"/>
          <w:kern w:val="0"/>
          <w:sz w:val="24"/>
        </w:rPr>
        <w:t>a.</w:t>
      </w:r>
      <w:r>
        <w:rPr>
          <w:rFonts w:hint="eastAsia" w:ascii="宋体" w:hAnsi="宋体"/>
          <w:kern w:val="0"/>
          <w:sz w:val="24"/>
        </w:rPr>
        <w:t>电子招标投标交易平台运营机构或其人员在开标前开启投标文件并将有关信息泄露给其他投标人；</w:t>
      </w:r>
    </w:p>
    <w:p w14:paraId="0E9AB039">
      <w:pPr>
        <w:widowControl/>
        <w:spacing w:line="360" w:lineRule="auto"/>
        <w:ind w:firstLine="480"/>
        <w:jc w:val="left"/>
        <w:rPr>
          <w:rFonts w:ascii="宋体" w:hAnsi="宋体"/>
          <w:kern w:val="0"/>
          <w:sz w:val="24"/>
        </w:rPr>
      </w:pPr>
      <w:r>
        <w:rPr>
          <w:rFonts w:ascii="宋体" w:hAnsi="宋体"/>
          <w:kern w:val="0"/>
          <w:sz w:val="24"/>
        </w:rPr>
        <w:t>b.</w:t>
      </w:r>
      <w:r>
        <w:rPr>
          <w:rFonts w:hint="eastAsia" w:ascii="宋体" w:hAnsi="宋体"/>
          <w:kern w:val="0"/>
          <w:sz w:val="24"/>
        </w:rPr>
        <w:t>电子招标投标交易平台运营机构或其人员直接或者间接向投标人泄露标底、评标委员会成员等信息；</w:t>
      </w:r>
    </w:p>
    <w:p w14:paraId="77F85EB0">
      <w:pPr>
        <w:widowControl/>
        <w:spacing w:line="360" w:lineRule="auto"/>
        <w:ind w:firstLine="480"/>
        <w:jc w:val="left"/>
        <w:rPr>
          <w:rFonts w:ascii="宋体" w:hAnsi="宋体"/>
          <w:kern w:val="0"/>
          <w:sz w:val="24"/>
        </w:rPr>
      </w:pPr>
      <w:r>
        <w:rPr>
          <w:rFonts w:ascii="宋体" w:hAnsi="宋体"/>
          <w:kern w:val="0"/>
          <w:sz w:val="24"/>
        </w:rPr>
        <w:t>c.</w:t>
      </w:r>
      <w:r>
        <w:rPr>
          <w:rFonts w:hint="eastAsia" w:ascii="宋体" w:hAnsi="宋体"/>
          <w:kern w:val="0"/>
          <w:sz w:val="24"/>
        </w:rPr>
        <w:t>电子招标投标交易平台运营机构或其人员明示或者暗示投标人压低或者抬高投标报价；</w:t>
      </w:r>
    </w:p>
    <w:p w14:paraId="7522CA8E">
      <w:pPr>
        <w:widowControl/>
        <w:spacing w:line="360" w:lineRule="auto"/>
        <w:ind w:firstLine="480"/>
        <w:jc w:val="left"/>
        <w:rPr>
          <w:rFonts w:ascii="宋体" w:hAnsi="宋体"/>
          <w:kern w:val="0"/>
          <w:sz w:val="24"/>
        </w:rPr>
      </w:pPr>
      <w:r>
        <w:rPr>
          <w:rFonts w:ascii="宋体" w:hAnsi="宋体"/>
          <w:kern w:val="0"/>
          <w:sz w:val="24"/>
        </w:rPr>
        <w:t>d.</w:t>
      </w:r>
      <w:r>
        <w:rPr>
          <w:rFonts w:hint="eastAsia" w:ascii="宋体" w:hAnsi="宋体"/>
          <w:kern w:val="0"/>
          <w:sz w:val="24"/>
        </w:rPr>
        <w:t>电子招标投标交易平台运营机构或其人员授意投标人撤换、修改投标文件；</w:t>
      </w:r>
    </w:p>
    <w:p w14:paraId="71343C43">
      <w:pPr>
        <w:widowControl/>
        <w:spacing w:line="360" w:lineRule="auto"/>
        <w:ind w:firstLine="480"/>
        <w:jc w:val="left"/>
        <w:rPr>
          <w:rFonts w:ascii="宋体" w:hAnsi="宋体"/>
          <w:kern w:val="0"/>
          <w:sz w:val="24"/>
        </w:rPr>
      </w:pPr>
      <w:r>
        <w:rPr>
          <w:rFonts w:ascii="宋体" w:hAnsi="宋体"/>
          <w:kern w:val="0"/>
          <w:sz w:val="24"/>
        </w:rPr>
        <w:t>e.</w:t>
      </w:r>
      <w:r>
        <w:rPr>
          <w:rFonts w:hint="eastAsia" w:ascii="宋体" w:hAnsi="宋体"/>
          <w:kern w:val="0"/>
          <w:sz w:val="24"/>
        </w:rPr>
        <w:t>电子招标投标交易平台运营机构或其人员明示或者暗示投标人为特定投标人中标提供方便；</w:t>
      </w:r>
    </w:p>
    <w:p w14:paraId="237D20AD">
      <w:pPr>
        <w:widowControl/>
        <w:spacing w:line="360" w:lineRule="auto"/>
        <w:ind w:firstLine="480"/>
        <w:jc w:val="left"/>
        <w:rPr>
          <w:rFonts w:ascii="宋体" w:hAnsi="宋体"/>
          <w:kern w:val="0"/>
          <w:sz w:val="24"/>
        </w:rPr>
      </w:pPr>
      <w:r>
        <w:rPr>
          <w:rFonts w:ascii="宋体" w:hAnsi="宋体"/>
          <w:kern w:val="0"/>
          <w:sz w:val="24"/>
        </w:rPr>
        <w:t>f.</w:t>
      </w:r>
      <w:r>
        <w:rPr>
          <w:rFonts w:hint="eastAsia" w:ascii="宋体" w:hAnsi="宋体"/>
          <w:kern w:val="0"/>
          <w:sz w:val="24"/>
        </w:rPr>
        <w:t>电子招标投标交易平台运营机构或其人员与投标人为谋求特定投标人中标而采取的其他串通行为。</w:t>
      </w:r>
    </w:p>
    <w:p w14:paraId="1C8E5B26">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投标人有下列情形之一的，属于弄虚作假的行为：</w:t>
      </w:r>
      <w:r>
        <w:rPr>
          <w:rFonts w:ascii="宋体" w:hAnsi="宋体"/>
          <w:kern w:val="0"/>
          <w:sz w:val="24"/>
        </w:rPr>
        <w:t xml:space="preserve"> </w:t>
      </w:r>
    </w:p>
    <w:p w14:paraId="2988E53A">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使用通过受让或租借等方式获取的资格、资质证书投标；</w:t>
      </w:r>
      <w:r>
        <w:rPr>
          <w:rFonts w:ascii="宋体" w:hAnsi="宋体"/>
          <w:kern w:val="0"/>
          <w:sz w:val="24"/>
        </w:rPr>
        <w:t xml:space="preserve"> </w:t>
      </w:r>
    </w:p>
    <w:p w14:paraId="451DEFDD">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使用伪造、变造的许可证件；</w:t>
      </w:r>
      <w:r>
        <w:rPr>
          <w:rFonts w:ascii="宋体" w:hAnsi="宋体"/>
          <w:kern w:val="0"/>
          <w:sz w:val="24"/>
        </w:rPr>
        <w:t xml:space="preserve"> </w:t>
      </w:r>
    </w:p>
    <w:p w14:paraId="606C0128">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提供虚假的财务状况或业绩；</w:t>
      </w:r>
      <w:r>
        <w:rPr>
          <w:rFonts w:ascii="宋体" w:hAnsi="宋体"/>
          <w:kern w:val="0"/>
          <w:sz w:val="24"/>
        </w:rPr>
        <w:t xml:space="preserve"> </w:t>
      </w:r>
    </w:p>
    <w:p w14:paraId="10B6E077">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提供虚假的项目负责人或主要技术人员简历、劳动关系证明；</w:t>
      </w:r>
      <w:r>
        <w:rPr>
          <w:rFonts w:ascii="宋体" w:hAnsi="宋体"/>
          <w:kern w:val="0"/>
          <w:sz w:val="24"/>
        </w:rPr>
        <w:t xml:space="preserve"> </w:t>
      </w:r>
    </w:p>
    <w:p w14:paraId="6FF807E4">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提供虚假的信用状况；</w:t>
      </w:r>
      <w:r>
        <w:rPr>
          <w:rFonts w:ascii="宋体" w:hAnsi="宋体"/>
          <w:kern w:val="0"/>
          <w:sz w:val="24"/>
        </w:rPr>
        <w:t xml:space="preserve"> </w:t>
      </w:r>
    </w:p>
    <w:p w14:paraId="0A6A1C11">
      <w:pPr>
        <w:widowControl/>
        <w:spacing w:line="360" w:lineRule="auto"/>
        <w:ind w:firstLine="480"/>
        <w:jc w:val="left"/>
        <w:rPr>
          <w:rFonts w:ascii="宋体" w:hAnsi="宋体"/>
          <w:kern w:val="0"/>
          <w:sz w:val="24"/>
        </w:rPr>
      </w:pPr>
      <w:r>
        <w:rPr>
          <w:rFonts w:ascii="宋体" w:hAnsi="宋体"/>
          <w:kern w:val="0"/>
          <w:sz w:val="24"/>
        </w:rPr>
        <w:t>f.</w:t>
      </w:r>
      <w:r>
        <w:rPr>
          <w:rFonts w:hint="eastAsia" w:ascii="宋体" w:hAnsi="宋体"/>
          <w:kern w:val="0"/>
          <w:sz w:val="24"/>
        </w:rPr>
        <w:t>其他弄虚作假的行为。</w:t>
      </w:r>
    </w:p>
    <w:p w14:paraId="67DC3F93">
      <w:pPr>
        <w:pStyle w:val="2"/>
        <w:spacing w:before="0" w:after="0" w:line="360" w:lineRule="auto"/>
        <w:rPr>
          <w:rFonts w:hint="eastAsia" w:ascii="黑体"/>
          <w:b w:val="0"/>
          <w:sz w:val="28"/>
          <w:szCs w:val="28"/>
        </w:rPr>
      </w:pPr>
      <w:bookmarkStart w:id="664" w:name="_Toc53685679"/>
      <w:r>
        <w:rPr>
          <w:rFonts w:hint="eastAsia" w:ascii="黑体"/>
          <w:b w:val="0"/>
          <w:sz w:val="28"/>
          <w:szCs w:val="28"/>
        </w:rPr>
        <w:t>3.7 投标文件的澄清和说明</w:t>
      </w:r>
      <w:bookmarkEnd w:id="664"/>
      <w:r>
        <w:rPr>
          <w:rFonts w:hint="eastAsia" w:ascii="黑体"/>
          <w:b w:val="0"/>
          <w:sz w:val="28"/>
          <w:szCs w:val="28"/>
        </w:rPr>
        <w:t xml:space="preserve"> </w:t>
      </w:r>
    </w:p>
    <w:p w14:paraId="4A02840A">
      <w:pPr>
        <w:widowControl/>
        <w:snapToGrid w:val="0"/>
        <w:spacing w:line="360" w:lineRule="auto"/>
        <w:ind w:firstLine="480"/>
        <w:jc w:val="left"/>
        <w:rPr>
          <w:rFonts w:ascii="宋体" w:hAnsi="宋体"/>
          <w:kern w:val="0"/>
          <w:sz w:val="24"/>
        </w:rPr>
      </w:pPr>
      <w:r>
        <w:rPr>
          <w:rFonts w:ascii="宋体" w:hAnsi="宋体"/>
          <w:kern w:val="0"/>
          <w:sz w:val="24"/>
        </w:rPr>
        <w:t xml:space="preserve">3.7.1 </w:t>
      </w:r>
      <w:r>
        <w:rPr>
          <w:rFonts w:hint="eastAsia" w:ascii="宋体" w:hAnsi="宋体"/>
          <w:kern w:val="0"/>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rPr>
        <w:t xml:space="preserve"> </w:t>
      </w:r>
    </w:p>
    <w:p w14:paraId="5C0F2E96">
      <w:pPr>
        <w:widowControl/>
        <w:snapToGrid w:val="0"/>
        <w:spacing w:line="360" w:lineRule="auto"/>
        <w:ind w:firstLine="480"/>
        <w:jc w:val="left"/>
        <w:rPr>
          <w:rFonts w:ascii="宋体" w:hAnsi="宋体"/>
          <w:kern w:val="0"/>
          <w:sz w:val="24"/>
        </w:rPr>
      </w:pPr>
      <w:r>
        <w:rPr>
          <w:rFonts w:ascii="宋体" w:hAnsi="宋体"/>
          <w:kern w:val="0"/>
          <w:sz w:val="24"/>
        </w:rPr>
        <w:t xml:space="preserve">3.7.2 </w:t>
      </w:r>
      <w:r>
        <w:rPr>
          <w:rFonts w:hint="eastAsia" w:ascii="宋体" w:hAnsi="宋体"/>
          <w:kern w:val="0"/>
          <w:sz w:val="24"/>
        </w:rPr>
        <w:t>澄清和说明不得超出投标文件的范围或改变投标文件的实质性内容（算术性错误的修正除外）。投标人的书面澄清、说明属于投标文件的组成部分。</w:t>
      </w:r>
      <w:r>
        <w:rPr>
          <w:rFonts w:ascii="宋体" w:hAnsi="宋体"/>
          <w:kern w:val="0"/>
          <w:sz w:val="24"/>
        </w:rPr>
        <w:t xml:space="preserve"> </w:t>
      </w:r>
    </w:p>
    <w:p w14:paraId="746CECFB">
      <w:pPr>
        <w:widowControl/>
        <w:snapToGrid w:val="0"/>
        <w:spacing w:line="360" w:lineRule="auto"/>
        <w:ind w:firstLine="480"/>
        <w:jc w:val="left"/>
        <w:rPr>
          <w:rFonts w:ascii="宋体" w:hAnsi="宋体"/>
          <w:kern w:val="0"/>
          <w:sz w:val="24"/>
        </w:rPr>
      </w:pPr>
      <w:r>
        <w:rPr>
          <w:rFonts w:ascii="宋体" w:hAnsi="宋体"/>
          <w:kern w:val="0"/>
          <w:sz w:val="24"/>
        </w:rPr>
        <w:t xml:space="preserve">3.7.3 </w:t>
      </w:r>
      <w:r>
        <w:rPr>
          <w:rFonts w:hint="eastAsia" w:ascii="宋体" w:hAnsi="宋体"/>
          <w:kern w:val="0"/>
          <w:sz w:val="24"/>
        </w:rPr>
        <w:t>评标委员会不得暗示或诱导投标人作出澄清、说明，对投标人提交的澄清、说明有疑问的，可以要求投标人进一步澄清或说明，直至满足评标委员会的要求。</w:t>
      </w:r>
      <w:r>
        <w:rPr>
          <w:rFonts w:ascii="宋体" w:hAnsi="宋体"/>
          <w:kern w:val="0"/>
          <w:sz w:val="24"/>
        </w:rPr>
        <w:t xml:space="preserve"> </w:t>
      </w:r>
    </w:p>
    <w:p w14:paraId="551C7146">
      <w:pPr>
        <w:widowControl/>
        <w:snapToGrid w:val="0"/>
        <w:spacing w:line="360" w:lineRule="auto"/>
        <w:ind w:firstLine="480"/>
        <w:jc w:val="left"/>
        <w:rPr>
          <w:rFonts w:ascii="宋体" w:hAnsi="宋体"/>
          <w:kern w:val="0"/>
          <w:sz w:val="24"/>
        </w:rPr>
      </w:pPr>
      <w:r>
        <w:rPr>
          <w:rFonts w:ascii="宋体" w:hAnsi="宋体"/>
          <w:kern w:val="0"/>
          <w:sz w:val="24"/>
        </w:rPr>
        <w:t>3.</w:t>
      </w:r>
      <w:r>
        <w:rPr>
          <w:rFonts w:hint="eastAsia" w:ascii="宋体" w:hAnsi="宋体"/>
          <w:kern w:val="0"/>
          <w:sz w:val="24"/>
          <w:lang w:val="en-US" w:eastAsia="zh-CN"/>
        </w:rPr>
        <w:t>7</w:t>
      </w:r>
      <w:r>
        <w:rPr>
          <w:rFonts w:ascii="宋体" w:hAnsi="宋体"/>
          <w:kern w:val="0"/>
          <w:sz w:val="24"/>
        </w:rPr>
        <w:t xml:space="preserve">.4 </w:t>
      </w:r>
      <w:r>
        <w:rPr>
          <w:rFonts w:hint="eastAsia" w:ascii="宋体" w:hAnsi="宋体"/>
          <w:kern w:val="0"/>
          <w:sz w:val="24"/>
        </w:rPr>
        <w:t>凡超出招标文件规定的或给发包人带来未曾要求的利益的变化、偏差或其他因素在评标时不予考虑。</w:t>
      </w:r>
      <w:r>
        <w:rPr>
          <w:rFonts w:ascii="宋体" w:hAnsi="宋体"/>
          <w:kern w:val="0"/>
          <w:sz w:val="24"/>
        </w:rPr>
        <w:t xml:space="preserve"> </w:t>
      </w:r>
    </w:p>
    <w:p w14:paraId="764D1E9D">
      <w:pPr>
        <w:pStyle w:val="2"/>
        <w:spacing w:before="0" w:after="0" w:line="360" w:lineRule="auto"/>
        <w:rPr>
          <w:rFonts w:hint="eastAsia" w:ascii="黑体"/>
          <w:b w:val="0"/>
          <w:sz w:val="28"/>
          <w:szCs w:val="28"/>
        </w:rPr>
      </w:pPr>
      <w:bookmarkStart w:id="665" w:name="_Toc53685680"/>
      <w:r>
        <w:rPr>
          <w:rFonts w:hint="eastAsia" w:ascii="黑体"/>
          <w:b w:val="0"/>
          <w:sz w:val="28"/>
          <w:szCs w:val="28"/>
        </w:rPr>
        <w:t>3.8 不得否决投标的情形</w:t>
      </w:r>
      <w:bookmarkEnd w:id="665"/>
      <w:r>
        <w:rPr>
          <w:rFonts w:hint="eastAsia" w:ascii="黑体"/>
          <w:b w:val="0"/>
          <w:sz w:val="28"/>
          <w:szCs w:val="28"/>
        </w:rPr>
        <w:t xml:space="preserve"> </w:t>
      </w:r>
    </w:p>
    <w:p w14:paraId="7FF8D874">
      <w:pPr>
        <w:widowControl/>
        <w:snapToGrid w:val="0"/>
        <w:spacing w:line="360" w:lineRule="auto"/>
        <w:ind w:firstLine="480"/>
        <w:rPr>
          <w:rFonts w:ascii="宋体" w:hAnsi="宋体"/>
          <w:kern w:val="0"/>
          <w:sz w:val="24"/>
        </w:rPr>
      </w:pPr>
      <w:r>
        <w:rPr>
          <w:rFonts w:hint="eastAsia" w:ascii="宋体" w:hAnsi="宋体" w:cs="宋体"/>
          <w:sz w:val="24"/>
        </w:rPr>
        <w:t>投标文件存在第三章“评标办法”前附表中所列任一否决投标情形以外的情况均视为细微偏差，评标委员会不得否决投标人的投标，细微偏差的处理可以按照澄清规定处理</w:t>
      </w:r>
      <w:r>
        <w:rPr>
          <w:rFonts w:hint="eastAsia" w:ascii="宋体" w:hAnsi="宋体"/>
          <w:kern w:val="0"/>
          <w:sz w:val="24"/>
        </w:rPr>
        <w:t>。</w:t>
      </w:r>
      <w:r>
        <w:rPr>
          <w:rFonts w:ascii="宋体" w:hAnsi="宋体"/>
          <w:kern w:val="0"/>
          <w:sz w:val="24"/>
        </w:rPr>
        <w:t xml:space="preserve"> </w:t>
      </w:r>
    </w:p>
    <w:p w14:paraId="3B6C27E7">
      <w:pPr>
        <w:pStyle w:val="2"/>
        <w:spacing w:before="0" w:after="0" w:line="360" w:lineRule="auto"/>
        <w:rPr>
          <w:rFonts w:ascii="黑体"/>
          <w:b w:val="0"/>
          <w:sz w:val="28"/>
          <w:szCs w:val="28"/>
        </w:rPr>
      </w:pPr>
      <w:bookmarkStart w:id="666" w:name="_Toc53685681"/>
      <w:r>
        <w:rPr>
          <w:rFonts w:ascii="黑体"/>
          <w:b w:val="0"/>
          <w:sz w:val="28"/>
          <w:szCs w:val="28"/>
        </w:rPr>
        <w:t>3.9</w:t>
      </w:r>
      <w:r>
        <w:rPr>
          <w:rFonts w:hint="eastAsia" w:ascii="黑体"/>
          <w:b w:val="0"/>
          <w:sz w:val="28"/>
          <w:szCs w:val="28"/>
        </w:rPr>
        <w:t xml:space="preserve"> 评标结果</w:t>
      </w:r>
      <w:bookmarkEnd w:id="666"/>
      <w:r>
        <w:rPr>
          <w:rFonts w:ascii="黑体"/>
          <w:b w:val="0"/>
          <w:sz w:val="28"/>
          <w:szCs w:val="28"/>
        </w:rPr>
        <w:t xml:space="preserve"> </w:t>
      </w:r>
    </w:p>
    <w:p w14:paraId="612E0FC3">
      <w:pPr>
        <w:spacing w:line="360" w:lineRule="auto"/>
        <w:ind w:firstLine="480" w:firstLineChars="200"/>
        <w:rPr>
          <w:rFonts w:ascii="宋体" w:hAnsi="宋体"/>
          <w:kern w:val="0"/>
          <w:sz w:val="24"/>
        </w:rPr>
      </w:pPr>
      <w:r>
        <w:rPr>
          <w:rFonts w:ascii="宋体" w:hAnsi="宋体"/>
          <w:kern w:val="0"/>
          <w:sz w:val="24"/>
        </w:rPr>
        <w:t xml:space="preserve">3.9.1 </w:t>
      </w:r>
      <w:r>
        <w:rPr>
          <w:rFonts w:hint="eastAsia" w:ascii="宋体" w:hAnsi="宋体"/>
          <w:kern w:val="0"/>
          <w:sz w:val="24"/>
        </w:rPr>
        <w:t>除第二章</w:t>
      </w:r>
      <w:r>
        <w:rPr>
          <w:rFonts w:ascii="宋体" w:hAnsi="宋体"/>
          <w:kern w:val="0"/>
          <w:sz w:val="24"/>
        </w:rPr>
        <w:t>“</w:t>
      </w:r>
      <w:r>
        <w:rPr>
          <w:rFonts w:hint="eastAsia" w:ascii="宋体" w:hAnsi="宋体"/>
          <w:kern w:val="0"/>
          <w:sz w:val="24"/>
        </w:rPr>
        <w:t>投标人须知</w:t>
      </w:r>
      <w:r>
        <w:rPr>
          <w:rFonts w:ascii="宋体" w:hAnsi="宋体"/>
          <w:kern w:val="0"/>
          <w:sz w:val="24"/>
        </w:rPr>
        <w:t>”</w:t>
      </w:r>
      <w:r>
        <w:rPr>
          <w:rFonts w:hint="eastAsia" w:ascii="宋体" w:hAnsi="宋体"/>
          <w:kern w:val="0"/>
          <w:sz w:val="24"/>
        </w:rPr>
        <w:t>前附表授权直接确定中标人外，评标委员会按照</w:t>
      </w:r>
      <w:r>
        <w:rPr>
          <w:rFonts w:ascii="宋体" w:hAnsi="宋体"/>
          <w:kern w:val="0"/>
          <w:sz w:val="24"/>
        </w:rPr>
        <w:t>评标价由低到</w:t>
      </w:r>
      <w:r>
        <w:rPr>
          <w:rFonts w:hint="eastAsia" w:ascii="宋体" w:hAnsi="宋体"/>
          <w:kern w:val="0"/>
          <w:sz w:val="24"/>
        </w:rPr>
        <w:t>高的顺序推荐中标候选人，并标明排序。</w:t>
      </w:r>
    </w:p>
    <w:p w14:paraId="4BE46E7A">
      <w:pPr>
        <w:spacing w:before="0" w:after="0" w:line="360" w:lineRule="auto"/>
        <w:ind w:firstLine="480" w:firstLineChars="200"/>
        <w:rPr>
          <w:rFonts w:ascii="宋体" w:hAnsi="宋体"/>
          <w:kern w:val="0"/>
          <w:sz w:val="24"/>
        </w:rPr>
      </w:pPr>
      <w:r>
        <w:rPr>
          <w:rFonts w:ascii="宋体" w:hAnsi="宋体"/>
          <w:kern w:val="0"/>
          <w:sz w:val="24"/>
        </w:rPr>
        <w:t>3.9.2</w:t>
      </w:r>
      <w:r>
        <w:rPr>
          <w:rFonts w:hint="eastAsia" w:ascii="宋体" w:hAnsi="宋体"/>
          <w:kern w:val="0"/>
          <w:sz w:val="24"/>
          <w:lang w:val="en-US" w:eastAsia="zh-CN"/>
        </w:rPr>
        <w:t xml:space="preserve"> </w:t>
      </w:r>
      <w:r>
        <w:rPr>
          <w:rFonts w:ascii="宋体" w:hAnsi="宋体"/>
          <w:kern w:val="0"/>
          <w:sz w:val="24"/>
        </w:rPr>
        <w:t>评标委员会完成评标后，应向招标人提交评标报告。</w:t>
      </w:r>
      <w:bookmarkStart w:id="667" w:name="_Toc53685682"/>
    </w:p>
    <w:p w14:paraId="503B957A">
      <w:pPr>
        <w:spacing w:before="120" w:after="120" w:line="360" w:lineRule="auto"/>
        <w:ind w:firstLine="480" w:firstLineChars="200"/>
        <w:rPr>
          <w:rFonts w:ascii="宋体" w:hAnsi="宋体"/>
          <w:kern w:val="0"/>
          <w:sz w:val="24"/>
        </w:rPr>
      </w:pPr>
      <w:r>
        <w:rPr>
          <w:rFonts w:ascii="宋体" w:hAnsi="宋体"/>
          <w:kern w:val="0"/>
          <w:sz w:val="24"/>
        </w:rPr>
        <w:br w:type="page"/>
      </w:r>
    </w:p>
    <w:p w14:paraId="4839F343">
      <w:pPr>
        <w:pStyle w:val="3"/>
        <w:adjustRightInd w:val="0"/>
        <w:snapToGrid w:val="0"/>
        <w:spacing w:before="0" w:beforeLines="0" w:after="0" w:afterLines="0" w:line="360" w:lineRule="auto"/>
        <w:jc w:val="center"/>
        <w:rPr>
          <w:rFonts w:ascii="黑体" w:hAnsi="黑体" w:cs="宋体"/>
          <w:b w:val="0"/>
          <w:sz w:val="36"/>
          <w:szCs w:val="36"/>
        </w:rPr>
      </w:pPr>
      <w:r>
        <w:rPr>
          <w:rFonts w:hint="eastAsia" w:ascii="黑体" w:hAnsi="黑体" w:cs="宋体"/>
          <w:sz w:val="36"/>
          <w:szCs w:val="36"/>
        </w:rPr>
        <w:t>第三章</w:t>
      </w:r>
      <w:r>
        <w:rPr>
          <w:rFonts w:ascii="黑体" w:hAnsi="黑体" w:cs="宋体"/>
          <w:sz w:val="36"/>
          <w:szCs w:val="36"/>
        </w:rPr>
        <w:t xml:space="preserve">  </w:t>
      </w:r>
      <w:r>
        <w:rPr>
          <w:rFonts w:hint="eastAsia" w:ascii="黑体" w:hAnsi="黑体" w:cs="宋体"/>
          <w:sz w:val="36"/>
          <w:szCs w:val="36"/>
        </w:rPr>
        <w:t>评标办法（综合评分法）</w:t>
      </w:r>
    </w:p>
    <w:p w14:paraId="589BA187">
      <w:pPr>
        <w:pStyle w:val="3"/>
        <w:adjustRightInd w:val="0"/>
        <w:snapToGrid w:val="0"/>
        <w:spacing w:before="0" w:beforeLines="0" w:after="0" w:afterLines="0" w:line="360" w:lineRule="auto"/>
        <w:jc w:val="left"/>
        <w:rPr>
          <w:rFonts w:ascii="黑体" w:hAnsi="黑体" w:cs="黑体"/>
          <w:szCs w:val="28"/>
        </w:rPr>
      </w:pPr>
      <w:r>
        <w:rPr>
          <w:rFonts w:ascii="黑体" w:hAnsi="黑体" w:cs="黑体"/>
          <w:szCs w:val="28"/>
        </w:rPr>
        <w:t>评标办法前附表</w:t>
      </w:r>
      <w:bookmarkEnd w:id="667"/>
    </w:p>
    <w:p w14:paraId="52E21511">
      <w:pPr>
        <w:widowControl/>
        <w:spacing w:line="360" w:lineRule="auto"/>
        <w:ind w:firstLine="357"/>
        <w:rPr>
          <w:rFonts w:ascii="宋体" w:hAnsi="宋体"/>
          <w:kern w:val="0"/>
          <w:sz w:val="24"/>
        </w:rPr>
      </w:pPr>
      <w:r>
        <w:rPr>
          <w:rFonts w:hint="eastAsia"/>
          <w:sz w:val="24"/>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959" w:type="dxa"/>
        <w:tblInd w:w="-34" w:type="dxa"/>
        <w:tblLayout w:type="fixed"/>
        <w:tblCellMar>
          <w:top w:w="0" w:type="dxa"/>
          <w:left w:w="108" w:type="dxa"/>
          <w:bottom w:w="0" w:type="dxa"/>
          <w:right w:w="108" w:type="dxa"/>
        </w:tblCellMar>
      </w:tblPr>
      <w:tblGrid>
        <w:gridCol w:w="772"/>
        <w:gridCol w:w="762"/>
        <w:gridCol w:w="2263"/>
        <w:gridCol w:w="5162"/>
      </w:tblGrid>
      <w:tr w14:paraId="57634A92">
        <w:tblPrEx>
          <w:tblCellMar>
            <w:top w:w="0" w:type="dxa"/>
            <w:left w:w="108" w:type="dxa"/>
            <w:bottom w:w="0" w:type="dxa"/>
            <w:right w:w="108" w:type="dxa"/>
          </w:tblCellMar>
        </w:tblPrEx>
        <w:trPr>
          <w:trHeight w:val="461" w:hRule="atLeast"/>
          <w:tblHeader/>
        </w:trPr>
        <w:tc>
          <w:tcPr>
            <w:tcW w:w="1534" w:type="dxa"/>
            <w:gridSpan w:val="2"/>
            <w:tcBorders>
              <w:top w:val="single" w:color="000000" w:sz="4" w:space="0"/>
              <w:left w:val="single" w:color="000000" w:sz="4" w:space="0"/>
              <w:bottom w:val="single" w:color="000000" w:sz="4" w:space="0"/>
              <w:right w:val="single" w:color="000000" w:sz="4" w:space="0"/>
            </w:tcBorders>
            <w:vAlign w:val="center"/>
          </w:tcPr>
          <w:p w14:paraId="172FB98D">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7425" w:type="dxa"/>
            <w:gridSpan w:val="2"/>
            <w:tcBorders>
              <w:top w:val="single" w:color="000000" w:sz="4" w:space="0"/>
              <w:left w:val="nil"/>
              <w:bottom w:val="single" w:color="000000" w:sz="4" w:space="0"/>
              <w:right w:val="single" w:color="000000" w:sz="4" w:space="0"/>
            </w:tcBorders>
            <w:vAlign w:val="center"/>
          </w:tcPr>
          <w:p w14:paraId="1E674F31">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评审因素与评审标准</w:t>
            </w:r>
          </w:p>
        </w:tc>
      </w:tr>
      <w:tr w14:paraId="420F9D8D">
        <w:tblPrEx>
          <w:tblCellMar>
            <w:top w:w="0" w:type="dxa"/>
            <w:left w:w="108" w:type="dxa"/>
            <w:bottom w:w="0" w:type="dxa"/>
            <w:right w:w="108" w:type="dxa"/>
          </w:tblCellMar>
        </w:tblPrEx>
        <w:trPr>
          <w:trHeight w:val="927" w:hRule="atLeast"/>
        </w:trPr>
        <w:tc>
          <w:tcPr>
            <w:tcW w:w="772" w:type="dxa"/>
            <w:tcBorders>
              <w:top w:val="nil"/>
              <w:left w:val="single" w:color="000000" w:sz="4" w:space="0"/>
              <w:bottom w:val="single" w:color="auto" w:sz="4" w:space="0"/>
              <w:right w:val="single" w:color="000000" w:sz="4" w:space="0"/>
            </w:tcBorders>
            <w:vAlign w:val="center"/>
          </w:tcPr>
          <w:p w14:paraId="159713E0">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762" w:type="dxa"/>
            <w:tcBorders>
              <w:top w:val="single" w:color="000000" w:sz="4" w:space="0"/>
              <w:left w:val="nil"/>
              <w:bottom w:val="single" w:color="auto" w:sz="4" w:space="0"/>
              <w:right w:val="single" w:color="000000" w:sz="4" w:space="0"/>
            </w:tcBorders>
            <w:vAlign w:val="center"/>
          </w:tcPr>
          <w:p w14:paraId="2EDAB44E">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评标方法</w:t>
            </w:r>
          </w:p>
        </w:tc>
        <w:tc>
          <w:tcPr>
            <w:tcW w:w="7425" w:type="dxa"/>
            <w:gridSpan w:val="2"/>
            <w:tcBorders>
              <w:top w:val="single" w:color="000000" w:sz="4" w:space="0"/>
              <w:left w:val="nil"/>
              <w:bottom w:val="single" w:color="000000" w:sz="4" w:space="0"/>
              <w:right w:val="single" w:color="000000" w:sz="4" w:space="0"/>
            </w:tcBorders>
            <w:vAlign w:val="center"/>
          </w:tcPr>
          <w:p w14:paraId="6A483604">
            <w:pPr>
              <w:widowControl/>
              <w:adjustRightInd w:val="0"/>
              <w:snapToGrid w:val="0"/>
              <w:spacing w:line="400" w:lineRule="exact"/>
              <w:rPr>
                <w:rFonts w:ascii="宋体" w:hAnsi="宋体"/>
                <w:b/>
                <w:kern w:val="0"/>
                <w:szCs w:val="21"/>
              </w:rPr>
            </w:pPr>
            <w:r>
              <w:rPr>
                <w:rFonts w:ascii="宋体" w:hAnsi="宋体"/>
                <w:b/>
                <w:kern w:val="0"/>
                <w:szCs w:val="21"/>
              </w:rPr>
              <w:t>1.</w:t>
            </w:r>
            <w:r>
              <w:rPr>
                <w:rFonts w:hint="eastAsia" w:ascii="宋体" w:hAnsi="宋体"/>
                <w:b/>
                <w:kern w:val="0"/>
                <w:szCs w:val="21"/>
              </w:rPr>
              <w:t>本次评标采用综合评分法，推荐中标候选人具体原则为：</w:t>
            </w:r>
          </w:p>
          <w:p w14:paraId="6CEA1C26">
            <w:pPr>
              <w:widowControl/>
              <w:adjustRightInd w:val="0"/>
              <w:snapToGrid w:val="0"/>
              <w:spacing w:line="40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 xml:space="preserve"> </w:t>
            </w:r>
            <w:r>
              <w:rPr>
                <w:rFonts w:hint="eastAsia" w:ascii="宋体" w:hAnsi="宋体" w:cs="宋体"/>
                <w:b/>
                <w:kern w:val="0"/>
                <w:szCs w:val="21"/>
              </w:rPr>
              <w:t>允许中</w:t>
            </w:r>
            <w:r>
              <w:rPr>
                <w:rFonts w:ascii="宋体" w:hAnsi="宋体" w:cs="宋体"/>
                <w:b/>
                <w:kern w:val="0"/>
                <w:szCs w:val="21"/>
              </w:rPr>
              <w:t>1个标段时适用</w:t>
            </w:r>
          </w:p>
          <w:p w14:paraId="2F20F904">
            <w:pPr>
              <w:widowControl/>
              <w:adjustRightInd w:val="0"/>
              <w:snapToGrid w:val="0"/>
              <w:spacing w:line="400" w:lineRule="exact"/>
              <w:ind w:firstLine="210" w:firstLineChars="100"/>
              <w:rPr>
                <w:rFonts w:ascii="宋体" w:hAnsi="宋体"/>
                <w:kern w:val="0"/>
                <w:szCs w:val="21"/>
              </w:rPr>
            </w:pPr>
            <w:r>
              <w:rPr>
                <w:rFonts w:hint="eastAsia" w:ascii="宋体" w:hAnsi="宋体"/>
                <w:kern w:val="0"/>
                <w:szCs w:val="21"/>
              </w:rPr>
              <w:t>（1）评标委员会对通过第一个信封（商务及技术文件）和第二个信封（报价文件）评审的所有投标人，按照综合得分由高到低进行排序。若多个投标人综合得分相同时，评标委员会依次按照以下原则排序：</w:t>
            </w:r>
          </w:p>
          <w:p w14:paraId="2D92AFC2">
            <w:pPr>
              <w:widowControl/>
              <w:adjustRightInd w:val="0"/>
              <w:snapToGrid w:val="0"/>
              <w:spacing w:line="400" w:lineRule="exact"/>
              <w:ind w:firstLine="420" w:firstLineChars="200"/>
              <w:rPr>
                <w:rFonts w:ascii="宋体" w:hAnsi="宋体"/>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1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szCs w:val="21"/>
              </w:rPr>
              <w:t>评标价低的投标人优先；</w:t>
            </w:r>
          </w:p>
          <w:p w14:paraId="1731A615">
            <w:pPr>
              <w:widowControl/>
              <w:spacing w:line="380" w:lineRule="exact"/>
              <w:ind w:firstLine="420" w:firstLineChars="2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cs="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kern w:val="0"/>
                <w:szCs w:val="21"/>
              </w:rPr>
              <w:t>高的优先</w:t>
            </w:r>
            <w:r>
              <w:rPr>
                <w:rFonts w:hint="eastAsia" w:ascii="宋体" w:hAnsi="宋体"/>
                <w:szCs w:val="21"/>
              </w:rPr>
              <w:t>；</w:t>
            </w:r>
          </w:p>
          <w:p w14:paraId="4DF11869">
            <w:pPr>
              <w:widowControl/>
              <w:spacing w:line="380" w:lineRule="exact"/>
              <w:ind w:firstLine="630" w:firstLineChars="300"/>
              <w:rPr>
                <w:rFonts w:hint="eastAsia"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kern w:val="0"/>
                <w:szCs w:val="21"/>
              </w:rPr>
              <w:t>高的优先</w:t>
            </w:r>
            <w:r>
              <w:rPr>
                <w:rFonts w:hint="eastAsia" w:ascii="宋体" w:hAnsi="宋体"/>
                <w:szCs w:val="21"/>
              </w:rPr>
              <w:t>；</w:t>
            </w:r>
          </w:p>
          <w:p w14:paraId="5ABC4657">
            <w:pPr>
              <w:widowControl/>
              <w:adjustRightInd w:val="0"/>
              <w:snapToGrid w:val="0"/>
              <w:spacing w:line="400" w:lineRule="exact"/>
              <w:ind w:left="210" w:leftChars="100" w:firstLine="428" w:firstLineChars="204"/>
              <w:rPr>
                <w:rFonts w:hint="eastAsia" w:ascii="宋体" w:hAnsi="宋体"/>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kern w:val="0"/>
                <w:szCs w:val="21"/>
              </w:rPr>
              <w:t>高的优先</w:t>
            </w:r>
            <w:r>
              <w:rPr>
                <w:rFonts w:hint="eastAsia"/>
                <w:szCs w:val="21"/>
                <w:u w:val="none"/>
                <w:lang w:val="en-US" w:eastAsia="zh-CN"/>
              </w:rPr>
              <w:t>；</w:t>
            </w:r>
          </w:p>
          <w:p w14:paraId="10C11FE3">
            <w:pPr>
              <w:widowControl/>
              <w:adjustRightInd w:val="0"/>
              <w:snapToGrid w:val="0"/>
              <w:spacing w:line="400" w:lineRule="exact"/>
              <w:ind w:left="210" w:leftChars="100" w:firstLine="210" w:firstLineChars="100"/>
              <w:rPr>
                <w:rFonts w:ascii="宋体" w:hAnsi="宋体"/>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3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③</w:t>
            </w:r>
            <w:r>
              <w:rPr>
                <w:rFonts w:ascii="宋体" w:hAnsi="宋体"/>
                <w:kern w:val="0"/>
                <w:szCs w:val="21"/>
              </w:rPr>
              <w:fldChar w:fldCharType="end"/>
            </w:r>
            <w:r>
              <w:rPr>
                <w:rFonts w:hint="eastAsia" w:ascii="宋体" w:hAnsi="宋体"/>
                <w:kern w:val="0"/>
                <w:szCs w:val="21"/>
              </w:rPr>
              <w:t>投标人财务评审中近一年度净资产高的优先</w:t>
            </w:r>
            <w:r>
              <w:rPr>
                <w:rFonts w:hint="eastAsia" w:ascii="宋体" w:hAnsi="宋体"/>
                <w:szCs w:val="21"/>
              </w:rPr>
              <w:t>；</w:t>
            </w:r>
          </w:p>
          <w:p w14:paraId="3C9AA50F">
            <w:pPr>
              <w:widowControl/>
              <w:adjustRightInd w:val="0"/>
              <w:snapToGrid w:val="0"/>
              <w:spacing w:line="400" w:lineRule="exact"/>
              <w:ind w:left="210" w:leftChars="100" w:firstLine="210" w:firstLineChars="100"/>
              <w:rPr>
                <w:rFonts w:hint="eastAsia" w:ascii="宋体" w:hAnsi="宋体"/>
                <w:kern w:val="0"/>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若上述情况都相同时，</w:t>
            </w:r>
            <w:r>
              <w:rPr>
                <w:rFonts w:hint="eastAsia" w:ascii="宋体" w:hAnsi="宋体"/>
                <w:kern w:val="0"/>
                <w:szCs w:val="21"/>
              </w:rPr>
              <w:t>则排序按照：</w:t>
            </w:r>
            <w:r>
              <w:rPr>
                <w:rFonts w:ascii="宋体" w:hAnsi="宋体"/>
                <w:kern w:val="0"/>
                <w:szCs w:val="21"/>
                <w:u w:val="single"/>
              </w:rPr>
              <w:t xml:space="preserve">           </w:t>
            </w:r>
            <w:r>
              <w:rPr>
                <w:rFonts w:hint="eastAsia" w:ascii="宋体" w:hAnsi="宋体"/>
                <w:kern w:val="0"/>
                <w:szCs w:val="21"/>
              </w:rPr>
              <w:t>。</w:t>
            </w:r>
          </w:p>
          <w:p w14:paraId="40C9A6FE">
            <w:pPr>
              <w:widowControl/>
              <w:adjustRightInd w:val="0"/>
              <w:snapToGrid w:val="0"/>
              <w:spacing w:line="400" w:lineRule="exact"/>
              <w:ind w:left="0" w:leftChars="0" w:firstLine="210" w:firstLineChars="100"/>
              <w:rPr>
                <w:rFonts w:hint="eastAsia" w:ascii="宋体" w:hAnsi="宋体" w:eastAsia="宋体"/>
                <w:kern w:val="0"/>
                <w:szCs w:val="21"/>
                <w:lang w:eastAsia="zh-CN"/>
              </w:rPr>
            </w:pPr>
            <w:r>
              <w:rPr>
                <w:rFonts w:hint="eastAsia" w:ascii="宋体" w:hAnsi="宋体"/>
                <w:kern w:val="0"/>
                <w:szCs w:val="21"/>
                <w:lang w:val="en-US" w:eastAsia="zh-CN"/>
              </w:rPr>
              <w:t>注：</w:t>
            </w:r>
            <w:r>
              <w:rPr>
                <w:rFonts w:hint="eastAsia" w:ascii="宋体" w:hAnsi="宋体"/>
                <w:kern w:val="0"/>
                <w:szCs w:val="21"/>
              </w:rPr>
              <w:t>联合体投标的，以牵头人为准</w:t>
            </w:r>
            <w:r>
              <w:rPr>
                <w:rFonts w:hint="eastAsia" w:ascii="宋体" w:hAnsi="宋体"/>
                <w:kern w:val="0"/>
                <w:szCs w:val="21"/>
                <w:lang w:eastAsia="zh-CN"/>
              </w:rPr>
              <w:t>。</w:t>
            </w:r>
          </w:p>
          <w:p w14:paraId="54DC102C">
            <w:pPr>
              <w:pStyle w:val="299"/>
              <w:adjustRightInd w:val="0"/>
              <w:snapToGrid w:val="0"/>
              <w:spacing w:line="400" w:lineRule="exact"/>
              <w:ind w:firstLine="210" w:firstLineChars="100"/>
              <w:rPr>
                <w:rFonts w:ascii="宋体" w:hAnsi="宋体" w:cs="宋体"/>
                <w:szCs w:val="21"/>
              </w:rPr>
            </w:pPr>
            <w:r>
              <w:rPr>
                <w:rFonts w:hint="eastAsia" w:ascii="宋体" w:hAnsi="宋体" w:cs="宋体"/>
                <w:bCs/>
                <w:kern w:val="0"/>
                <w:szCs w:val="21"/>
              </w:rPr>
              <w:sym w:font="Wingdings 2" w:char="00A3"/>
            </w:r>
            <w:r>
              <w:rPr>
                <w:rFonts w:hint="eastAsia" w:ascii="宋体" w:hAnsi="宋体" w:cs="宋体"/>
                <w:szCs w:val="21"/>
              </w:rPr>
              <w:t>（</w:t>
            </w:r>
            <w:r>
              <w:rPr>
                <w:rFonts w:ascii="宋体" w:hAnsi="宋体" w:cs="宋体"/>
                <w:szCs w:val="21"/>
              </w:rPr>
              <w:t>2）</w:t>
            </w:r>
            <w:r>
              <w:t>若同一投标人在</w:t>
            </w:r>
            <w:r>
              <w:rPr>
                <w:rFonts w:hint="eastAsia"/>
              </w:rPr>
              <w:t>2</w:t>
            </w:r>
            <w:r>
              <w:t>个</w:t>
            </w:r>
            <w:r>
              <w:rPr>
                <w:rFonts w:hint="eastAsia"/>
              </w:rPr>
              <w:t>及以上</w:t>
            </w:r>
            <w:r>
              <w:t>标段排序均第一</w:t>
            </w:r>
            <w:r>
              <w:rPr>
                <w:rFonts w:hint="eastAsia"/>
              </w:rPr>
              <w:t>，</w:t>
            </w:r>
            <w:r>
              <w:t>按以下原则依次排序</w:t>
            </w:r>
            <w:r>
              <w:rPr>
                <w:rFonts w:ascii="宋体" w:hAnsi="宋体" w:cs="宋体"/>
                <w:szCs w:val="21"/>
              </w:rPr>
              <w:t>：</w:t>
            </w:r>
          </w:p>
          <w:p w14:paraId="0262CB3E">
            <w:pPr>
              <w:pStyle w:val="299"/>
              <w:adjustRightInd w:val="0"/>
              <w:snapToGrid w:val="0"/>
              <w:spacing w:line="400" w:lineRule="exact"/>
              <w:ind w:left="420" w:leftChars="200" w:firstLine="0" w:firstLineChars="0"/>
              <w:rPr>
                <w:rFonts w:ascii="宋体" w:hAnsi="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w:t>
            </w:r>
            <w:r>
              <w:rPr>
                <w:rFonts w:hint="eastAsia" w:ascii="宋体" w:hAnsi="宋体" w:cs="宋体"/>
                <w:szCs w:val="21"/>
              </w:rPr>
              <w:t>保留该投标人评标价高的标段的第一排名，取消其在评标价低的标段的排名，其余投标人按综合得分由高到低重新排序。</w:t>
            </w:r>
            <w:r>
              <w:rPr>
                <w:rFonts w:hint="eastAsia" w:ascii="宋体" w:hAnsi="宋体"/>
                <w:kern w:val="0"/>
                <w:szCs w:val="21"/>
              </w:rPr>
              <w:t>评标价也相</w:t>
            </w:r>
          </w:p>
          <w:p w14:paraId="409EAC53">
            <w:pPr>
              <w:pStyle w:val="299"/>
              <w:adjustRightInd w:val="0"/>
              <w:snapToGrid w:val="0"/>
              <w:spacing w:line="400" w:lineRule="exact"/>
              <w:ind w:firstLine="420" w:firstLineChars="200"/>
              <w:rPr>
                <w:rFonts w:ascii="宋体" w:hAnsi="宋体"/>
                <w:kern w:val="0"/>
                <w:szCs w:val="21"/>
              </w:rPr>
            </w:pPr>
            <w:r>
              <w:rPr>
                <w:rFonts w:hint="eastAsia" w:ascii="宋体" w:hAnsi="宋体"/>
                <w:kern w:val="0"/>
                <w:szCs w:val="21"/>
              </w:rPr>
              <w:t>同时，则排序按照：</w:t>
            </w:r>
            <w:r>
              <w:rPr>
                <w:rFonts w:ascii="宋体" w:hAnsi="宋体"/>
                <w:kern w:val="0"/>
                <w:szCs w:val="21"/>
                <w:u w:val="single"/>
              </w:rPr>
              <w:t xml:space="preserve">           </w:t>
            </w:r>
            <w:r>
              <w:rPr>
                <w:rFonts w:hint="eastAsia" w:ascii="宋体" w:hAnsi="宋体"/>
                <w:kern w:val="0"/>
                <w:szCs w:val="21"/>
              </w:rPr>
              <w:t>。</w:t>
            </w:r>
          </w:p>
          <w:p w14:paraId="3604328F">
            <w:pPr>
              <w:widowControl/>
              <w:adjustRightInd w:val="0"/>
              <w:snapToGrid w:val="0"/>
              <w:spacing w:line="400" w:lineRule="exact"/>
              <w:ind w:firstLine="420" w:firstLineChars="200"/>
              <w:rPr>
                <w:rFonts w:ascii="宋体" w:hAnsi="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ascii="宋体" w:hAnsi="宋体"/>
                <w:kern w:val="0"/>
                <w:szCs w:val="21"/>
                <w:u w:val="single"/>
              </w:rPr>
              <w:t xml:space="preserve">          </w:t>
            </w:r>
            <w:r>
              <w:rPr>
                <w:rFonts w:hint="eastAsia" w:ascii="宋体" w:hAnsi="宋体"/>
                <w:kern w:val="0"/>
                <w:szCs w:val="21"/>
              </w:rPr>
              <w:t>。</w:t>
            </w:r>
          </w:p>
          <w:p w14:paraId="20087073">
            <w:pPr>
              <w:pStyle w:val="299"/>
              <w:adjustRightInd w:val="0"/>
              <w:snapToGrid w:val="0"/>
              <w:spacing w:line="400" w:lineRule="exact"/>
              <w:ind w:firstLine="210" w:firstLineChars="100"/>
              <w:rPr>
                <w:rFonts w:ascii="宋体" w:hAnsi="宋体" w:cs="宋体"/>
                <w:szCs w:val="21"/>
              </w:rPr>
            </w:pPr>
            <w:r>
              <w:rPr>
                <w:rFonts w:hint="eastAsia" w:ascii="宋体" w:hAnsi="宋体" w:cs="宋体"/>
                <w:bCs/>
                <w:kern w:val="0"/>
                <w:szCs w:val="21"/>
              </w:rPr>
              <w:sym w:font="Wingdings 2" w:char="00A3"/>
            </w:r>
            <w:r>
              <w:rPr>
                <w:rFonts w:hint="eastAsia" w:ascii="宋体" w:hAnsi="宋体" w:cs="宋体"/>
                <w:szCs w:val="21"/>
              </w:rPr>
              <w:t>（3）</w:t>
            </w:r>
            <w:r>
              <w:t>若同一投标人</w:t>
            </w:r>
            <w:r>
              <w:rPr>
                <w:rFonts w:hint="eastAsia"/>
              </w:rPr>
              <w:t>参与2</w:t>
            </w:r>
            <w:r>
              <w:t>个</w:t>
            </w:r>
            <w:r>
              <w:rPr>
                <w:rFonts w:hint="eastAsia"/>
              </w:rPr>
              <w:t>及以上</w:t>
            </w:r>
            <w:r>
              <w:t>标段</w:t>
            </w:r>
            <w:r>
              <w:rPr>
                <w:rFonts w:hint="eastAsia"/>
              </w:rPr>
              <w:t>的投标，</w:t>
            </w:r>
            <w:r>
              <w:rPr>
                <w:rFonts w:hint="eastAsia" w:ascii="宋体" w:hAnsi="宋体" w:cs="宋体"/>
                <w:szCs w:val="21"/>
              </w:rPr>
              <w:t>在其中一个标段已经推荐为第一中标候选人，则在其他标段不再作为中标候选人推荐，其余投标人按综合得分由高到低重新排序。</w:t>
            </w:r>
          </w:p>
          <w:p w14:paraId="639EDBB0">
            <w:pPr>
              <w:widowControl/>
              <w:adjustRightInd w:val="0"/>
              <w:snapToGrid w:val="0"/>
              <w:spacing w:line="400" w:lineRule="exact"/>
              <w:ind w:firstLine="210" w:firstLineChars="100"/>
              <w:rPr>
                <w:rFonts w:ascii="宋体" w:hAnsi="宋体"/>
                <w:kern w:val="0"/>
                <w:szCs w:val="21"/>
              </w:rPr>
            </w:pPr>
            <w:r>
              <w:rPr>
                <w:rFonts w:hint="eastAsia" w:ascii="宋体" w:hAnsi="宋体" w:cs="宋体"/>
                <w:szCs w:val="21"/>
              </w:rPr>
              <w:t>（4）评标委员会按最终排序推荐前</w:t>
            </w:r>
            <w:r>
              <w:rPr>
                <w:rFonts w:ascii="宋体" w:hAnsi="宋体" w:cs="宋体"/>
                <w:szCs w:val="21"/>
              </w:rPr>
              <w:t>3名中标候选人（若不足3名，则按相应数量推荐）。</w:t>
            </w:r>
          </w:p>
          <w:p w14:paraId="2BB61D7F">
            <w:pPr>
              <w:pStyle w:val="344"/>
              <w:widowControl/>
              <w:numPr>
                <w:ilvl w:val="0"/>
                <w:numId w:val="3"/>
              </w:numPr>
              <w:adjustRightInd w:val="0"/>
              <w:snapToGrid w:val="0"/>
              <w:spacing w:line="400" w:lineRule="exact"/>
              <w:ind w:firstLineChars="0"/>
              <w:rPr>
                <w:rFonts w:ascii="宋体" w:hAnsi="宋体" w:cs="宋体"/>
                <w:b/>
                <w:kern w:val="0"/>
                <w:szCs w:val="21"/>
              </w:rPr>
            </w:pPr>
            <w:r>
              <w:rPr>
                <w:rFonts w:hint="eastAsia" w:ascii="宋体" w:hAnsi="宋体" w:cs="宋体"/>
                <w:b/>
                <w:kern w:val="0"/>
                <w:szCs w:val="21"/>
              </w:rPr>
              <w:t>允许中</w:t>
            </w:r>
            <w:r>
              <w:rPr>
                <w:rFonts w:ascii="宋体" w:hAnsi="宋体" w:cs="宋体"/>
                <w:b/>
                <w:kern w:val="0"/>
                <w:szCs w:val="21"/>
              </w:rPr>
              <w:t>2个及以上标段适用</w:t>
            </w:r>
          </w:p>
          <w:p w14:paraId="11EC13A5">
            <w:pPr>
              <w:widowControl/>
              <w:adjustRightInd w:val="0"/>
              <w:snapToGrid w:val="0"/>
              <w:spacing w:line="400" w:lineRule="exact"/>
              <w:rPr>
                <w:rFonts w:ascii="宋体" w:hAnsi="宋体"/>
                <w:kern w:val="0"/>
                <w:szCs w:val="21"/>
              </w:rPr>
            </w:pPr>
            <w:r>
              <w:rPr>
                <w:rFonts w:hint="eastAsia" w:ascii="宋体" w:hAnsi="宋体"/>
                <w:kern w:val="0"/>
                <w:szCs w:val="21"/>
                <w:lang w:val="en-US" w:eastAsia="zh-CN"/>
              </w:rPr>
              <w:t xml:space="preserve"> </w:t>
            </w:r>
            <w:r>
              <w:rPr>
                <w:rFonts w:hint="eastAsia" w:ascii="宋体" w:hAnsi="宋体"/>
                <w:kern w:val="0"/>
                <w:szCs w:val="21"/>
                <w:u w:val="single"/>
                <w:lang w:val="en-US" w:eastAsia="zh-CN"/>
              </w:rPr>
              <w:t xml:space="preserve">                          </w:t>
            </w:r>
            <w:r>
              <w:rPr>
                <w:rFonts w:ascii="宋体" w:hAnsi="宋体"/>
                <w:kern w:val="0"/>
                <w:szCs w:val="21"/>
              </w:rPr>
              <w:t xml:space="preserve">   </w:t>
            </w:r>
          </w:p>
          <w:p w14:paraId="055CECC8">
            <w:pPr>
              <w:widowControl/>
              <w:adjustRightInd w:val="0"/>
              <w:snapToGrid w:val="0"/>
              <w:spacing w:line="400" w:lineRule="exact"/>
              <w:rPr>
                <w:rFonts w:ascii="宋体" w:hAnsi="宋体"/>
                <w:kern w:val="0"/>
                <w:szCs w:val="21"/>
                <w:u w:val="single"/>
              </w:rPr>
            </w:pPr>
            <w:r>
              <w:rPr>
                <w:rFonts w:ascii="宋体" w:hAnsi="宋体"/>
                <w:b/>
                <w:szCs w:val="21"/>
              </w:rPr>
              <w:t>2.</w:t>
            </w:r>
            <w:r>
              <w:rPr>
                <w:rFonts w:hint="eastAsia"/>
                <w:szCs w:val="21"/>
              </w:rPr>
              <w:t>在评标过程中，如有效投标不足</w:t>
            </w:r>
            <w:r>
              <w:rPr>
                <w:szCs w:val="21"/>
              </w:rPr>
              <w:t>3</w:t>
            </w:r>
            <w:r>
              <w:rPr>
                <w:rFonts w:hint="eastAsia"/>
                <w:szCs w:val="21"/>
              </w:rPr>
              <w:t>个，评标委员会应当对有效投标是否仍具有竞争性进行评审。评标委员会一致认为有效投标仍具有竞争性的，应当继续</w:t>
            </w:r>
          </w:p>
        </w:tc>
      </w:tr>
      <w:tr w14:paraId="5252B679">
        <w:tblPrEx>
          <w:tblCellMar>
            <w:top w:w="0" w:type="dxa"/>
            <w:left w:w="108" w:type="dxa"/>
            <w:bottom w:w="0" w:type="dxa"/>
            <w:right w:w="108" w:type="dxa"/>
          </w:tblCellMar>
        </w:tblPrEx>
        <w:trPr>
          <w:trHeight w:val="1269" w:hRule="atLeast"/>
        </w:trPr>
        <w:tc>
          <w:tcPr>
            <w:tcW w:w="772" w:type="dxa"/>
            <w:tcBorders>
              <w:top w:val="nil"/>
              <w:left w:val="single" w:color="000000" w:sz="4" w:space="0"/>
              <w:bottom w:val="single" w:color="auto" w:sz="4" w:space="0"/>
              <w:right w:val="single" w:color="000000" w:sz="4" w:space="0"/>
            </w:tcBorders>
            <w:vAlign w:val="center"/>
          </w:tcPr>
          <w:p w14:paraId="04BF047C">
            <w:pPr>
              <w:widowControl/>
              <w:adjustRightInd w:val="0"/>
              <w:snapToGrid w:val="0"/>
              <w:spacing w:line="400" w:lineRule="exact"/>
              <w:jc w:val="center"/>
              <w:rPr>
                <w:rFonts w:ascii="宋体" w:hAnsi="宋体" w:cs="宋体"/>
                <w:kern w:val="0"/>
                <w:szCs w:val="21"/>
              </w:rPr>
            </w:pPr>
            <w:r>
              <w:rPr>
                <w:rFonts w:ascii="宋体" w:hAnsi="宋体" w:cs="宋体"/>
                <w:kern w:val="0"/>
                <w:szCs w:val="21"/>
              </w:rPr>
              <w:t>1</w:t>
            </w:r>
          </w:p>
        </w:tc>
        <w:tc>
          <w:tcPr>
            <w:tcW w:w="762" w:type="dxa"/>
            <w:tcBorders>
              <w:top w:val="single" w:color="000000" w:sz="4" w:space="0"/>
              <w:left w:val="nil"/>
              <w:bottom w:val="single" w:color="auto" w:sz="4" w:space="0"/>
              <w:right w:val="single" w:color="000000" w:sz="4" w:space="0"/>
            </w:tcBorders>
            <w:vAlign w:val="center"/>
          </w:tcPr>
          <w:p w14:paraId="47C992EA">
            <w:pPr>
              <w:pStyle w:val="299"/>
              <w:adjustRightInd w:val="0"/>
              <w:snapToGrid w:val="0"/>
              <w:spacing w:line="400" w:lineRule="exact"/>
              <w:jc w:val="center"/>
              <w:rPr>
                <w:rFonts w:ascii="宋体" w:hAnsi="宋体"/>
                <w:szCs w:val="21"/>
              </w:rPr>
            </w:pPr>
            <w:r>
              <w:rPr>
                <w:rFonts w:hint="eastAsia" w:ascii="宋体" w:hAnsi="宋体"/>
                <w:szCs w:val="21"/>
              </w:rPr>
              <w:t>评标方法</w:t>
            </w:r>
          </w:p>
        </w:tc>
        <w:tc>
          <w:tcPr>
            <w:tcW w:w="7425" w:type="dxa"/>
            <w:gridSpan w:val="2"/>
            <w:tcBorders>
              <w:top w:val="single" w:color="000000" w:sz="4" w:space="0"/>
              <w:left w:val="nil"/>
              <w:bottom w:val="single" w:color="auto" w:sz="4" w:space="0"/>
              <w:right w:val="single" w:color="000000" w:sz="4" w:space="0"/>
            </w:tcBorders>
            <w:vAlign w:val="center"/>
          </w:tcPr>
          <w:p w14:paraId="400BB64B">
            <w:pPr>
              <w:pStyle w:val="299"/>
              <w:adjustRightInd w:val="0"/>
              <w:snapToGrid w:val="0"/>
              <w:spacing w:line="400" w:lineRule="exact"/>
              <w:ind w:firstLine="0" w:firstLineChars="0"/>
              <w:rPr>
                <w:szCs w:val="21"/>
              </w:rPr>
            </w:pPr>
            <w:r>
              <w:rPr>
                <w:rFonts w:hint="eastAsia"/>
                <w:szCs w:val="21"/>
              </w:rPr>
              <w:t>推荐中标候选人，并在评标报告中予以说明。评标委员会对有效投标是否仍具有竞争性无法达成一致意见的，应当否诀全部投标，并在评标报告中</w:t>
            </w:r>
            <w:r>
              <w:rPr>
                <w:rFonts w:hint="eastAsia"/>
                <w:szCs w:val="21"/>
                <w:lang w:val="en-US" w:eastAsia="zh-CN"/>
              </w:rPr>
              <w:t>作</w:t>
            </w:r>
            <w:r>
              <w:rPr>
                <w:rFonts w:hint="eastAsia"/>
                <w:szCs w:val="21"/>
              </w:rPr>
              <w:t>出说明。</w:t>
            </w:r>
          </w:p>
          <w:p w14:paraId="05C4E767">
            <w:pPr>
              <w:pStyle w:val="299"/>
              <w:adjustRightInd w:val="0"/>
              <w:snapToGrid w:val="0"/>
              <w:spacing w:line="400" w:lineRule="exact"/>
              <w:rPr>
                <w:rFonts w:ascii="宋体" w:hAnsi="宋体" w:cs="宋体"/>
                <w:b/>
                <w:bCs/>
                <w:szCs w:val="21"/>
              </w:rPr>
            </w:pPr>
            <w:r>
              <w:rPr>
                <w:rFonts w:hint="eastAsia" w:ascii="宋体" w:hAnsi="宋体" w:cs="宋体"/>
                <w:b/>
                <w:bCs/>
                <w:szCs w:val="21"/>
              </w:rPr>
              <w:t>□ 3.协助评标</w:t>
            </w:r>
          </w:p>
          <w:p w14:paraId="77DECE6B">
            <w:pPr>
              <w:pStyle w:val="299"/>
              <w:adjustRightInd w:val="0"/>
              <w:snapToGrid w:val="0"/>
              <w:spacing w:line="400" w:lineRule="exact"/>
              <w:ind w:firstLine="420" w:firstLineChars="200"/>
              <w:rPr>
                <w:rFonts w:ascii="宋体" w:hAnsi="宋体" w:cs="宋体"/>
                <w:szCs w:val="21"/>
              </w:rPr>
            </w:pPr>
            <w:r>
              <w:rPr>
                <w:rFonts w:hint="eastAsia" w:ascii="宋体" w:hAnsi="宋体" w:cs="宋体"/>
                <w:szCs w:val="21"/>
              </w:rPr>
              <w:t>招标人按照</w:t>
            </w:r>
            <w:r>
              <w:rPr>
                <w:rFonts w:hint="eastAsia" w:ascii="宋体" w:hAnsi="宋体" w:cs="宋体"/>
                <w:szCs w:val="21"/>
                <w:u w:val="single"/>
              </w:rPr>
              <w:t>《公路工程建设项目招标投标管理办法》（交通运输部令</w:t>
            </w:r>
            <w:r>
              <w:rPr>
                <w:rFonts w:ascii="宋体" w:hAnsi="宋体" w:cs="宋体"/>
                <w:szCs w:val="21"/>
                <w:u w:val="single"/>
              </w:rPr>
              <w:t>2015年第24号）、《公路工程建设项目评标工作细则》（交公路</w:t>
            </w:r>
            <w:r>
              <w:rPr>
                <w:rFonts w:hint="eastAsia" w:ascii="宋体" w:hAnsi="宋体" w:cs="宋体"/>
                <w:szCs w:val="21"/>
                <w:u w:val="single"/>
              </w:rPr>
              <w:t>规</w:t>
            </w:r>
            <w:r>
              <w:rPr>
                <w:rFonts w:ascii="宋体" w:hAnsi="宋体" w:cs="宋体"/>
                <w:szCs w:val="21"/>
                <w:u w:val="single"/>
              </w:rPr>
              <w:t>〔20</w:t>
            </w:r>
            <w:r>
              <w:rPr>
                <w:rFonts w:hint="eastAsia" w:ascii="宋体" w:hAnsi="宋体" w:cs="宋体"/>
                <w:szCs w:val="21"/>
                <w:u w:val="single"/>
              </w:rPr>
              <w:t>22</w:t>
            </w:r>
            <w:r>
              <w:rPr>
                <w:rFonts w:ascii="宋体" w:hAnsi="宋体" w:cs="宋体"/>
                <w:szCs w:val="21"/>
                <w:u w:val="single"/>
              </w:rPr>
              <w:t>〕</w:t>
            </w:r>
            <w:r>
              <w:rPr>
                <w:rFonts w:hint="eastAsia" w:ascii="宋体" w:hAnsi="宋体" w:cs="宋体"/>
                <w:szCs w:val="21"/>
                <w:u w:val="single"/>
              </w:rPr>
              <w:t>8</w:t>
            </w:r>
            <w:r>
              <w:rPr>
                <w:rFonts w:ascii="宋体" w:hAnsi="宋体" w:cs="宋体"/>
                <w:szCs w:val="21"/>
                <w:u w:val="single"/>
              </w:rPr>
              <w:t>号）、《四川省公路工程建设项目招标投标管理实施细则》（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ascii="宋体" w:hAnsi="宋体" w:cs="宋体"/>
                <w:szCs w:val="21"/>
              </w:rPr>
              <w:t>规定，协助评标委员会工作并提供相关信息：</w:t>
            </w:r>
            <w:r>
              <w:rPr>
                <w:rFonts w:ascii="宋体" w:hAnsi="宋体" w:cs="宋体"/>
                <w:szCs w:val="21"/>
              </w:rPr>
              <w:t xml:space="preserve"> </w:t>
            </w:r>
          </w:p>
          <w:p w14:paraId="2B00337B">
            <w:pPr>
              <w:pStyle w:val="299"/>
              <w:adjustRightInd w:val="0"/>
              <w:snapToGrid w:val="0"/>
              <w:spacing w:line="400" w:lineRule="exact"/>
              <w:ind w:firstLine="210" w:firstLineChars="100"/>
              <w:rPr>
                <w:rFonts w:ascii="宋体" w:hAnsi="宋体" w:cs="宋体"/>
                <w:szCs w:val="21"/>
              </w:rPr>
            </w:pPr>
            <w:r>
              <w:rPr>
                <w:rFonts w:hint="eastAsia" w:ascii="宋体" w:hAnsi="宋体" w:cs="宋体"/>
                <w:szCs w:val="21"/>
              </w:rPr>
              <w:t>（</w:t>
            </w:r>
            <w:r>
              <w:rPr>
                <w:rFonts w:ascii="宋体" w:hAnsi="宋体" w:cs="宋体"/>
                <w:szCs w:val="21"/>
              </w:rPr>
              <w:t>1）根据招标文件，编制评标使用的相应表格； </w:t>
            </w:r>
          </w:p>
          <w:p w14:paraId="016F2EAF">
            <w:pPr>
              <w:pStyle w:val="299"/>
              <w:adjustRightInd w:val="0"/>
              <w:snapToGrid w:val="0"/>
              <w:spacing w:line="400" w:lineRule="exact"/>
              <w:ind w:firstLine="210" w:firstLineChars="100"/>
              <w:rPr>
                <w:rFonts w:ascii="宋体" w:hAnsi="宋体"/>
                <w:szCs w:val="21"/>
              </w:rPr>
            </w:pPr>
            <w:r>
              <w:rPr>
                <w:rFonts w:hint="eastAsia" w:ascii="宋体" w:hAnsi="宋体" w:cs="宋体"/>
                <w:szCs w:val="21"/>
              </w:rPr>
              <w:t>（</w:t>
            </w:r>
            <w:r>
              <w:rPr>
                <w:rFonts w:ascii="宋体" w:hAnsi="宋体" w:cs="宋体"/>
                <w:szCs w:val="21"/>
              </w:rPr>
              <w:t>2）对投标人的</w:t>
            </w:r>
            <w:r>
              <w:rPr>
                <w:rFonts w:ascii="宋体" w:hAnsi="宋体" w:cs="宋体"/>
                <w:szCs w:val="21"/>
                <w:u w:val="single"/>
              </w:rPr>
              <w:t>资质、业绩</w:t>
            </w:r>
            <w:r>
              <w:rPr>
                <w:rFonts w:hint="eastAsia" w:ascii="宋体" w:hAnsi="宋体" w:cs="宋体"/>
                <w:szCs w:val="21"/>
                <w:u w:val="single"/>
              </w:rPr>
              <w:t>、信誉和从业人员</w:t>
            </w:r>
            <w:r>
              <w:rPr>
                <w:rFonts w:hint="eastAsia"/>
                <w:u w:val="single"/>
              </w:rPr>
              <w:t>各类注册资格证书</w:t>
            </w:r>
            <w:r>
              <w:rPr>
                <w:rFonts w:hint="eastAsia"/>
              </w:rPr>
              <w:t>等信息</w:t>
            </w:r>
            <w:r>
              <w:rPr>
                <w:rFonts w:ascii="宋体" w:hAnsi="宋体" w:cs="宋体"/>
                <w:szCs w:val="21"/>
              </w:rPr>
              <w:t>进行核实</w:t>
            </w:r>
            <w:r>
              <w:rPr>
                <w:rFonts w:hint="eastAsia" w:ascii="宋体" w:hAnsi="宋体" w:cs="宋体"/>
                <w:szCs w:val="21"/>
              </w:rPr>
              <w:t>；</w:t>
            </w:r>
          </w:p>
        </w:tc>
      </w:tr>
      <w:tr w14:paraId="4AB94923">
        <w:tblPrEx>
          <w:tblCellMar>
            <w:top w:w="0" w:type="dxa"/>
            <w:left w:w="108" w:type="dxa"/>
            <w:bottom w:w="0" w:type="dxa"/>
            <w:right w:w="108" w:type="dxa"/>
          </w:tblCellMar>
        </w:tblPrEx>
        <w:trPr>
          <w:trHeight w:val="1752" w:hRule="atLeast"/>
        </w:trPr>
        <w:tc>
          <w:tcPr>
            <w:tcW w:w="772" w:type="dxa"/>
            <w:vMerge w:val="restart"/>
            <w:tcBorders>
              <w:top w:val="single" w:color="auto" w:sz="4" w:space="0"/>
              <w:left w:val="single" w:color="auto" w:sz="4" w:space="0"/>
              <w:bottom w:val="single" w:color="auto" w:sz="4" w:space="0"/>
              <w:right w:val="single" w:color="auto" w:sz="4" w:space="0"/>
            </w:tcBorders>
            <w:vAlign w:val="center"/>
          </w:tcPr>
          <w:p w14:paraId="25AA0943">
            <w:pPr>
              <w:pStyle w:val="26"/>
              <w:adjustRightInd w:val="0"/>
              <w:snapToGrid w:val="0"/>
              <w:spacing w:line="400" w:lineRule="exact"/>
              <w:jc w:val="center"/>
              <w:rPr>
                <w:rFonts w:hAnsi="宋体" w:cs="Courier New"/>
              </w:rPr>
            </w:pPr>
            <w:r>
              <w:rPr>
                <w:rFonts w:hAnsi="宋体" w:cs="Courier New"/>
              </w:rPr>
              <w:t>2.1</w:t>
            </w:r>
          </w:p>
          <w:p w14:paraId="57DDCB1D">
            <w:pPr>
              <w:pStyle w:val="26"/>
              <w:adjustRightInd w:val="0"/>
              <w:snapToGrid w:val="0"/>
              <w:spacing w:line="400" w:lineRule="exact"/>
              <w:ind w:left="0" w:leftChars="0" w:right="0" w:rightChars="0"/>
              <w:jc w:val="center"/>
              <w:rPr>
                <w:rFonts w:hAnsi="宋体" w:cs="Courier New"/>
              </w:rPr>
            </w:pPr>
            <w:r>
              <w:rPr>
                <w:rFonts w:hint="eastAsia" w:hAnsi="宋体" w:cs="Courier New"/>
              </w:rPr>
              <w:t>初步评审标准</w:t>
            </w:r>
            <w:r>
              <w:rPr>
                <w:rFonts w:hAnsi="宋体" w:cs="Courier New"/>
              </w:rPr>
              <w:t xml:space="preserve">      </w:t>
            </w:r>
            <w:r>
              <w:rPr>
                <w:rFonts w:hint="eastAsia" w:hAnsi="宋体" w:cs="Courier New"/>
              </w:rPr>
              <w:t>（第一个</w:t>
            </w:r>
          </w:p>
          <w:p w14:paraId="0F0FCE30">
            <w:pPr>
              <w:pStyle w:val="26"/>
              <w:adjustRightInd w:val="0"/>
              <w:snapToGrid w:val="0"/>
              <w:spacing w:line="400" w:lineRule="exact"/>
              <w:jc w:val="center"/>
              <w:rPr>
                <w:rFonts w:hAnsi="宋体" w:cs="Courier New"/>
              </w:rPr>
            </w:pPr>
            <w:r>
              <w:rPr>
                <w:rFonts w:hint="eastAsia" w:hAnsi="宋体" w:cs="Courier New"/>
              </w:rPr>
              <w:t>信封）</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0D23DAE4">
            <w:pPr>
              <w:pStyle w:val="26"/>
              <w:adjustRightInd w:val="0"/>
              <w:snapToGrid w:val="0"/>
              <w:spacing w:line="400" w:lineRule="exact"/>
              <w:jc w:val="center"/>
              <w:rPr>
                <w:rFonts w:hAnsi="宋体" w:cs="Courier New"/>
              </w:rPr>
            </w:pPr>
            <w:r>
              <w:rPr>
                <w:rFonts w:hAnsi="宋体" w:cs="Courier New"/>
              </w:rPr>
              <w:t>2.1.1</w:t>
            </w:r>
          </w:p>
          <w:p w14:paraId="428FDDAF">
            <w:pPr>
              <w:pStyle w:val="26"/>
              <w:adjustRightInd w:val="0"/>
              <w:snapToGrid w:val="0"/>
              <w:spacing w:line="400" w:lineRule="exact"/>
              <w:jc w:val="center"/>
              <w:rPr>
                <w:rFonts w:hAnsi="宋体" w:cs="Courier New"/>
              </w:rPr>
            </w:pPr>
            <w:r>
              <w:rPr>
                <w:rFonts w:hint="eastAsia" w:hAnsi="宋体" w:cs="Courier New"/>
              </w:rPr>
              <w:t>形式评审标准</w:t>
            </w:r>
          </w:p>
        </w:tc>
        <w:tc>
          <w:tcPr>
            <w:tcW w:w="2263" w:type="dxa"/>
            <w:tcBorders>
              <w:top w:val="single" w:color="auto" w:sz="4" w:space="0"/>
              <w:bottom w:val="single" w:color="auto" w:sz="4" w:space="0"/>
              <w:right w:val="single" w:color="auto" w:sz="4" w:space="0"/>
            </w:tcBorders>
            <w:vAlign w:val="center"/>
          </w:tcPr>
          <w:p w14:paraId="438BE3CD">
            <w:pPr>
              <w:adjustRightInd w:val="0"/>
              <w:snapToGrid w:val="0"/>
              <w:spacing w:line="400" w:lineRule="exact"/>
              <w:rPr>
                <w:rFonts w:hint="eastAsia" w:ascii="宋体" w:hAnsi="宋体" w:cs="宋体"/>
                <w:szCs w:val="21"/>
              </w:rPr>
            </w:pPr>
            <w:r>
              <w:rPr>
                <w:rFonts w:hint="eastAsia" w:ascii="宋体" w:hAnsi="宋体" w:cs="宋体"/>
                <w:szCs w:val="21"/>
              </w:rPr>
              <w:t>1.投标文件格式按照招标文件规定的格式、内容填写</w:t>
            </w:r>
          </w:p>
        </w:tc>
        <w:tc>
          <w:tcPr>
            <w:tcW w:w="5162" w:type="dxa"/>
            <w:tcBorders>
              <w:top w:val="single" w:color="auto" w:sz="4" w:space="0"/>
              <w:left w:val="single" w:color="auto" w:sz="4" w:space="0"/>
              <w:bottom w:val="single" w:color="auto" w:sz="4" w:space="0"/>
              <w:right w:val="single" w:color="auto" w:sz="4" w:space="0"/>
            </w:tcBorders>
            <w:vAlign w:val="center"/>
          </w:tcPr>
          <w:p w14:paraId="1EDCFDC0">
            <w:pPr>
              <w:pStyle w:val="299"/>
              <w:adjustRightInd w:val="0"/>
              <w:snapToGrid w:val="0"/>
              <w:spacing w:line="400" w:lineRule="exact"/>
              <w:rPr>
                <w:rFonts w:hint="eastAsia" w:ascii="宋体" w:hAnsi="宋体" w:cs="宋体"/>
                <w:szCs w:val="21"/>
              </w:rPr>
            </w:pPr>
            <w:r>
              <w:rPr>
                <w:rFonts w:hint="eastAsia" w:ascii="宋体" w:hAnsi="宋体" w:cs="宋体"/>
                <w:szCs w:val="21"/>
              </w:rPr>
              <w:t>（1）投标函按照招标文件的规定填报了招标项目名称、标段号、工期。</w:t>
            </w:r>
          </w:p>
          <w:p w14:paraId="55AE9B88">
            <w:pPr>
              <w:pStyle w:val="299"/>
              <w:adjustRightInd w:val="0"/>
              <w:snapToGrid w:val="0"/>
              <w:spacing w:line="400" w:lineRule="exact"/>
              <w:rPr>
                <w:rFonts w:hint="eastAsia" w:ascii="宋体" w:hAnsi="宋体" w:cs="宋体"/>
                <w:szCs w:val="21"/>
              </w:rPr>
            </w:pPr>
            <w:r>
              <w:rPr>
                <w:rFonts w:hint="eastAsia" w:ascii="宋体" w:hAnsi="宋体" w:cs="宋体"/>
                <w:szCs w:val="21"/>
              </w:rPr>
              <w:t>（2）投标函附录的所有数据均符合招标文件的规定。</w:t>
            </w:r>
          </w:p>
          <w:p w14:paraId="3F2CC281">
            <w:pPr>
              <w:pStyle w:val="299"/>
              <w:adjustRightInd w:val="0"/>
              <w:snapToGrid w:val="0"/>
              <w:spacing w:line="400" w:lineRule="exact"/>
              <w:rPr>
                <w:rFonts w:hint="eastAsia" w:ascii="宋体" w:hAnsi="宋体" w:cs="宋体"/>
                <w:szCs w:val="21"/>
              </w:rPr>
            </w:pPr>
            <w:r>
              <w:rPr>
                <w:rFonts w:hint="eastAsia" w:ascii="宋体" w:hAnsi="宋体" w:cs="宋体"/>
                <w:szCs w:val="21"/>
              </w:rPr>
              <w:t>（3）投标文件组成齐全完整、内容均按规定填写。</w:t>
            </w:r>
          </w:p>
        </w:tc>
      </w:tr>
      <w:tr w14:paraId="0D8BF7D9">
        <w:tblPrEx>
          <w:tblCellMar>
            <w:top w:w="0" w:type="dxa"/>
            <w:left w:w="108" w:type="dxa"/>
            <w:bottom w:w="0" w:type="dxa"/>
            <w:right w:w="108" w:type="dxa"/>
          </w:tblCellMar>
        </w:tblPrEx>
        <w:trPr>
          <w:trHeight w:val="360"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6332E2BC">
            <w:pPr>
              <w:pStyle w:val="26"/>
              <w:adjustRightInd w:val="0"/>
              <w:snapToGrid w:val="0"/>
              <w:spacing w:line="400" w:lineRule="exact"/>
              <w:jc w:val="center"/>
              <w:rPr>
                <w:rFonts w:hAnsi="宋体" w:cs="Courier New"/>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D6E406A">
            <w:pPr>
              <w:pStyle w:val="26"/>
              <w:adjustRightInd w:val="0"/>
              <w:snapToGrid w:val="0"/>
              <w:spacing w:line="400" w:lineRule="exact"/>
              <w:jc w:val="center"/>
              <w:rPr>
                <w:rFonts w:hAnsi="宋体" w:cs="Courier New"/>
              </w:rPr>
            </w:pPr>
          </w:p>
        </w:tc>
        <w:tc>
          <w:tcPr>
            <w:tcW w:w="2263" w:type="dxa"/>
            <w:tcBorders>
              <w:top w:val="single" w:color="auto" w:sz="4" w:space="0"/>
              <w:left w:val="single" w:color="auto" w:sz="4" w:space="0"/>
              <w:bottom w:val="single" w:color="auto" w:sz="4" w:space="0"/>
              <w:right w:val="single" w:color="auto" w:sz="4" w:space="0"/>
            </w:tcBorders>
            <w:vAlign w:val="center"/>
          </w:tcPr>
          <w:p w14:paraId="7578B10D">
            <w:pPr>
              <w:adjustRightInd w:val="0"/>
              <w:snapToGrid w:val="0"/>
              <w:spacing w:line="400" w:lineRule="exact"/>
              <w:rPr>
                <w:rFonts w:ascii="宋体" w:hAnsi="宋体"/>
                <w:kern w:val="0"/>
                <w:szCs w:val="21"/>
              </w:rPr>
            </w:pPr>
            <w:r>
              <w:rPr>
                <w:rFonts w:ascii="宋体" w:hAnsi="宋体"/>
                <w:kern w:val="0"/>
                <w:szCs w:val="21"/>
              </w:rPr>
              <w:t>2</w:t>
            </w:r>
            <w:r>
              <w:rPr>
                <w:rFonts w:hint="eastAsia" w:ascii="宋体" w:hAnsi="宋体"/>
                <w:kern w:val="0"/>
                <w:szCs w:val="21"/>
              </w:rPr>
              <w:t>．投标文件上法定代表人或其委托代理人的</w:t>
            </w:r>
            <w:r>
              <w:rPr>
                <w:rFonts w:hint="eastAsia" w:ascii="宋体" w:hAnsi="宋体"/>
                <w:kern w:val="0"/>
                <w:szCs w:val="21"/>
                <w:lang w:val="en-US" w:eastAsia="zh-CN"/>
              </w:rPr>
              <w:t>个人</w:t>
            </w:r>
            <w:r>
              <w:rPr>
                <w:rFonts w:hint="eastAsia" w:ascii="宋体" w:hAnsi="宋体"/>
                <w:kern w:val="0"/>
                <w:szCs w:val="21"/>
              </w:rPr>
              <w:t>电子签章或个人电子印章、</w:t>
            </w:r>
            <w:r>
              <w:rPr>
                <w:rFonts w:hint="eastAsia" w:ascii="宋体" w:hAnsi="宋体"/>
                <w:szCs w:val="21"/>
              </w:rPr>
              <w:t>投标人的单位电子印章盖章齐全，</w:t>
            </w:r>
            <w:r>
              <w:rPr>
                <w:rFonts w:hint="eastAsia" w:ascii="宋体" w:hAnsi="宋体"/>
                <w:kern w:val="0"/>
                <w:szCs w:val="21"/>
              </w:rPr>
              <w:t>符合招标文件规定</w:t>
            </w:r>
          </w:p>
        </w:tc>
        <w:tc>
          <w:tcPr>
            <w:tcW w:w="5162" w:type="dxa"/>
            <w:tcBorders>
              <w:top w:val="single" w:color="auto" w:sz="4" w:space="0"/>
              <w:left w:val="single" w:color="auto" w:sz="4" w:space="0"/>
              <w:bottom w:val="single" w:color="auto" w:sz="4" w:space="0"/>
              <w:right w:val="single" w:color="000000" w:sz="4" w:space="0"/>
            </w:tcBorders>
            <w:vAlign w:val="center"/>
          </w:tcPr>
          <w:p w14:paraId="59A0585A">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1）投标函</w:t>
            </w:r>
            <w:r>
              <w:rPr>
                <w:rFonts w:hint="eastAsia" w:ascii="宋体" w:hAnsi="宋体"/>
                <w:szCs w:val="21"/>
              </w:rPr>
              <w:t>及投标文件格式</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ascii="宋体" w:hAnsi="宋体"/>
                <w:szCs w:val="21"/>
              </w:rPr>
              <w:t>及投标文件格式</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w:t>
            </w:r>
            <w:r>
              <w:rPr>
                <w:rFonts w:hint="eastAsia" w:ascii="宋体" w:hAnsi="宋体" w:cs="宋体"/>
                <w:szCs w:val="21"/>
              </w:rPr>
              <w:t>或其委托代理人的个人电子签名章或个人电子印章。</w:t>
            </w:r>
          </w:p>
          <w:p w14:paraId="03790976">
            <w:pPr>
              <w:adjustRightInd w:val="0"/>
              <w:snapToGrid w:val="0"/>
              <w:spacing w:line="400" w:lineRule="exact"/>
              <w:rPr>
                <w:rFonts w:ascii="宋体" w:hAnsi="宋体"/>
                <w:kern w:val="0"/>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2）</w:t>
            </w:r>
            <w:r>
              <w:rPr>
                <w:rFonts w:hint="eastAsia" w:ascii="宋体" w:hAnsi="宋体" w:cs="宋体"/>
                <w:szCs w:val="21"/>
              </w:rPr>
              <w:t>以</w:t>
            </w:r>
            <w:r>
              <w:rPr>
                <w:rFonts w:ascii="宋体" w:hAnsi="宋体" w:cs="宋体"/>
                <w:szCs w:val="21"/>
              </w:rPr>
              <w:t>联合体</w:t>
            </w:r>
            <w:r>
              <w:rPr>
                <w:rFonts w:hint="eastAsia" w:ascii="宋体" w:hAnsi="宋体" w:cs="宋体"/>
                <w:szCs w:val="21"/>
              </w:rPr>
              <w:t>形式</w:t>
            </w:r>
            <w:r>
              <w:rPr>
                <w:rFonts w:ascii="宋体" w:hAnsi="宋体" w:cs="宋体"/>
                <w:szCs w:val="21"/>
              </w:rPr>
              <w:t>投标的，投标函由联合体牵头</w:t>
            </w:r>
            <w:r>
              <w:rPr>
                <w:rFonts w:hint="eastAsia" w:ascii="宋体" w:hAnsi="宋体" w:cs="宋体"/>
                <w:szCs w:val="21"/>
              </w:rPr>
              <w:t>人按上述</w:t>
            </w:r>
            <w:r>
              <w:rPr>
                <w:rFonts w:ascii="宋体" w:hAnsi="宋体" w:cs="宋体"/>
                <w:szCs w:val="21"/>
              </w:rPr>
              <w:t>规定完成签字、盖章</w:t>
            </w:r>
            <w:r>
              <w:rPr>
                <w:rFonts w:hint="eastAsia" w:ascii="宋体" w:hAnsi="宋体" w:cs="宋体"/>
                <w:szCs w:val="21"/>
              </w:rPr>
              <w:t>。</w:t>
            </w:r>
          </w:p>
        </w:tc>
      </w:tr>
      <w:tr w14:paraId="146E1357">
        <w:tblPrEx>
          <w:tblCellMar>
            <w:top w:w="0" w:type="dxa"/>
            <w:left w:w="108" w:type="dxa"/>
            <w:bottom w:w="0" w:type="dxa"/>
            <w:right w:w="108" w:type="dxa"/>
          </w:tblCellMar>
        </w:tblPrEx>
        <w:tc>
          <w:tcPr>
            <w:tcW w:w="772" w:type="dxa"/>
            <w:vMerge w:val="continue"/>
            <w:tcBorders>
              <w:top w:val="single" w:color="auto" w:sz="4" w:space="0"/>
              <w:left w:val="single" w:color="auto" w:sz="4" w:space="0"/>
              <w:bottom w:val="single" w:color="auto" w:sz="4" w:space="0"/>
              <w:right w:val="single" w:color="auto" w:sz="4" w:space="0"/>
            </w:tcBorders>
            <w:vAlign w:val="center"/>
          </w:tcPr>
          <w:p w14:paraId="1F3DA8BF">
            <w:pPr>
              <w:pStyle w:val="26"/>
              <w:adjustRightInd w:val="0"/>
              <w:snapToGrid w:val="0"/>
              <w:spacing w:line="400" w:lineRule="exact"/>
              <w:jc w:val="center"/>
              <w:rPr>
                <w:rFonts w:hAnsi="宋体" w:cs="Courier New"/>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6358024">
            <w:pPr>
              <w:pStyle w:val="26"/>
              <w:adjustRightInd w:val="0"/>
              <w:snapToGrid w:val="0"/>
              <w:spacing w:line="400" w:lineRule="exact"/>
              <w:jc w:val="center"/>
              <w:rPr>
                <w:rFonts w:hAnsi="宋体" w:cs="Courier New"/>
              </w:rPr>
            </w:pPr>
          </w:p>
        </w:tc>
        <w:tc>
          <w:tcPr>
            <w:tcW w:w="2263" w:type="dxa"/>
            <w:tcBorders>
              <w:top w:val="single" w:color="auto" w:sz="4" w:space="0"/>
              <w:left w:val="single" w:color="auto" w:sz="4" w:space="0"/>
              <w:bottom w:val="single" w:color="auto" w:sz="4" w:space="0"/>
              <w:right w:val="single" w:color="auto" w:sz="4" w:space="0"/>
            </w:tcBorders>
            <w:vAlign w:val="center"/>
          </w:tcPr>
          <w:p w14:paraId="06691378">
            <w:pPr>
              <w:adjustRightInd w:val="0"/>
              <w:snapToGrid w:val="0"/>
              <w:spacing w:line="400" w:lineRule="exact"/>
              <w:rPr>
                <w:rFonts w:ascii="宋体" w:hAnsi="宋体"/>
                <w:kern w:val="0"/>
                <w:szCs w:val="21"/>
              </w:rPr>
            </w:pPr>
            <w:r>
              <w:rPr>
                <w:rFonts w:ascii="宋体" w:hAnsi="宋体"/>
                <w:kern w:val="0"/>
                <w:szCs w:val="21"/>
              </w:rPr>
              <w:t>3</w:t>
            </w:r>
            <w:r>
              <w:rPr>
                <w:rFonts w:hint="eastAsia" w:ascii="宋体" w:hAnsi="宋体"/>
                <w:kern w:val="0"/>
                <w:szCs w:val="21"/>
              </w:rPr>
              <w:t>．投标人按照招标文件规定的金额、形式、时效、内容提供了投标保证金</w:t>
            </w:r>
          </w:p>
        </w:tc>
        <w:tc>
          <w:tcPr>
            <w:tcW w:w="5162" w:type="dxa"/>
            <w:tcBorders>
              <w:top w:val="single" w:color="auto" w:sz="4" w:space="0"/>
              <w:left w:val="single" w:color="auto" w:sz="4" w:space="0"/>
              <w:bottom w:val="single" w:color="auto" w:sz="4" w:space="0"/>
              <w:right w:val="single" w:color="auto" w:sz="4" w:space="0"/>
            </w:tcBorders>
            <w:vAlign w:val="center"/>
          </w:tcPr>
          <w:p w14:paraId="53871E98">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1）投标保证金金额符合第二章</w:t>
            </w:r>
            <w:r>
              <w:rPr>
                <w:rFonts w:hint="eastAsia" w:ascii="宋体" w:hAnsi="宋体"/>
                <w:kern w:val="0"/>
                <w:szCs w:val="21"/>
              </w:rPr>
              <w:t>“</w:t>
            </w:r>
            <w:r>
              <w:rPr>
                <w:rFonts w:ascii="宋体" w:hAnsi="宋体"/>
                <w:kern w:val="0"/>
                <w:szCs w:val="21"/>
              </w:rPr>
              <w:t>投标人须知</w:t>
            </w:r>
            <w:r>
              <w:rPr>
                <w:rFonts w:hint="eastAsia" w:ascii="宋体" w:hAnsi="宋体"/>
                <w:kern w:val="0"/>
                <w:szCs w:val="21"/>
              </w:rPr>
              <w:t>”前附表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，且投标保证金有效期不少于投标有效期</w:t>
            </w:r>
            <w:r>
              <w:rPr>
                <w:rFonts w:hint="eastAsia" w:ascii="宋体" w:hAnsi="宋体"/>
                <w:kern w:val="0"/>
                <w:szCs w:val="21"/>
              </w:rPr>
              <w:t>。 </w:t>
            </w:r>
          </w:p>
          <w:p w14:paraId="310ED0C1">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2）采用现金或支票形式担保，投标保证金由投标人基本账户</w:t>
            </w:r>
            <w:r>
              <w:rPr>
                <w:rFonts w:hint="eastAsia" w:ascii="宋体" w:hAnsi="宋体"/>
                <w:kern w:val="0"/>
                <w:szCs w:val="21"/>
                <w:lang w:eastAsia="zh-CN"/>
              </w:rPr>
              <w:t>（</w:t>
            </w:r>
            <w:r>
              <w:rPr>
                <w:rFonts w:hint="eastAsia" w:ascii="宋体" w:hAnsi="宋体"/>
                <w:kern w:val="0"/>
                <w:szCs w:val="21"/>
              </w:rPr>
              <w:t>或基本存款账户</w:t>
            </w:r>
            <w:r>
              <w:rPr>
                <w:rFonts w:hint="eastAsia" w:ascii="宋体" w:hAnsi="宋体"/>
                <w:kern w:val="0"/>
                <w:szCs w:val="21"/>
                <w:lang w:eastAsia="zh-CN"/>
              </w:rPr>
              <w:t>）</w:t>
            </w:r>
            <w:r>
              <w:rPr>
                <w:rFonts w:ascii="宋体" w:hAnsi="宋体"/>
                <w:kern w:val="0"/>
                <w:szCs w:val="21"/>
              </w:rPr>
              <w:t>汇出，并在规定时间到达招标人指定账户</w:t>
            </w:r>
            <w:r>
              <w:rPr>
                <w:rFonts w:hint="eastAsia" w:ascii="宋体" w:hAnsi="宋体"/>
                <w:kern w:val="0"/>
                <w:szCs w:val="21"/>
              </w:rPr>
              <w:t>。</w:t>
            </w:r>
          </w:p>
          <w:p w14:paraId="66B4E769">
            <w:pPr>
              <w:pStyle w:val="299"/>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kern w:val="0"/>
                <w:szCs w:val="21"/>
              </w:rPr>
              <w:t>（</w:t>
            </w:r>
            <w:r>
              <w:rPr>
                <w:rFonts w:ascii="宋体" w:hAnsi="宋体"/>
                <w:kern w:val="0"/>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，均满足第二章</w:t>
            </w:r>
            <w:r>
              <w:rPr>
                <w:rFonts w:hint="eastAsia" w:ascii="宋体" w:hAnsi="宋体"/>
                <w:kern w:val="0"/>
                <w:szCs w:val="21"/>
              </w:rPr>
              <w:t>“</w:t>
            </w:r>
            <w:r>
              <w:rPr>
                <w:rFonts w:ascii="宋体" w:hAnsi="宋体"/>
                <w:kern w:val="0"/>
                <w:szCs w:val="21"/>
              </w:rPr>
              <w:t>投标人须知</w:t>
            </w:r>
            <w:r>
              <w:rPr>
                <w:rFonts w:hint="eastAsia" w:ascii="宋体" w:hAnsi="宋体"/>
                <w:kern w:val="0"/>
                <w:szCs w:val="21"/>
              </w:rPr>
              <w:t>”前附表</w:t>
            </w:r>
            <w:r>
              <w:rPr>
                <w:rFonts w:ascii="宋体" w:hAnsi="宋体"/>
                <w:kern w:val="0"/>
                <w:szCs w:val="21"/>
              </w:rPr>
              <w:t>第3.4.1</w:t>
            </w:r>
            <w:r>
              <w:rPr>
                <w:rFonts w:hint="eastAsia" w:ascii="宋体" w:hAnsi="宋体"/>
                <w:kern w:val="0"/>
                <w:szCs w:val="21"/>
              </w:rPr>
              <w:t>项</w:t>
            </w:r>
            <w:r>
              <w:rPr>
                <w:rFonts w:ascii="宋体" w:hAnsi="宋体"/>
                <w:kern w:val="0"/>
                <w:szCs w:val="21"/>
              </w:rPr>
              <w:t>要求，</w:t>
            </w:r>
            <w:r>
              <w:rPr>
                <w:rFonts w:hint="eastAsia" w:ascii="宋体" w:hAnsi="宋体"/>
                <w:szCs w:val="21"/>
              </w:rPr>
              <w:t>且</w:t>
            </w:r>
            <w:r>
              <w:rPr>
                <w:rFonts w:ascii="宋体" w:hAnsi="宋体"/>
                <w:szCs w:val="21"/>
              </w:rPr>
              <w:t>其提交的内容</w:t>
            </w:r>
            <w:r>
              <w:rPr>
                <w:rFonts w:hint="eastAsia" w:ascii="宋体" w:hAnsi="宋体"/>
                <w:szCs w:val="21"/>
              </w:rPr>
              <w:t>不得作出降低担保效力的实质性修改</w:t>
            </w:r>
            <w:r>
              <w:rPr>
                <w:rFonts w:hint="eastAsia" w:ascii="宋体" w:hAnsi="宋体"/>
                <w:kern w:val="0"/>
                <w:szCs w:val="21"/>
              </w:rPr>
              <w:t>。</w:t>
            </w:r>
          </w:p>
          <w:p w14:paraId="0DFAABD2">
            <w:pPr>
              <w:pStyle w:val="299"/>
              <w:adjustRightInd w:val="0"/>
              <w:snapToGrid w:val="0"/>
              <w:spacing w:line="400" w:lineRule="exact"/>
              <w:rPr>
                <w:rFonts w:ascii="宋体" w:hAnsi="宋体"/>
                <w:szCs w:val="21"/>
                <w:u w:val="single"/>
              </w:rPr>
            </w:pPr>
            <w:r>
              <w:rPr>
                <w:rFonts w:hint="eastAsia" w:ascii="宋体" w:hAnsi="宋体"/>
                <w:b/>
                <w:szCs w:val="21"/>
              </w:rPr>
              <w:t>□</w:t>
            </w:r>
            <w:r>
              <w:rPr>
                <w:rFonts w:hint="eastAsia" w:ascii="宋体" w:hAnsi="宋体"/>
                <w:szCs w:val="21"/>
              </w:rPr>
              <w:t>（</w:t>
            </w:r>
            <w:r>
              <w:rPr>
                <w:rFonts w:ascii="宋体" w:hAnsi="宋体"/>
                <w:szCs w:val="21"/>
              </w:rPr>
              <w:t>4）若采用上述情形以外的形式提交投标保证金的，应符合的要求：</w:t>
            </w:r>
            <w:r>
              <w:rPr>
                <w:rFonts w:ascii="宋体" w:hAnsi="宋体"/>
                <w:szCs w:val="21"/>
                <w:u w:val="single"/>
              </w:rPr>
              <w:t xml:space="preserve">           </w:t>
            </w:r>
            <w:r>
              <w:rPr>
                <w:rFonts w:ascii="宋体" w:hAnsi="宋体"/>
                <w:szCs w:val="21"/>
              </w:rPr>
              <w:t>。</w:t>
            </w:r>
          </w:p>
          <w:p w14:paraId="326324FC">
            <w:pPr>
              <w:widowControl/>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szCs w:val="21"/>
              </w:rPr>
              <w:t>（</w:t>
            </w:r>
            <w:r>
              <w:rPr>
                <w:rFonts w:ascii="宋体" w:hAnsi="宋体"/>
                <w:szCs w:val="21"/>
              </w:rPr>
              <w:t>5）</w:t>
            </w:r>
            <w:r>
              <w:rPr>
                <w:rFonts w:hint="eastAsia" w:ascii="宋体" w:hAnsi="宋体"/>
                <w:szCs w:val="21"/>
              </w:rPr>
              <w:t>以</w:t>
            </w:r>
            <w:r>
              <w:rPr>
                <w:rFonts w:hint="eastAsia" w:ascii="宋体" w:hAnsi="宋体"/>
                <w:kern w:val="0"/>
                <w:szCs w:val="21"/>
              </w:rPr>
              <w:t>联合体形式投标的，投标保证金应由联合体牵头人提交。</w:t>
            </w:r>
          </w:p>
        </w:tc>
      </w:tr>
      <w:tr w14:paraId="7AFA8316">
        <w:tblPrEx>
          <w:tblCellMar>
            <w:top w:w="0" w:type="dxa"/>
            <w:left w:w="108" w:type="dxa"/>
            <w:bottom w:w="0" w:type="dxa"/>
            <w:right w:w="108" w:type="dxa"/>
          </w:tblCellMar>
        </w:tblPrEx>
        <w:tc>
          <w:tcPr>
            <w:tcW w:w="772" w:type="dxa"/>
            <w:vMerge w:val="restart"/>
            <w:tcBorders>
              <w:top w:val="single" w:color="auto" w:sz="4" w:space="0"/>
              <w:left w:val="single" w:color="auto" w:sz="4" w:space="0"/>
              <w:right w:val="single" w:color="auto" w:sz="4" w:space="0"/>
            </w:tcBorders>
            <w:vAlign w:val="center"/>
          </w:tcPr>
          <w:p w14:paraId="0BF5F828">
            <w:pPr>
              <w:pStyle w:val="26"/>
              <w:adjustRightInd w:val="0"/>
              <w:snapToGrid w:val="0"/>
              <w:spacing w:line="400" w:lineRule="exact"/>
              <w:jc w:val="center"/>
              <w:rPr>
                <w:rFonts w:hAnsi="宋体" w:cs="Courier New"/>
              </w:rPr>
            </w:pPr>
            <w:r>
              <w:rPr>
                <w:rFonts w:hAnsi="宋体" w:cs="Courier New"/>
              </w:rPr>
              <w:t>2.1</w:t>
            </w:r>
          </w:p>
          <w:p w14:paraId="52DE3AEA">
            <w:pPr>
              <w:pStyle w:val="26"/>
              <w:adjustRightInd w:val="0"/>
              <w:snapToGrid w:val="0"/>
              <w:spacing w:line="400" w:lineRule="exact"/>
              <w:jc w:val="center"/>
              <w:rPr>
                <w:rFonts w:hAnsi="宋体" w:cs="Courier New"/>
              </w:rPr>
            </w:pPr>
            <w:r>
              <w:rPr>
                <w:rFonts w:hint="eastAsia" w:hAnsi="宋体" w:cs="Courier New"/>
              </w:rPr>
              <w:t>初步评审标准</w:t>
            </w:r>
            <w:r>
              <w:rPr>
                <w:rFonts w:hAnsi="宋体" w:cs="Courier New"/>
              </w:rPr>
              <w:t xml:space="preserve">      </w:t>
            </w:r>
            <w:r>
              <w:rPr>
                <w:rFonts w:hint="eastAsia" w:hAnsi="宋体" w:cs="Courier New"/>
              </w:rPr>
              <w:t>（第一个信封）</w:t>
            </w:r>
          </w:p>
        </w:tc>
        <w:tc>
          <w:tcPr>
            <w:tcW w:w="762" w:type="dxa"/>
            <w:vMerge w:val="restart"/>
            <w:tcBorders>
              <w:top w:val="single" w:color="auto" w:sz="4" w:space="0"/>
              <w:left w:val="single" w:color="auto" w:sz="4" w:space="0"/>
              <w:right w:val="single" w:color="auto" w:sz="4" w:space="0"/>
            </w:tcBorders>
            <w:vAlign w:val="center"/>
          </w:tcPr>
          <w:p w14:paraId="05F7A4B9">
            <w:pPr>
              <w:pStyle w:val="26"/>
              <w:adjustRightInd w:val="0"/>
              <w:snapToGrid w:val="0"/>
              <w:spacing w:line="400" w:lineRule="exact"/>
              <w:jc w:val="center"/>
              <w:rPr>
                <w:rFonts w:hAnsi="宋体" w:cs="Courier New"/>
              </w:rPr>
            </w:pPr>
            <w:r>
              <w:rPr>
                <w:rFonts w:hAnsi="宋体" w:cs="Courier New"/>
              </w:rPr>
              <w:t>2.1.1</w:t>
            </w:r>
          </w:p>
          <w:p w14:paraId="63A6F94B">
            <w:pPr>
              <w:pStyle w:val="26"/>
              <w:adjustRightInd w:val="0"/>
              <w:snapToGrid w:val="0"/>
              <w:spacing w:line="400" w:lineRule="exact"/>
              <w:jc w:val="center"/>
              <w:rPr>
                <w:rFonts w:hAnsi="宋体" w:cs="Courier New"/>
              </w:rPr>
            </w:pPr>
            <w:r>
              <w:rPr>
                <w:rFonts w:hint="eastAsia" w:hAnsi="宋体" w:cs="Courier New"/>
              </w:rPr>
              <w:t>形式评审标准</w:t>
            </w:r>
          </w:p>
        </w:tc>
        <w:tc>
          <w:tcPr>
            <w:tcW w:w="2263" w:type="dxa"/>
            <w:tcBorders>
              <w:top w:val="single" w:color="auto" w:sz="4" w:space="0"/>
              <w:left w:val="single" w:color="auto" w:sz="4" w:space="0"/>
              <w:bottom w:val="single" w:color="auto" w:sz="4" w:space="0"/>
              <w:right w:val="single" w:color="auto" w:sz="4" w:space="0"/>
            </w:tcBorders>
            <w:vAlign w:val="center"/>
          </w:tcPr>
          <w:p w14:paraId="59E9A7CC">
            <w:pPr>
              <w:adjustRightInd w:val="0"/>
              <w:snapToGrid w:val="0"/>
              <w:spacing w:line="400" w:lineRule="exact"/>
              <w:rPr>
                <w:rFonts w:ascii="宋体" w:hAnsi="宋体"/>
                <w:kern w:val="0"/>
                <w:szCs w:val="21"/>
              </w:rPr>
            </w:pPr>
            <w:r>
              <w:rPr>
                <w:rFonts w:ascii="宋体" w:hAnsi="宋体"/>
                <w:szCs w:val="21"/>
              </w:rPr>
              <w:t>4</w:t>
            </w:r>
            <w:r>
              <w:rPr>
                <w:rFonts w:hint="eastAsia" w:ascii="宋体" w:hAnsi="宋体"/>
                <w:szCs w:val="21"/>
              </w:rPr>
              <w:t>．如由投标人法定代表人的委托代理人签署投标文件的，提供的相关证明材料符合招标文件要求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法定代表人的</w:t>
            </w:r>
            <w:r>
              <w:rPr>
                <w:rFonts w:ascii="宋体" w:hAnsi="宋体"/>
                <w:szCs w:val="21"/>
              </w:rPr>
              <w:t>委托</w:t>
            </w:r>
            <w:r>
              <w:rPr>
                <w:rFonts w:hint="eastAsia" w:ascii="宋体" w:hAnsi="宋体"/>
                <w:szCs w:val="21"/>
              </w:rPr>
              <w:t>代理人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162" w:type="dxa"/>
            <w:tcBorders>
              <w:top w:val="single" w:color="auto" w:sz="4" w:space="0"/>
              <w:left w:val="single" w:color="auto" w:sz="4" w:space="0"/>
              <w:bottom w:val="single" w:color="auto" w:sz="4" w:space="0"/>
              <w:right w:val="single" w:color="auto" w:sz="4" w:space="0"/>
            </w:tcBorders>
            <w:vAlign w:val="center"/>
          </w:tcPr>
          <w:p w14:paraId="71C1804C">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1）提交了授权委托书</w:t>
            </w:r>
            <w:r>
              <w:rPr>
                <w:rFonts w:hint="eastAsia" w:ascii="宋体" w:hAnsi="宋体"/>
                <w:szCs w:val="21"/>
              </w:rPr>
              <w:t>。</w:t>
            </w:r>
          </w:p>
          <w:p w14:paraId="74F48BF2">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2）授权委托书上要求盖单位电子印章</w:t>
            </w:r>
            <w:r>
              <w:rPr>
                <w:rFonts w:hint="eastAsia" w:ascii="宋体" w:hAnsi="宋体"/>
                <w:szCs w:val="21"/>
              </w:rPr>
              <w:t>之处</w:t>
            </w:r>
            <w:r>
              <w:rPr>
                <w:rFonts w:ascii="宋体" w:hAnsi="宋体"/>
                <w:szCs w:val="21"/>
              </w:rPr>
              <w:t>，投标人均应使用单位CA数字证书加盖投标人的单位电子印章；要求法定代表人签字</w:t>
            </w:r>
            <w:r>
              <w:rPr>
                <w:rFonts w:hint="eastAsia" w:ascii="宋体" w:hAnsi="宋体"/>
                <w:szCs w:val="21"/>
              </w:rPr>
              <w:t>之处</w:t>
            </w:r>
            <w:r>
              <w:rPr>
                <w:rFonts w:ascii="宋体" w:hAnsi="宋体"/>
                <w:szCs w:val="21"/>
              </w:rPr>
              <w:t>，投标人均应使用个人CA数字证书加盖投标人法定代表人的个人电子签名章或个人电子印章；要求委托代理人签字</w:t>
            </w:r>
            <w:r>
              <w:rPr>
                <w:rFonts w:hint="eastAsia" w:ascii="宋体" w:hAnsi="宋体"/>
                <w:szCs w:val="21"/>
              </w:rPr>
              <w:t>之处</w:t>
            </w:r>
            <w:r>
              <w:rPr>
                <w:rFonts w:ascii="宋体" w:hAnsi="宋体"/>
                <w:szCs w:val="21"/>
              </w:rPr>
              <w:t>，</w:t>
            </w:r>
            <w:r>
              <w:rPr>
                <w:rFonts w:asciiTheme="minorEastAsia" w:hAnsiTheme="minorEastAsia" w:eastAsiaTheme="minorEastAsia"/>
                <w:szCs w:val="21"/>
              </w:rPr>
              <w:t>投标人均应使用单位CA</w:t>
            </w:r>
            <w:r>
              <w:rPr>
                <w:rFonts w:hint="eastAsia" w:asciiTheme="minorEastAsia" w:hAnsiTheme="minorEastAsia" w:eastAsiaTheme="minorEastAsia"/>
                <w:szCs w:val="21"/>
              </w:rPr>
              <w:t>数字证书</w:t>
            </w:r>
            <w:r>
              <w:rPr>
                <w:rFonts w:hint="eastAsia" w:ascii="宋体" w:hAnsi="宋体"/>
                <w:szCs w:val="21"/>
              </w:rPr>
              <w:t>加盖委托代理人个人电子签名章或个人电子印章。</w:t>
            </w:r>
          </w:p>
          <w:p w14:paraId="259CAC76">
            <w:pPr>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3）授权委托书中委托代理人只能是一个人，且不能再授予他人</w:t>
            </w:r>
            <w:r>
              <w:rPr>
                <w:rFonts w:hint="eastAsia" w:ascii="宋体" w:hAnsi="宋体"/>
                <w:szCs w:val="21"/>
              </w:rPr>
              <w:t>。</w:t>
            </w:r>
          </w:p>
          <w:p w14:paraId="6E4D0021">
            <w:pPr>
              <w:pStyle w:val="299"/>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4）授权委托书后应附法定代表人和委托代理人身份证</w:t>
            </w:r>
            <w:r>
              <w:rPr>
                <w:rFonts w:hint="eastAsia" w:ascii="宋体" w:hAnsi="宋体" w:cs="宋体"/>
                <w:szCs w:val="21"/>
              </w:rPr>
              <w:t>原件原色扫描件</w:t>
            </w:r>
            <w:r>
              <w:rPr>
                <w:rFonts w:hint="eastAsia" w:ascii="宋体" w:hAnsi="宋体"/>
                <w:szCs w:val="21"/>
              </w:rPr>
              <w:t>，且身份证原件</w:t>
            </w:r>
            <w:r>
              <w:rPr>
                <w:rFonts w:ascii="宋体" w:hAnsi="宋体"/>
                <w:szCs w:val="21"/>
              </w:rPr>
              <w:t>原色</w:t>
            </w:r>
            <w:r>
              <w:rPr>
                <w:rFonts w:hint="eastAsia" w:ascii="宋体" w:hAnsi="宋体"/>
                <w:szCs w:val="21"/>
              </w:rPr>
              <w:t>扫描件应清晰、有效。</w:t>
            </w:r>
          </w:p>
          <w:p w14:paraId="73A0F4DF">
            <w:pPr>
              <w:adjustRightInd w:val="0"/>
              <w:snapToGrid w:val="0"/>
              <w:spacing w:line="400" w:lineRule="exact"/>
              <w:rPr>
                <w:rFonts w:ascii="宋体" w:hAnsi="宋体"/>
                <w:kern w:val="0"/>
                <w:szCs w:val="21"/>
              </w:rPr>
            </w:pPr>
            <w:r>
              <w:rPr>
                <w:rFonts w:hint="eastAsia" w:ascii="宋体" w:hAnsi="宋体"/>
                <w:b/>
                <w:szCs w:val="21"/>
              </w:rPr>
              <w:t>□</w:t>
            </w:r>
            <w:r>
              <w:rPr>
                <w:rFonts w:hint="eastAsia" w:ascii="宋体" w:hAnsi="宋体"/>
                <w:szCs w:val="21"/>
              </w:rPr>
              <w:t>（</w:t>
            </w:r>
            <w:r>
              <w:rPr>
                <w:rFonts w:ascii="宋体" w:hAnsi="宋体"/>
                <w:szCs w:val="21"/>
              </w:rPr>
              <w:t>5</w:t>
            </w:r>
            <w:r>
              <w:rPr>
                <w:rFonts w:hint="eastAsia" w:ascii="宋体" w:hAnsi="宋体"/>
                <w:szCs w:val="21"/>
              </w:rPr>
              <w:t>）以联合体形式投标的，其授权委托书应由联合体牵头人按上述规定出具。</w:t>
            </w:r>
          </w:p>
        </w:tc>
      </w:tr>
      <w:tr w14:paraId="5FB4E343">
        <w:tblPrEx>
          <w:tblCellMar>
            <w:top w:w="0" w:type="dxa"/>
            <w:left w:w="108" w:type="dxa"/>
            <w:bottom w:w="0" w:type="dxa"/>
            <w:right w:w="108" w:type="dxa"/>
          </w:tblCellMar>
        </w:tblPrEx>
        <w:trPr>
          <w:trHeight w:val="346" w:hRule="atLeast"/>
        </w:trPr>
        <w:tc>
          <w:tcPr>
            <w:tcW w:w="772" w:type="dxa"/>
            <w:vMerge w:val="continue"/>
            <w:tcBorders>
              <w:left w:val="single" w:color="auto" w:sz="4" w:space="0"/>
              <w:bottom w:val="single" w:color="auto" w:sz="4" w:space="0"/>
              <w:right w:val="single" w:color="auto" w:sz="4" w:space="0"/>
            </w:tcBorders>
            <w:vAlign w:val="center"/>
          </w:tcPr>
          <w:p w14:paraId="205776A7">
            <w:pPr>
              <w:pStyle w:val="26"/>
              <w:adjustRightInd w:val="0"/>
              <w:snapToGrid w:val="0"/>
              <w:spacing w:line="400" w:lineRule="exact"/>
              <w:jc w:val="center"/>
              <w:rPr>
                <w:rFonts w:hAnsi="宋体" w:cs="Courier New"/>
              </w:rPr>
            </w:pPr>
          </w:p>
        </w:tc>
        <w:tc>
          <w:tcPr>
            <w:tcW w:w="762" w:type="dxa"/>
            <w:vMerge w:val="continue"/>
            <w:tcBorders>
              <w:left w:val="single" w:color="auto" w:sz="4" w:space="0"/>
              <w:bottom w:val="single" w:color="auto" w:sz="4" w:space="0"/>
              <w:right w:val="single" w:color="auto" w:sz="4" w:space="0"/>
            </w:tcBorders>
            <w:vAlign w:val="center"/>
          </w:tcPr>
          <w:p w14:paraId="500E8F03">
            <w:pPr>
              <w:pStyle w:val="26"/>
              <w:adjustRightInd w:val="0"/>
              <w:snapToGrid w:val="0"/>
              <w:spacing w:line="400" w:lineRule="exact"/>
              <w:jc w:val="center"/>
              <w:rPr>
                <w:rFonts w:hAnsi="宋体" w:cs="Courier New"/>
              </w:rPr>
            </w:pPr>
          </w:p>
        </w:tc>
        <w:tc>
          <w:tcPr>
            <w:tcW w:w="2263" w:type="dxa"/>
            <w:tcBorders>
              <w:top w:val="single" w:color="auto" w:sz="4" w:space="0"/>
              <w:left w:val="single" w:color="auto" w:sz="4" w:space="0"/>
              <w:bottom w:val="single" w:color="auto" w:sz="4" w:space="0"/>
              <w:right w:val="single" w:color="000000" w:sz="4" w:space="0"/>
            </w:tcBorders>
            <w:vAlign w:val="center"/>
          </w:tcPr>
          <w:p w14:paraId="66796086">
            <w:pPr>
              <w:widowControl/>
              <w:adjustRightInd w:val="0"/>
              <w:snapToGrid w:val="0"/>
              <w:spacing w:line="400" w:lineRule="exact"/>
              <w:rPr>
                <w:rFonts w:ascii="宋体" w:hAnsi="宋体"/>
                <w:szCs w:val="21"/>
              </w:rPr>
            </w:pPr>
            <w:r>
              <w:rPr>
                <w:rFonts w:ascii="宋体" w:hAnsi="宋体"/>
                <w:kern w:val="0"/>
                <w:szCs w:val="21"/>
              </w:rPr>
              <w:t>5</w:t>
            </w:r>
            <w:r>
              <w:rPr>
                <w:rFonts w:hint="eastAsia" w:ascii="宋体" w:hAnsi="宋体"/>
                <w:kern w:val="0"/>
                <w:szCs w:val="21"/>
              </w:rPr>
              <w:t>．投标人法定代表人若亲自签署投标文件的，提供了法定代表人身份证明，并符合招标文件要求</w:t>
            </w:r>
            <w:r>
              <w:rPr>
                <w:rFonts w:hint="eastAsia" w:ascii="宋体" w:hAnsi="宋体" w:cs="宋体"/>
                <w:szCs w:val="21"/>
              </w:rPr>
              <w:t>（</w:t>
            </w:r>
            <w:r>
              <w:rPr>
                <w:rFonts w:hint="eastAsia" w:ascii="宋体" w:hAnsi="宋体"/>
                <w:szCs w:val="21"/>
              </w:rPr>
              <w:t>本目适用于如果</w:t>
            </w:r>
            <w:r>
              <w:rPr>
                <w:rFonts w:ascii="宋体" w:hAnsi="宋体"/>
                <w:szCs w:val="21"/>
              </w:rPr>
              <w:t>投标文件</w:t>
            </w:r>
            <w:r>
              <w:rPr>
                <w:rFonts w:hint="eastAsia" w:ascii="宋体" w:hAnsi="宋体"/>
                <w:szCs w:val="21"/>
              </w:rPr>
              <w:t>由</w:t>
            </w:r>
            <w:r>
              <w:rPr>
                <w:rFonts w:ascii="宋体" w:hAnsi="宋体"/>
                <w:szCs w:val="21"/>
              </w:rPr>
              <w:t>投标人</w:t>
            </w:r>
            <w:r>
              <w:rPr>
                <w:rFonts w:hint="eastAsia" w:ascii="宋体" w:hAnsi="宋体"/>
                <w:szCs w:val="21"/>
              </w:rPr>
              <w:t>法定代表人</w:t>
            </w:r>
            <w:r>
              <w:rPr>
                <w:rFonts w:ascii="宋体" w:hAnsi="宋体"/>
                <w:szCs w:val="21"/>
              </w:rPr>
              <w:t>签署的</w:t>
            </w:r>
            <w:r>
              <w:rPr>
                <w:rFonts w:hint="eastAsia" w:ascii="宋体" w:hAnsi="宋体"/>
                <w:szCs w:val="21"/>
              </w:rPr>
              <w:t>情形</w:t>
            </w:r>
            <w:r>
              <w:rPr>
                <w:rFonts w:hint="eastAsia" w:ascii="宋体" w:hAnsi="宋体" w:cs="宋体"/>
                <w:szCs w:val="21"/>
              </w:rPr>
              <w:t>）</w:t>
            </w:r>
          </w:p>
        </w:tc>
        <w:tc>
          <w:tcPr>
            <w:tcW w:w="5162" w:type="dxa"/>
            <w:tcBorders>
              <w:top w:val="single" w:color="auto" w:sz="4" w:space="0"/>
              <w:left w:val="nil"/>
              <w:bottom w:val="single" w:color="auto" w:sz="4" w:space="0"/>
              <w:right w:val="single" w:color="000000" w:sz="4" w:space="0"/>
            </w:tcBorders>
            <w:vAlign w:val="center"/>
          </w:tcPr>
          <w:p w14:paraId="6CE170E2">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1）提供法定代表人身份证明</w:t>
            </w:r>
            <w:r>
              <w:rPr>
                <w:rFonts w:hint="eastAsia" w:ascii="宋体" w:hAnsi="宋体"/>
                <w:bCs/>
                <w:szCs w:val="21"/>
              </w:rPr>
              <w:t>。</w:t>
            </w:r>
            <w:r>
              <w:rPr>
                <w:rFonts w:ascii="宋体" w:hAnsi="宋体"/>
                <w:bCs/>
                <w:szCs w:val="21"/>
              </w:rPr>
              <w:t xml:space="preserve"> </w:t>
            </w:r>
          </w:p>
          <w:p w14:paraId="47D67DB3">
            <w:pPr>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szCs w:val="21"/>
              </w:rPr>
              <w:t>法定代表人身份证明上要求盖单位电子印章之处，投标人均应使用单位</w:t>
            </w:r>
            <w:r>
              <w:rPr>
                <w:rFonts w:ascii="宋体" w:hAnsi="宋体"/>
                <w:szCs w:val="21"/>
              </w:rPr>
              <w:t>CA数字证书加盖投标人的单位电子印章；要求法定代表人签字</w:t>
            </w:r>
            <w:r>
              <w:rPr>
                <w:rFonts w:hint="eastAsia" w:ascii="宋体" w:hAnsi="宋体"/>
                <w:szCs w:val="21"/>
              </w:rPr>
              <w:t>之处</w:t>
            </w:r>
            <w:r>
              <w:rPr>
                <w:rFonts w:ascii="宋体" w:hAnsi="宋体"/>
                <w:szCs w:val="21"/>
              </w:rPr>
              <w:t>，投标人均应使用个人CA数字证书加盖投标人法定代表人的</w:t>
            </w:r>
            <w:r>
              <w:rPr>
                <w:rFonts w:hint="eastAsia" w:ascii="宋体" w:hAnsi="宋体"/>
                <w:szCs w:val="21"/>
              </w:rPr>
              <w:t>个人电子签名章或</w:t>
            </w:r>
            <w:r>
              <w:rPr>
                <w:rFonts w:ascii="宋体" w:hAnsi="宋体"/>
                <w:szCs w:val="21"/>
              </w:rPr>
              <w:t>个人电子印章</w:t>
            </w:r>
            <w:r>
              <w:rPr>
                <w:rFonts w:hint="eastAsia" w:ascii="宋体" w:hAnsi="宋体"/>
                <w:szCs w:val="21"/>
              </w:rPr>
              <w:t>。</w:t>
            </w:r>
            <w:r>
              <w:rPr>
                <w:rFonts w:ascii="宋体" w:hAnsi="宋体"/>
                <w:bCs/>
                <w:szCs w:val="21"/>
              </w:rPr>
              <w:t xml:space="preserve"> </w:t>
            </w:r>
          </w:p>
          <w:p w14:paraId="2880F656">
            <w:pPr>
              <w:pStyle w:val="299"/>
              <w:adjustRightInd w:val="0"/>
              <w:snapToGrid w:val="0"/>
              <w:spacing w:line="400" w:lineRule="exact"/>
              <w:rPr>
                <w:rFonts w:ascii="宋体" w:hAnsi="宋体"/>
                <w:bCs/>
                <w:szCs w:val="21"/>
              </w:rPr>
            </w:pPr>
            <w:r>
              <w:rPr>
                <w:rFonts w:hint="eastAsia" w:ascii="宋体" w:hAnsi="宋体"/>
                <w:bCs/>
                <w:szCs w:val="21"/>
              </w:rPr>
              <w:t>（</w:t>
            </w:r>
            <w:r>
              <w:rPr>
                <w:rFonts w:ascii="宋体" w:hAnsi="宋体"/>
                <w:bCs/>
                <w:szCs w:val="21"/>
              </w:rPr>
              <w:t>3）法定代表人身份证明后应附法定代表人身份证</w:t>
            </w:r>
            <w:r>
              <w:rPr>
                <w:rFonts w:hint="eastAsia" w:ascii="宋体" w:hAnsi="宋体" w:cs="宋体"/>
                <w:szCs w:val="21"/>
              </w:rPr>
              <w:t>原件原色扫描件</w:t>
            </w:r>
            <w:r>
              <w:rPr>
                <w:rFonts w:hint="eastAsia" w:ascii="宋体" w:hAnsi="宋体"/>
                <w:bCs/>
                <w:szCs w:val="21"/>
              </w:rPr>
              <w:t>，且身份证原件原色扫描件应清晰</w:t>
            </w:r>
            <w:r>
              <w:rPr>
                <w:rFonts w:hint="eastAsia" w:ascii="宋体" w:hAnsi="宋体"/>
                <w:bCs/>
                <w:szCs w:val="21"/>
                <w:lang w:eastAsia="zh-CN"/>
              </w:rPr>
              <w:t>、</w:t>
            </w:r>
            <w:r>
              <w:rPr>
                <w:rFonts w:hint="eastAsia" w:ascii="宋体" w:hAnsi="宋体"/>
                <w:bCs/>
                <w:szCs w:val="21"/>
              </w:rPr>
              <w:t>有效。</w:t>
            </w:r>
          </w:p>
          <w:p w14:paraId="15E3A3EB">
            <w:pPr>
              <w:adjustRightInd w:val="0"/>
              <w:snapToGrid w:val="0"/>
              <w:spacing w:line="400" w:lineRule="exact"/>
              <w:rPr>
                <w:rFonts w:ascii="宋体" w:hAnsi="宋体"/>
                <w:szCs w:val="21"/>
              </w:rPr>
            </w:pPr>
            <w:r>
              <w:rPr>
                <w:rFonts w:hint="eastAsia" w:ascii="宋体" w:hAnsi="宋体"/>
                <w:b/>
                <w:szCs w:val="21"/>
              </w:rPr>
              <w:t>□</w:t>
            </w:r>
            <w:r>
              <w:rPr>
                <w:rFonts w:hint="eastAsia" w:ascii="宋体" w:hAnsi="宋体"/>
                <w:szCs w:val="21"/>
              </w:rPr>
              <w:t>（</w:t>
            </w:r>
            <w:r>
              <w:rPr>
                <w:rFonts w:ascii="宋体" w:hAnsi="宋体"/>
                <w:szCs w:val="21"/>
              </w:rPr>
              <w:t>4</w:t>
            </w:r>
            <w:r>
              <w:rPr>
                <w:rFonts w:hint="eastAsia" w:ascii="宋体" w:hAnsi="宋体"/>
                <w:szCs w:val="21"/>
              </w:rPr>
              <w:t>）以</w:t>
            </w:r>
            <w:r>
              <w:rPr>
                <w:rFonts w:hint="eastAsia" w:ascii="宋体" w:hAnsi="宋体"/>
                <w:bCs/>
                <w:szCs w:val="21"/>
              </w:rPr>
              <w:t>联合体形式投标的，应由联合体牵头人按上述规定出具。</w:t>
            </w:r>
          </w:p>
        </w:tc>
      </w:tr>
      <w:tr w14:paraId="58673C88">
        <w:tblPrEx>
          <w:tblCellMar>
            <w:top w:w="0" w:type="dxa"/>
            <w:left w:w="108" w:type="dxa"/>
            <w:bottom w:w="0" w:type="dxa"/>
            <w:right w:w="108" w:type="dxa"/>
          </w:tblCellMar>
        </w:tblPrEx>
        <w:trPr>
          <w:trHeight w:val="913" w:hRule="atLeast"/>
        </w:trPr>
        <w:tc>
          <w:tcPr>
            <w:tcW w:w="772" w:type="dxa"/>
            <w:vMerge w:val="restart"/>
            <w:tcBorders>
              <w:top w:val="single" w:color="auto" w:sz="4" w:space="0"/>
              <w:left w:val="single" w:color="auto" w:sz="4" w:space="0"/>
              <w:bottom w:val="single" w:color="auto" w:sz="4" w:space="0"/>
              <w:right w:val="single" w:color="auto" w:sz="4" w:space="0"/>
            </w:tcBorders>
            <w:vAlign w:val="center"/>
          </w:tcPr>
          <w:p w14:paraId="11E04688">
            <w:pPr>
              <w:widowControl/>
              <w:adjustRightInd w:val="0"/>
              <w:snapToGrid w:val="0"/>
              <w:spacing w:line="400" w:lineRule="exact"/>
              <w:jc w:val="center"/>
              <w:rPr>
                <w:rFonts w:ascii="宋体" w:hAnsi="宋体" w:cs="宋体"/>
                <w:kern w:val="0"/>
                <w:szCs w:val="21"/>
              </w:rPr>
            </w:pPr>
            <w:r>
              <w:rPr>
                <w:rFonts w:ascii="宋体" w:hAnsi="宋体" w:cs="宋体"/>
                <w:kern w:val="0"/>
                <w:szCs w:val="21"/>
              </w:rPr>
              <w:t>2.1</w:t>
            </w:r>
          </w:p>
          <w:p w14:paraId="5D85CEDF">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初步评</w:t>
            </w:r>
          </w:p>
          <w:p w14:paraId="0F250DB6">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审标准</w:t>
            </w:r>
          </w:p>
          <w:p w14:paraId="3AED6F03">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（第一个</w:t>
            </w:r>
          </w:p>
          <w:p w14:paraId="3F8DB0E5">
            <w:pPr>
              <w:adjustRightInd w:val="0"/>
              <w:snapToGrid w:val="0"/>
              <w:spacing w:line="400" w:lineRule="exact"/>
              <w:ind w:left="-210" w:leftChars="-100" w:right="-210" w:rightChars="-100"/>
              <w:jc w:val="center"/>
              <w:rPr>
                <w:rFonts w:hAnsi="宋体" w:cs="Courier New"/>
              </w:rPr>
            </w:pPr>
            <w:r>
              <w:rPr>
                <w:rFonts w:hint="eastAsia" w:ascii="宋体" w:hAnsi="宋体" w:cs="宋体"/>
                <w:kern w:val="0"/>
                <w:szCs w:val="21"/>
              </w:rPr>
              <w:t>信封</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5607B87B">
            <w:pPr>
              <w:pStyle w:val="26"/>
              <w:adjustRightInd w:val="0"/>
              <w:snapToGrid w:val="0"/>
              <w:spacing w:line="400" w:lineRule="exact"/>
              <w:jc w:val="center"/>
              <w:rPr>
                <w:rFonts w:hAnsi="宋体" w:cs="Courier New"/>
              </w:rPr>
            </w:pPr>
            <w:r>
              <w:rPr>
                <w:rFonts w:hAnsi="宋体" w:cs="Courier New"/>
              </w:rPr>
              <w:t>2.1.1</w:t>
            </w:r>
          </w:p>
          <w:p w14:paraId="07E900E6">
            <w:pPr>
              <w:pStyle w:val="26"/>
              <w:adjustRightInd w:val="0"/>
              <w:snapToGrid w:val="0"/>
              <w:spacing w:line="400" w:lineRule="exact"/>
              <w:jc w:val="center"/>
              <w:rPr>
                <w:rFonts w:hAnsi="宋体" w:cs="Courier New"/>
              </w:rPr>
            </w:pPr>
            <w:r>
              <w:rPr>
                <w:rFonts w:hint="eastAsia" w:hAnsi="宋体" w:cs="Courier New"/>
              </w:rPr>
              <w:t>形式评审标准</w:t>
            </w:r>
          </w:p>
        </w:tc>
        <w:tc>
          <w:tcPr>
            <w:tcW w:w="2263" w:type="dxa"/>
            <w:tcBorders>
              <w:top w:val="single" w:color="auto" w:sz="4" w:space="0"/>
              <w:left w:val="single" w:color="auto" w:sz="4" w:space="0"/>
              <w:bottom w:val="single" w:color="auto" w:sz="4" w:space="0"/>
              <w:right w:val="single" w:color="auto" w:sz="4" w:space="0"/>
            </w:tcBorders>
            <w:vAlign w:val="center"/>
          </w:tcPr>
          <w:p w14:paraId="070CA871">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w:t>
            </w:r>
            <w:r>
              <w:rPr>
                <w:rFonts w:ascii="宋体" w:hAnsi="宋体"/>
                <w:kern w:val="0"/>
                <w:szCs w:val="21"/>
              </w:rPr>
              <w:t>6</w:t>
            </w:r>
            <w:r>
              <w:rPr>
                <w:rFonts w:hint="eastAsia" w:ascii="宋体" w:hAnsi="宋体"/>
                <w:kern w:val="0"/>
                <w:szCs w:val="21"/>
              </w:rPr>
              <w:t>．投标人以联合体形式投标时，联合体协议书满足招标文件的要求</w:t>
            </w:r>
          </w:p>
        </w:tc>
        <w:tc>
          <w:tcPr>
            <w:tcW w:w="5162" w:type="dxa"/>
            <w:tcBorders>
              <w:top w:val="single" w:color="auto" w:sz="4" w:space="0"/>
              <w:left w:val="single" w:color="auto" w:sz="4" w:space="0"/>
              <w:bottom w:val="single" w:color="auto" w:sz="4" w:space="0"/>
              <w:right w:val="single" w:color="auto" w:sz="4" w:space="0"/>
            </w:tcBorders>
            <w:vAlign w:val="center"/>
          </w:tcPr>
          <w:p w14:paraId="3A1DCA8E">
            <w:pPr>
              <w:adjustRightInd w:val="0"/>
              <w:snapToGrid w:val="0"/>
              <w:spacing w:line="400" w:lineRule="exact"/>
              <w:rPr>
                <w:rFonts w:ascii="宋体" w:hAnsi="宋体"/>
                <w:bCs/>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按招标文件提供的格式和要求签订联合体协议书，且联合体协议书中签字、盖章符合第九章“投标文件格式”要求。</w:t>
            </w:r>
          </w:p>
        </w:tc>
      </w:tr>
      <w:tr w14:paraId="386CEAB4">
        <w:tblPrEx>
          <w:tblCellMar>
            <w:top w:w="0" w:type="dxa"/>
            <w:left w:w="108" w:type="dxa"/>
            <w:bottom w:w="0" w:type="dxa"/>
            <w:right w:w="108" w:type="dxa"/>
          </w:tblCellMar>
        </w:tblPrEx>
        <w:trPr>
          <w:trHeight w:val="1341"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67700EC7">
            <w:pPr>
              <w:adjustRightInd w:val="0"/>
              <w:snapToGrid w:val="0"/>
              <w:spacing w:line="400" w:lineRule="exact"/>
              <w:ind w:left="-210" w:leftChars="-100" w:right="-210" w:rightChars="-100"/>
              <w:jc w:val="center"/>
              <w:rPr>
                <w:rFonts w:hAnsi="宋体" w:cs="Courier New"/>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FDA6981">
            <w:pPr>
              <w:pStyle w:val="26"/>
              <w:adjustRightInd w:val="0"/>
              <w:snapToGrid w:val="0"/>
              <w:spacing w:line="400" w:lineRule="exact"/>
              <w:jc w:val="center"/>
              <w:rPr>
                <w:rFonts w:hAnsi="宋体" w:cs="Courier New"/>
              </w:rPr>
            </w:pPr>
          </w:p>
        </w:tc>
        <w:tc>
          <w:tcPr>
            <w:tcW w:w="2263" w:type="dxa"/>
            <w:tcBorders>
              <w:top w:val="single" w:color="auto" w:sz="4" w:space="0"/>
              <w:left w:val="single" w:color="auto" w:sz="4" w:space="0"/>
              <w:bottom w:val="single" w:color="auto" w:sz="4" w:space="0"/>
              <w:right w:val="single" w:color="auto" w:sz="4" w:space="0"/>
            </w:tcBorders>
            <w:vAlign w:val="center"/>
          </w:tcPr>
          <w:p w14:paraId="11CC408B">
            <w:pPr>
              <w:widowControl/>
              <w:adjustRightInd w:val="0"/>
              <w:snapToGrid w:val="0"/>
              <w:spacing w:line="400" w:lineRule="exact"/>
              <w:rPr>
                <w:rFonts w:ascii="宋体" w:hAnsi="宋体"/>
                <w:kern w:val="0"/>
                <w:szCs w:val="21"/>
              </w:rPr>
            </w:pPr>
            <w:r>
              <w:rPr>
                <w:rFonts w:ascii="宋体" w:hAnsi="宋体"/>
                <w:kern w:val="0"/>
                <w:szCs w:val="21"/>
              </w:rPr>
              <w:t>7.投标文件应符合的其他规定</w:t>
            </w:r>
          </w:p>
        </w:tc>
        <w:tc>
          <w:tcPr>
            <w:tcW w:w="5162" w:type="dxa"/>
            <w:tcBorders>
              <w:top w:val="single" w:color="auto" w:sz="4" w:space="0"/>
              <w:left w:val="single" w:color="auto" w:sz="4" w:space="0"/>
              <w:bottom w:val="single" w:color="auto" w:sz="4" w:space="0"/>
              <w:right w:val="single" w:color="auto" w:sz="4" w:space="0"/>
            </w:tcBorders>
            <w:vAlign w:val="center"/>
          </w:tcPr>
          <w:p w14:paraId="1C752D86">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1）投标人如有分包计划，</w:t>
            </w:r>
            <w:r>
              <w:rPr>
                <w:rFonts w:hint="eastAsia" w:hAnsi="宋体"/>
                <w:lang w:val="en-US" w:eastAsia="zh-CN"/>
              </w:rPr>
              <w:t>应</w:t>
            </w:r>
            <w:r>
              <w:rPr>
                <w:rFonts w:ascii="宋体" w:hAnsi="宋体"/>
                <w:kern w:val="0"/>
                <w:szCs w:val="21"/>
              </w:rPr>
              <w:t>按第八章“投标文件格式”的要求填写“拟分包</w:t>
            </w:r>
            <w:r>
              <w:rPr>
                <w:rFonts w:hint="eastAsia" w:ascii="宋体" w:hAnsi="宋体"/>
                <w:kern w:val="0"/>
                <w:szCs w:val="21"/>
                <w:lang w:val="en-US" w:eastAsia="zh-CN"/>
              </w:rPr>
              <w:t>项目</w:t>
            </w:r>
            <w:r>
              <w:rPr>
                <w:rFonts w:ascii="宋体" w:hAnsi="宋体"/>
                <w:kern w:val="0"/>
                <w:szCs w:val="21"/>
              </w:rPr>
              <w:t>情况表”</w:t>
            </w:r>
            <w:r>
              <w:rPr>
                <w:rFonts w:hint="eastAsia" w:ascii="宋体" w:hAnsi="宋体"/>
                <w:kern w:val="0"/>
                <w:szCs w:val="21"/>
              </w:rPr>
              <w:t>。</w:t>
            </w:r>
          </w:p>
          <w:p w14:paraId="17A5B04E">
            <w:pPr>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第一个信封（商务及技术文件）投标文件中未出现有关投标报价的内容。</w:t>
            </w:r>
          </w:p>
          <w:p w14:paraId="31C0A8D0">
            <w:pPr>
              <w:adjustRightInd w:val="0"/>
              <w:snapToGrid w:val="0"/>
              <w:spacing w:line="400" w:lineRule="exact"/>
              <w:rPr>
                <w:rFonts w:ascii="宋体" w:hAnsi="宋体"/>
                <w:kern w:val="0"/>
                <w:szCs w:val="21"/>
              </w:rPr>
            </w:pPr>
            <w:r>
              <w:rPr>
                <w:rFonts w:hint="eastAsia" w:ascii="宋体" w:hAnsi="宋体"/>
                <w:kern w:val="0"/>
                <w:szCs w:val="21"/>
              </w:rPr>
              <w:t>（3）同一投标人对同一标段未提交两个以上不同的投标文件</w:t>
            </w:r>
            <w:r>
              <w:rPr>
                <w:rFonts w:hint="eastAsia"/>
              </w:rPr>
              <w:t>，但招标文件要求提交备选投标</w:t>
            </w:r>
            <w:r>
              <w:rPr>
                <w:rFonts w:hint="eastAsia"/>
                <w:lang w:val="en-US" w:eastAsia="zh-CN"/>
              </w:rPr>
              <w:t>方案</w:t>
            </w:r>
            <w:r>
              <w:rPr>
                <w:rFonts w:hint="eastAsia"/>
              </w:rPr>
              <w:t>的除外</w:t>
            </w:r>
            <w:r>
              <w:rPr>
                <w:rFonts w:hint="eastAsia" w:ascii="宋体" w:hAnsi="宋体"/>
                <w:kern w:val="0"/>
                <w:szCs w:val="21"/>
              </w:rPr>
              <w:t>。</w:t>
            </w:r>
          </w:p>
          <w:p w14:paraId="603AF887">
            <w:pPr>
              <w:adjustRightInd w:val="0"/>
              <w:snapToGrid w:val="0"/>
              <w:spacing w:line="400" w:lineRule="exact"/>
              <w:rPr>
                <w:rFonts w:ascii="宋体" w:hAnsi="宋体" w:cs="宋体"/>
                <w:szCs w:val="21"/>
              </w:rPr>
            </w:pPr>
            <w:r>
              <w:rPr>
                <w:rFonts w:hint="eastAsia" w:ascii="宋体" w:hAnsi="宋体"/>
                <w:kern w:val="0"/>
                <w:szCs w:val="21"/>
              </w:rPr>
              <w:t>（4）</w:t>
            </w:r>
            <w:r>
              <w:rPr>
                <w:rFonts w:hint="eastAsia" w:ascii="宋体" w:hAnsi="宋体" w:cs="宋体"/>
                <w:szCs w:val="21"/>
              </w:rPr>
              <w:t>投标人投标标段数量超过允许投标人投标标段数量时，相关投标均无效。</w:t>
            </w:r>
          </w:p>
          <w:p w14:paraId="5528E1FF">
            <w:pPr>
              <w:adjustRightInd w:val="0"/>
              <w:snapToGrid w:val="0"/>
              <w:spacing w:line="400" w:lineRule="exact"/>
              <w:rPr>
                <w:rFonts w:ascii="宋体" w:hAnsi="宋体"/>
                <w:bCs/>
                <w:szCs w:val="21"/>
              </w:rPr>
            </w:pPr>
            <w:r>
              <w:rPr>
                <w:rFonts w:hint="eastAsia" w:ascii="宋体" w:hAnsi="宋体"/>
                <w:kern w:val="0"/>
                <w:szCs w:val="21"/>
                <w:u w:val="none"/>
              </w:rPr>
              <w:t>……</w:t>
            </w:r>
            <w:r>
              <w:rPr>
                <w:rFonts w:ascii="宋体" w:hAnsi="宋体"/>
                <w:kern w:val="0"/>
                <w:szCs w:val="21"/>
                <w:u w:val="none"/>
              </w:rPr>
              <w:t xml:space="preserve">  </w:t>
            </w:r>
            <w:r>
              <w:rPr>
                <w:rFonts w:ascii="宋体" w:hAnsi="宋体"/>
                <w:kern w:val="0"/>
                <w:szCs w:val="21"/>
              </w:rPr>
              <w:t xml:space="preserve">    </w:t>
            </w:r>
          </w:p>
        </w:tc>
      </w:tr>
      <w:tr w14:paraId="2F95F2B6">
        <w:tblPrEx>
          <w:tblCellMar>
            <w:top w:w="0" w:type="dxa"/>
            <w:left w:w="108" w:type="dxa"/>
            <w:bottom w:w="0" w:type="dxa"/>
            <w:right w:w="108" w:type="dxa"/>
          </w:tblCellMar>
        </w:tblPrEx>
        <w:tc>
          <w:tcPr>
            <w:tcW w:w="772" w:type="dxa"/>
            <w:vMerge w:val="continue"/>
            <w:tcBorders>
              <w:top w:val="single" w:color="auto" w:sz="4" w:space="0"/>
              <w:left w:val="single" w:color="auto" w:sz="4" w:space="0"/>
              <w:bottom w:val="single" w:color="auto" w:sz="4" w:space="0"/>
              <w:right w:val="single" w:color="auto" w:sz="4" w:space="0"/>
            </w:tcBorders>
            <w:vAlign w:val="center"/>
          </w:tcPr>
          <w:p w14:paraId="23378F7B">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7479D54B">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11EAE6C7">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资格评审标准</w:t>
            </w:r>
          </w:p>
        </w:tc>
        <w:tc>
          <w:tcPr>
            <w:tcW w:w="2263" w:type="dxa"/>
            <w:tcBorders>
              <w:top w:val="single" w:color="auto" w:sz="4" w:space="0"/>
              <w:left w:val="single" w:color="auto" w:sz="4" w:space="0"/>
              <w:bottom w:val="single" w:color="auto" w:sz="4" w:space="0"/>
              <w:right w:val="single" w:color="auto" w:sz="4" w:space="0"/>
            </w:tcBorders>
            <w:vAlign w:val="center"/>
          </w:tcPr>
          <w:p w14:paraId="48C1A5DE">
            <w:pPr>
              <w:widowControl/>
              <w:adjustRightInd w:val="0"/>
              <w:snapToGrid w:val="0"/>
              <w:spacing w:line="400" w:lineRule="exact"/>
              <w:rPr>
                <w:rFonts w:ascii="宋体" w:hAnsi="宋体"/>
                <w:kern w:val="0"/>
                <w:szCs w:val="21"/>
              </w:rPr>
            </w:pPr>
            <w:r>
              <w:rPr>
                <w:rFonts w:ascii="宋体" w:hAnsi="宋体"/>
                <w:kern w:val="0"/>
                <w:szCs w:val="21"/>
              </w:rPr>
              <w:t>1．投标人具备有效的营业执照、资质证书、安全生产许可证</w:t>
            </w:r>
            <w:r>
              <w:rPr>
                <w:rFonts w:hint="eastAsia" w:ascii="宋体" w:hAnsi="宋体"/>
                <w:kern w:val="0"/>
                <w:szCs w:val="21"/>
              </w:rPr>
              <w:t>（仅限施工企业）</w:t>
            </w:r>
            <w:r>
              <w:rPr>
                <w:rFonts w:ascii="宋体" w:hAnsi="宋体"/>
                <w:kern w:val="0"/>
                <w:szCs w:val="21"/>
              </w:rPr>
              <w:t>、开户许可证</w:t>
            </w:r>
            <w:r>
              <w:rPr>
                <w:rFonts w:hint="eastAsia" w:ascii="宋体" w:hAnsi="宋体"/>
                <w:kern w:val="0"/>
                <w:szCs w:val="21"/>
              </w:rPr>
              <w:t>（</w:t>
            </w:r>
            <w:r>
              <w:rPr>
                <w:rFonts w:ascii="宋体" w:hAnsi="宋体"/>
                <w:kern w:val="0"/>
                <w:szCs w:val="21"/>
              </w:rPr>
              <w:t>基本账户</w:t>
            </w:r>
            <w:r>
              <w:rPr>
                <w:rFonts w:hint="eastAsia" w:ascii="宋体" w:hAnsi="宋体"/>
                <w:kern w:val="0"/>
                <w:szCs w:val="21"/>
              </w:rPr>
              <w:t>或基本存款账户）</w:t>
            </w:r>
            <w:r>
              <w:rPr>
                <w:rFonts w:hint="eastAsia" w:ascii="宋体" w:hAnsi="宋体" w:cs="宋体"/>
                <w:szCs w:val="21"/>
              </w:rPr>
              <w:t>或基本存款账户信息表</w:t>
            </w:r>
          </w:p>
        </w:tc>
        <w:tc>
          <w:tcPr>
            <w:tcW w:w="5162" w:type="dxa"/>
            <w:tcBorders>
              <w:top w:val="single" w:color="000000" w:sz="4" w:space="0"/>
              <w:left w:val="single" w:color="auto" w:sz="4" w:space="0"/>
              <w:bottom w:val="single" w:color="000000" w:sz="4" w:space="0"/>
              <w:right w:val="single" w:color="000000" w:sz="4" w:space="0"/>
            </w:tcBorders>
            <w:vAlign w:val="center"/>
          </w:tcPr>
          <w:p w14:paraId="6937942B">
            <w:pPr>
              <w:widowControl/>
              <w:adjustRightInd w:val="0"/>
              <w:snapToGrid w:val="0"/>
              <w:spacing w:line="400" w:lineRule="exact"/>
              <w:rPr>
                <w:rFonts w:ascii="宋体" w:hAnsi="宋体"/>
                <w:kern w:val="0"/>
                <w:szCs w:val="21"/>
              </w:rPr>
            </w:pPr>
            <w:r>
              <w:rPr>
                <w:rFonts w:hint="eastAsia" w:ascii="宋体" w:hAnsi="宋体"/>
                <w:kern w:val="0"/>
                <w:szCs w:val="21"/>
              </w:rPr>
              <w:t>（</w:t>
            </w:r>
            <w:r>
              <w:rPr>
                <w:rFonts w:ascii="宋体" w:hAnsi="宋体"/>
                <w:kern w:val="0"/>
                <w:szCs w:val="21"/>
              </w:rPr>
              <w:t>1）投标人的营业执照、资质证书、安全生产许可证</w:t>
            </w:r>
            <w:r>
              <w:rPr>
                <w:rFonts w:hint="eastAsia" w:ascii="宋体" w:hAnsi="宋体"/>
                <w:kern w:val="0"/>
                <w:szCs w:val="21"/>
              </w:rPr>
              <w:t>（仅限施工企业）</w:t>
            </w:r>
            <w:r>
              <w:rPr>
                <w:rFonts w:ascii="宋体" w:hAnsi="宋体"/>
                <w:kern w:val="0"/>
                <w:szCs w:val="21"/>
              </w:rPr>
              <w:t>、开户许可证</w:t>
            </w:r>
            <w:r>
              <w:rPr>
                <w:rFonts w:hint="eastAsia" w:ascii="宋体" w:hAnsi="宋体"/>
                <w:kern w:val="0"/>
                <w:szCs w:val="21"/>
              </w:rPr>
              <w:t>（</w:t>
            </w:r>
            <w:r>
              <w:rPr>
                <w:rFonts w:ascii="宋体" w:hAnsi="宋体"/>
                <w:kern w:val="0"/>
                <w:szCs w:val="21"/>
              </w:rPr>
              <w:t>基本账户</w:t>
            </w:r>
            <w:r>
              <w:rPr>
                <w:rFonts w:hint="eastAsia" w:ascii="宋体" w:hAnsi="宋体"/>
                <w:kern w:val="0"/>
                <w:szCs w:val="21"/>
              </w:rPr>
              <w:t>或基本存款账户）</w:t>
            </w:r>
            <w:r>
              <w:rPr>
                <w:rFonts w:hint="eastAsia" w:ascii="宋体" w:hAnsi="宋体" w:cs="宋体"/>
                <w:szCs w:val="21"/>
              </w:rPr>
              <w:t>或基本存款账户信息表</w:t>
            </w:r>
            <w:r>
              <w:rPr>
                <w:rFonts w:ascii="宋体" w:hAnsi="宋体"/>
                <w:kern w:val="0"/>
                <w:szCs w:val="21"/>
              </w:rPr>
              <w:t>有效</w:t>
            </w:r>
            <w:r>
              <w:rPr>
                <w:rFonts w:hint="eastAsia" w:ascii="宋体" w:hAnsi="宋体"/>
                <w:kern w:val="0"/>
                <w:szCs w:val="21"/>
              </w:rPr>
              <w:t>。</w:t>
            </w:r>
          </w:p>
          <w:p w14:paraId="6B97E91D">
            <w:pPr>
              <w:widowControl/>
              <w:adjustRightInd w:val="0"/>
              <w:snapToGrid w:val="0"/>
              <w:spacing w:line="400" w:lineRule="exact"/>
              <w:rPr>
                <w:rFonts w:ascii="宋体" w:hAnsi="宋体"/>
                <w:szCs w:val="21"/>
              </w:rPr>
            </w:pPr>
            <w:r>
              <w:rPr>
                <w:rFonts w:hint="eastAsia" w:ascii="宋体" w:hAnsi="宋体"/>
                <w:kern w:val="0"/>
                <w:szCs w:val="21"/>
              </w:rPr>
              <w:t>（2）提供的证明材料符合第</w:t>
            </w:r>
            <w:r>
              <w:rPr>
                <w:rFonts w:hint="eastAsia" w:ascii="宋体" w:hAnsi="宋体"/>
                <w:kern w:val="0"/>
                <w:szCs w:val="21"/>
                <w:lang w:val="en-US" w:eastAsia="zh-CN"/>
              </w:rPr>
              <w:t>八</w:t>
            </w:r>
            <w:r>
              <w:rPr>
                <w:rFonts w:hint="eastAsia" w:ascii="宋体" w:hAnsi="宋体"/>
                <w:kern w:val="0"/>
                <w:szCs w:val="21"/>
              </w:rPr>
              <w:t>章“</w:t>
            </w:r>
            <w:r>
              <w:rPr>
                <w:rFonts w:ascii="宋体" w:hAnsi="宋体"/>
                <w:kern w:val="0"/>
                <w:szCs w:val="21"/>
              </w:rPr>
              <w:t>投标文件格式</w:t>
            </w:r>
            <w:r>
              <w:rPr>
                <w:rFonts w:hint="eastAsia" w:ascii="宋体" w:hAnsi="宋体"/>
                <w:kern w:val="0"/>
                <w:szCs w:val="21"/>
              </w:rPr>
              <w:t>”资格审查资料“（一）投标人</w:t>
            </w:r>
            <w:r>
              <w:rPr>
                <w:rFonts w:ascii="宋体" w:hAnsi="宋体"/>
                <w:kern w:val="0"/>
                <w:szCs w:val="21"/>
              </w:rPr>
              <w:t>基本情况表</w:t>
            </w:r>
            <w:r>
              <w:rPr>
                <w:rFonts w:hint="eastAsia" w:ascii="宋体" w:hAnsi="宋体"/>
                <w:kern w:val="0"/>
                <w:szCs w:val="21"/>
              </w:rPr>
              <w:t>”的附件要求</w:t>
            </w:r>
            <w:r>
              <w:rPr>
                <w:rFonts w:hint="eastAsia" w:ascii="宋体" w:hAnsi="宋体" w:cs="宋体"/>
                <w:szCs w:val="21"/>
              </w:rPr>
              <w:t>。</w:t>
            </w:r>
          </w:p>
        </w:tc>
      </w:tr>
      <w:tr w14:paraId="1B23678B">
        <w:tblPrEx>
          <w:tblCellMar>
            <w:top w:w="0" w:type="dxa"/>
            <w:left w:w="108" w:type="dxa"/>
            <w:bottom w:w="0" w:type="dxa"/>
            <w:right w:w="108" w:type="dxa"/>
          </w:tblCellMar>
        </w:tblPrEx>
        <w:tc>
          <w:tcPr>
            <w:tcW w:w="772" w:type="dxa"/>
            <w:vMerge w:val="continue"/>
            <w:tcBorders>
              <w:top w:val="single" w:color="auto" w:sz="4" w:space="0"/>
              <w:left w:val="single" w:color="auto" w:sz="4" w:space="0"/>
              <w:bottom w:val="single" w:color="auto" w:sz="4" w:space="0"/>
              <w:right w:val="single" w:color="auto" w:sz="4" w:space="0"/>
            </w:tcBorders>
            <w:vAlign w:val="center"/>
          </w:tcPr>
          <w:p w14:paraId="0DD1B794">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D098CCF">
            <w:pPr>
              <w:adjustRightInd w:val="0"/>
              <w:snapToGrid w:val="0"/>
              <w:spacing w:line="400" w:lineRule="exact"/>
              <w:jc w:val="center"/>
              <w:rPr>
                <w:rFonts w:ascii="宋体" w:hAnsi="宋体" w:cs="宋体"/>
                <w:kern w:val="0"/>
                <w:szCs w:val="21"/>
              </w:rPr>
            </w:pPr>
          </w:p>
        </w:tc>
        <w:tc>
          <w:tcPr>
            <w:tcW w:w="2263" w:type="dxa"/>
            <w:tcBorders>
              <w:top w:val="single" w:color="auto" w:sz="4" w:space="0"/>
              <w:left w:val="single" w:color="auto" w:sz="4" w:space="0"/>
              <w:bottom w:val="single" w:color="auto" w:sz="4" w:space="0"/>
              <w:right w:val="single" w:color="auto" w:sz="4" w:space="0"/>
            </w:tcBorders>
            <w:vAlign w:val="center"/>
          </w:tcPr>
          <w:p w14:paraId="16895013">
            <w:pPr>
              <w:widowControl/>
              <w:adjustRightInd w:val="0"/>
              <w:snapToGrid w:val="0"/>
              <w:spacing w:line="400" w:lineRule="exact"/>
              <w:rPr>
                <w:rFonts w:ascii="宋体" w:hAnsi="宋体"/>
                <w:kern w:val="0"/>
                <w:szCs w:val="21"/>
              </w:rPr>
            </w:pPr>
            <w:r>
              <w:rPr>
                <w:rFonts w:ascii="宋体" w:hAnsi="宋体" w:cs="宋体"/>
                <w:kern w:val="0"/>
                <w:szCs w:val="21"/>
              </w:rPr>
              <w:t>2．投标人的资质等级符合第二章“投标人须知”前附表第1.4.1项规定</w:t>
            </w:r>
          </w:p>
        </w:tc>
        <w:tc>
          <w:tcPr>
            <w:tcW w:w="5162" w:type="dxa"/>
            <w:tcBorders>
              <w:top w:val="single" w:color="000000" w:sz="4" w:space="0"/>
              <w:left w:val="single" w:color="auto" w:sz="4" w:space="0"/>
              <w:bottom w:val="single" w:color="000000" w:sz="4" w:space="0"/>
              <w:right w:val="single" w:color="000000" w:sz="4" w:space="0"/>
            </w:tcBorders>
            <w:vAlign w:val="center"/>
          </w:tcPr>
          <w:p w14:paraId="0367E5A5">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1）投标人</w:t>
            </w:r>
            <w:r>
              <w:rPr>
                <w:rFonts w:hint="eastAsia" w:ascii="宋体" w:hAnsi="宋体"/>
                <w:szCs w:val="21"/>
              </w:rPr>
              <w:t>的资质等级符合第二章“投标人须知”前附表第</w:t>
            </w:r>
            <w:r>
              <w:rPr>
                <w:rFonts w:ascii="宋体" w:hAnsi="宋体"/>
                <w:szCs w:val="21"/>
              </w:rPr>
              <w:t>1.4.1项规定。</w:t>
            </w:r>
          </w:p>
          <w:p w14:paraId="42198C15">
            <w:pPr>
              <w:widowControl/>
              <w:adjustRightInd w:val="0"/>
              <w:snapToGrid w:val="0"/>
              <w:spacing w:line="400" w:lineRule="exact"/>
              <w:rPr>
                <w:rFonts w:ascii="宋体" w:hAnsi="宋体"/>
                <w:kern w:val="0"/>
                <w:szCs w:val="21"/>
              </w:rPr>
            </w:pPr>
            <w:r>
              <w:rPr>
                <w:rFonts w:hint="eastAsia" w:ascii="宋体" w:hAnsi="宋体"/>
                <w:szCs w:val="21"/>
              </w:rPr>
              <w:t>（</w:t>
            </w:r>
            <w:r>
              <w:rPr>
                <w:rFonts w:ascii="宋体" w:hAnsi="宋体"/>
                <w:szCs w:val="21"/>
              </w:rPr>
              <w:t>2）</w:t>
            </w:r>
            <w:r>
              <w:rPr>
                <w:rFonts w:ascii="宋体" w:hAnsi="宋体" w:cs="宋体"/>
                <w:szCs w:val="21"/>
              </w:rPr>
              <w:t>提供的证明材料符合第八章“投标文件格式”要求</w:t>
            </w:r>
            <w:r>
              <w:rPr>
                <w:rFonts w:hint="eastAsia" w:ascii="宋体" w:hAnsi="宋体" w:cs="宋体"/>
                <w:szCs w:val="21"/>
              </w:rPr>
              <w:t>。</w:t>
            </w:r>
          </w:p>
        </w:tc>
      </w:tr>
      <w:tr w14:paraId="1CD0FB98">
        <w:tblPrEx>
          <w:tblCellMar>
            <w:top w:w="0" w:type="dxa"/>
            <w:left w:w="108" w:type="dxa"/>
            <w:bottom w:w="0" w:type="dxa"/>
            <w:right w:w="108" w:type="dxa"/>
          </w:tblCellMar>
        </w:tblPrEx>
        <w:tc>
          <w:tcPr>
            <w:tcW w:w="772" w:type="dxa"/>
            <w:vMerge w:val="continue"/>
            <w:tcBorders>
              <w:top w:val="single" w:color="auto" w:sz="4" w:space="0"/>
              <w:left w:val="single" w:color="auto" w:sz="4" w:space="0"/>
              <w:bottom w:val="single" w:color="auto" w:sz="4" w:space="0"/>
              <w:right w:val="single" w:color="auto" w:sz="4" w:space="0"/>
            </w:tcBorders>
            <w:vAlign w:val="center"/>
          </w:tcPr>
          <w:p w14:paraId="58177F0B">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254D192">
            <w:pPr>
              <w:adjustRightInd w:val="0"/>
              <w:snapToGrid w:val="0"/>
              <w:spacing w:line="400" w:lineRule="exact"/>
              <w:jc w:val="center"/>
              <w:rPr>
                <w:rFonts w:ascii="宋体" w:hAnsi="宋体" w:cs="宋体"/>
                <w:kern w:val="0"/>
                <w:szCs w:val="21"/>
              </w:rPr>
            </w:pPr>
          </w:p>
        </w:tc>
        <w:tc>
          <w:tcPr>
            <w:tcW w:w="2263" w:type="dxa"/>
            <w:tcBorders>
              <w:top w:val="single" w:color="auto" w:sz="4" w:space="0"/>
              <w:left w:val="single" w:color="auto" w:sz="4" w:space="0"/>
              <w:bottom w:val="single" w:color="auto" w:sz="4" w:space="0"/>
              <w:right w:val="single" w:color="auto" w:sz="4" w:space="0"/>
            </w:tcBorders>
            <w:vAlign w:val="center"/>
          </w:tcPr>
          <w:p w14:paraId="77E78934">
            <w:pPr>
              <w:widowControl/>
              <w:adjustRightInd w:val="0"/>
              <w:snapToGrid w:val="0"/>
              <w:spacing w:line="400" w:lineRule="exact"/>
              <w:rPr>
                <w:rFonts w:ascii="宋体" w:hAnsi="宋体"/>
                <w:kern w:val="0"/>
                <w:szCs w:val="21"/>
              </w:rPr>
            </w:pPr>
            <w:r>
              <w:rPr>
                <w:rFonts w:ascii="宋体" w:hAnsi="宋体" w:cs="宋体"/>
                <w:kern w:val="0"/>
                <w:szCs w:val="21"/>
              </w:rPr>
              <w:t>3.投标人的财务状况符合第二章“投标人须知”前附表第1.4.1项规定</w:t>
            </w:r>
          </w:p>
        </w:tc>
        <w:tc>
          <w:tcPr>
            <w:tcW w:w="5162" w:type="dxa"/>
            <w:tcBorders>
              <w:top w:val="single" w:color="000000" w:sz="4" w:space="0"/>
              <w:left w:val="single" w:color="auto" w:sz="4" w:space="0"/>
              <w:bottom w:val="single" w:color="000000" w:sz="4" w:space="0"/>
              <w:right w:val="single" w:color="000000" w:sz="4" w:space="0"/>
            </w:tcBorders>
            <w:vAlign w:val="center"/>
          </w:tcPr>
          <w:p w14:paraId="644449C7">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的财务状况符合第二章“投标人须知”前附表第</w:t>
            </w:r>
            <w:r>
              <w:rPr>
                <w:rFonts w:ascii="宋体" w:hAnsi="宋体" w:cs="宋体"/>
                <w:kern w:val="0"/>
                <w:szCs w:val="21"/>
              </w:rPr>
              <w:t>1.4.1项规定。</w:t>
            </w:r>
          </w:p>
          <w:p w14:paraId="16073FA4">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提供的证明材料符合第八章“投标文件格式”要求。</w:t>
            </w:r>
          </w:p>
        </w:tc>
      </w:tr>
      <w:tr w14:paraId="6632E404">
        <w:tblPrEx>
          <w:tblCellMar>
            <w:top w:w="0" w:type="dxa"/>
            <w:left w:w="108" w:type="dxa"/>
            <w:bottom w:w="0" w:type="dxa"/>
            <w:right w:w="108" w:type="dxa"/>
          </w:tblCellMar>
        </w:tblPrEx>
        <w:trPr>
          <w:trHeight w:val="502" w:hRule="atLeast"/>
        </w:trPr>
        <w:tc>
          <w:tcPr>
            <w:tcW w:w="772" w:type="dxa"/>
            <w:vMerge w:val="restart"/>
            <w:tcBorders>
              <w:top w:val="single" w:color="auto" w:sz="4" w:space="0"/>
              <w:left w:val="single" w:color="auto" w:sz="4" w:space="0"/>
              <w:bottom w:val="single" w:color="auto" w:sz="4" w:space="0"/>
              <w:right w:val="single" w:color="auto" w:sz="4" w:space="0"/>
            </w:tcBorders>
            <w:vAlign w:val="center"/>
          </w:tcPr>
          <w:p w14:paraId="4ADF545B">
            <w:pPr>
              <w:widowControl/>
              <w:adjustRightInd w:val="0"/>
              <w:snapToGrid w:val="0"/>
              <w:spacing w:line="400" w:lineRule="exact"/>
              <w:jc w:val="center"/>
              <w:rPr>
                <w:rFonts w:ascii="宋体" w:hAnsi="宋体" w:cs="宋体"/>
                <w:kern w:val="0"/>
                <w:szCs w:val="21"/>
              </w:rPr>
            </w:pPr>
            <w:r>
              <w:rPr>
                <w:rFonts w:ascii="宋体" w:hAnsi="宋体" w:cs="宋体"/>
                <w:kern w:val="0"/>
                <w:szCs w:val="21"/>
              </w:rPr>
              <w:t>2.1</w:t>
            </w:r>
          </w:p>
          <w:p w14:paraId="53CEA151">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初步评</w:t>
            </w:r>
          </w:p>
          <w:p w14:paraId="518BC4D2">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审标准</w:t>
            </w:r>
          </w:p>
          <w:p w14:paraId="1CF73D1C">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（第一个</w:t>
            </w:r>
          </w:p>
          <w:p w14:paraId="14623559">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信封</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7F525792">
            <w:pPr>
              <w:widowControl/>
              <w:adjustRightInd w:val="0"/>
              <w:snapToGrid w:val="0"/>
              <w:spacing w:line="400" w:lineRule="exact"/>
              <w:jc w:val="center"/>
              <w:rPr>
                <w:rFonts w:ascii="宋体" w:hAnsi="宋体" w:cs="宋体"/>
                <w:kern w:val="0"/>
                <w:szCs w:val="21"/>
              </w:rPr>
            </w:pPr>
            <w:r>
              <w:rPr>
                <w:rFonts w:ascii="宋体" w:hAnsi="宋体" w:cs="宋体"/>
                <w:kern w:val="0"/>
                <w:szCs w:val="21"/>
              </w:rPr>
              <w:t>2.1.2</w:t>
            </w:r>
          </w:p>
          <w:p w14:paraId="4666D0B9">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资格评</w:t>
            </w:r>
          </w:p>
          <w:p w14:paraId="6713A301">
            <w:pPr>
              <w:adjustRightInd w:val="0"/>
              <w:snapToGrid w:val="0"/>
              <w:spacing w:line="400" w:lineRule="exact"/>
              <w:jc w:val="center"/>
              <w:rPr>
                <w:rFonts w:ascii="宋体" w:hAnsi="宋体" w:cs="宋体"/>
                <w:kern w:val="0"/>
                <w:szCs w:val="21"/>
              </w:rPr>
            </w:pPr>
            <w:r>
              <w:rPr>
                <w:rFonts w:hint="eastAsia" w:ascii="宋体" w:hAnsi="宋体" w:cs="宋体"/>
                <w:kern w:val="0"/>
                <w:szCs w:val="21"/>
              </w:rPr>
              <w:t>审标准</w:t>
            </w:r>
          </w:p>
        </w:tc>
        <w:tc>
          <w:tcPr>
            <w:tcW w:w="2263" w:type="dxa"/>
            <w:tcBorders>
              <w:top w:val="single" w:color="auto" w:sz="4" w:space="0"/>
              <w:left w:val="single" w:color="auto" w:sz="4" w:space="0"/>
              <w:bottom w:val="single" w:color="auto" w:sz="4" w:space="0"/>
              <w:right w:val="single" w:color="auto" w:sz="4" w:space="0"/>
            </w:tcBorders>
            <w:vAlign w:val="center"/>
          </w:tcPr>
          <w:p w14:paraId="49957860">
            <w:pPr>
              <w:widowControl/>
              <w:adjustRightInd w:val="0"/>
              <w:snapToGrid w:val="0"/>
              <w:spacing w:line="400" w:lineRule="exact"/>
              <w:rPr>
                <w:rFonts w:ascii="宋体" w:hAnsi="宋体"/>
                <w:kern w:val="0"/>
                <w:szCs w:val="21"/>
              </w:rPr>
            </w:pPr>
            <w:r>
              <w:rPr>
                <w:rFonts w:ascii="宋体" w:hAnsi="宋体" w:cs="宋体"/>
                <w:kern w:val="0"/>
                <w:szCs w:val="21"/>
              </w:rPr>
              <w:t>4．投标人的类似项目业绩符合第二章“投标人须知”前附表第1.4.1项规定</w:t>
            </w:r>
          </w:p>
        </w:tc>
        <w:tc>
          <w:tcPr>
            <w:tcW w:w="5162" w:type="dxa"/>
            <w:tcBorders>
              <w:top w:val="single" w:color="000000" w:sz="4" w:space="0"/>
              <w:left w:val="single" w:color="auto" w:sz="4" w:space="0"/>
              <w:bottom w:val="single" w:color="000000" w:sz="4" w:space="0"/>
              <w:right w:val="single" w:color="000000" w:sz="4" w:space="0"/>
            </w:tcBorders>
            <w:vAlign w:val="center"/>
          </w:tcPr>
          <w:p w14:paraId="4C0159D2">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的类似项目业绩符合第二章“投标人须知”前附表第</w:t>
            </w:r>
            <w:r>
              <w:rPr>
                <w:rFonts w:ascii="宋体" w:hAnsi="宋体" w:cs="宋体"/>
                <w:kern w:val="0"/>
                <w:szCs w:val="21"/>
              </w:rPr>
              <w:t>1.4.1项规定。</w:t>
            </w:r>
          </w:p>
          <w:p w14:paraId="6C23D447">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提供的证明材料符合第八章“投标文件格式”要求。</w:t>
            </w:r>
          </w:p>
        </w:tc>
      </w:tr>
      <w:tr w14:paraId="5D54EBA1">
        <w:tblPrEx>
          <w:tblCellMar>
            <w:top w:w="0" w:type="dxa"/>
            <w:left w:w="108" w:type="dxa"/>
            <w:bottom w:w="0" w:type="dxa"/>
            <w:right w:w="108" w:type="dxa"/>
          </w:tblCellMar>
        </w:tblPrEx>
        <w:trPr>
          <w:trHeight w:val="1587"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0B901599">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2082547">
            <w:pPr>
              <w:widowControl/>
              <w:adjustRightInd w:val="0"/>
              <w:snapToGrid w:val="0"/>
              <w:spacing w:line="400" w:lineRule="exact"/>
              <w:jc w:val="center"/>
              <w:rPr>
                <w:rFonts w:ascii="宋体" w:hAnsi="宋体" w:cs="宋体"/>
                <w:kern w:val="0"/>
                <w:szCs w:val="21"/>
              </w:rPr>
            </w:pPr>
          </w:p>
        </w:tc>
        <w:tc>
          <w:tcPr>
            <w:tcW w:w="2263" w:type="dxa"/>
            <w:tcBorders>
              <w:top w:val="single" w:color="auto" w:sz="4" w:space="0"/>
              <w:left w:val="single" w:color="auto" w:sz="4" w:space="0"/>
              <w:bottom w:val="single" w:color="auto" w:sz="4" w:space="0"/>
              <w:right w:val="single" w:color="auto" w:sz="4" w:space="0"/>
            </w:tcBorders>
            <w:vAlign w:val="center"/>
          </w:tcPr>
          <w:p w14:paraId="192B3281">
            <w:pPr>
              <w:widowControl/>
              <w:adjustRightInd w:val="0"/>
              <w:snapToGrid w:val="0"/>
              <w:spacing w:line="400" w:lineRule="exact"/>
              <w:rPr>
                <w:rFonts w:ascii="宋体" w:hAnsi="宋体"/>
                <w:kern w:val="0"/>
                <w:szCs w:val="21"/>
              </w:rPr>
            </w:pPr>
            <w:r>
              <w:rPr>
                <w:rFonts w:ascii="宋体" w:hAnsi="宋体" w:cs="宋体"/>
                <w:kern w:val="0"/>
                <w:szCs w:val="21"/>
              </w:rPr>
              <w:t>5．投标人的信誉符合第二章“投标人须知”前附表第1.4.1项规定</w:t>
            </w:r>
          </w:p>
        </w:tc>
        <w:tc>
          <w:tcPr>
            <w:tcW w:w="5162" w:type="dxa"/>
            <w:tcBorders>
              <w:top w:val="single" w:color="000000" w:sz="4" w:space="0"/>
              <w:left w:val="single" w:color="auto" w:sz="4" w:space="0"/>
              <w:bottom w:val="single" w:color="000000" w:sz="4" w:space="0"/>
              <w:right w:val="single" w:color="000000" w:sz="4" w:space="0"/>
            </w:tcBorders>
            <w:vAlign w:val="center"/>
          </w:tcPr>
          <w:p w14:paraId="06D2F12C">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的信誉符合第二章“投标人须知”前附表第</w:t>
            </w:r>
            <w:r>
              <w:rPr>
                <w:rFonts w:ascii="宋体" w:hAnsi="宋体" w:cs="宋体"/>
                <w:kern w:val="0"/>
                <w:szCs w:val="21"/>
              </w:rPr>
              <w:t>1.4.1项规定。</w:t>
            </w:r>
          </w:p>
          <w:p w14:paraId="76CD51DD">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提供的证明材料符合第八章“投标文件格式”要求。</w:t>
            </w:r>
          </w:p>
        </w:tc>
      </w:tr>
      <w:tr w14:paraId="4BA773B9">
        <w:tblPrEx>
          <w:tblCellMar>
            <w:top w:w="0" w:type="dxa"/>
            <w:left w:w="108" w:type="dxa"/>
            <w:bottom w:w="0" w:type="dxa"/>
            <w:right w:w="108" w:type="dxa"/>
          </w:tblCellMar>
        </w:tblPrEx>
        <w:trPr>
          <w:trHeight w:val="1583"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1FAA77FC">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EF3B62E">
            <w:pPr>
              <w:widowControl/>
              <w:adjustRightInd w:val="0"/>
              <w:snapToGrid w:val="0"/>
              <w:spacing w:line="400" w:lineRule="exact"/>
              <w:jc w:val="center"/>
              <w:rPr>
                <w:rFonts w:ascii="宋体" w:hAnsi="宋体" w:cs="宋体"/>
                <w:kern w:val="0"/>
                <w:szCs w:val="21"/>
              </w:rPr>
            </w:pPr>
          </w:p>
        </w:tc>
        <w:tc>
          <w:tcPr>
            <w:tcW w:w="2263" w:type="dxa"/>
            <w:tcBorders>
              <w:top w:val="single" w:color="auto" w:sz="4" w:space="0"/>
              <w:left w:val="single" w:color="auto" w:sz="4" w:space="0"/>
              <w:bottom w:val="single" w:color="auto" w:sz="4" w:space="0"/>
              <w:right w:val="single" w:color="auto" w:sz="4" w:space="0"/>
            </w:tcBorders>
            <w:vAlign w:val="center"/>
          </w:tcPr>
          <w:p w14:paraId="79B3ECF2">
            <w:pPr>
              <w:widowControl/>
              <w:adjustRightInd w:val="0"/>
              <w:snapToGrid w:val="0"/>
              <w:spacing w:line="400" w:lineRule="exact"/>
              <w:rPr>
                <w:rFonts w:ascii="宋体" w:hAnsi="宋体"/>
                <w:kern w:val="0"/>
                <w:szCs w:val="21"/>
              </w:rPr>
            </w:pPr>
            <w:r>
              <w:rPr>
                <w:rFonts w:hint="eastAsia" w:ascii="宋体" w:hAnsi="宋体"/>
                <w:b/>
                <w:szCs w:val="21"/>
              </w:rPr>
              <w:t>□</w:t>
            </w:r>
            <w:r>
              <w:rPr>
                <w:rFonts w:ascii="宋体" w:hAnsi="宋体"/>
                <w:szCs w:val="21"/>
              </w:rPr>
              <w:t xml:space="preserve"> 6．</w:t>
            </w:r>
            <w:r>
              <w:rPr>
                <w:rFonts w:hint="eastAsia" w:ascii="宋体" w:hAnsi="宋体" w:cs="宋体"/>
                <w:kern w:val="0"/>
                <w:szCs w:val="21"/>
              </w:rPr>
              <w:t>投标人的主要人员符合第二章“投标人须知”前附表第</w:t>
            </w:r>
            <w:r>
              <w:rPr>
                <w:rFonts w:ascii="宋体" w:hAnsi="宋体" w:cs="宋体"/>
                <w:kern w:val="0"/>
                <w:szCs w:val="21"/>
              </w:rPr>
              <w:t>1.4.1项规定</w:t>
            </w:r>
          </w:p>
        </w:tc>
        <w:tc>
          <w:tcPr>
            <w:tcW w:w="5162" w:type="dxa"/>
            <w:tcBorders>
              <w:top w:val="single" w:color="000000" w:sz="4" w:space="0"/>
              <w:left w:val="single" w:color="auto" w:sz="4" w:space="0"/>
              <w:bottom w:val="single" w:color="000000" w:sz="4" w:space="0"/>
              <w:right w:val="single" w:color="000000" w:sz="4" w:space="0"/>
            </w:tcBorders>
            <w:vAlign w:val="center"/>
          </w:tcPr>
          <w:p w14:paraId="124111A2">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的主要人员符合第二章“投标人须知”前附表第</w:t>
            </w:r>
            <w:r>
              <w:rPr>
                <w:rFonts w:ascii="宋体" w:hAnsi="宋体" w:cs="宋体"/>
                <w:kern w:val="0"/>
                <w:szCs w:val="21"/>
              </w:rPr>
              <w:t>1.4.1项规定。</w:t>
            </w:r>
          </w:p>
          <w:p w14:paraId="1DECED00">
            <w:pPr>
              <w:widowControl/>
              <w:adjustRightInd w:val="0"/>
              <w:snapToGrid w:val="0"/>
              <w:spacing w:line="400" w:lineRule="exact"/>
              <w:rPr>
                <w:rFonts w:ascii="宋体" w:hAnsi="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szCs w:val="21"/>
              </w:rPr>
              <w:t>提供的证明材料符合第八章“投标文件格式”要求。</w:t>
            </w:r>
          </w:p>
        </w:tc>
      </w:tr>
      <w:tr w14:paraId="02730F1E">
        <w:tblPrEx>
          <w:tblCellMar>
            <w:top w:w="0" w:type="dxa"/>
            <w:left w:w="108" w:type="dxa"/>
            <w:bottom w:w="0" w:type="dxa"/>
            <w:right w:w="108" w:type="dxa"/>
          </w:tblCellMar>
        </w:tblPrEx>
        <w:trPr>
          <w:trHeight w:val="502"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602A6F64">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78C55B6">
            <w:pPr>
              <w:widowControl/>
              <w:adjustRightInd w:val="0"/>
              <w:snapToGrid w:val="0"/>
              <w:spacing w:line="400" w:lineRule="exact"/>
              <w:jc w:val="center"/>
              <w:rPr>
                <w:rFonts w:ascii="宋体" w:hAnsi="宋体" w:cs="宋体"/>
                <w:kern w:val="0"/>
                <w:szCs w:val="21"/>
              </w:rPr>
            </w:pPr>
          </w:p>
        </w:tc>
        <w:tc>
          <w:tcPr>
            <w:tcW w:w="2263" w:type="dxa"/>
            <w:tcBorders>
              <w:top w:val="single" w:color="auto" w:sz="4" w:space="0"/>
              <w:left w:val="single" w:color="auto" w:sz="4" w:space="0"/>
              <w:bottom w:val="single" w:color="auto" w:sz="4" w:space="0"/>
              <w:right w:val="single" w:color="auto" w:sz="4" w:space="0"/>
            </w:tcBorders>
            <w:vAlign w:val="center"/>
          </w:tcPr>
          <w:p w14:paraId="26D4DC18">
            <w:pPr>
              <w:widowControl/>
              <w:adjustRightInd w:val="0"/>
              <w:snapToGrid w:val="0"/>
              <w:spacing w:line="400" w:lineRule="exact"/>
              <w:rPr>
                <w:rFonts w:ascii="宋体" w:hAnsi="宋体"/>
                <w:szCs w:val="21"/>
              </w:rPr>
            </w:pPr>
            <w:r>
              <w:rPr>
                <w:rFonts w:hint="eastAsia" w:ascii="宋体" w:hAnsi="宋体" w:cs="宋体"/>
                <w:b/>
                <w:szCs w:val="21"/>
              </w:rPr>
              <w:t xml:space="preserve">□ </w:t>
            </w:r>
            <w:r>
              <w:rPr>
                <w:rFonts w:ascii="宋体" w:hAnsi="宋体"/>
                <w:szCs w:val="21"/>
              </w:rPr>
              <w:t>7．</w:t>
            </w:r>
            <w:r>
              <w:rPr>
                <w:rFonts w:hint="eastAsia" w:ascii="宋体" w:hAnsi="宋体" w:cs="宋体"/>
                <w:szCs w:val="21"/>
              </w:rPr>
              <w:t>投标人的其他要求符合第二章“投标人须知”前附表第</w:t>
            </w:r>
            <w:r>
              <w:rPr>
                <w:rFonts w:ascii="宋体" w:hAnsi="宋体" w:cs="宋体"/>
                <w:szCs w:val="21"/>
              </w:rPr>
              <w:t>1.4.1项规定</w:t>
            </w:r>
          </w:p>
        </w:tc>
        <w:tc>
          <w:tcPr>
            <w:tcW w:w="5162" w:type="dxa"/>
            <w:tcBorders>
              <w:top w:val="single" w:color="auto" w:sz="4" w:space="0"/>
              <w:left w:val="single" w:color="auto" w:sz="4" w:space="0"/>
              <w:bottom w:val="single" w:color="auto" w:sz="4" w:space="0"/>
              <w:right w:val="single" w:color="auto" w:sz="4" w:space="0"/>
            </w:tcBorders>
            <w:vAlign w:val="center"/>
          </w:tcPr>
          <w:p w14:paraId="1B0DDD36">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1）投标人</w:t>
            </w:r>
            <w:r>
              <w:rPr>
                <w:rFonts w:hint="eastAsia" w:ascii="宋体" w:hAnsi="宋体" w:cs="宋体"/>
                <w:kern w:val="0"/>
                <w:szCs w:val="21"/>
              </w:rPr>
              <w:t>的其他要求符合第二章“投标人须知”前附表第</w:t>
            </w:r>
            <w:r>
              <w:rPr>
                <w:rFonts w:ascii="宋体" w:hAnsi="宋体" w:cs="宋体"/>
                <w:kern w:val="0"/>
                <w:szCs w:val="21"/>
              </w:rPr>
              <w:t>1.4.1项规定</w:t>
            </w:r>
            <w:r>
              <w:rPr>
                <w:rFonts w:hint="eastAsia" w:ascii="宋体" w:hAnsi="宋体" w:cs="宋体"/>
                <w:kern w:val="0"/>
                <w:szCs w:val="21"/>
              </w:rPr>
              <w:t>。</w:t>
            </w:r>
          </w:p>
          <w:p w14:paraId="3DCF1516">
            <w:pPr>
              <w:widowControl/>
              <w:adjustRightInd w:val="0"/>
              <w:snapToGrid w:val="0"/>
              <w:spacing w:line="400" w:lineRule="exact"/>
              <w:rPr>
                <w:rFonts w:hint="eastAsia" w:ascii="宋体" w:hAnsi="宋体" w:cs="宋体"/>
                <w:szCs w:val="21"/>
              </w:rPr>
            </w:pPr>
            <w:r>
              <w:rPr>
                <w:rFonts w:hint="eastAsia" w:ascii="宋体" w:hAnsi="宋体" w:cs="宋体"/>
                <w:kern w:val="0"/>
                <w:szCs w:val="21"/>
              </w:rPr>
              <w:t>（2）</w:t>
            </w:r>
            <w:r>
              <w:rPr>
                <w:rFonts w:hint="eastAsia" w:ascii="宋体" w:hAnsi="宋体" w:cs="宋体"/>
                <w:szCs w:val="21"/>
              </w:rPr>
              <w:t>提供的证明材料符合第八章“投标文件格式”要求。</w:t>
            </w:r>
          </w:p>
          <w:p w14:paraId="1212E3DE">
            <w:pPr>
              <w:widowControl/>
              <w:adjustRightInd w:val="0"/>
              <w:snapToGrid w:val="0"/>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 xml:space="preserve"> </w:t>
            </w:r>
            <w:r>
              <w:rPr>
                <w:rFonts w:hint="eastAsia" w:ascii="宋体" w:hAnsi="宋体"/>
              </w:rPr>
              <w:t>注：</w:t>
            </w:r>
            <w:r>
              <w:rPr>
                <w:rFonts w:hint="eastAsia" w:ascii="宋体" w:hAnsi="宋体" w:cs="宋体"/>
                <w:szCs w:val="21"/>
              </w:rPr>
              <w:t>投标人的其他要求</w:t>
            </w:r>
            <w:r>
              <w:rPr>
                <w:rFonts w:hint="eastAsia" w:ascii="宋体" w:hAnsi="宋体"/>
              </w:rPr>
              <w:t>指只有招标人设置了</w:t>
            </w:r>
            <w:r>
              <w:rPr>
                <w:rFonts w:ascii="宋体" w:hAnsi="宋体"/>
              </w:rPr>
              <w:t>投标人须知附录6资格审查条件（</w:t>
            </w:r>
            <w:r>
              <w:rPr>
                <w:rFonts w:hint="eastAsia" w:ascii="宋体" w:hAnsi="宋体"/>
              </w:rPr>
              <w:t>其他管理</w:t>
            </w:r>
            <w:r>
              <w:rPr>
                <w:rFonts w:ascii="宋体" w:hAnsi="宋体"/>
              </w:rPr>
              <w:t>和人技术人</w:t>
            </w:r>
            <w:r>
              <w:rPr>
                <w:rFonts w:hint="eastAsia" w:ascii="宋体" w:hAnsi="宋体"/>
              </w:rPr>
              <w:t>员最低要求</w:t>
            </w:r>
            <w:r>
              <w:rPr>
                <w:rFonts w:ascii="宋体" w:hAnsi="宋体"/>
              </w:rPr>
              <w:t>）</w:t>
            </w:r>
            <w:r>
              <w:rPr>
                <w:rFonts w:hint="eastAsia" w:ascii="宋体" w:hAnsi="宋体"/>
              </w:rPr>
              <w:t>或</w:t>
            </w:r>
            <w:r>
              <w:rPr>
                <w:rFonts w:ascii="宋体" w:hAnsi="宋体"/>
              </w:rPr>
              <w:t>附录7资格审查条件（</w:t>
            </w:r>
            <w:r>
              <w:rPr>
                <w:rFonts w:hint="eastAsia" w:ascii="宋体" w:hAnsi="宋体"/>
              </w:rPr>
              <w:t>主要机械设备和试验检测设备最低要求</w:t>
            </w:r>
            <w:r>
              <w:rPr>
                <w:rFonts w:ascii="宋体" w:hAnsi="宋体"/>
              </w:rPr>
              <w:t>）</w:t>
            </w:r>
            <w:r>
              <w:rPr>
                <w:rFonts w:hint="eastAsia" w:ascii="宋体" w:hAnsi="宋体"/>
              </w:rPr>
              <w:t>或附录</w:t>
            </w:r>
            <w:r>
              <w:rPr>
                <w:rFonts w:ascii="宋体" w:hAnsi="宋体"/>
              </w:rPr>
              <w:t>8</w:t>
            </w:r>
            <w:r>
              <w:rPr>
                <w:rFonts w:hint="eastAsia" w:ascii="宋体" w:hAnsi="宋体"/>
              </w:rPr>
              <w:t>资格审查条件（</w:t>
            </w:r>
            <w:r>
              <w:rPr>
                <w:rFonts w:hint="eastAsia" w:ascii="宋体" w:hAnsi="宋体"/>
                <w:szCs w:val="21"/>
              </w:rPr>
              <w:t>关键机电设备</w:t>
            </w:r>
            <w:r>
              <w:rPr>
                <w:rFonts w:ascii="宋体" w:hAnsi="宋体"/>
                <w:szCs w:val="21"/>
              </w:rPr>
              <w:t>主要</w:t>
            </w:r>
            <w:r>
              <w:rPr>
                <w:rFonts w:hint="eastAsia" w:ascii="宋体" w:hAnsi="宋体"/>
                <w:szCs w:val="21"/>
              </w:rPr>
              <w:t>技术性能</w:t>
            </w:r>
            <w:r>
              <w:rPr>
                <w:rFonts w:ascii="宋体" w:hAnsi="宋体"/>
                <w:szCs w:val="21"/>
              </w:rPr>
              <w:t>指标</w:t>
            </w:r>
            <w:r>
              <w:rPr>
                <w:rFonts w:hint="eastAsia" w:ascii="宋体" w:hAnsi="宋体"/>
                <w:szCs w:val="21"/>
              </w:rPr>
              <w:t>最低要求</w:t>
            </w:r>
            <w:r>
              <w:rPr>
                <w:rFonts w:hint="eastAsia" w:ascii="宋体" w:hAnsi="宋体"/>
              </w:rPr>
              <w:t>）时</w:t>
            </w:r>
            <w:r>
              <w:rPr>
                <w:rFonts w:ascii="宋体" w:hAnsi="宋体"/>
              </w:rPr>
              <w:t>对应</w:t>
            </w:r>
            <w:r>
              <w:rPr>
                <w:rFonts w:hint="eastAsia" w:ascii="宋体" w:hAnsi="宋体"/>
              </w:rPr>
              <w:t>的</w:t>
            </w:r>
            <w:r>
              <w:rPr>
                <w:rFonts w:ascii="宋体" w:hAnsi="宋体"/>
              </w:rPr>
              <w:t>资格评审标准</w:t>
            </w:r>
            <w:r>
              <w:rPr>
                <w:rFonts w:hint="eastAsia" w:ascii="宋体" w:hAnsi="宋体"/>
              </w:rPr>
              <w:t>。</w:t>
            </w:r>
          </w:p>
        </w:tc>
      </w:tr>
      <w:tr w14:paraId="2C03CAF7">
        <w:tblPrEx>
          <w:tblCellMar>
            <w:top w:w="0" w:type="dxa"/>
            <w:left w:w="108" w:type="dxa"/>
            <w:bottom w:w="0" w:type="dxa"/>
            <w:right w:w="108" w:type="dxa"/>
          </w:tblCellMar>
        </w:tblPrEx>
        <w:trPr>
          <w:trHeight w:val="2777"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5D720438">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542C25B">
            <w:pPr>
              <w:widowControl/>
              <w:adjustRightInd w:val="0"/>
              <w:snapToGrid w:val="0"/>
              <w:spacing w:line="400" w:lineRule="exact"/>
              <w:jc w:val="center"/>
              <w:rPr>
                <w:rFonts w:ascii="宋体" w:hAnsi="宋体" w:cs="宋体"/>
                <w:kern w:val="0"/>
                <w:szCs w:val="21"/>
              </w:rPr>
            </w:pPr>
          </w:p>
        </w:tc>
        <w:tc>
          <w:tcPr>
            <w:tcW w:w="2263" w:type="dxa"/>
            <w:tcBorders>
              <w:top w:val="single" w:color="auto" w:sz="4" w:space="0"/>
              <w:left w:val="single" w:color="auto" w:sz="4" w:space="0"/>
              <w:bottom w:val="single" w:color="auto" w:sz="4" w:space="0"/>
              <w:right w:val="single" w:color="auto" w:sz="4" w:space="0"/>
            </w:tcBorders>
            <w:vAlign w:val="center"/>
          </w:tcPr>
          <w:p w14:paraId="23B9ACCF">
            <w:pPr>
              <w:widowControl/>
              <w:adjustRightInd w:val="0"/>
              <w:snapToGrid w:val="0"/>
              <w:spacing w:line="400" w:lineRule="exact"/>
              <w:rPr>
                <w:rFonts w:ascii="宋体" w:hAnsi="宋体"/>
                <w:szCs w:val="21"/>
              </w:rPr>
            </w:pPr>
            <w:r>
              <w:rPr>
                <w:rFonts w:hint="eastAsia" w:ascii="宋体" w:hAnsi="宋体" w:cs="宋体"/>
                <w:szCs w:val="21"/>
              </w:rPr>
              <w:t>8</w:t>
            </w:r>
            <w:r>
              <w:rPr>
                <w:rFonts w:ascii="宋体" w:hAnsi="宋体" w:cs="宋体"/>
                <w:szCs w:val="21"/>
              </w:rPr>
              <w:t>.投标人</w:t>
            </w:r>
            <w:r>
              <w:rPr>
                <w:rFonts w:hint="eastAsia" w:ascii="宋体" w:hAnsi="宋体" w:cs="宋体"/>
                <w:szCs w:val="21"/>
              </w:rPr>
              <w:t>还应符合的其他规定</w:t>
            </w:r>
          </w:p>
        </w:tc>
        <w:tc>
          <w:tcPr>
            <w:tcW w:w="5162" w:type="dxa"/>
            <w:tcBorders>
              <w:top w:val="single" w:color="auto" w:sz="4" w:space="0"/>
              <w:left w:val="single" w:color="auto" w:sz="4" w:space="0"/>
              <w:bottom w:val="single" w:color="auto" w:sz="4" w:space="0"/>
              <w:right w:val="single" w:color="auto" w:sz="4" w:space="0"/>
            </w:tcBorders>
            <w:vAlign w:val="center"/>
          </w:tcPr>
          <w:p w14:paraId="6192C576">
            <w:pPr>
              <w:widowControl/>
              <w:adjustRightInd w:val="0"/>
              <w:snapToGrid w:val="0"/>
              <w:spacing w:line="400" w:lineRule="exact"/>
              <w:rPr>
                <w:rFonts w:ascii="宋体" w:hAnsi="宋体"/>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hint="eastAsia" w:ascii="宋体" w:hAnsi="宋体"/>
                <w:szCs w:val="21"/>
              </w:rPr>
              <w:t>投标人不存在第二章“投标人须知”前附表第</w:t>
            </w:r>
            <w:r>
              <w:rPr>
                <w:rFonts w:ascii="宋体" w:hAnsi="宋体"/>
                <w:szCs w:val="21"/>
              </w:rPr>
              <w:t>1.4.3项或</w:t>
            </w:r>
            <w:r>
              <w:rPr>
                <w:rFonts w:hint="eastAsia" w:ascii="宋体" w:hAnsi="宋体"/>
                <w:szCs w:val="21"/>
              </w:rPr>
              <w:t>第</w:t>
            </w:r>
            <w:r>
              <w:rPr>
                <w:rFonts w:ascii="宋体" w:hAnsi="宋体"/>
                <w:szCs w:val="21"/>
              </w:rPr>
              <w:t>1.4.4项规定的任何一种情形</w:t>
            </w:r>
            <w:r>
              <w:rPr>
                <w:rFonts w:hint="eastAsia" w:ascii="宋体" w:hAnsi="宋体" w:cs="宋体"/>
                <w:szCs w:val="21"/>
              </w:rPr>
              <w:t>（按本项资格评审标准第</w:t>
            </w:r>
            <w:r>
              <w:rPr>
                <w:rFonts w:ascii="宋体" w:hAnsi="宋体" w:cs="宋体"/>
                <w:szCs w:val="21"/>
              </w:rPr>
              <w:t>5</w:t>
            </w:r>
            <w:r>
              <w:rPr>
                <w:rFonts w:hint="eastAsia" w:ascii="宋体" w:hAnsi="宋体" w:cs="宋体"/>
                <w:szCs w:val="21"/>
              </w:rPr>
              <w:t>目</w:t>
            </w:r>
            <w:r>
              <w:rPr>
                <w:rFonts w:ascii="宋体" w:hAnsi="宋体" w:cs="宋体"/>
                <w:szCs w:val="21"/>
              </w:rPr>
              <w:t>信誉要求已评审的，此处不再评审）</w:t>
            </w:r>
            <w:r>
              <w:rPr>
                <w:rFonts w:hint="eastAsia" w:ascii="宋体" w:hAnsi="宋体"/>
                <w:szCs w:val="21"/>
              </w:rPr>
              <w:t>。</w:t>
            </w:r>
          </w:p>
          <w:p w14:paraId="7F838FB7">
            <w:pPr>
              <w:widowControl/>
              <w:adjustRightInd w:val="0"/>
              <w:snapToGrid w:val="0"/>
              <w:spacing w:line="400" w:lineRule="exact"/>
              <w:rPr>
                <w:rFonts w:ascii="宋体" w:hAnsi="宋体"/>
                <w:szCs w:val="21"/>
              </w:rPr>
            </w:pPr>
            <w:r>
              <w:rPr>
                <w:rFonts w:hint="eastAsia" w:ascii="宋体" w:hAnsi="宋体" w:cs="宋体"/>
                <w:b/>
                <w:szCs w:val="21"/>
              </w:rPr>
              <w:t>□</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hint="eastAsia" w:ascii="宋体" w:hAnsi="宋体"/>
                <w:szCs w:val="21"/>
              </w:rPr>
              <w:t>以联合体形式投标的，联合体各方均未再以自己名义单独或参加其他联合体在同一标段中投标；独立投标的，投标人未同时参加联合体在同一标段中投标。</w:t>
            </w:r>
          </w:p>
          <w:p w14:paraId="76D9EFE0">
            <w:pPr>
              <w:widowControl/>
              <w:adjustRightInd w:val="0"/>
              <w:snapToGrid w:val="0"/>
              <w:spacing w:line="400" w:lineRule="exact"/>
              <w:rPr>
                <w:rFonts w:ascii="宋体" w:hAnsi="宋体" w:cs="宋体"/>
                <w:kern w:val="0"/>
                <w:szCs w:val="21"/>
              </w:rPr>
            </w:pPr>
            <w:r>
              <w:rPr>
                <w:rFonts w:hint="eastAsia" w:ascii="宋体" w:hAnsi="宋体"/>
                <w:kern w:val="0"/>
                <w:szCs w:val="21"/>
                <w:u w:val="none"/>
              </w:rPr>
              <w:t>……</w:t>
            </w:r>
            <w:r>
              <w:rPr>
                <w:rFonts w:ascii="宋体" w:hAnsi="宋体"/>
                <w:kern w:val="0"/>
                <w:szCs w:val="21"/>
                <w:u w:val="none"/>
              </w:rPr>
              <w:t xml:space="preserve">  </w:t>
            </w:r>
          </w:p>
        </w:tc>
      </w:tr>
      <w:tr w14:paraId="4CD640E6">
        <w:tblPrEx>
          <w:tblCellMar>
            <w:top w:w="0" w:type="dxa"/>
            <w:left w:w="108" w:type="dxa"/>
            <w:bottom w:w="0" w:type="dxa"/>
            <w:right w:w="108" w:type="dxa"/>
          </w:tblCellMar>
        </w:tblPrEx>
        <w:trPr>
          <w:trHeight w:val="927"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5DABCE37">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1AB28285">
            <w:pPr>
              <w:widowControl/>
              <w:adjustRightInd w:val="0"/>
              <w:snapToGrid w:val="0"/>
              <w:spacing w:line="400" w:lineRule="exact"/>
              <w:jc w:val="center"/>
              <w:rPr>
                <w:rFonts w:ascii="宋体" w:hAnsi="宋体" w:cs="宋体"/>
                <w:kern w:val="0"/>
                <w:szCs w:val="21"/>
              </w:rPr>
            </w:pPr>
            <w:r>
              <w:rPr>
                <w:rFonts w:ascii="宋体" w:hAnsi="宋体" w:cs="宋体"/>
                <w:kern w:val="0"/>
                <w:szCs w:val="21"/>
              </w:rPr>
              <w:t>2.1.3</w:t>
            </w:r>
          </w:p>
          <w:p w14:paraId="74C33851">
            <w:pPr>
              <w:adjustRightInd w:val="0"/>
              <w:snapToGrid w:val="0"/>
              <w:spacing w:line="400" w:lineRule="exact"/>
              <w:jc w:val="center"/>
              <w:rPr>
                <w:rFonts w:ascii="宋体" w:hAnsi="宋体" w:cs="宋体"/>
                <w:kern w:val="0"/>
                <w:szCs w:val="21"/>
              </w:rPr>
            </w:pPr>
            <w:r>
              <w:rPr>
                <w:rFonts w:hint="eastAsia" w:ascii="宋体" w:hAnsi="宋体" w:cs="宋体"/>
                <w:kern w:val="0"/>
                <w:szCs w:val="21"/>
              </w:rPr>
              <w:t>响应性评审标准</w:t>
            </w:r>
          </w:p>
        </w:tc>
        <w:tc>
          <w:tcPr>
            <w:tcW w:w="7425" w:type="dxa"/>
            <w:gridSpan w:val="2"/>
            <w:tcBorders>
              <w:top w:val="single" w:color="auto" w:sz="4" w:space="0"/>
              <w:left w:val="single" w:color="auto" w:sz="4" w:space="0"/>
              <w:bottom w:val="single" w:color="auto" w:sz="4" w:space="0"/>
              <w:right w:val="single" w:color="auto" w:sz="4" w:space="0"/>
            </w:tcBorders>
            <w:vAlign w:val="center"/>
          </w:tcPr>
          <w:p w14:paraId="5F226F57">
            <w:pPr>
              <w:pStyle w:val="299"/>
              <w:adjustRightInd w:val="0"/>
              <w:snapToGrid w:val="0"/>
              <w:spacing w:line="400" w:lineRule="exact"/>
              <w:rPr>
                <w:rFonts w:ascii="宋体" w:hAnsi="宋体"/>
                <w:szCs w:val="21"/>
              </w:rPr>
            </w:pPr>
            <w:r>
              <w:rPr>
                <w:rFonts w:ascii="宋体" w:hAnsi="宋体"/>
                <w:szCs w:val="21"/>
              </w:rPr>
              <w:t>1.</w:t>
            </w:r>
            <w:r>
              <w:rPr>
                <w:rFonts w:hint="eastAsia" w:ascii="宋体" w:hAnsi="宋体"/>
                <w:szCs w:val="21"/>
              </w:rPr>
              <w:t>投标函上载明的招标项目工期（总工期、勘察设计周期和施工工期）符合招标文件规定的时间。</w:t>
            </w:r>
          </w:p>
        </w:tc>
      </w:tr>
      <w:tr w14:paraId="2B64872D">
        <w:tblPrEx>
          <w:tblCellMar>
            <w:top w:w="0" w:type="dxa"/>
            <w:left w:w="108" w:type="dxa"/>
            <w:bottom w:w="0" w:type="dxa"/>
            <w:right w:w="108" w:type="dxa"/>
          </w:tblCellMar>
        </w:tblPrEx>
        <w:trPr>
          <w:trHeight w:val="582"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37DF41C7">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FD9FA2">
            <w:pPr>
              <w:widowControl/>
              <w:adjustRightInd w:val="0"/>
              <w:snapToGrid w:val="0"/>
              <w:spacing w:line="400" w:lineRule="exact"/>
              <w:jc w:val="center"/>
              <w:rPr>
                <w:rFonts w:ascii="宋体" w:hAnsi="宋体" w:cs="宋体"/>
                <w:kern w:val="0"/>
                <w:szCs w:val="21"/>
              </w:rPr>
            </w:pPr>
          </w:p>
        </w:tc>
        <w:tc>
          <w:tcPr>
            <w:tcW w:w="7425" w:type="dxa"/>
            <w:gridSpan w:val="2"/>
            <w:tcBorders>
              <w:top w:val="single" w:color="auto" w:sz="4" w:space="0"/>
              <w:left w:val="single" w:color="auto" w:sz="4" w:space="0"/>
              <w:bottom w:val="single" w:color="auto" w:sz="4" w:space="0"/>
              <w:right w:val="single" w:color="auto" w:sz="4" w:space="0"/>
            </w:tcBorders>
            <w:vAlign w:val="center"/>
          </w:tcPr>
          <w:p w14:paraId="37F5AE07">
            <w:pPr>
              <w:pStyle w:val="299"/>
              <w:adjustRightInd w:val="0"/>
              <w:snapToGrid w:val="0"/>
              <w:spacing w:line="400" w:lineRule="exact"/>
              <w:rPr>
                <w:rFonts w:ascii="宋体" w:hAnsi="宋体"/>
                <w:szCs w:val="21"/>
              </w:rPr>
            </w:pPr>
            <w:r>
              <w:rPr>
                <w:rFonts w:ascii="宋体" w:hAnsi="宋体"/>
                <w:szCs w:val="21"/>
              </w:rPr>
              <w:t>2.</w:t>
            </w:r>
            <w:r>
              <w:rPr>
                <w:rFonts w:hint="eastAsia" w:ascii="宋体" w:hAnsi="宋体"/>
                <w:szCs w:val="21"/>
              </w:rPr>
              <w:t>投标文件对招标文件的实质性要求和条件在投标函</w:t>
            </w:r>
            <w:r>
              <w:rPr>
                <w:rFonts w:hint="eastAsia" w:ascii="宋体" w:hAnsi="宋体"/>
                <w:szCs w:val="21"/>
                <w:lang w:val="en-US" w:eastAsia="zh-CN"/>
              </w:rPr>
              <w:t>作</w:t>
            </w:r>
            <w:r>
              <w:rPr>
                <w:rFonts w:hint="eastAsia" w:ascii="宋体" w:hAnsi="宋体"/>
                <w:szCs w:val="21"/>
              </w:rPr>
              <w:t>出响应。</w:t>
            </w:r>
          </w:p>
        </w:tc>
      </w:tr>
      <w:tr w14:paraId="01CA612F">
        <w:tblPrEx>
          <w:tblCellMar>
            <w:top w:w="0" w:type="dxa"/>
            <w:left w:w="108" w:type="dxa"/>
            <w:bottom w:w="0" w:type="dxa"/>
            <w:right w:w="108" w:type="dxa"/>
          </w:tblCellMar>
        </w:tblPrEx>
        <w:trPr>
          <w:trHeight w:val="302"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27AA3F69">
            <w:pPr>
              <w:adjustRightInd w:val="0"/>
              <w:snapToGrid w:val="0"/>
              <w:spacing w:line="400" w:lineRule="exact"/>
              <w:ind w:left="-210" w:leftChars="-100" w:right="-210" w:rightChars="-100"/>
              <w:jc w:val="center"/>
              <w:rPr>
                <w:rFonts w:ascii="宋体" w:hAnsi="宋体" w:cs="宋体"/>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B1F4D90">
            <w:pPr>
              <w:widowControl/>
              <w:adjustRightInd w:val="0"/>
              <w:snapToGrid w:val="0"/>
              <w:spacing w:line="400" w:lineRule="exact"/>
              <w:jc w:val="center"/>
              <w:rPr>
                <w:rFonts w:ascii="宋体" w:hAnsi="宋体" w:cs="宋体"/>
                <w:kern w:val="0"/>
                <w:szCs w:val="21"/>
              </w:rPr>
            </w:pPr>
          </w:p>
        </w:tc>
        <w:tc>
          <w:tcPr>
            <w:tcW w:w="7425" w:type="dxa"/>
            <w:gridSpan w:val="2"/>
            <w:tcBorders>
              <w:top w:val="single" w:color="auto" w:sz="4" w:space="0"/>
              <w:left w:val="single" w:color="auto" w:sz="4" w:space="0"/>
              <w:bottom w:val="single" w:color="auto" w:sz="4" w:space="0"/>
              <w:right w:val="single" w:color="auto" w:sz="4" w:space="0"/>
            </w:tcBorders>
            <w:vAlign w:val="center"/>
          </w:tcPr>
          <w:p w14:paraId="47AC53DA">
            <w:pPr>
              <w:pStyle w:val="299"/>
              <w:adjustRightInd w:val="0"/>
              <w:snapToGrid w:val="0"/>
              <w:spacing w:line="400" w:lineRule="exact"/>
              <w:rPr>
                <w:rFonts w:ascii="宋体" w:hAnsi="宋体"/>
                <w:szCs w:val="21"/>
              </w:rPr>
            </w:pPr>
            <w:r>
              <w:rPr>
                <w:rFonts w:ascii="宋体" w:hAnsi="宋体"/>
                <w:szCs w:val="21"/>
              </w:rPr>
              <w:t>3.</w:t>
            </w:r>
            <w:r>
              <w:rPr>
                <w:rFonts w:hint="eastAsia" w:ascii="宋体" w:hAnsi="宋体"/>
                <w:szCs w:val="21"/>
              </w:rPr>
              <w:t>合同权利义务按招标文件规定在投标函（第一个信封）中</w:t>
            </w:r>
            <w:r>
              <w:rPr>
                <w:rFonts w:hint="eastAsia" w:ascii="宋体" w:hAnsi="宋体"/>
                <w:szCs w:val="21"/>
                <w:lang w:val="en-US" w:eastAsia="zh-CN"/>
              </w:rPr>
              <w:t>作</w:t>
            </w:r>
            <w:r>
              <w:rPr>
                <w:rFonts w:hint="eastAsia" w:ascii="宋体" w:hAnsi="宋体"/>
                <w:szCs w:val="21"/>
              </w:rPr>
              <w:t>出承诺。</w:t>
            </w:r>
          </w:p>
        </w:tc>
      </w:tr>
      <w:tr w14:paraId="7F65B144">
        <w:tblPrEx>
          <w:tblCellMar>
            <w:top w:w="0" w:type="dxa"/>
            <w:left w:w="108" w:type="dxa"/>
            <w:bottom w:w="0" w:type="dxa"/>
            <w:right w:w="108" w:type="dxa"/>
          </w:tblCellMar>
        </w:tblPrEx>
        <w:trPr>
          <w:trHeight w:val="1681" w:hRule="atLeast"/>
        </w:trPr>
        <w:tc>
          <w:tcPr>
            <w:tcW w:w="772" w:type="dxa"/>
            <w:vMerge w:val="restart"/>
            <w:tcBorders>
              <w:top w:val="single" w:color="auto" w:sz="4" w:space="0"/>
              <w:left w:val="single" w:color="auto" w:sz="4" w:space="0"/>
              <w:bottom w:val="single" w:color="auto" w:sz="4" w:space="0"/>
              <w:right w:val="single" w:color="auto" w:sz="4" w:space="0"/>
            </w:tcBorders>
            <w:vAlign w:val="center"/>
          </w:tcPr>
          <w:p w14:paraId="1607EA79">
            <w:pPr>
              <w:widowControl/>
              <w:adjustRightInd w:val="0"/>
              <w:snapToGrid w:val="0"/>
              <w:spacing w:line="400" w:lineRule="exact"/>
              <w:ind w:left="-210" w:leftChars="-100" w:right="-210" w:rightChars="-100"/>
              <w:jc w:val="center"/>
              <w:rPr>
                <w:rFonts w:ascii="宋体" w:hAnsi="宋体"/>
                <w:kern w:val="0"/>
                <w:szCs w:val="21"/>
              </w:rPr>
            </w:pPr>
            <w:r>
              <w:rPr>
                <w:rFonts w:ascii="宋体" w:hAnsi="宋体"/>
                <w:kern w:val="0"/>
                <w:szCs w:val="21"/>
              </w:rPr>
              <w:t>2.1</w:t>
            </w:r>
          </w:p>
          <w:p w14:paraId="4DE4CB94">
            <w:pPr>
              <w:widowControl/>
              <w:adjustRightInd w:val="0"/>
              <w:snapToGrid w:val="0"/>
              <w:spacing w:line="400" w:lineRule="exact"/>
              <w:jc w:val="center"/>
              <w:rPr>
                <w:rFonts w:ascii="宋体" w:hAnsi="宋体"/>
                <w:kern w:val="0"/>
                <w:szCs w:val="21"/>
              </w:rPr>
            </w:pPr>
            <w:r>
              <w:rPr>
                <w:rFonts w:hint="eastAsia" w:ascii="宋体" w:hAnsi="宋体"/>
                <w:kern w:val="0"/>
                <w:szCs w:val="21"/>
              </w:rPr>
              <w:t>初步评</w:t>
            </w:r>
          </w:p>
          <w:p w14:paraId="64295825">
            <w:pPr>
              <w:widowControl/>
              <w:adjustRightInd w:val="0"/>
              <w:snapToGrid w:val="0"/>
              <w:spacing w:line="400" w:lineRule="exact"/>
              <w:jc w:val="center"/>
              <w:rPr>
                <w:rFonts w:ascii="宋体" w:hAnsi="宋体"/>
                <w:kern w:val="0"/>
                <w:szCs w:val="21"/>
              </w:rPr>
            </w:pPr>
            <w:r>
              <w:rPr>
                <w:rFonts w:hint="eastAsia" w:ascii="宋体" w:hAnsi="宋体"/>
                <w:kern w:val="0"/>
                <w:szCs w:val="21"/>
              </w:rPr>
              <w:t>审标准</w:t>
            </w:r>
          </w:p>
          <w:p w14:paraId="26BFBC93">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（第二个</w:t>
            </w:r>
          </w:p>
          <w:p w14:paraId="55152AE0">
            <w:pPr>
              <w:adjustRightInd w:val="0"/>
              <w:snapToGrid w:val="0"/>
              <w:spacing w:line="400" w:lineRule="exact"/>
              <w:ind w:left="-210" w:leftChars="-100" w:right="-210" w:rightChars="-100"/>
              <w:jc w:val="center"/>
              <w:rPr>
                <w:rFonts w:ascii="宋体" w:hAnsi="宋体" w:cs="宋体"/>
                <w:kern w:val="0"/>
                <w:szCs w:val="21"/>
              </w:rPr>
            </w:pPr>
            <w:r>
              <w:rPr>
                <w:rFonts w:hint="eastAsia" w:ascii="宋体" w:hAnsi="宋体" w:cs="宋体"/>
                <w:kern w:val="0"/>
                <w:szCs w:val="21"/>
              </w:rPr>
              <w:t>信封）</w:t>
            </w:r>
          </w:p>
        </w:tc>
        <w:tc>
          <w:tcPr>
            <w:tcW w:w="762" w:type="dxa"/>
            <w:vMerge w:val="restart"/>
            <w:tcBorders>
              <w:top w:val="single" w:color="auto" w:sz="4" w:space="0"/>
              <w:left w:val="single" w:color="auto" w:sz="4" w:space="0"/>
              <w:bottom w:val="single" w:color="auto" w:sz="4" w:space="0"/>
              <w:right w:val="single" w:color="000000" w:sz="4" w:space="0"/>
            </w:tcBorders>
            <w:vAlign w:val="center"/>
          </w:tcPr>
          <w:p w14:paraId="2874BA09">
            <w:pPr>
              <w:widowControl/>
              <w:adjustRightInd w:val="0"/>
              <w:snapToGrid w:val="0"/>
              <w:spacing w:line="400" w:lineRule="exact"/>
              <w:jc w:val="center"/>
              <w:rPr>
                <w:rFonts w:ascii="宋体" w:hAnsi="宋体"/>
                <w:kern w:val="0"/>
                <w:szCs w:val="21"/>
              </w:rPr>
            </w:pPr>
            <w:r>
              <w:rPr>
                <w:rFonts w:ascii="宋体" w:hAnsi="宋体"/>
                <w:kern w:val="0"/>
                <w:szCs w:val="21"/>
              </w:rPr>
              <w:t>2.1.1</w:t>
            </w:r>
          </w:p>
          <w:p w14:paraId="3C5BF4EA">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形式评审标准</w:t>
            </w:r>
          </w:p>
        </w:tc>
        <w:tc>
          <w:tcPr>
            <w:tcW w:w="2263" w:type="dxa"/>
            <w:tcBorders>
              <w:top w:val="single" w:color="auto" w:sz="4" w:space="0"/>
              <w:left w:val="single" w:color="000000" w:sz="4" w:space="0"/>
              <w:bottom w:val="single" w:color="000000" w:sz="4" w:space="0"/>
              <w:right w:val="single" w:color="000000" w:sz="4" w:space="0"/>
            </w:tcBorders>
            <w:vAlign w:val="center"/>
          </w:tcPr>
          <w:p w14:paraId="29AD169A">
            <w:pPr>
              <w:widowControl/>
              <w:adjustRightInd w:val="0"/>
              <w:snapToGrid w:val="0"/>
              <w:spacing w:line="400" w:lineRule="exact"/>
              <w:rPr>
                <w:rFonts w:ascii="宋体" w:hAnsi="宋体"/>
                <w:kern w:val="0"/>
                <w:szCs w:val="21"/>
              </w:rPr>
            </w:pPr>
            <w:r>
              <w:rPr>
                <w:rFonts w:ascii="宋体" w:hAnsi="宋体"/>
                <w:szCs w:val="21"/>
              </w:rPr>
              <w:t>1．投标文件中的重要内容按照招标文件规定的格式、内容填写，字迹、印章清晰可辨</w:t>
            </w:r>
          </w:p>
        </w:tc>
        <w:tc>
          <w:tcPr>
            <w:tcW w:w="5162" w:type="dxa"/>
            <w:tcBorders>
              <w:top w:val="single" w:color="auto" w:sz="4" w:space="0"/>
              <w:left w:val="nil"/>
              <w:bottom w:val="single" w:color="000000" w:sz="4" w:space="0"/>
              <w:right w:val="single" w:color="000000" w:sz="4" w:space="0"/>
            </w:tcBorders>
            <w:vAlign w:val="center"/>
          </w:tcPr>
          <w:p w14:paraId="467DD6A1">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szCs w:val="21"/>
              </w:rPr>
              <w:t>投标函</w:t>
            </w:r>
            <w:r>
              <w:rPr>
                <w:rFonts w:hint="eastAsia" w:ascii="宋体" w:hAnsi="宋体"/>
                <w:szCs w:val="21"/>
              </w:rPr>
              <w:t>（第二个信封）</w:t>
            </w:r>
            <w:r>
              <w:rPr>
                <w:rFonts w:hint="eastAsia"/>
                <w:szCs w:val="21"/>
              </w:rPr>
              <w:t>符合第八章“投标文件格式”要求</w:t>
            </w:r>
            <w:r>
              <w:rPr>
                <w:rFonts w:hint="eastAsia" w:ascii="宋体" w:hAnsi="宋体"/>
                <w:szCs w:val="21"/>
              </w:rPr>
              <w:t>；</w:t>
            </w:r>
          </w:p>
          <w:p w14:paraId="4F43B16F">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2）已标价</w:t>
            </w:r>
            <w:r>
              <w:rPr>
                <w:rFonts w:hint="eastAsia" w:ascii="宋体" w:hAnsi="宋体" w:cs="宋体"/>
                <w:kern w:val="0"/>
                <w:szCs w:val="21"/>
              </w:rPr>
              <w:t>价格</w:t>
            </w:r>
            <w:r>
              <w:rPr>
                <w:rFonts w:ascii="宋体" w:hAnsi="宋体" w:cs="宋体"/>
                <w:kern w:val="0"/>
                <w:szCs w:val="21"/>
              </w:rPr>
              <w:t>清单说明与招标文件规定一致,未进行修改和删减；</w:t>
            </w:r>
          </w:p>
          <w:p w14:paraId="52C911DA">
            <w:pPr>
              <w:widowControl/>
              <w:adjustRightInd w:val="0"/>
              <w:snapToGrid w:val="0"/>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3）投标文件组成齐全完整，内容均按规定填写。</w:t>
            </w:r>
          </w:p>
        </w:tc>
      </w:tr>
      <w:tr w14:paraId="07B319C6">
        <w:tblPrEx>
          <w:tblCellMar>
            <w:top w:w="0" w:type="dxa"/>
            <w:left w:w="108" w:type="dxa"/>
            <w:bottom w:w="0" w:type="dxa"/>
            <w:right w:w="108" w:type="dxa"/>
          </w:tblCellMar>
        </w:tblPrEx>
        <w:trPr>
          <w:trHeight w:val="1260"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71C167A5">
            <w:pPr>
              <w:adjustRightInd w:val="0"/>
              <w:snapToGrid w:val="0"/>
              <w:spacing w:line="400" w:lineRule="exact"/>
              <w:ind w:left="-210" w:leftChars="-100" w:right="-210" w:rightChars="-100"/>
              <w:jc w:val="center"/>
              <w:rPr>
                <w:rFonts w:ascii="宋体" w:hAnsi="宋体" w:cs="宋体"/>
                <w:b/>
                <w:bCs/>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C922827">
            <w:pPr>
              <w:widowControl/>
              <w:adjustRightInd w:val="0"/>
              <w:snapToGrid w:val="0"/>
              <w:spacing w:line="400" w:lineRule="exact"/>
              <w:jc w:val="left"/>
              <w:rPr>
                <w:rFonts w:ascii="宋体" w:hAnsi="宋体" w:cs="宋体"/>
                <w:b/>
                <w:bCs/>
                <w:kern w:val="0"/>
                <w:szCs w:val="21"/>
              </w:rPr>
            </w:pPr>
          </w:p>
        </w:tc>
        <w:tc>
          <w:tcPr>
            <w:tcW w:w="2263" w:type="dxa"/>
            <w:tcBorders>
              <w:top w:val="single" w:color="000000" w:sz="4" w:space="0"/>
              <w:left w:val="single" w:color="auto" w:sz="4" w:space="0"/>
              <w:bottom w:val="single" w:color="000000" w:sz="4" w:space="0"/>
              <w:right w:val="single" w:color="000000" w:sz="4" w:space="0"/>
            </w:tcBorders>
            <w:vAlign w:val="center"/>
          </w:tcPr>
          <w:p w14:paraId="0A9F95E8">
            <w:pPr>
              <w:widowControl/>
              <w:adjustRightInd w:val="0"/>
              <w:snapToGrid w:val="0"/>
              <w:spacing w:line="400" w:lineRule="exact"/>
              <w:rPr>
                <w:rFonts w:ascii="宋体" w:hAnsi="宋体"/>
                <w:kern w:val="0"/>
                <w:szCs w:val="21"/>
              </w:rPr>
            </w:pPr>
            <w:r>
              <w:rPr>
                <w:rFonts w:ascii="宋体" w:hAnsi="宋体"/>
                <w:szCs w:val="21"/>
              </w:rPr>
              <w:t>2．投标文件上法定代表人或其委托代理人的</w:t>
            </w:r>
            <w:r>
              <w:rPr>
                <w:rFonts w:hint="eastAsia" w:ascii="宋体" w:hAnsi="宋体" w:cs="宋体"/>
                <w:szCs w:val="21"/>
              </w:rPr>
              <w:t>个人电子签名章或个人电子印章、投标人的单位电子印章盖章</w:t>
            </w:r>
            <w:r>
              <w:rPr>
                <w:rFonts w:ascii="宋体" w:hAnsi="宋体"/>
                <w:szCs w:val="21"/>
              </w:rPr>
              <w:t>齐全，符合招标文件规定</w:t>
            </w:r>
          </w:p>
        </w:tc>
        <w:tc>
          <w:tcPr>
            <w:tcW w:w="5162" w:type="dxa"/>
            <w:tcBorders>
              <w:top w:val="single" w:color="000000" w:sz="4" w:space="0"/>
              <w:left w:val="nil"/>
              <w:bottom w:val="single" w:color="000000" w:sz="4" w:space="0"/>
              <w:right w:val="single" w:color="000000" w:sz="4" w:space="0"/>
            </w:tcBorders>
            <w:vAlign w:val="center"/>
          </w:tcPr>
          <w:p w14:paraId="40E9863D">
            <w:pPr>
              <w:pStyle w:val="299"/>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1）投标函</w:t>
            </w:r>
            <w:r>
              <w:rPr>
                <w:rFonts w:hint="eastAsia" w:ascii="宋体" w:hAnsi="宋体"/>
                <w:szCs w:val="21"/>
              </w:rPr>
              <w:t>（第二个信封）</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ascii="宋体" w:hAnsi="宋体"/>
                <w:szCs w:val="21"/>
              </w:rPr>
              <w:t>（第二个信封）</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，投标人均应使用个人CA数字证书加盖法定代表人或其委托代理人的个人电子签名章或个人电子印章。</w:t>
            </w:r>
          </w:p>
          <w:p w14:paraId="6138A36B">
            <w:pPr>
              <w:pStyle w:val="299"/>
              <w:adjustRightInd w:val="0"/>
              <w:snapToGrid w:val="0"/>
              <w:spacing w:line="400" w:lineRule="exact"/>
              <w:rPr>
                <w:rFonts w:ascii="宋体" w:hAnsi="宋体" w:cs="宋体"/>
                <w:szCs w:val="21"/>
              </w:rPr>
            </w:pPr>
            <w:r>
              <w:rPr>
                <w:rFonts w:hint="eastAsia" w:ascii="宋体" w:hAnsi="宋体"/>
                <w:b/>
                <w:szCs w:val="21"/>
              </w:rPr>
              <w:t>□</w:t>
            </w: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cs="宋体"/>
                <w:szCs w:val="21"/>
              </w:rPr>
              <w:t>由原格式电子投标文件</w:t>
            </w:r>
            <w:r>
              <w:rPr>
                <w:rFonts w:hint="eastAsia" w:ascii="宋体" w:hAnsi="宋体" w:eastAsia="宋体" w:cs="宋体"/>
                <w:szCs w:val="21"/>
                <w:lang w:eastAsia="zh-CN"/>
              </w:rPr>
              <w:t>〔</w:t>
            </w:r>
            <w:r>
              <w:rPr>
                <w:rFonts w:hint="eastAsia" w:ascii="宋体" w:hAnsi="宋体" w:cs="宋体"/>
                <w:szCs w:val="21"/>
              </w:rPr>
              <w:t>已按本目</w:t>
            </w:r>
            <w:r>
              <w:rPr>
                <w:rFonts w:ascii="宋体" w:hAnsi="宋体" w:cs="宋体"/>
                <w:szCs w:val="21"/>
              </w:rPr>
              <w:t>第（1）</w:t>
            </w:r>
            <w:r>
              <w:rPr>
                <w:rFonts w:hint="eastAsia" w:ascii="宋体" w:hAnsi="宋体" w:cs="宋体"/>
                <w:szCs w:val="21"/>
              </w:rPr>
              <w:t>点要求完成单位电子印章和</w:t>
            </w:r>
            <w:r>
              <w:rPr>
                <w:rFonts w:ascii="宋体" w:hAnsi="宋体" w:cs="宋体"/>
                <w:szCs w:val="21"/>
              </w:rPr>
              <w:t>个人电子签名章或个人电子印章</w:t>
            </w:r>
            <w:r>
              <w:rPr>
                <w:rFonts w:hint="eastAsia" w:ascii="宋体" w:hAnsi="宋体" w:eastAsia="宋体" w:cs="宋体"/>
                <w:szCs w:val="21"/>
                <w:lang w:eastAsia="zh-CN"/>
              </w:rPr>
              <w:t>〕</w:t>
            </w:r>
            <w:r>
              <w:rPr>
                <w:rFonts w:hint="eastAsia" w:ascii="宋体" w:hAnsi="宋体" w:cs="宋体"/>
                <w:szCs w:val="21"/>
              </w:rPr>
              <w:t>的原件原色打印生成的纸质投标文件，其投标函还须加盖投标人单位章并由投标人的法定代表人或其委托代理人进行了亲笔签字。</w:t>
            </w:r>
          </w:p>
          <w:p w14:paraId="1EEC40D0">
            <w:pPr>
              <w:pStyle w:val="299"/>
              <w:adjustRightInd w:val="0"/>
              <w:snapToGrid w:val="0"/>
              <w:spacing w:line="400" w:lineRule="exact"/>
              <w:rPr>
                <w:rFonts w:ascii="宋体" w:hAnsi="宋体"/>
                <w:kern w:val="0"/>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3</w:t>
            </w:r>
            <w:r>
              <w:rPr>
                <w:rFonts w:hint="eastAsia" w:ascii="宋体" w:hAnsi="宋体" w:cs="宋体"/>
                <w:szCs w:val="21"/>
              </w:rPr>
              <w:t>）以</w:t>
            </w:r>
            <w:r>
              <w:rPr>
                <w:rFonts w:hint="eastAsia" w:ascii="宋体" w:hAnsi="宋体"/>
                <w:szCs w:val="21"/>
              </w:rPr>
              <w:t>联合体形式投标的，投标函由联合体牵头人按上述要求</w:t>
            </w:r>
            <w:r>
              <w:rPr>
                <w:rFonts w:ascii="宋体" w:hAnsi="宋体"/>
                <w:szCs w:val="21"/>
              </w:rPr>
              <w:t>完成</w:t>
            </w:r>
            <w:r>
              <w:rPr>
                <w:rFonts w:hint="eastAsia" w:ascii="宋体" w:hAnsi="宋体"/>
                <w:szCs w:val="21"/>
              </w:rPr>
              <w:t>签字、盖章。</w:t>
            </w:r>
          </w:p>
        </w:tc>
      </w:tr>
      <w:tr w14:paraId="4F51D4D8">
        <w:tblPrEx>
          <w:tblCellMar>
            <w:top w:w="0" w:type="dxa"/>
            <w:left w:w="108" w:type="dxa"/>
            <w:bottom w:w="0" w:type="dxa"/>
            <w:right w:w="108" w:type="dxa"/>
          </w:tblCellMar>
        </w:tblPrEx>
        <w:trPr>
          <w:trHeight w:val="785" w:hRule="atLeast"/>
        </w:trPr>
        <w:tc>
          <w:tcPr>
            <w:tcW w:w="772" w:type="dxa"/>
            <w:vMerge w:val="continue"/>
            <w:tcBorders>
              <w:top w:val="single" w:color="auto" w:sz="4" w:space="0"/>
              <w:left w:val="single" w:color="auto" w:sz="4" w:space="0"/>
              <w:bottom w:val="single" w:color="auto" w:sz="4" w:space="0"/>
              <w:right w:val="single" w:color="auto" w:sz="4" w:space="0"/>
            </w:tcBorders>
            <w:vAlign w:val="center"/>
          </w:tcPr>
          <w:p w14:paraId="251E58BA">
            <w:pPr>
              <w:widowControl/>
              <w:adjustRightInd w:val="0"/>
              <w:snapToGrid w:val="0"/>
              <w:spacing w:line="400" w:lineRule="exact"/>
              <w:ind w:left="-210" w:leftChars="-100" w:right="-210" w:rightChars="-100"/>
              <w:jc w:val="center"/>
              <w:rPr>
                <w:rFonts w:ascii="宋体" w:hAnsi="宋体"/>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7BEF97E6">
            <w:pPr>
              <w:widowControl/>
              <w:adjustRightInd w:val="0"/>
              <w:snapToGrid w:val="0"/>
              <w:spacing w:line="400" w:lineRule="exact"/>
              <w:jc w:val="center"/>
              <w:rPr>
                <w:rFonts w:ascii="宋体" w:hAnsi="宋体"/>
                <w:kern w:val="0"/>
                <w:szCs w:val="21"/>
              </w:rPr>
            </w:pPr>
            <w:r>
              <w:rPr>
                <w:rFonts w:ascii="宋体" w:hAnsi="宋体"/>
                <w:kern w:val="0"/>
                <w:szCs w:val="21"/>
              </w:rPr>
              <w:t>2.1.3</w:t>
            </w:r>
          </w:p>
          <w:p w14:paraId="4F6EB044">
            <w:pPr>
              <w:widowControl/>
              <w:adjustRightInd w:val="0"/>
              <w:snapToGrid w:val="0"/>
              <w:spacing w:line="400" w:lineRule="exact"/>
              <w:jc w:val="center"/>
              <w:rPr>
                <w:rFonts w:ascii="宋体" w:hAnsi="宋体"/>
                <w:kern w:val="0"/>
                <w:szCs w:val="21"/>
              </w:rPr>
            </w:pPr>
            <w:r>
              <w:rPr>
                <w:rFonts w:hint="eastAsia" w:ascii="宋体" w:hAnsi="宋体"/>
                <w:szCs w:val="21"/>
              </w:rPr>
              <w:t>响应性评审标准</w:t>
            </w:r>
          </w:p>
        </w:tc>
        <w:tc>
          <w:tcPr>
            <w:tcW w:w="2263" w:type="dxa"/>
            <w:tcBorders>
              <w:top w:val="single" w:color="auto" w:sz="4" w:space="0"/>
              <w:left w:val="single" w:color="auto" w:sz="4" w:space="0"/>
              <w:bottom w:val="single" w:color="auto" w:sz="4" w:space="0"/>
              <w:right w:val="single" w:color="auto" w:sz="4" w:space="0"/>
            </w:tcBorders>
            <w:vAlign w:val="center"/>
          </w:tcPr>
          <w:p w14:paraId="038DA418">
            <w:pPr>
              <w:widowControl/>
              <w:adjustRightInd w:val="0"/>
              <w:snapToGrid w:val="0"/>
              <w:spacing w:line="400" w:lineRule="exact"/>
              <w:rPr>
                <w:rFonts w:ascii="宋体" w:hAnsi="宋体"/>
                <w:szCs w:val="21"/>
              </w:rPr>
            </w:pPr>
            <w:r>
              <w:rPr>
                <w:rFonts w:ascii="宋体" w:hAnsi="宋体" w:cs="宋体"/>
                <w:szCs w:val="21"/>
              </w:rPr>
              <w:t>1.投标文件应符合的其他规定</w:t>
            </w:r>
          </w:p>
        </w:tc>
        <w:tc>
          <w:tcPr>
            <w:tcW w:w="5162" w:type="dxa"/>
            <w:tcBorders>
              <w:top w:val="single" w:color="auto" w:sz="4" w:space="0"/>
              <w:left w:val="single" w:color="auto" w:sz="4" w:space="0"/>
              <w:bottom w:val="single" w:color="auto" w:sz="4" w:space="0"/>
              <w:right w:val="single" w:color="auto" w:sz="4" w:space="0"/>
            </w:tcBorders>
            <w:vAlign w:val="center"/>
          </w:tcPr>
          <w:p w14:paraId="04B741BD">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1）投标报价未超过招标文件设定的最高投标限价（如有）。</w:t>
            </w:r>
          </w:p>
          <w:p w14:paraId="0A37108B">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2）投标报价的大写金额能够确定具体数值。</w:t>
            </w:r>
          </w:p>
          <w:p w14:paraId="59710A40">
            <w:pPr>
              <w:widowControl/>
              <w:adjustRightInd w:val="0"/>
              <w:snapToGrid w:val="0"/>
              <w:spacing w:line="400" w:lineRule="exact"/>
              <w:ind w:firstLine="210" w:firstLineChars="100"/>
              <w:rPr>
                <w:rFonts w:hint="eastAsia" w:ascii="宋体" w:hAnsi="宋体"/>
                <w:szCs w:val="21"/>
              </w:rPr>
            </w:pPr>
            <w:r>
              <w:rPr>
                <w:rFonts w:hint="eastAsia" w:ascii="宋体" w:hAnsi="宋体"/>
                <w:szCs w:val="21"/>
                <w:lang w:val="en-US" w:eastAsia="zh-CN"/>
              </w:rPr>
              <w:t>注：</w:t>
            </w:r>
            <w:r>
              <w:rPr>
                <w:rFonts w:hint="eastAsia" w:ascii="宋体" w:hAnsi="宋体"/>
                <w:szCs w:val="21"/>
              </w:rPr>
              <w:t>当报价方式采用单价或总价以外的其他情形时，投标报价能够确定具体数值。</w:t>
            </w:r>
          </w:p>
          <w:p w14:paraId="19318631">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cs="宋体"/>
                <w:szCs w:val="21"/>
              </w:rPr>
              <w:t>同一投标人未提交两个以上</w:t>
            </w:r>
            <w:r>
              <w:rPr>
                <w:rFonts w:ascii="宋体" w:hAnsi="宋体" w:cs="宋体"/>
                <w:szCs w:val="21"/>
              </w:rPr>
              <w:t>投标报价，</w:t>
            </w:r>
            <w:r>
              <w:rPr>
                <w:rFonts w:hint="eastAsia" w:ascii="宋体" w:hAnsi="宋体" w:cs="宋体"/>
                <w:szCs w:val="21"/>
              </w:rPr>
              <w:t>但招标文件要求提交备选</w:t>
            </w:r>
            <w:r>
              <w:rPr>
                <w:rFonts w:hint="eastAsia" w:ascii="宋体" w:hAnsi="宋体" w:cs="宋体"/>
                <w:szCs w:val="21"/>
                <w:lang w:val="en-US" w:eastAsia="zh-CN"/>
              </w:rPr>
              <w:t>投标</w:t>
            </w:r>
            <w:r>
              <w:rPr>
                <w:rFonts w:hint="eastAsia" w:ascii="宋体" w:hAnsi="宋体" w:cs="宋体"/>
                <w:szCs w:val="21"/>
              </w:rPr>
              <w:t>方案的除外</w:t>
            </w:r>
            <w:r>
              <w:rPr>
                <w:rFonts w:ascii="宋体" w:hAnsi="宋体"/>
                <w:szCs w:val="21"/>
              </w:rPr>
              <w:t>。</w:t>
            </w:r>
          </w:p>
          <w:p w14:paraId="27427E66">
            <w:pPr>
              <w:widowControl/>
              <w:adjustRightInd w:val="0"/>
              <w:snapToGrid w:val="0"/>
              <w:spacing w:line="400" w:lineRule="exact"/>
              <w:rPr>
                <w:rFonts w:ascii="宋体" w:hAnsi="宋体"/>
                <w:szCs w:val="21"/>
              </w:rPr>
            </w:pPr>
            <w:r>
              <w:rPr>
                <w:rFonts w:hint="eastAsia" w:ascii="宋体" w:hAnsi="宋体"/>
                <w:szCs w:val="21"/>
              </w:rPr>
              <w:t>（</w:t>
            </w:r>
            <w:r>
              <w:rPr>
                <w:rFonts w:ascii="宋体" w:hAnsi="宋体"/>
                <w:szCs w:val="21"/>
              </w:rPr>
              <w:t>4）</w:t>
            </w:r>
            <w:r>
              <w:rPr>
                <w:rFonts w:hint="eastAsia" w:ascii="宋体" w:hAnsi="宋体"/>
                <w:kern w:val="0"/>
                <w:szCs w:val="21"/>
              </w:rPr>
              <w:t>若采用价格固化清单电子方式，投标人填写完毕的价格固化清单未对价格固化清单电子文件中的数据、格式和运算定义进行修改。</w:t>
            </w:r>
          </w:p>
          <w:p w14:paraId="5E124245">
            <w:pPr>
              <w:widowControl/>
              <w:adjustRightInd w:val="0"/>
              <w:snapToGrid w:val="0"/>
              <w:spacing w:line="400" w:lineRule="exact"/>
              <w:rPr>
                <w:rFonts w:ascii="宋体" w:hAnsi="宋体" w:cs="宋体"/>
                <w:szCs w:val="21"/>
              </w:rPr>
            </w:pPr>
            <w:r>
              <w:rPr>
                <w:rFonts w:hint="eastAsia" w:ascii="宋体" w:hAnsi="宋体" w:eastAsia="宋体" w:cs="宋体"/>
                <w:szCs w:val="21"/>
              </w:rPr>
              <w:t>……</w:t>
            </w:r>
          </w:p>
        </w:tc>
      </w:tr>
    </w:tbl>
    <w:p w14:paraId="5476DFF2"/>
    <w:p w14:paraId="1A24427F"/>
    <w:p w14:paraId="3FCD3A74">
      <w:pPr>
        <w:jc w:val="left"/>
      </w:pPr>
      <w:r>
        <w:rPr>
          <w:rFonts w:hint="eastAsia"/>
        </w:rPr>
        <w:br w:type="page"/>
      </w:r>
    </w:p>
    <w:p w14:paraId="2ACCE506">
      <w:pPr>
        <w:jc w:val="right"/>
      </w:pPr>
      <w:r>
        <w:rPr>
          <w:rFonts w:hint="eastAsia"/>
        </w:rPr>
        <w:t>续上表</w:t>
      </w:r>
    </w:p>
    <w:tbl>
      <w:tblPr>
        <w:tblStyle w:val="49"/>
        <w:tblW w:w="8959" w:type="dxa"/>
        <w:tblInd w:w="-34" w:type="dxa"/>
        <w:tblLayout w:type="fixed"/>
        <w:tblCellMar>
          <w:top w:w="0" w:type="dxa"/>
          <w:left w:w="108" w:type="dxa"/>
          <w:bottom w:w="0" w:type="dxa"/>
          <w:right w:w="108" w:type="dxa"/>
        </w:tblCellMar>
      </w:tblPr>
      <w:tblGrid>
        <w:gridCol w:w="990"/>
        <w:gridCol w:w="1130"/>
        <w:gridCol w:w="6839"/>
      </w:tblGrid>
      <w:tr w14:paraId="16A03530">
        <w:tblPrEx>
          <w:tblCellMar>
            <w:top w:w="0" w:type="dxa"/>
            <w:left w:w="108" w:type="dxa"/>
            <w:bottom w:w="0" w:type="dxa"/>
            <w:right w:w="108" w:type="dxa"/>
          </w:tblCellMar>
        </w:tblPrEx>
        <w:trPr>
          <w:tblHeader/>
        </w:trPr>
        <w:tc>
          <w:tcPr>
            <w:tcW w:w="990" w:type="dxa"/>
            <w:tcBorders>
              <w:top w:val="single" w:color="auto" w:sz="4" w:space="0"/>
              <w:left w:val="single" w:color="auto" w:sz="4" w:space="0"/>
              <w:bottom w:val="single" w:color="auto" w:sz="4" w:space="0"/>
              <w:right w:val="single" w:color="auto" w:sz="4" w:space="0"/>
            </w:tcBorders>
            <w:vAlign w:val="center"/>
          </w:tcPr>
          <w:p w14:paraId="1CAE3E58">
            <w:pPr>
              <w:widowControl/>
              <w:adjustRightInd w:val="0"/>
              <w:snapToGrid w:val="0"/>
              <w:spacing w:line="400" w:lineRule="exact"/>
              <w:jc w:val="center"/>
              <w:rPr>
                <w:rFonts w:ascii="宋体" w:hAnsi="宋体" w:cs="宋体"/>
                <w:b/>
                <w:bCs/>
                <w:kern w:val="0"/>
                <w:szCs w:val="21"/>
              </w:rPr>
            </w:pPr>
            <w:r>
              <w:rPr>
                <w:rFonts w:hint="eastAsia" w:ascii="宋体" w:hAnsi="宋体" w:cs="宋体"/>
                <w:b/>
                <w:bCs/>
                <w:kern w:val="0"/>
                <w:szCs w:val="21"/>
              </w:rPr>
              <w:t>条款号</w:t>
            </w:r>
          </w:p>
        </w:tc>
        <w:tc>
          <w:tcPr>
            <w:tcW w:w="1130" w:type="dxa"/>
            <w:tcBorders>
              <w:top w:val="single" w:color="auto" w:sz="4" w:space="0"/>
              <w:left w:val="single" w:color="auto" w:sz="4" w:space="0"/>
              <w:bottom w:val="single" w:color="000000" w:sz="4" w:space="0"/>
              <w:right w:val="single" w:color="auto" w:sz="4" w:space="0"/>
            </w:tcBorders>
            <w:vAlign w:val="center"/>
          </w:tcPr>
          <w:p w14:paraId="7F4872DE">
            <w:pPr>
              <w:widowControl/>
              <w:adjustRightInd w:val="0"/>
              <w:snapToGrid w:val="0"/>
              <w:spacing w:line="400" w:lineRule="exact"/>
              <w:jc w:val="center"/>
              <w:rPr>
                <w:rFonts w:ascii="宋体" w:hAnsi="宋体" w:cs="宋体"/>
                <w:b/>
                <w:bCs/>
                <w:szCs w:val="21"/>
              </w:rPr>
            </w:pPr>
            <w:r>
              <w:rPr>
                <w:rFonts w:hint="eastAsia" w:ascii="宋体" w:hAnsi="宋体" w:cs="宋体"/>
                <w:b/>
                <w:bCs/>
                <w:szCs w:val="21"/>
              </w:rPr>
              <w:t>条款内容</w:t>
            </w:r>
          </w:p>
        </w:tc>
        <w:tc>
          <w:tcPr>
            <w:tcW w:w="6839" w:type="dxa"/>
            <w:tcBorders>
              <w:top w:val="single" w:color="auto" w:sz="4" w:space="0"/>
              <w:left w:val="single" w:color="auto" w:sz="4" w:space="0"/>
              <w:bottom w:val="single" w:color="auto" w:sz="4" w:space="0"/>
              <w:right w:val="single" w:color="auto" w:sz="4" w:space="0"/>
            </w:tcBorders>
            <w:vAlign w:val="center"/>
          </w:tcPr>
          <w:p w14:paraId="440DF949">
            <w:pPr>
              <w:widowControl/>
              <w:adjustRightInd w:val="0"/>
              <w:snapToGrid w:val="0"/>
              <w:spacing w:line="400" w:lineRule="exact"/>
              <w:ind w:firstLine="632" w:firstLineChars="300"/>
              <w:jc w:val="center"/>
              <w:rPr>
                <w:rFonts w:ascii="宋体" w:hAnsi="宋体" w:cs="宋体"/>
                <w:b/>
                <w:bCs/>
                <w:szCs w:val="21"/>
              </w:rPr>
            </w:pPr>
            <w:r>
              <w:rPr>
                <w:rFonts w:hint="eastAsia" w:ascii="宋体" w:hAnsi="宋体" w:cs="宋体"/>
                <w:b/>
                <w:bCs/>
                <w:szCs w:val="21"/>
              </w:rPr>
              <w:t>编列内容</w:t>
            </w:r>
          </w:p>
        </w:tc>
      </w:tr>
      <w:tr w14:paraId="3C0A1327">
        <w:tblPrEx>
          <w:tblCellMar>
            <w:top w:w="0" w:type="dxa"/>
            <w:left w:w="108" w:type="dxa"/>
            <w:bottom w:w="0" w:type="dxa"/>
            <w:right w:w="108" w:type="dxa"/>
          </w:tblCellMar>
        </w:tblPrEx>
        <w:trPr>
          <w:trHeight w:val="11798" w:hRule="atLeast"/>
        </w:trPr>
        <w:tc>
          <w:tcPr>
            <w:tcW w:w="990" w:type="dxa"/>
            <w:tcBorders>
              <w:top w:val="single" w:color="auto" w:sz="4" w:space="0"/>
              <w:left w:val="single" w:color="auto" w:sz="4" w:space="0"/>
              <w:bottom w:val="single" w:color="auto" w:sz="4" w:space="0"/>
              <w:right w:val="single" w:color="auto" w:sz="4" w:space="0"/>
            </w:tcBorders>
            <w:vAlign w:val="center"/>
          </w:tcPr>
          <w:p w14:paraId="26F1D2B2">
            <w:pPr>
              <w:widowControl/>
              <w:adjustRightInd w:val="0"/>
              <w:snapToGrid w:val="0"/>
              <w:spacing w:line="400" w:lineRule="exact"/>
              <w:jc w:val="center"/>
              <w:rPr>
                <w:rFonts w:ascii="宋体" w:hAnsi="宋体" w:cs="宋体"/>
                <w:kern w:val="0"/>
                <w:szCs w:val="21"/>
              </w:rPr>
            </w:pPr>
            <w:r>
              <w:rPr>
                <w:rFonts w:ascii="宋体" w:hAnsi="宋体" w:cs="宋体"/>
                <w:kern w:val="0"/>
                <w:szCs w:val="21"/>
              </w:rPr>
              <w:t>2.2.1</w:t>
            </w:r>
          </w:p>
        </w:tc>
        <w:tc>
          <w:tcPr>
            <w:tcW w:w="1130" w:type="dxa"/>
            <w:tcBorders>
              <w:top w:val="single" w:color="auto" w:sz="4" w:space="0"/>
              <w:left w:val="single" w:color="auto" w:sz="4" w:space="0"/>
              <w:bottom w:val="single" w:color="000000" w:sz="4" w:space="0"/>
              <w:right w:val="single" w:color="auto" w:sz="4" w:space="0"/>
            </w:tcBorders>
            <w:vAlign w:val="center"/>
          </w:tcPr>
          <w:p w14:paraId="60707BC4">
            <w:pPr>
              <w:widowControl/>
              <w:adjustRightInd w:val="0"/>
              <w:snapToGrid w:val="0"/>
              <w:spacing w:line="400" w:lineRule="exact"/>
              <w:jc w:val="center"/>
              <w:rPr>
                <w:rFonts w:ascii="宋体" w:hAnsi="宋体" w:cs="宋体"/>
                <w:kern w:val="0"/>
                <w:szCs w:val="21"/>
              </w:rPr>
            </w:pPr>
            <w:r>
              <w:rPr>
                <w:rFonts w:ascii="宋体" w:hAnsi="宋体" w:cs="宋体"/>
                <w:kern w:val="0"/>
                <w:szCs w:val="21"/>
              </w:rPr>
              <w:t>2.2.1</w:t>
            </w:r>
          </w:p>
          <w:p w14:paraId="13900830">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分值</w:t>
            </w:r>
          </w:p>
          <w:p w14:paraId="3EC72575">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构成</w:t>
            </w:r>
          </w:p>
          <w:p w14:paraId="498938CB">
            <w:pPr>
              <w:widowControl/>
              <w:adjustRightInd w:val="0"/>
              <w:snapToGrid w:val="0"/>
              <w:spacing w:line="400" w:lineRule="exact"/>
              <w:jc w:val="center"/>
              <w:rPr>
                <w:rFonts w:ascii="宋体" w:hAnsi="宋体" w:cs="宋体"/>
                <w:kern w:val="0"/>
                <w:szCs w:val="21"/>
              </w:rPr>
            </w:pPr>
            <w:r>
              <w:rPr>
                <w:rFonts w:hint="eastAsia" w:ascii="宋体" w:hAnsi="宋体" w:cs="宋体"/>
                <w:szCs w:val="21"/>
              </w:rPr>
              <w:t>（总分</w:t>
            </w:r>
            <w:r>
              <w:rPr>
                <w:rFonts w:ascii="宋体" w:hAnsi="宋体" w:cs="宋体"/>
                <w:szCs w:val="21"/>
              </w:rPr>
              <w:t>100分）</w:t>
            </w:r>
          </w:p>
        </w:tc>
        <w:tc>
          <w:tcPr>
            <w:tcW w:w="6839" w:type="dxa"/>
            <w:tcBorders>
              <w:top w:val="single" w:color="auto" w:sz="4" w:space="0"/>
              <w:left w:val="single" w:color="auto" w:sz="4" w:space="0"/>
              <w:bottom w:val="single" w:color="auto" w:sz="4" w:space="0"/>
              <w:right w:val="single" w:color="auto" w:sz="4" w:space="0"/>
            </w:tcBorders>
            <w:vAlign w:val="center"/>
          </w:tcPr>
          <w:p w14:paraId="4BAFE1E9">
            <w:pPr>
              <w:pStyle w:val="299"/>
              <w:adjustRightInd w:val="0"/>
              <w:snapToGrid w:val="0"/>
              <w:spacing w:line="400" w:lineRule="exact"/>
              <w:rPr>
                <w:rFonts w:ascii="宋体" w:hAnsi="宋体" w:cs="宋体"/>
                <w:b/>
                <w:szCs w:val="21"/>
              </w:rPr>
            </w:pPr>
            <w:r>
              <w:rPr>
                <w:rFonts w:hint="eastAsia" w:ascii="宋体" w:hAnsi="宋体" w:cs="宋体"/>
                <w:b/>
                <w:szCs w:val="21"/>
              </w:rPr>
              <w:t>□</w:t>
            </w:r>
            <w:r>
              <w:rPr>
                <w:rFonts w:ascii="宋体" w:hAnsi="宋体" w:cs="宋体"/>
                <w:b/>
                <w:szCs w:val="21"/>
                <w:u w:val="single"/>
              </w:rPr>
              <w:t xml:space="preserve">     </w:t>
            </w:r>
            <w:r>
              <w:rPr>
                <w:rFonts w:hint="eastAsia" w:ascii="宋体" w:hAnsi="宋体" w:cs="宋体"/>
                <w:b/>
                <w:szCs w:val="21"/>
              </w:rPr>
              <w:t>标段</w:t>
            </w:r>
          </w:p>
          <w:p w14:paraId="08A10A84">
            <w:pPr>
              <w:pStyle w:val="299"/>
              <w:adjustRightInd w:val="0"/>
              <w:snapToGrid w:val="0"/>
              <w:spacing w:line="400" w:lineRule="exact"/>
              <w:ind w:firstLine="315" w:firstLineChars="150"/>
              <w:rPr>
                <w:rFonts w:ascii="宋体" w:hAnsi="宋体" w:cs="宋体"/>
                <w:szCs w:val="21"/>
              </w:rPr>
            </w:pPr>
            <w:r>
              <w:rPr>
                <w:rFonts w:hint="eastAsia" w:ascii="黑体" w:hAnsi="黑体" w:eastAsia="黑体" w:cs="黑体"/>
                <w:szCs w:val="21"/>
              </w:rPr>
              <w:t>第一个信封（商务及技术文件）评分分值构成</w:t>
            </w:r>
            <w:r>
              <w:rPr>
                <w:rFonts w:hint="eastAsia" w:ascii="宋体" w:hAnsi="宋体" w:cs="宋体"/>
                <w:szCs w:val="21"/>
              </w:rPr>
              <w:t>：</w:t>
            </w:r>
          </w:p>
          <w:p w14:paraId="23CBF49C">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设计施工总承包方案：</w:t>
            </w:r>
            <w:r>
              <w:rPr>
                <w:rFonts w:ascii="宋体" w:hAnsi="宋体" w:cs="宋体"/>
                <w:szCs w:val="21"/>
                <w:u w:val="single"/>
              </w:rPr>
              <w:t xml:space="preserve">   </w:t>
            </w:r>
            <w:r>
              <w:rPr>
                <w:rFonts w:ascii="宋体" w:hAnsi="宋体" w:cs="宋体"/>
                <w:szCs w:val="21"/>
              </w:rPr>
              <w:t xml:space="preserve"> 分</w:t>
            </w:r>
            <w:r>
              <w:rPr>
                <w:rFonts w:hint="eastAsia" w:ascii="宋体" w:hAnsi="宋体" w:cs="宋体"/>
                <w:color w:val="000000"/>
                <w:szCs w:val="21"/>
              </w:rPr>
              <w:t>（暗标评审）</w:t>
            </w:r>
          </w:p>
          <w:p w14:paraId="7491F9F1">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主要人员：</w:t>
            </w:r>
            <w:r>
              <w:rPr>
                <w:rFonts w:ascii="宋体" w:hAnsi="宋体" w:cs="宋体"/>
                <w:szCs w:val="21"/>
                <w:u w:val="single"/>
              </w:rPr>
              <w:t xml:space="preserve">       </w:t>
            </w:r>
            <w:r>
              <w:rPr>
                <w:rFonts w:ascii="宋体" w:hAnsi="宋体" w:cs="宋体"/>
                <w:szCs w:val="21"/>
              </w:rPr>
              <w:t xml:space="preserve"> 分</w:t>
            </w:r>
          </w:p>
          <w:p w14:paraId="7133B41B">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其他因素：</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ascii="宋体" w:hAnsi="宋体" w:cs="宋体"/>
                <w:szCs w:val="21"/>
              </w:rPr>
              <w:t xml:space="preserve"> 分，其中：</w:t>
            </w:r>
          </w:p>
          <w:p w14:paraId="7B57975F">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技术能力</w:t>
            </w:r>
            <w:r>
              <w:rPr>
                <w:rStyle w:val="59"/>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分</w:t>
            </w:r>
          </w:p>
          <w:p w14:paraId="05173870">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财务能力：</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ascii="宋体" w:hAnsi="宋体" w:cs="宋体"/>
                <w:szCs w:val="21"/>
              </w:rPr>
              <w:t xml:space="preserve">分  </w:t>
            </w:r>
          </w:p>
          <w:p w14:paraId="25CAF833">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业</w:t>
            </w:r>
            <w:r>
              <w:rPr>
                <w:rFonts w:ascii="宋体" w:hAnsi="宋体" w:cs="宋体"/>
                <w:szCs w:val="21"/>
              </w:rPr>
              <w:t xml:space="preserve">    绩：</w:t>
            </w:r>
            <w:r>
              <w:rPr>
                <w:rFonts w:ascii="宋体" w:hAnsi="宋体" w:cs="宋体"/>
                <w:szCs w:val="21"/>
                <w:u w:val="single"/>
              </w:rPr>
              <w:t xml:space="preserve">       </w:t>
            </w:r>
            <w:r>
              <w:rPr>
                <w:rFonts w:ascii="宋体" w:hAnsi="宋体" w:cs="宋体"/>
                <w:szCs w:val="21"/>
              </w:rPr>
              <w:t>分</w:t>
            </w:r>
          </w:p>
          <w:p w14:paraId="10B73BED">
            <w:pPr>
              <w:pStyle w:val="299"/>
              <w:adjustRightInd w:val="0"/>
              <w:snapToGrid w:val="0"/>
              <w:spacing w:line="400" w:lineRule="exact"/>
              <w:ind w:firstLine="1050" w:firstLineChars="500"/>
              <w:rPr>
                <w:rFonts w:ascii="宋体" w:hAnsi="宋体" w:cs="宋体"/>
                <w:szCs w:val="21"/>
              </w:rPr>
            </w:pPr>
            <w:r>
              <w:rPr>
                <w:rFonts w:hint="eastAsia" w:ascii="宋体" w:hAnsi="宋体" w:cs="宋体"/>
                <w:szCs w:val="21"/>
              </w:rPr>
              <w:t>履约信誉：</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ascii="宋体" w:hAnsi="宋体" w:cs="宋体"/>
                <w:szCs w:val="21"/>
              </w:rPr>
              <w:t>分</w:t>
            </w:r>
          </w:p>
          <w:p w14:paraId="0B790C40">
            <w:pPr>
              <w:pStyle w:val="299"/>
              <w:adjustRightInd w:val="0"/>
              <w:snapToGrid w:val="0"/>
              <w:spacing w:line="400" w:lineRule="exact"/>
              <w:ind w:firstLine="1058" w:firstLineChars="504"/>
              <w:rPr>
                <w:rFonts w:ascii="宋体" w:hAnsi="宋体" w:cs="宋体"/>
                <w:color w:val="000000"/>
                <w:szCs w:val="21"/>
              </w:rPr>
            </w:pPr>
            <w:r>
              <w:rPr>
                <w:rFonts w:hint="eastAsia" w:ascii="宋体" w:hAnsi="宋体" w:cs="宋体"/>
                <w:color w:val="000000"/>
                <w:szCs w:val="21"/>
              </w:rPr>
              <w:t xml:space="preserve">其 </w:t>
            </w:r>
            <w:r>
              <w:rPr>
                <w:rFonts w:ascii="宋体" w:hAnsi="宋体" w:cs="宋体"/>
                <w:color w:val="000000"/>
                <w:szCs w:val="21"/>
              </w:rPr>
              <w:t xml:space="preserve">   </w:t>
            </w:r>
            <w:r>
              <w:rPr>
                <w:rFonts w:hint="eastAsia" w:ascii="宋体" w:hAnsi="宋体" w:cs="宋体"/>
                <w:color w:val="000000"/>
                <w:szCs w:val="21"/>
              </w:rPr>
              <w:t>他：</w:t>
            </w:r>
            <w:r>
              <w:rPr>
                <w:rFonts w:ascii="宋体" w:hAnsi="宋体" w:cs="宋体"/>
                <w:color w:val="000000"/>
                <w:szCs w:val="21"/>
                <w:u w:val="single"/>
              </w:rPr>
              <w:t xml:space="preserve">     </w:t>
            </w:r>
            <w:r>
              <w:rPr>
                <w:rFonts w:ascii="宋体" w:hAnsi="宋体" w:cs="宋体"/>
                <w:color w:val="000000"/>
                <w:szCs w:val="21"/>
              </w:rPr>
              <w:t>分</w:t>
            </w:r>
          </w:p>
          <w:p w14:paraId="65D72169">
            <w:pPr>
              <w:pStyle w:val="299"/>
              <w:adjustRightInd w:val="0"/>
              <w:snapToGrid w:val="0"/>
              <w:spacing w:line="400" w:lineRule="exact"/>
              <w:ind w:firstLine="1155" w:firstLineChars="550"/>
              <w:rPr>
                <w:rFonts w:ascii="宋体" w:hAnsi="宋体" w:cs="宋体"/>
                <w:szCs w:val="21"/>
              </w:rPr>
            </w:pPr>
            <w:r>
              <w:rPr>
                <w:rFonts w:hint="eastAsia" w:ascii="宋体" w:hAnsi="宋体" w:cs="宋体"/>
                <w:szCs w:val="21"/>
              </w:rPr>
              <w:t>……</w:t>
            </w:r>
          </w:p>
          <w:p w14:paraId="2C4BD501">
            <w:pPr>
              <w:pStyle w:val="299"/>
              <w:adjustRightInd w:val="0"/>
              <w:snapToGrid w:val="0"/>
              <w:spacing w:line="400" w:lineRule="exact"/>
              <w:ind w:firstLine="315" w:firstLineChars="150"/>
              <w:rPr>
                <w:rFonts w:ascii="宋体" w:hAnsi="宋体" w:cs="宋体"/>
                <w:szCs w:val="21"/>
              </w:rPr>
            </w:pPr>
            <w:r>
              <w:rPr>
                <w:rFonts w:hint="eastAsia" w:ascii="黑体" w:hAnsi="黑体" w:eastAsia="黑体" w:cs="黑体"/>
                <w:szCs w:val="21"/>
              </w:rPr>
              <w:t>第二个信封（报价文件）评分分值构成</w:t>
            </w:r>
            <w:r>
              <w:rPr>
                <w:rFonts w:hint="eastAsia" w:ascii="宋体" w:hAnsi="宋体" w:cs="宋体"/>
                <w:szCs w:val="21"/>
              </w:rPr>
              <w:t>：</w:t>
            </w:r>
          </w:p>
          <w:p w14:paraId="0F6693E9">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评标价：</w:t>
            </w:r>
            <w:r>
              <w:rPr>
                <w:rFonts w:ascii="宋体" w:hAnsi="宋体" w:cs="宋体"/>
                <w:szCs w:val="21"/>
                <w:u w:val="single"/>
              </w:rPr>
              <w:t xml:space="preserve">     </w:t>
            </w:r>
            <w:r>
              <w:rPr>
                <w:rFonts w:ascii="宋体" w:hAnsi="宋体" w:cs="宋体"/>
                <w:szCs w:val="21"/>
              </w:rPr>
              <w:t>分</w:t>
            </w:r>
          </w:p>
          <w:p w14:paraId="48E9B175">
            <w:pPr>
              <w:pStyle w:val="299"/>
              <w:adjustRightInd w:val="0"/>
              <w:snapToGrid w:val="0"/>
              <w:spacing w:line="400" w:lineRule="exact"/>
              <w:rPr>
                <w:rFonts w:ascii="宋体" w:hAnsi="宋体" w:cs="宋体"/>
                <w:b/>
                <w:szCs w:val="21"/>
              </w:rPr>
            </w:pPr>
            <w:r>
              <w:rPr>
                <w:rFonts w:hint="eastAsia" w:ascii="宋体" w:hAnsi="宋体" w:cs="宋体"/>
                <w:b/>
                <w:szCs w:val="21"/>
              </w:rPr>
              <w:t>□</w:t>
            </w:r>
            <w:r>
              <w:rPr>
                <w:rFonts w:ascii="宋体" w:hAnsi="宋体" w:cs="宋体"/>
                <w:b/>
                <w:szCs w:val="21"/>
                <w:u w:val="single"/>
              </w:rPr>
              <w:t xml:space="preserve">     </w:t>
            </w:r>
            <w:r>
              <w:rPr>
                <w:rFonts w:hint="eastAsia" w:ascii="宋体" w:hAnsi="宋体" w:cs="宋体"/>
                <w:b/>
                <w:szCs w:val="21"/>
              </w:rPr>
              <w:t>标段</w:t>
            </w:r>
          </w:p>
          <w:p w14:paraId="5BD40D47">
            <w:pPr>
              <w:widowControl/>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w:t>
            </w:r>
          </w:p>
          <w:p w14:paraId="57A38989">
            <w:pPr>
              <w:pStyle w:val="37"/>
              <w:snapToGrid/>
              <w:spacing w:line="400" w:lineRule="exact"/>
              <w:ind w:left="0" w:leftChars="0" w:firstLine="210" w:firstLineChars="100"/>
              <w:jc w:val="both"/>
              <w:rPr>
                <w:rFonts w:ascii="宋体" w:hAnsi="宋体" w:cs="宋体"/>
                <w:color w:val="000000"/>
                <w:sz w:val="21"/>
                <w:szCs w:val="21"/>
              </w:rPr>
            </w:pPr>
            <w:r>
              <w:rPr>
                <w:rFonts w:hint="eastAsia" w:ascii="宋体" w:hAnsi="宋体" w:cs="宋体"/>
                <w:color w:val="000000"/>
                <w:sz w:val="21"/>
                <w:szCs w:val="21"/>
              </w:rPr>
              <w:t>注：1.各评分因素权重范围如下：设计施工总承包方案</w:t>
            </w:r>
            <w:r>
              <w:rPr>
                <w:rFonts w:ascii="宋体" w:hAnsi="宋体" w:cs="宋体"/>
                <w:color w:val="000000"/>
                <w:sz w:val="21"/>
                <w:szCs w:val="21"/>
              </w:rPr>
              <w:t>5</w:t>
            </w:r>
            <w:r>
              <w:rPr>
                <w:rFonts w:hint="eastAsia" w:ascii="宋体" w:hAnsi="宋体" w:cs="宋体"/>
                <w:color w:val="000000"/>
                <w:sz w:val="21"/>
                <w:szCs w:val="21"/>
              </w:rPr>
              <w:t>～</w:t>
            </w:r>
            <w:r>
              <w:rPr>
                <w:rFonts w:ascii="宋体" w:hAnsi="宋体" w:cs="宋体"/>
                <w:color w:val="000000"/>
                <w:sz w:val="21"/>
                <w:szCs w:val="21"/>
              </w:rPr>
              <w:t>20</w:t>
            </w:r>
            <w:r>
              <w:rPr>
                <w:rFonts w:hint="eastAsia" w:ascii="宋体" w:hAnsi="宋体" w:cs="宋体"/>
                <w:color w:val="000000"/>
                <w:sz w:val="21"/>
                <w:szCs w:val="21"/>
              </w:rPr>
              <w:t>分；主要人员</w:t>
            </w:r>
            <w:r>
              <w:rPr>
                <w:rFonts w:ascii="宋体" w:hAnsi="宋体" w:cs="宋体"/>
                <w:color w:val="000000"/>
                <w:sz w:val="21"/>
                <w:szCs w:val="21"/>
              </w:rPr>
              <w:t>10</w:t>
            </w:r>
            <w:r>
              <w:rPr>
                <w:rFonts w:hint="eastAsia" w:ascii="宋体" w:hAnsi="宋体" w:cs="宋体"/>
                <w:color w:val="000000"/>
                <w:sz w:val="21"/>
                <w:szCs w:val="21"/>
              </w:rPr>
              <w:t>～</w:t>
            </w:r>
            <w:r>
              <w:rPr>
                <w:rFonts w:ascii="宋体" w:hAnsi="宋体" w:cs="宋体"/>
                <w:color w:val="000000"/>
                <w:sz w:val="21"/>
                <w:szCs w:val="21"/>
              </w:rPr>
              <w:t>20分。其他因素包括：技术能力0～5分</w:t>
            </w:r>
            <w:r>
              <w:rPr>
                <w:rFonts w:hint="eastAsia" w:ascii="宋体" w:hAnsi="宋体" w:cs="宋体"/>
                <w:color w:val="000000"/>
                <w:sz w:val="21"/>
                <w:szCs w:val="21"/>
              </w:rPr>
              <w:t>，财务能力</w:t>
            </w:r>
            <w:r>
              <w:rPr>
                <w:rFonts w:ascii="宋体" w:hAnsi="宋体" w:cs="宋体"/>
                <w:color w:val="000000"/>
                <w:sz w:val="21"/>
                <w:szCs w:val="21"/>
              </w:rPr>
              <w:t>5</w:t>
            </w:r>
            <w:r>
              <w:rPr>
                <w:rFonts w:hint="eastAsia" w:ascii="宋体" w:hAnsi="宋体" w:cs="宋体"/>
                <w:color w:val="000000"/>
                <w:sz w:val="21"/>
                <w:szCs w:val="21"/>
              </w:rPr>
              <w:t>～</w:t>
            </w:r>
            <w:r>
              <w:rPr>
                <w:rFonts w:ascii="宋体" w:hAnsi="宋体" w:cs="宋体"/>
                <w:color w:val="000000"/>
                <w:sz w:val="21"/>
                <w:szCs w:val="21"/>
              </w:rPr>
              <w:t>10</w:t>
            </w:r>
            <w:r>
              <w:rPr>
                <w:rFonts w:hint="eastAsia" w:ascii="宋体" w:hAnsi="宋体" w:cs="宋体"/>
                <w:color w:val="000000"/>
                <w:sz w:val="21"/>
                <w:szCs w:val="21"/>
              </w:rPr>
              <w:t>分，业绩</w:t>
            </w:r>
            <w:r>
              <w:rPr>
                <w:rFonts w:ascii="宋体" w:hAnsi="宋体" w:cs="宋体"/>
                <w:color w:val="000000"/>
                <w:sz w:val="21"/>
                <w:szCs w:val="21"/>
              </w:rPr>
              <w:t>5</w:t>
            </w:r>
            <w:r>
              <w:rPr>
                <w:rFonts w:hint="eastAsia" w:ascii="宋体" w:hAnsi="宋体" w:cs="宋体"/>
                <w:color w:val="000000"/>
                <w:sz w:val="21"/>
                <w:szCs w:val="21"/>
              </w:rPr>
              <w:t>～</w:t>
            </w:r>
            <w:r>
              <w:rPr>
                <w:rFonts w:ascii="宋体" w:hAnsi="宋体" w:cs="宋体"/>
                <w:color w:val="000000"/>
                <w:sz w:val="21"/>
                <w:szCs w:val="21"/>
              </w:rPr>
              <w:t>15</w:t>
            </w:r>
            <w:r>
              <w:rPr>
                <w:rFonts w:hint="eastAsia" w:ascii="宋体" w:hAnsi="宋体" w:cs="宋体"/>
                <w:color w:val="000000"/>
                <w:sz w:val="21"/>
                <w:szCs w:val="21"/>
              </w:rPr>
              <w:t>分，履约信誉</w:t>
            </w:r>
            <w:r>
              <w:rPr>
                <w:rFonts w:ascii="宋体" w:hAnsi="宋体" w:cs="宋体"/>
                <w:color w:val="000000"/>
                <w:sz w:val="21"/>
                <w:szCs w:val="21"/>
              </w:rPr>
              <w:t>2</w:t>
            </w:r>
            <w:r>
              <w:rPr>
                <w:rFonts w:hint="eastAsia" w:ascii="宋体" w:hAnsi="宋体" w:cs="宋体"/>
                <w:color w:val="000000"/>
                <w:sz w:val="21"/>
                <w:szCs w:val="21"/>
              </w:rPr>
              <w:t>～</w:t>
            </w:r>
            <w:r>
              <w:rPr>
                <w:rFonts w:ascii="宋体" w:hAnsi="宋体" w:cs="宋体"/>
                <w:color w:val="000000"/>
                <w:sz w:val="21"/>
                <w:szCs w:val="21"/>
              </w:rPr>
              <w:t>5分</w:t>
            </w:r>
            <w:r>
              <w:rPr>
                <w:rFonts w:hint="eastAsia" w:ascii="宋体" w:hAnsi="宋体" w:cs="宋体"/>
                <w:color w:val="000000"/>
                <w:sz w:val="21"/>
                <w:szCs w:val="21"/>
              </w:rPr>
              <w:t>，其他允许</w:t>
            </w:r>
            <w:r>
              <w:rPr>
                <w:rFonts w:ascii="宋体" w:hAnsi="宋体" w:cs="宋体"/>
                <w:color w:val="000000"/>
                <w:sz w:val="21"/>
                <w:szCs w:val="21"/>
              </w:rPr>
              <w:t>0分。</w:t>
            </w:r>
            <w:r>
              <w:rPr>
                <w:rFonts w:hint="eastAsia" w:ascii="宋体" w:hAnsi="宋体" w:cs="宋体"/>
                <w:color w:val="000000"/>
                <w:sz w:val="21"/>
                <w:szCs w:val="21"/>
              </w:rPr>
              <w:t>各评分因素权重分值（含评标价）合计应为100分。</w:t>
            </w:r>
          </w:p>
          <w:p w14:paraId="478700E7">
            <w:pPr>
              <w:pStyle w:val="37"/>
              <w:snapToGrid/>
              <w:spacing w:line="400" w:lineRule="exact"/>
              <w:ind w:left="0" w:leftChars="0" w:firstLine="210" w:firstLineChars="100"/>
              <w:jc w:val="both"/>
              <w:rPr>
                <w:rFonts w:ascii="宋体" w:hAns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技术能力指投标人的科研开发和技术创新能力，招标人可结合招标项目的具体情况提出相关要求，包括投标人获得的与项目施工有关的国家级</w:t>
            </w:r>
            <w:r>
              <w:rPr>
                <w:rFonts w:ascii="宋体" w:hAnsi="宋体" w:cs="宋体"/>
                <w:color w:val="000000"/>
                <w:sz w:val="21"/>
                <w:szCs w:val="21"/>
              </w:rPr>
              <w:t>工法、</w:t>
            </w:r>
            <w:r>
              <w:rPr>
                <w:rFonts w:hint="eastAsia" w:ascii="宋体" w:hAnsi="宋体" w:cs="宋体"/>
                <w:color w:val="000000"/>
                <w:sz w:val="21"/>
                <w:szCs w:val="21"/>
              </w:rPr>
              <w:t>专利（发明专利或实用新型专利）、国家或省级科学技术进步奖，主编或参编过的国家、行业或地方标准等。根据项目具体情况，若存在有特别复杂的情形或特殊结构，需要增加特殊要求时，才可对技术能力设置评分要求，但不得设置过高的条件。</w:t>
            </w:r>
          </w:p>
          <w:p w14:paraId="347AC0FE">
            <w:pPr>
              <w:widowControl/>
              <w:adjustRightInd/>
              <w:snapToGrid/>
              <w:spacing w:line="400" w:lineRule="exact"/>
              <w:ind w:firstLine="210" w:firstLineChars="1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3.评标价权重分值不应低于50分。</w:t>
            </w:r>
          </w:p>
          <w:p w14:paraId="0A5774DA">
            <w:pPr>
              <w:pStyle w:val="48"/>
              <w:spacing w:line="400" w:lineRule="exact"/>
              <w:ind w:left="0" w:leftChars="0" w:firstLine="210" w:firstLineChars="1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w:t>
            </w:r>
            <w:r>
              <w:rPr>
                <w:rFonts w:hint="eastAsia" w:asciiTheme="minorEastAsia" w:hAnsiTheme="minorEastAsia" w:eastAsiaTheme="minorEastAsia" w:cstheme="minorEastAsia"/>
                <w:color w:val="000000"/>
                <w:szCs w:val="21"/>
              </w:rPr>
              <w:t>.</w:t>
            </w:r>
            <w:r>
              <w:rPr>
                <w:rFonts w:hint="eastAsia" w:ascii="宋体" w:hAnsi="宋体" w:cs="宋体"/>
                <w:szCs w:val="21"/>
              </w:rPr>
              <w:t>设计施工总承包方案</w:t>
            </w:r>
            <w:r>
              <w:rPr>
                <w:rFonts w:hint="eastAsia" w:asciiTheme="minorEastAsia" w:hAnsiTheme="minorEastAsia" w:eastAsiaTheme="minorEastAsia" w:cstheme="minorEastAsia"/>
                <w:color w:val="000000"/>
              </w:rPr>
              <w:t>所有正文中不得出现投标人的名称和其他可识别投标人身份的文字、符号、标识等，否则评标委员会应对暗标部分的评分按</w:t>
            </w:r>
            <w:r>
              <w:rPr>
                <w:rFonts w:hint="eastAsia" w:asciiTheme="minorEastAsia" w:hAnsiTheme="minorEastAsia" w:eastAsiaTheme="minorEastAsia" w:cstheme="minorEastAsia"/>
                <w:color w:val="000000"/>
                <w:lang w:val="en-US" w:eastAsia="zh-CN"/>
              </w:rPr>
              <w:t>0</w:t>
            </w:r>
            <w:r>
              <w:rPr>
                <w:rFonts w:hint="eastAsia" w:asciiTheme="minorEastAsia" w:hAnsiTheme="minorEastAsia" w:eastAsiaTheme="minorEastAsia" w:cstheme="minorEastAsia"/>
                <w:color w:val="000000"/>
              </w:rPr>
              <w:t>分处理，但不否决其投标。</w:t>
            </w:r>
          </w:p>
          <w:p w14:paraId="3AD66C86">
            <w:pPr>
              <w:widowControl/>
              <w:adjustRightInd w:val="0"/>
              <w:snapToGrid w:val="0"/>
              <w:spacing w:line="400" w:lineRule="exact"/>
              <w:ind w:firstLine="0" w:firstLineChars="0"/>
              <w:jc w:val="left"/>
              <w:rPr>
                <w:rFonts w:hint="eastAsia" w:ascii="宋体" w:hAnsi="宋体" w:cs="宋体"/>
                <w:szCs w:val="21"/>
              </w:rPr>
            </w:pPr>
          </w:p>
        </w:tc>
      </w:tr>
      <w:tr w14:paraId="51845230">
        <w:tblPrEx>
          <w:tblCellMar>
            <w:top w:w="0" w:type="dxa"/>
            <w:left w:w="108" w:type="dxa"/>
            <w:bottom w:w="0" w:type="dxa"/>
            <w:right w:w="108" w:type="dxa"/>
          </w:tblCellMar>
        </w:tblPrEx>
        <w:trPr>
          <w:trHeight w:val="90" w:hRule="atLeast"/>
        </w:trPr>
        <w:tc>
          <w:tcPr>
            <w:tcW w:w="990" w:type="dxa"/>
            <w:tcBorders>
              <w:top w:val="single" w:color="auto" w:sz="4" w:space="0"/>
              <w:left w:val="single" w:color="auto" w:sz="4" w:space="0"/>
              <w:bottom w:val="single" w:color="auto" w:sz="4" w:space="0"/>
              <w:right w:val="single" w:color="auto" w:sz="4" w:space="0"/>
            </w:tcBorders>
            <w:vAlign w:val="center"/>
          </w:tcPr>
          <w:p w14:paraId="16C0E290">
            <w:pPr>
              <w:widowControl/>
              <w:adjustRightInd w:val="0"/>
              <w:snapToGrid w:val="0"/>
              <w:spacing w:line="400" w:lineRule="exact"/>
              <w:jc w:val="center"/>
              <w:rPr>
                <w:rFonts w:ascii="宋体" w:hAnsi="宋体" w:cs="宋体"/>
                <w:kern w:val="0"/>
                <w:szCs w:val="21"/>
              </w:rPr>
            </w:pPr>
            <w:r>
              <w:rPr>
                <w:rFonts w:ascii="宋体" w:hAnsi="宋体"/>
                <w:szCs w:val="21"/>
              </w:rPr>
              <w:t>2.2.2</w:t>
            </w:r>
          </w:p>
        </w:tc>
        <w:tc>
          <w:tcPr>
            <w:tcW w:w="1130" w:type="dxa"/>
            <w:tcBorders>
              <w:top w:val="single" w:color="000000" w:sz="4" w:space="0"/>
              <w:left w:val="single" w:color="auto" w:sz="4" w:space="0"/>
              <w:bottom w:val="single" w:color="auto" w:sz="4" w:space="0"/>
              <w:right w:val="single" w:color="000000" w:sz="4" w:space="0"/>
            </w:tcBorders>
            <w:vAlign w:val="center"/>
          </w:tcPr>
          <w:p w14:paraId="7577978C">
            <w:pPr>
              <w:widowControl/>
              <w:adjustRightInd w:val="0"/>
              <w:snapToGrid w:val="0"/>
              <w:spacing w:line="400" w:lineRule="exact"/>
              <w:jc w:val="center"/>
              <w:rPr>
                <w:rFonts w:ascii="宋体" w:hAnsi="宋体" w:cs="宋体"/>
                <w:kern w:val="0"/>
                <w:szCs w:val="21"/>
              </w:rPr>
            </w:pPr>
            <w:r>
              <w:rPr>
                <w:rFonts w:hint="eastAsia" w:ascii="宋体" w:hAnsi="宋体"/>
                <w:szCs w:val="21"/>
              </w:rPr>
              <w:t>评标基准价计算方法</w:t>
            </w:r>
          </w:p>
        </w:tc>
        <w:tc>
          <w:tcPr>
            <w:tcW w:w="6839" w:type="dxa"/>
            <w:tcBorders>
              <w:top w:val="single" w:color="auto" w:sz="4" w:space="0"/>
              <w:left w:val="single" w:color="auto" w:sz="4" w:space="0"/>
              <w:bottom w:val="single" w:color="auto" w:sz="4" w:space="0"/>
              <w:right w:val="single" w:color="auto" w:sz="4" w:space="0"/>
            </w:tcBorders>
            <w:vAlign w:val="center"/>
          </w:tcPr>
          <w:p w14:paraId="7862465F">
            <w:pPr>
              <w:widowControl/>
              <w:spacing w:line="400" w:lineRule="exact"/>
              <w:rPr>
                <w:rFonts w:ascii="宋体" w:hAnsi="宋体" w:cs="宋体"/>
                <w:szCs w:val="21"/>
              </w:rPr>
            </w:pPr>
            <w:r>
              <w:rPr>
                <w:rFonts w:hint="eastAsia" w:ascii="宋体" w:hAnsi="宋体" w:cs="宋体"/>
                <w:szCs w:val="21"/>
              </w:rPr>
              <w:t>评标基准价的计算（计算结果均“四舍五入”取整到元）：</w:t>
            </w:r>
          </w:p>
          <w:p w14:paraId="4B2DDD35">
            <w:pPr>
              <w:widowControl/>
              <w:spacing w:line="400" w:lineRule="exact"/>
              <w:rPr>
                <w:rFonts w:ascii="宋体" w:hAnsi="宋体" w:cs="宋体"/>
                <w:szCs w:val="21"/>
              </w:rPr>
            </w:pPr>
            <w:r>
              <w:rPr>
                <w:rFonts w:hint="eastAsia" w:ascii="宋体" w:hAnsi="宋体" w:cs="宋体"/>
                <w:szCs w:val="21"/>
              </w:rPr>
              <w:t>在开标现场，招标人将当场计算并宣布评标基准价。</w:t>
            </w:r>
          </w:p>
          <w:p w14:paraId="46E5037E">
            <w:pPr>
              <w:widowControl/>
              <w:spacing w:line="400" w:lineRule="exact"/>
              <w:rPr>
                <w:rFonts w:ascii="宋体" w:hAnsi="宋体" w:cs="宋体"/>
                <w:szCs w:val="21"/>
              </w:rPr>
            </w:pPr>
            <w:r>
              <w:rPr>
                <w:rFonts w:hint="eastAsia" w:ascii="宋体" w:hAnsi="宋体" w:cs="宋体"/>
                <w:szCs w:val="21"/>
              </w:rPr>
              <w:t>（</w:t>
            </w:r>
            <w:r>
              <w:rPr>
                <w:rFonts w:ascii="宋体" w:hAnsi="宋体" w:cs="宋体"/>
                <w:szCs w:val="21"/>
              </w:rPr>
              <w:t>1）评标价的确定：</w:t>
            </w:r>
          </w:p>
          <w:p w14:paraId="38997325">
            <w:pPr>
              <w:widowControl/>
              <w:spacing w:line="400" w:lineRule="exact"/>
              <w:ind w:firstLine="0" w:firstLineChars="0"/>
              <w:rPr>
                <w:rFonts w:ascii="宋体" w:hAnsi="宋体" w:cs="宋体"/>
                <w:szCs w:val="21"/>
                <w:u w:val="single"/>
              </w:rPr>
            </w:pPr>
            <w:r>
              <w:rPr>
                <w:rFonts w:hint="eastAsia" w:ascii="宋体" w:hAnsi="宋体" w:cs="宋体"/>
                <w:bCs/>
                <w:szCs w:val="21"/>
              </w:rPr>
              <w:t>评</w:t>
            </w:r>
            <w:r>
              <w:rPr>
                <w:rFonts w:hint="eastAsia" w:ascii="宋体" w:hAnsi="宋体" w:cs="宋体"/>
                <w:szCs w:val="21"/>
              </w:rPr>
              <w:t>标价＝</w:t>
            </w:r>
            <w:r>
              <w:rPr>
                <w:rFonts w:hint="eastAsia" w:ascii="宋体" w:hAnsi="宋体" w:cs="宋体"/>
                <w:szCs w:val="21"/>
                <w:u w:val="single"/>
              </w:rPr>
              <w:t>通过第一个信封</w:t>
            </w:r>
            <w:r>
              <w:rPr>
                <w:rFonts w:hint="eastAsia" w:ascii="宋体" w:hAnsi="宋体" w:cs="宋体"/>
                <w:color w:val="000000"/>
                <w:szCs w:val="21"/>
                <w:u w:val="single"/>
              </w:rPr>
              <w:t>（商务及技术文件）</w:t>
            </w:r>
            <w:r>
              <w:rPr>
                <w:rFonts w:hint="eastAsia" w:ascii="宋体" w:hAnsi="宋体" w:cs="宋体"/>
                <w:szCs w:val="21"/>
                <w:u w:val="single"/>
              </w:rPr>
              <w:t>评审的投标人投标函</w:t>
            </w:r>
            <w:r>
              <w:rPr>
                <w:rFonts w:hint="eastAsia" w:ascii="宋体" w:hAnsi="宋体" w:cs="宋体"/>
                <w:szCs w:val="21"/>
                <w:u w:val="single"/>
                <w:lang w:eastAsia="zh-CN"/>
              </w:rPr>
              <w:t>（</w:t>
            </w:r>
            <w:r>
              <w:rPr>
                <w:rFonts w:hint="eastAsia" w:ascii="宋体" w:hAnsi="宋体" w:cs="宋体"/>
                <w:szCs w:val="21"/>
                <w:u w:val="single"/>
              </w:rPr>
              <w:t>第二个信封</w:t>
            </w:r>
            <w:r>
              <w:rPr>
                <w:rFonts w:hint="eastAsia" w:ascii="宋体" w:hAnsi="宋体" w:cs="宋体"/>
                <w:szCs w:val="21"/>
                <w:u w:val="single"/>
                <w:lang w:eastAsia="zh-CN"/>
              </w:rPr>
              <w:t>）</w:t>
            </w:r>
            <w:r>
              <w:rPr>
                <w:rFonts w:hint="eastAsia" w:ascii="宋体" w:hAnsi="宋体" w:cs="宋体"/>
                <w:szCs w:val="21"/>
                <w:u w:val="single"/>
              </w:rPr>
              <w:t>中投标总报价大写金额</w:t>
            </w:r>
            <w:r>
              <w:rPr>
                <w:rFonts w:hint="eastAsia" w:ascii="宋体" w:hAnsi="宋体" w:cs="宋体"/>
                <w:szCs w:val="21"/>
                <w:lang w:val="en-US" w:eastAsia="zh-CN"/>
              </w:rPr>
              <w:t xml:space="preserve"> </w:t>
            </w:r>
          </w:p>
          <w:p w14:paraId="3FA7A40A">
            <w:pPr>
              <w:widowControl/>
              <w:spacing w:line="400" w:lineRule="exact"/>
              <w:rPr>
                <w:rFonts w:ascii="宋体" w:hAnsi="宋体" w:cs="宋体"/>
                <w:szCs w:val="21"/>
              </w:rPr>
            </w:pPr>
            <w:r>
              <w:rPr>
                <w:rFonts w:hint="eastAsia" w:ascii="宋体" w:hAnsi="宋体" w:cs="宋体"/>
                <w:szCs w:val="21"/>
              </w:rPr>
              <w:t>（2）评标</w:t>
            </w:r>
            <w:r>
              <w:rPr>
                <w:rFonts w:ascii="宋体" w:hAnsi="宋体" w:cs="宋体"/>
                <w:szCs w:val="21"/>
              </w:rPr>
              <w:t>价不参加评标基准价计算的情形：</w:t>
            </w:r>
          </w:p>
          <w:p w14:paraId="52DF445E">
            <w:pPr>
              <w:widowControl/>
              <w:spacing w:line="400" w:lineRule="exact"/>
              <w:rPr>
                <w:rFonts w:ascii="宋体" w:hAnsi="宋体" w:cs="宋体"/>
                <w:szCs w:val="21"/>
              </w:rPr>
            </w:pPr>
            <w:r>
              <w:rPr>
                <w:rFonts w:hint="eastAsia" w:ascii="宋体" w:hAnsi="宋体" w:cs="宋体"/>
                <w:szCs w:val="21"/>
              </w:rPr>
              <w:t xml:space="preserve">   ①未在投标函上填写投标总价；</w:t>
            </w:r>
          </w:p>
          <w:p w14:paraId="30B7A7FE">
            <w:pPr>
              <w:widowControl/>
              <w:spacing w:line="400" w:lineRule="exact"/>
              <w:rPr>
                <w:rFonts w:ascii="宋体" w:hAnsi="宋体" w:cs="宋体"/>
                <w:szCs w:val="21"/>
              </w:rPr>
            </w:pPr>
            <w:r>
              <w:rPr>
                <w:rFonts w:hint="eastAsia" w:ascii="宋体" w:hAnsi="宋体" w:cs="宋体"/>
                <w:szCs w:val="21"/>
              </w:rPr>
              <w:t xml:space="preserve">   ②投标报价超出招标人公布的最高投标限价；</w:t>
            </w:r>
          </w:p>
          <w:p w14:paraId="389DDFB2">
            <w:pPr>
              <w:widowControl/>
              <w:spacing w:line="400" w:lineRule="exact"/>
              <w:rPr>
                <w:rFonts w:ascii="宋体" w:hAnsi="宋体" w:cs="宋体"/>
                <w:szCs w:val="21"/>
              </w:rPr>
            </w:pPr>
            <w:r>
              <w:rPr>
                <w:rFonts w:hint="eastAsia" w:ascii="宋体" w:hAnsi="宋体" w:cs="宋体"/>
                <w:szCs w:val="21"/>
              </w:rPr>
              <w:t xml:space="preserve">   ③投标报价的大写金额无法确定具体数值；</w:t>
            </w:r>
          </w:p>
          <w:p w14:paraId="5F654FCD">
            <w:pPr>
              <w:widowControl/>
              <w:adjustRightInd/>
              <w:snapToGrid/>
              <w:spacing w:line="400" w:lineRule="exact"/>
              <w:ind w:firstLine="210" w:firstLineChars="100"/>
              <w:jc w:val="left"/>
              <w:rPr>
                <w:rFonts w:hint="eastAsia" w:ascii="宋体" w:hAnsi="宋体" w:cs="宋体"/>
                <w:color w:val="000000"/>
                <w:szCs w:val="21"/>
              </w:rPr>
            </w:pPr>
            <w:r>
              <w:rPr>
                <w:rFonts w:hint="eastAsia" w:ascii="宋体" w:hAnsi="宋体" w:cs="宋体"/>
                <w:szCs w:val="21"/>
              </w:rPr>
              <w:t xml:space="preserve"> </w:t>
            </w:r>
            <w:r>
              <w:rPr>
                <w:rFonts w:hint="eastAsia" w:ascii="宋体" w:hAnsi="宋体" w:eastAsia="宋体" w:cs="宋体"/>
                <w:color w:val="000000"/>
                <w:kern w:val="0"/>
                <w:sz w:val="21"/>
                <w:szCs w:val="21"/>
                <w:lang w:val="en-US" w:eastAsia="zh-CN" w:bidi="ar"/>
              </w:rPr>
              <w:t>注：当报价方式采用单价或总价以外的其他情形时，投标报价无法确定具体数值。</w:t>
            </w:r>
          </w:p>
          <w:p w14:paraId="6EE13580">
            <w:pPr>
              <w:widowControl/>
              <w:spacing w:line="400" w:lineRule="exact"/>
              <w:rPr>
                <w:rFonts w:hint="eastAsia" w:ascii="宋体" w:hAnsi="宋体" w:cs="宋体"/>
                <w:szCs w:val="21"/>
                <w:lang w:eastAsia="zh-CN"/>
              </w:rPr>
            </w:pPr>
            <w:r>
              <w:rPr>
                <w:rFonts w:hint="eastAsia" w:ascii="宋体" w:hAnsi="宋体" w:cs="宋体"/>
                <w:szCs w:val="21"/>
              </w:rPr>
              <w:t xml:space="preserve">  </w:t>
            </w:r>
            <w:r>
              <w:rPr>
                <w:rFonts w:hint="eastAsia" w:ascii="宋体" w:hAnsi="宋体" w:cs="宋体"/>
                <w:b/>
                <w:szCs w:val="21"/>
              </w:rPr>
              <w:sym w:font="Wingdings 2" w:char="00A3"/>
            </w:r>
            <w:r>
              <w:rPr>
                <w:rFonts w:hint="eastAsia" w:ascii="宋体" w:hAnsi="宋体" w:cs="宋体"/>
                <w:b/>
                <w:szCs w:val="21"/>
              </w:rPr>
              <w:t xml:space="preserve"> </w:t>
            </w:r>
            <w:r>
              <w:rPr>
                <w:rFonts w:hint="eastAsia" w:ascii="宋体" w:hAnsi="宋体" w:cs="宋体"/>
                <w:szCs w:val="21"/>
              </w:rPr>
              <w:fldChar w:fldCharType="begin"/>
            </w:r>
            <w:r>
              <w:rPr>
                <w:rFonts w:ascii="宋体" w:hAnsi="宋体" w:cs="宋体"/>
                <w:szCs w:val="21"/>
              </w:rPr>
              <w:instrText xml:space="preserve"> = 4 \* GB3 \* MERGEFORMAT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投标报价低于招标人公布的最高投标限价的</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w:t>
            </w:r>
          </w:p>
          <w:p w14:paraId="24D27FC1">
            <w:pPr>
              <w:widowControl/>
              <w:spacing w:line="400" w:lineRule="exact"/>
              <w:ind w:firstLine="210" w:firstLineChars="100"/>
              <w:rPr>
                <w:rFonts w:hint="eastAsia" w:ascii="宋体" w:hAnsi="宋体" w:cs="宋体"/>
                <w:szCs w:val="21"/>
                <w:lang w:eastAsia="zh-CN"/>
              </w:rPr>
            </w:pPr>
            <w:r>
              <w:rPr>
                <w:rFonts w:hint="eastAsia" w:ascii="宋体" w:hAnsi="宋体" w:cs="宋体"/>
                <w:szCs w:val="21"/>
                <w:lang w:eastAsia="zh-CN"/>
              </w:rPr>
              <w:t>注：招标人可在招标文件中约定低于最高投标限价</w:t>
            </w:r>
            <w:r>
              <w:rPr>
                <w:rFonts w:hint="eastAsia" w:ascii="宋体" w:hAnsi="宋体" w:cs="宋体"/>
                <w:szCs w:val="21"/>
                <w:lang w:val="en-US" w:eastAsia="zh-CN"/>
              </w:rPr>
              <w:t>R</w:t>
            </w:r>
            <w:r>
              <w:rPr>
                <w:rFonts w:hint="eastAsia" w:ascii="宋体" w:hAnsi="宋体" w:cs="宋体"/>
                <w:szCs w:val="21"/>
                <w:lang w:eastAsia="zh-CN"/>
              </w:rPr>
              <w:t>的投标报价（</w:t>
            </w:r>
            <w:r>
              <w:rPr>
                <w:rFonts w:hint="eastAsia" w:ascii="宋体" w:hAnsi="宋体" w:cs="宋体"/>
                <w:szCs w:val="21"/>
                <w:lang w:val="en-US" w:eastAsia="zh-CN"/>
              </w:rPr>
              <w:t>85%≦R≦95%</w:t>
            </w:r>
            <w:r>
              <w:rPr>
                <w:rFonts w:hint="eastAsia" w:ascii="宋体" w:hAnsi="宋体" w:cs="宋体"/>
                <w:szCs w:val="21"/>
                <w:lang w:eastAsia="zh-CN"/>
              </w:rPr>
              <w:t>）不参与评标基准价的计算。</w:t>
            </w:r>
          </w:p>
          <w:p w14:paraId="6A69F535">
            <w:pPr>
              <w:widowControl/>
              <w:spacing w:line="400" w:lineRule="exact"/>
              <w:ind w:firstLine="210" w:firstLineChars="100"/>
              <w:rPr>
                <w:rFonts w:hint="eastAsia" w:ascii="宋体" w:hAnsi="宋体" w:cs="宋体"/>
                <w:szCs w:val="21"/>
                <w:lang w:eastAsia="zh-CN"/>
              </w:rPr>
            </w:pPr>
            <w:r>
              <w:rPr>
                <w:rFonts w:hint="eastAsia" w:ascii="宋体" w:hAnsi="宋体" w:cs="宋体"/>
                <w:b w:val="0"/>
                <w:color w:val="000000"/>
                <w:szCs w:val="21"/>
              </w:rPr>
              <w:sym w:font="Wingdings 2" w:char="00A3"/>
            </w:r>
            <w:r>
              <w:rPr>
                <w:rFonts w:ascii="宋体" w:hAnsi="宋体" w:cs="宋体"/>
                <w:b w:val="0"/>
                <w:color w:val="000000"/>
                <w:szCs w:val="21"/>
              </w:rPr>
              <w:t xml:space="preserve"> </w:t>
            </w:r>
            <w:r>
              <w:rPr>
                <w:rFonts w:hint="eastAsia" w:ascii="宋体" w:hAnsi="宋体" w:cs="宋体"/>
                <w:color w:val="000000"/>
                <w:szCs w:val="21"/>
              </w:rPr>
              <w:fldChar w:fldCharType="begin"/>
            </w:r>
            <w:r>
              <w:rPr>
                <w:rFonts w:ascii="宋体" w:hAnsi="宋体" w:cs="宋体"/>
                <w:color w:val="000000"/>
                <w:szCs w:val="21"/>
              </w:rPr>
              <w:instrText xml:space="preserve"> = 5 \* GB3 </w:instrText>
            </w:r>
            <w:r>
              <w:rPr>
                <w:rFonts w:hint="eastAsia" w:ascii="宋体" w:hAnsi="宋体" w:cs="宋体"/>
                <w:color w:val="000000"/>
                <w:szCs w:val="21"/>
              </w:rPr>
              <w:fldChar w:fldCharType="separate"/>
            </w:r>
            <w:r>
              <w:rPr>
                <w:rFonts w:hint="eastAsia" w:ascii="宋体" w:hAnsi="宋体" w:cs="宋体"/>
                <w:color w:val="000000"/>
                <w:szCs w:val="21"/>
              </w:rPr>
              <w:t>⑤</w:t>
            </w:r>
            <w:r>
              <w:rPr>
                <w:rFonts w:hint="eastAsia" w:ascii="宋体" w:hAnsi="宋体" w:cs="宋体"/>
                <w:color w:val="000000"/>
                <w:szCs w:val="21"/>
              </w:rPr>
              <w:fldChar w:fldCharType="end"/>
            </w:r>
            <w:r>
              <w:rPr>
                <w:rFonts w:hint="eastAsia" w:ascii="宋体" w:hAnsi="宋体" w:cs="宋体"/>
                <w:color w:val="000000"/>
                <w:szCs w:val="21"/>
              </w:rPr>
              <w:t>其他情形：</w:t>
            </w:r>
            <w:r>
              <w:rPr>
                <w:rFonts w:ascii="宋体" w:hAnsi="宋体" w:cs="宋体"/>
                <w:color w:val="000000"/>
                <w:szCs w:val="21"/>
                <w:u w:val="single"/>
              </w:rPr>
              <w:t xml:space="preserve">                </w:t>
            </w:r>
            <w:r>
              <w:rPr>
                <w:rFonts w:hint="eastAsia" w:ascii="宋体" w:hAnsi="宋体" w:cs="宋体"/>
                <w:color w:val="000000"/>
                <w:szCs w:val="21"/>
              </w:rPr>
              <w:t>。</w:t>
            </w:r>
            <w:r>
              <w:rPr>
                <w:rFonts w:ascii="宋体" w:hAnsi="宋体" w:cs="宋体"/>
                <w:color w:val="000000"/>
                <w:szCs w:val="21"/>
              </w:rPr>
              <w:t xml:space="preserve"> </w:t>
            </w:r>
          </w:p>
        </w:tc>
      </w:tr>
      <w:tr w14:paraId="253B9FF4">
        <w:tblPrEx>
          <w:tblCellMar>
            <w:top w:w="0" w:type="dxa"/>
            <w:left w:w="108" w:type="dxa"/>
            <w:bottom w:w="0" w:type="dxa"/>
            <w:right w:w="108" w:type="dxa"/>
          </w:tblCellMar>
        </w:tblPrEx>
        <w:trPr>
          <w:trHeight w:val="7218" w:hRule="atLeast"/>
        </w:trPr>
        <w:tc>
          <w:tcPr>
            <w:tcW w:w="990" w:type="dxa"/>
            <w:tcBorders>
              <w:top w:val="single" w:color="auto" w:sz="4" w:space="0"/>
              <w:left w:val="single" w:color="auto" w:sz="4" w:space="0"/>
              <w:bottom w:val="single" w:color="auto" w:sz="4" w:space="0"/>
              <w:right w:val="single" w:color="auto" w:sz="4" w:space="0"/>
            </w:tcBorders>
            <w:vAlign w:val="center"/>
          </w:tcPr>
          <w:p w14:paraId="65C2CBD6">
            <w:pPr>
              <w:widowControl/>
              <w:adjustRightInd w:val="0"/>
              <w:snapToGrid w:val="0"/>
              <w:spacing w:line="400" w:lineRule="exact"/>
              <w:jc w:val="center"/>
              <w:rPr>
                <w:rFonts w:ascii="宋体" w:hAnsi="宋体"/>
                <w:szCs w:val="21"/>
              </w:rPr>
            </w:pPr>
            <w:r>
              <w:rPr>
                <w:rFonts w:ascii="宋体" w:hAnsi="宋体"/>
                <w:szCs w:val="21"/>
              </w:rPr>
              <w:t>2.2.2</w:t>
            </w:r>
          </w:p>
        </w:tc>
        <w:tc>
          <w:tcPr>
            <w:tcW w:w="1130" w:type="dxa"/>
            <w:tcBorders>
              <w:top w:val="single" w:color="000000" w:sz="4" w:space="0"/>
              <w:left w:val="single" w:color="auto" w:sz="4" w:space="0"/>
              <w:bottom w:val="single" w:color="auto" w:sz="4" w:space="0"/>
              <w:right w:val="single" w:color="000000" w:sz="4" w:space="0"/>
            </w:tcBorders>
            <w:vAlign w:val="center"/>
          </w:tcPr>
          <w:p w14:paraId="35CA254C">
            <w:pPr>
              <w:widowControl/>
              <w:adjustRightInd w:val="0"/>
              <w:snapToGrid w:val="0"/>
              <w:spacing w:line="400" w:lineRule="exact"/>
              <w:jc w:val="center"/>
              <w:rPr>
                <w:rFonts w:ascii="宋体" w:hAnsi="宋体"/>
                <w:szCs w:val="21"/>
              </w:rPr>
            </w:pPr>
            <w:r>
              <w:rPr>
                <w:rFonts w:hint="eastAsia" w:ascii="宋体" w:hAnsi="宋体"/>
                <w:szCs w:val="21"/>
              </w:rPr>
              <w:t>评标基准价计算方法</w:t>
            </w:r>
          </w:p>
        </w:tc>
        <w:tc>
          <w:tcPr>
            <w:tcW w:w="6839" w:type="dxa"/>
            <w:tcBorders>
              <w:top w:val="single" w:color="auto" w:sz="4" w:space="0"/>
              <w:left w:val="single" w:color="auto" w:sz="4" w:space="0"/>
              <w:bottom w:val="single" w:color="auto" w:sz="4" w:space="0"/>
              <w:right w:val="single" w:color="auto" w:sz="4" w:space="0"/>
            </w:tcBorders>
            <w:vAlign w:val="center"/>
          </w:tcPr>
          <w:p w14:paraId="1DC64D05">
            <w:pPr>
              <w:widowControl/>
              <w:spacing w:line="400" w:lineRule="exac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szCs w:val="21"/>
              </w:rPr>
              <w:t>解密成功的投标文件，若在投标截止期后撤销，也应按程序对投标文件第一个信封</w:t>
            </w:r>
            <w:r>
              <w:rPr>
                <w:rFonts w:hint="eastAsia" w:ascii="宋体" w:hAnsi="宋体"/>
                <w:color w:val="000000"/>
                <w:szCs w:val="21"/>
              </w:rPr>
              <w:t>（商务及技术文件）</w:t>
            </w:r>
            <w:r>
              <w:rPr>
                <w:rFonts w:hint="eastAsia" w:ascii="宋体" w:hAnsi="宋体"/>
                <w:szCs w:val="21"/>
              </w:rPr>
              <w:t>进行评审，若</w:t>
            </w:r>
            <w:r>
              <w:rPr>
                <w:rFonts w:hint="eastAsia" w:ascii="宋体" w:hAnsi="宋体"/>
                <w:color w:val="000000"/>
                <w:szCs w:val="21"/>
              </w:rPr>
              <w:t>该投标文件</w:t>
            </w:r>
            <w:r>
              <w:rPr>
                <w:rFonts w:hint="eastAsia" w:ascii="宋体" w:hAnsi="宋体"/>
                <w:szCs w:val="21"/>
              </w:rPr>
              <w:t>通过第一个信封</w:t>
            </w:r>
            <w:r>
              <w:rPr>
                <w:rFonts w:hint="eastAsia" w:ascii="宋体" w:hAnsi="宋体"/>
                <w:color w:val="000000"/>
                <w:szCs w:val="21"/>
              </w:rPr>
              <w:t>（商务及技术文件）</w:t>
            </w:r>
            <w:r>
              <w:rPr>
                <w:rFonts w:hint="eastAsia" w:ascii="宋体" w:hAnsi="宋体"/>
                <w:szCs w:val="21"/>
              </w:rPr>
              <w:t>评审，则其投标报价文件在第二个信封</w:t>
            </w:r>
            <w:r>
              <w:rPr>
                <w:rFonts w:hint="eastAsia" w:ascii="宋体" w:hAnsi="宋体"/>
                <w:color w:val="000000"/>
                <w:szCs w:val="21"/>
              </w:rPr>
              <w:t>（报价文件）</w:t>
            </w:r>
            <w:r>
              <w:rPr>
                <w:rFonts w:hint="eastAsia" w:ascii="宋体" w:hAnsi="宋体"/>
                <w:szCs w:val="21"/>
              </w:rPr>
              <w:t>开标时也应开启；若</w:t>
            </w:r>
            <w:r>
              <w:rPr>
                <w:rFonts w:hint="eastAsia" w:ascii="宋体" w:hAnsi="宋体"/>
                <w:szCs w:val="21"/>
                <w:lang w:val="en-US" w:eastAsia="zh-CN"/>
              </w:rPr>
              <w:t>该投标文件</w:t>
            </w:r>
            <w:r>
              <w:rPr>
                <w:rFonts w:hint="eastAsia" w:ascii="宋体" w:hAnsi="宋体"/>
                <w:szCs w:val="21"/>
              </w:rPr>
              <w:t>投标报价不属于本项第（</w:t>
            </w:r>
            <w:r>
              <w:rPr>
                <w:rFonts w:ascii="宋体" w:hAnsi="宋体"/>
                <w:szCs w:val="21"/>
              </w:rPr>
              <w:t>2</w:t>
            </w:r>
            <w:r>
              <w:rPr>
                <w:rFonts w:hint="eastAsia" w:ascii="宋体" w:hAnsi="宋体"/>
                <w:szCs w:val="21"/>
              </w:rPr>
              <w:t>）目情形</w:t>
            </w:r>
            <w:r>
              <w:rPr>
                <w:rFonts w:hint="eastAsia" w:ascii="宋体" w:hAnsi="宋体"/>
                <w:szCs w:val="21"/>
                <w:lang w:val="en-US" w:eastAsia="zh-CN"/>
              </w:rPr>
              <w:t>的</w:t>
            </w:r>
            <w:r>
              <w:rPr>
                <w:rFonts w:hint="eastAsia" w:ascii="宋体" w:hAnsi="宋体"/>
                <w:szCs w:val="21"/>
              </w:rPr>
              <w:t>，将参与评标基准价计算，但其第二个信封（报价文件）不参与评审。</w:t>
            </w:r>
          </w:p>
          <w:p w14:paraId="4CCC866F">
            <w:pPr>
              <w:widowControl/>
              <w:spacing w:line="400" w:lineRule="exact"/>
              <w:rPr>
                <w:rFonts w:ascii="宋体" w:hAnsi="宋体" w:cs="宋体"/>
                <w:szCs w:val="21"/>
              </w:rPr>
            </w:pPr>
            <w:r>
              <w:rPr>
                <w:rFonts w:hint="eastAsia" w:ascii="宋体" w:hAnsi="宋体" w:cs="宋体"/>
                <w:szCs w:val="21"/>
              </w:rPr>
              <w:t>（</w:t>
            </w:r>
            <w:r>
              <w:rPr>
                <w:rFonts w:ascii="宋体" w:hAnsi="宋体" w:cs="宋体"/>
                <w:szCs w:val="21"/>
              </w:rPr>
              <w:t>4）评标基准价的确定</w:t>
            </w:r>
            <w:r>
              <w:rPr>
                <w:rFonts w:hint="eastAsia" w:ascii="宋体" w:hAnsi="宋体" w:cs="宋体"/>
                <w:szCs w:val="21"/>
              </w:rPr>
              <w:t>：</w:t>
            </w:r>
          </w:p>
          <w:p w14:paraId="78C68567">
            <w:pPr>
              <w:widowControl/>
              <w:adjustRightInd w:val="0"/>
              <w:snapToGrid w:val="0"/>
              <w:spacing w:line="400" w:lineRule="exact"/>
              <w:ind w:firstLine="210" w:firstLineChars="100"/>
              <w:rPr>
                <w:rFonts w:ascii="宋体" w:hAnsi="宋体" w:cs="宋体"/>
                <w:szCs w:val="21"/>
              </w:rPr>
            </w:pPr>
            <w:r>
              <w:rPr>
                <w:rFonts w:hint="eastAsia" w:cs="宋体" w:asciiTheme="minorEastAsia" w:hAnsiTheme="minorEastAsia" w:eastAsiaTheme="minorEastAsia"/>
                <w:szCs w:val="21"/>
              </w:rPr>
              <w:t>评标基准价计算涉及随机抽取参数的，均应由招标人或监督人或随机选定的投标人代表（现场开标时）随机抽取，</w:t>
            </w:r>
            <w:r>
              <w:rPr>
                <w:rFonts w:hint="eastAsia" w:ascii="宋体" w:hAnsi="宋体" w:cs="宋体"/>
                <w:szCs w:val="21"/>
              </w:rPr>
              <w:t>且抽取过程</w:t>
            </w:r>
            <w:r>
              <w:rPr>
                <w:rFonts w:hint="eastAsia" w:cs="宋体" w:asciiTheme="minorEastAsia" w:hAnsiTheme="minorEastAsia" w:eastAsiaTheme="minorEastAsia"/>
                <w:szCs w:val="21"/>
              </w:rPr>
              <w:t>须</w:t>
            </w:r>
            <w:r>
              <w:rPr>
                <w:rFonts w:hint="eastAsia" w:ascii="宋体" w:hAnsi="宋体" w:cs="宋体"/>
                <w:szCs w:val="21"/>
              </w:rPr>
              <w:t>经公证机构现场公证。</w:t>
            </w:r>
          </w:p>
          <w:p w14:paraId="24A4CD4E">
            <w:pPr>
              <w:widowControl/>
              <w:adjustRightInd w:val="0"/>
              <w:snapToGrid w:val="0"/>
              <w:spacing w:line="400" w:lineRule="exact"/>
              <w:ind w:firstLine="210" w:firstLineChars="100"/>
              <w:rPr>
                <w:rFonts w:ascii="宋体" w:hAnsi="宋体" w:cs="宋体"/>
                <w:szCs w:val="21"/>
              </w:rPr>
            </w:pPr>
            <w:r>
              <w:rPr>
                <w:color w:val="000000"/>
                <w:szCs w:val="21"/>
              </w:rPr>
              <w:t>当所有投标报价低于招标人公布的最高投标限价值</w:t>
            </w:r>
            <w:r>
              <w:rPr>
                <w:rFonts w:hint="eastAsia"/>
                <w:color w:val="000000"/>
                <w:szCs w:val="21"/>
                <w:u w:val="single"/>
              </w:rPr>
              <w:t xml:space="preserve">    </w:t>
            </w:r>
            <w:r>
              <w:rPr>
                <w:rFonts w:hint="eastAsia"/>
                <w:color w:val="000000"/>
                <w:szCs w:val="21"/>
              </w:rPr>
              <w:t>%</w:t>
            </w:r>
            <w:r>
              <w:rPr>
                <w:color w:val="000000"/>
                <w:szCs w:val="21"/>
              </w:rPr>
              <w:t>时，以</w:t>
            </w:r>
            <w:r>
              <w:rPr>
                <w:rFonts w:hint="eastAsia"/>
                <w:color w:val="000000"/>
                <w:szCs w:val="21"/>
              </w:rPr>
              <w:t>招标人</w:t>
            </w:r>
            <w:r>
              <w:rPr>
                <w:color w:val="000000"/>
                <w:szCs w:val="21"/>
              </w:rPr>
              <w:t>公布的</w:t>
            </w:r>
            <w:r>
              <w:rPr>
                <w:rFonts w:hint="eastAsia"/>
                <w:color w:val="000000"/>
                <w:szCs w:val="21"/>
              </w:rPr>
              <w:t>最高投标限价值的</w:t>
            </w:r>
            <w:r>
              <w:rPr>
                <w:rFonts w:hint="eastAsia"/>
                <w:color w:val="000000"/>
                <w:szCs w:val="21"/>
                <w:u w:val="single"/>
              </w:rPr>
              <w:t xml:space="preserve">    </w:t>
            </w:r>
            <w:r>
              <w:rPr>
                <w:rFonts w:hint="eastAsia"/>
                <w:color w:val="000000"/>
                <w:szCs w:val="21"/>
              </w:rPr>
              <w:t>%</w:t>
            </w:r>
            <w:r>
              <w:rPr>
                <w:color w:val="000000"/>
                <w:szCs w:val="21"/>
              </w:rPr>
              <w:t>作为评标基准价。</w:t>
            </w:r>
          </w:p>
          <w:p w14:paraId="13848F51">
            <w:pPr>
              <w:widowControl/>
              <w:adjustRightInd w:val="0"/>
              <w:snapToGrid w:val="0"/>
              <w:spacing w:line="400" w:lineRule="exact"/>
              <w:ind w:firstLine="0" w:firstLineChars="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方法一（随机权重法）</w:t>
            </w:r>
            <w:r>
              <w:rPr>
                <w:rFonts w:hint="eastAsia" w:ascii="宋体" w:hAnsi="宋体" w:cs="宋体"/>
                <w:szCs w:val="21"/>
              </w:rPr>
              <w:t>：</w:t>
            </w:r>
          </w:p>
          <w:p w14:paraId="0AF158B6">
            <w:pPr>
              <w:widowControl/>
              <w:adjustRightInd w:val="0"/>
              <w:snapToGrid w:val="0"/>
              <w:spacing w:line="400" w:lineRule="exact"/>
              <w:ind w:firstLine="210" w:firstLineChars="100"/>
              <w:jc w:val="left"/>
              <w:rPr>
                <w:rFonts w:ascii="宋体" w:hAnsi="宋体" w:cs="宋体"/>
                <w:spacing w:val="20"/>
                <w:szCs w:val="21"/>
              </w:rPr>
            </w:pPr>
            <w:r>
              <w:rPr>
                <w:rFonts w:hint="eastAsia" w:ascii="宋体" w:hAnsi="宋体" w:cs="宋体"/>
                <w:szCs w:val="21"/>
              </w:rPr>
              <w:fldChar w:fldCharType="begin"/>
            </w:r>
            <w:r>
              <w:rPr>
                <w:rFonts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 xml:space="preserve"> 评标基准价</w:t>
            </w:r>
            <w:r>
              <w:rPr>
                <w:rFonts w:hint="eastAsia" w:ascii="宋体" w:hAnsi="宋体" w:cs="宋体"/>
                <w:spacing w:val="20"/>
                <w:szCs w:val="21"/>
              </w:rPr>
              <w:t>＝</w:t>
            </w:r>
            <w:r>
              <w:rPr>
                <w:rFonts w:ascii="宋体" w:hAnsi="宋体" w:cs="宋体"/>
                <w:spacing w:val="20"/>
                <w:szCs w:val="21"/>
              </w:rPr>
              <w:t>A×K</w:t>
            </w:r>
            <w:r>
              <w:rPr>
                <w:rFonts w:ascii="宋体" w:hAnsi="宋体" w:cs="宋体"/>
                <w:spacing w:val="20"/>
                <w:szCs w:val="21"/>
                <w:vertAlign w:val="subscript"/>
              </w:rPr>
              <w:t>1</w:t>
            </w:r>
            <w:r>
              <w:rPr>
                <w:rFonts w:hint="eastAsia" w:ascii="宋体" w:hAnsi="宋体" w:cs="宋体"/>
                <w:spacing w:val="20"/>
                <w:szCs w:val="21"/>
              </w:rPr>
              <w:t>×</w:t>
            </w:r>
            <w:r>
              <w:rPr>
                <w:rFonts w:ascii="宋体" w:hAnsi="宋体" w:cs="宋体"/>
                <w:spacing w:val="20"/>
                <w:szCs w:val="21"/>
              </w:rPr>
              <w:t>Q</w:t>
            </w:r>
            <w:r>
              <w:rPr>
                <w:rFonts w:ascii="宋体" w:hAnsi="宋体" w:cs="宋体"/>
                <w:spacing w:val="20"/>
                <w:szCs w:val="21"/>
                <w:vertAlign w:val="subscript"/>
              </w:rPr>
              <w:t>1</w:t>
            </w:r>
            <w:r>
              <w:rPr>
                <w:rFonts w:ascii="宋体" w:hAnsi="宋体" w:cs="宋体"/>
                <w:spacing w:val="20"/>
                <w:szCs w:val="21"/>
              </w:rPr>
              <w:t>+B×K</w:t>
            </w:r>
            <w:r>
              <w:rPr>
                <w:rFonts w:ascii="宋体" w:hAnsi="宋体" w:cs="宋体"/>
                <w:spacing w:val="20"/>
                <w:szCs w:val="21"/>
                <w:vertAlign w:val="subscript"/>
              </w:rPr>
              <w:t>2</w:t>
            </w:r>
            <w:r>
              <w:rPr>
                <w:rFonts w:hint="eastAsia" w:ascii="宋体" w:hAnsi="宋体" w:cs="宋体"/>
                <w:spacing w:val="20"/>
                <w:szCs w:val="21"/>
              </w:rPr>
              <w:t>×</w:t>
            </w:r>
            <w:r>
              <w:rPr>
                <w:rFonts w:ascii="宋体" w:hAnsi="宋体" w:cs="宋体"/>
                <w:spacing w:val="20"/>
                <w:szCs w:val="21"/>
              </w:rPr>
              <w:t>Q</w:t>
            </w:r>
            <w:r>
              <w:rPr>
                <w:rFonts w:ascii="宋体" w:hAnsi="宋体" w:cs="宋体"/>
                <w:spacing w:val="20"/>
                <w:szCs w:val="21"/>
                <w:vertAlign w:val="subscript"/>
              </w:rPr>
              <w:t>2</w:t>
            </w:r>
          </w:p>
          <w:p w14:paraId="46A6E490">
            <w:pPr>
              <w:widowControl/>
              <w:adjustRightInd w:val="0"/>
              <w:snapToGrid w:val="0"/>
              <w:spacing w:line="400" w:lineRule="exact"/>
              <w:ind w:left="1260" w:leftChars="0" w:hanging="1260" w:hangingChars="600"/>
              <w:jc w:val="left"/>
              <w:rPr>
                <w:rFonts w:hint="eastAsia" w:ascii="宋体" w:hAnsi="宋体" w:cs="宋体"/>
                <w:szCs w:val="21"/>
              </w:rPr>
            </w:pPr>
            <w:r>
              <w:rPr>
                <w:rFonts w:hint="eastAsia" w:ascii="宋体" w:hAnsi="宋体" w:cs="宋体"/>
                <w:szCs w:val="21"/>
                <w:lang w:val="en-US" w:eastAsia="zh-CN"/>
              </w:rPr>
              <w:t>式中：</w:t>
            </w:r>
            <w:r>
              <w:rPr>
                <w:rFonts w:ascii="宋体" w:hAnsi="宋体" w:cs="宋体"/>
                <w:szCs w:val="21"/>
              </w:rPr>
              <w:t>A</w:t>
            </w:r>
            <w:r>
              <w:rPr>
                <w:rFonts w:hint="eastAsia" w:ascii="宋体" w:hAnsi="宋体" w:cs="宋体"/>
                <w:szCs w:val="21"/>
                <w:lang w:val="en-US" w:eastAsia="zh-CN"/>
              </w:rPr>
              <w:t xml:space="preserve"> </w:t>
            </w:r>
            <w:r>
              <w:rPr>
                <w:rFonts w:hint="eastAsia" w:ascii="微软雅黑" w:hAnsi="微软雅黑" w:eastAsia="微软雅黑" w:cs="微软雅黑"/>
                <w:szCs w:val="21"/>
                <w:lang w:eastAsia="zh-CN"/>
              </w:rPr>
              <w:t>——</w:t>
            </w:r>
            <w:r>
              <w:rPr>
                <w:rFonts w:hint="eastAsia" w:ascii="宋体" w:hAnsi="宋体" w:cs="宋体"/>
                <w:szCs w:val="21"/>
              </w:rPr>
              <w:t>按本项规定应进入</w:t>
            </w:r>
            <w:r>
              <w:rPr>
                <w:rFonts w:hint="eastAsia" w:ascii="宋体" w:hAnsi="宋体"/>
                <w:szCs w:val="21"/>
              </w:rPr>
              <w:t>评标基准价计算的评标价的</w:t>
            </w:r>
            <w:r>
              <w:rPr>
                <w:rFonts w:hint="eastAsia" w:ascii="宋体" w:hAnsi="宋体" w:cs="宋体"/>
                <w:szCs w:val="21"/>
              </w:rPr>
              <w:t>算术</w:t>
            </w:r>
            <w:r>
              <w:rPr>
                <w:rFonts w:hint="eastAsia" w:ascii="宋体" w:hAnsi="宋体"/>
                <w:szCs w:val="21"/>
              </w:rPr>
              <w:t>平均值</w:t>
            </w:r>
            <w:r>
              <w:rPr>
                <w:rFonts w:ascii="宋体" w:hAnsi="宋体" w:cs="宋体"/>
                <w:szCs w:val="21"/>
              </w:rPr>
              <w:t>（若</w:t>
            </w:r>
            <w:r>
              <w:rPr>
                <w:rFonts w:hint="eastAsia" w:ascii="宋体" w:hAnsi="宋体" w:cs="宋体"/>
                <w:szCs w:val="21"/>
              </w:rPr>
              <w:t>参与计算的评标价个数</w:t>
            </w:r>
            <w:r>
              <w:rPr>
                <w:rFonts w:ascii="宋体" w:hAnsi="宋体" w:cs="宋体"/>
                <w:szCs w:val="21"/>
              </w:rPr>
              <w:t>≤10家时，直接取算术平均值为A；</w:t>
            </w:r>
            <w:r>
              <w:rPr>
                <w:rFonts w:hint="eastAsia" w:ascii="宋体" w:hAnsi="宋体" w:cs="宋体"/>
                <w:szCs w:val="21"/>
              </w:rPr>
              <w:t>若参与计算的评标价个数</w:t>
            </w:r>
            <w:r>
              <w:rPr>
                <w:rFonts w:ascii="宋体" w:hAnsi="宋体" w:cs="宋体"/>
                <w:szCs w:val="21"/>
              </w:rPr>
              <w:t>＞N×10家时，去掉其</w:t>
            </w:r>
            <w:r>
              <w:rPr>
                <w:rFonts w:hint="eastAsia" w:ascii="宋体" w:hAnsi="宋体" w:cs="宋体"/>
                <w:szCs w:val="21"/>
              </w:rPr>
              <w:t>中的</w:t>
            </w:r>
            <w:r>
              <w:rPr>
                <w:rFonts w:ascii="宋体" w:hAnsi="宋体" w:cs="宋体"/>
                <w:szCs w:val="21"/>
              </w:rPr>
              <w:t>N个最高报价和N个最低报价后取算术平均值为A，N</w:t>
            </w:r>
            <w:r>
              <w:rPr>
                <w:rFonts w:hint="eastAsia" w:ascii="微软雅黑" w:hAnsi="微软雅黑" w:eastAsia="微软雅黑" w:cs="微软雅黑"/>
                <w:color w:val="000000"/>
                <w:szCs w:val="21"/>
              </w:rPr>
              <w:t>≥</w:t>
            </w:r>
            <w:r>
              <w:rPr>
                <w:rFonts w:hint="eastAsia" w:ascii="宋体" w:hAnsi="宋体" w:cs="宋体"/>
                <w:color w:val="000000"/>
                <w:szCs w:val="21"/>
              </w:rPr>
              <w:t>1</w:t>
            </w:r>
            <w:r>
              <w:rPr>
                <w:rFonts w:ascii="宋体" w:hAnsi="宋体" w:cs="宋体"/>
                <w:szCs w:val="21"/>
              </w:rPr>
              <w:t>为自然数）</w:t>
            </w:r>
            <w:r>
              <w:rPr>
                <w:rFonts w:hint="eastAsia" w:ascii="宋体" w:hAnsi="宋体" w:cs="宋体"/>
                <w:szCs w:val="21"/>
              </w:rPr>
              <w:t>；</w:t>
            </w:r>
          </w:p>
          <w:p w14:paraId="5B12C00F">
            <w:pPr>
              <w:widowControl/>
              <w:adjustRightInd w:val="0"/>
              <w:snapToGrid w:val="0"/>
              <w:spacing w:line="400" w:lineRule="exact"/>
              <w:ind w:left="0" w:leftChars="0" w:firstLine="630" w:firstLineChars="300"/>
              <w:jc w:val="left"/>
              <w:rPr>
                <w:rFonts w:hint="eastAsia" w:ascii="宋体" w:hAnsi="宋体" w:cs="宋体"/>
                <w:szCs w:val="21"/>
              </w:rPr>
            </w:pPr>
            <w:r>
              <w:rPr>
                <w:rFonts w:ascii="宋体" w:hAnsi="宋体" w:cs="宋体"/>
                <w:szCs w:val="21"/>
              </w:rPr>
              <w:t>B</w:t>
            </w:r>
            <w:r>
              <w:rPr>
                <w:rFonts w:hint="eastAsia" w:ascii="宋体" w:hAnsi="宋体" w:cs="宋体"/>
                <w:szCs w:val="21"/>
                <w:lang w:val="en-US" w:eastAsia="zh-CN"/>
              </w:rPr>
              <w:t xml:space="preserve"> </w:t>
            </w:r>
            <w:r>
              <w:rPr>
                <w:rFonts w:hint="eastAsia" w:ascii="微软雅黑" w:hAnsi="微软雅黑" w:eastAsia="微软雅黑" w:cs="微软雅黑"/>
                <w:szCs w:val="21"/>
                <w:lang w:eastAsia="zh-CN"/>
              </w:rPr>
              <w:t>——</w:t>
            </w:r>
            <w:r>
              <w:rPr>
                <w:rFonts w:ascii="宋体" w:hAnsi="宋体" w:cs="宋体"/>
                <w:szCs w:val="21"/>
              </w:rPr>
              <w:t>为招标人公布的最高</w:t>
            </w:r>
            <w:r>
              <w:rPr>
                <w:rFonts w:hint="eastAsia" w:ascii="宋体" w:hAnsi="宋体" w:cs="宋体"/>
                <w:szCs w:val="21"/>
              </w:rPr>
              <w:t>投标</w:t>
            </w:r>
            <w:r>
              <w:rPr>
                <w:rFonts w:ascii="宋体" w:hAnsi="宋体" w:cs="宋体"/>
                <w:szCs w:val="21"/>
              </w:rPr>
              <w:t>限价</w:t>
            </w:r>
            <w:r>
              <w:rPr>
                <w:rFonts w:hint="eastAsia" w:ascii="宋体" w:hAnsi="宋体" w:cs="宋体"/>
                <w:szCs w:val="21"/>
              </w:rPr>
              <w:t>；</w:t>
            </w:r>
          </w:p>
          <w:p w14:paraId="38BF7CD9">
            <w:pPr>
              <w:widowControl/>
              <w:adjustRightInd w:val="0"/>
              <w:snapToGrid w:val="0"/>
              <w:spacing w:line="400" w:lineRule="exact"/>
              <w:ind w:left="420" w:leftChars="200" w:firstLine="250" w:firstLineChars="100"/>
              <w:jc w:val="left"/>
              <w:rPr>
                <w:rFonts w:hint="eastAsia" w:ascii="宋体" w:hAnsi="宋体" w:cs="宋体"/>
                <w:szCs w:val="21"/>
              </w:rPr>
            </w:pPr>
            <w:r>
              <w:rPr>
                <w:rFonts w:ascii="宋体" w:hAnsi="宋体" w:cs="宋体"/>
                <w:spacing w:val="20"/>
                <w:szCs w:val="21"/>
              </w:rPr>
              <w:t>Q</w:t>
            </w:r>
            <w:r>
              <w:rPr>
                <w:rFonts w:ascii="宋体" w:hAnsi="宋体" w:cs="宋体"/>
                <w:spacing w:val="20"/>
                <w:szCs w:val="21"/>
                <w:vertAlign w:val="subscript"/>
              </w:rPr>
              <w:t>1</w:t>
            </w:r>
            <w:r>
              <w:rPr>
                <w:rFonts w:hint="eastAsia" w:ascii="微软雅黑" w:hAnsi="微软雅黑" w:eastAsia="微软雅黑" w:cs="微软雅黑"/>
                <w:szCs w:val="21"/>
                <w:lang w:eastAsia="zh-CN"/>
              </w:rPr>
              <w:t>——</w:t>
            </w:r>
            <w:r>
              <w:rPr>
                <w:rFonts w:hint="eastAsia" w:ascii="宋体" w:hAnsi="宋体" w:cs="宋体"/>
                <w:szCs w:val="21"/>
              </w:rPr>
              <w:t>为投标报价算术平均值</w:t>
            </w:r>
            <w:r>
              <w:rPr>
                <w:rFonts w:ascii="宋体" w:hAnsi="宋体" w:cs="宋体"/>
                <w:szCs w:val="21"/>
              </w:rPr>
              <w:t>A所占权重系数，取值范围</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w:t>
            </w:r>
          </w:p>
          <w:p w14:paraId="224061EB">
            <w:pPr>
              <w:widowControl/>
              <w:adjustRightInd w:val="0"/>
              <w:snapToGrid w:val="0"/>
              <w:spacing w:line="400" w:lineRule="exact"/>
              <w:ind w:left="420" w:leftChars="200" w:firstLine="250" w:firstLineChars="100"/>
              <w:jc w:val="left"/>
              <w:rPr>
                <w:rFonts w:hint="eastAsia" w:ascii="宋体" w:hAnsi="宋体" w:cs="宋体"/>
                <w:spacing w:val="20"/>
                <w:szCs w:val="21"/>
              </w:rPr>
            </w:pPr>
            <w:r>
              <w:rPr>
                <w:rFonts w:ascii="宋体" w:hAnsi="宋体" w:cs="宋体"/>
                <w:spacing w:val="20"/>
                <w:szCs w:val="21"/>
              </w:rPr>
              <w:t>Q</w:t>
            </w:r>
            <w:r>
              <w:rPr>
                <w:rFonts w:ascii="宋体" w:hAnsi="宋体" w:cs="宋体"/>
                <w:spacing w:val="20"/>
                <w:szCs w:val="21"/>
                <w:vertAlign w:val="subscript"/>
              </w:rPr>
              <w:t>2</w:t>
            </w:r>
            <w:r>
              <w:rPr>
                <w:rFonts w:hint="eastAsia" w:ascii="微软雅黑" w:hAnsi="微软雅黑" w:eastAsia="微软雅黑" w:cs="微软雅黑"/>
                <w:szCs w:val="21"/>
                <w:lang w:eastAsia="zh-CN"/>
              </w:rPr>
              <w:t>——</w:t>
            </w:r>
            <w:r>
              <w:rPr>
                <w:rFonts w:hint="eastAsia" w:ascii="宋体" w:hAnsi="宋体" w:cs="宋体"/>
                <w:szCs w:val="21"/>
              </w:rPr>
              <w:t>为最高投标限价</w:t>
            </w:r>
            <w:r>
              <w:rPr>
                <w:rFonts w:ascii="宋体" w:hAnsi="宋体" w:cs="宋体"/>
                <w:szCs w:val="21"/>
              </w:rPr>
              <w:t>B所占权重系数</w:t>
            </w:r>
            <w:r>
              <w:rPr>
                <w:rFonts w:ascii="宋体" w:hAnsi="宋体" w:cs="宋体"/>
                <w:spacing w:val="20"/>
                <w:szCs w:val="21"/>
              </w:rPr>
              <w:t>，Q</w:t>
            </w:r>
            <w:r>
              <w:rPr>
                <w:rFonts w:ascii="宋体" w:hAnsi="宋体" w:cs="宋体"/>
                <w:spacing w:val="20"/>
                <w:szCs w:val="21"/>
                <w:vertAlign w:val="subscript"/>
              </w:rPr>
              <w:t>2</w:t>
            </w:r>
            <w:r>
              <w:rPr>
                <w:rFonts w:ascii="宋体" w:hAnsi="宋体" w:cs="宋体"/>
                <w:spacing w:val="20"/>
                <w:szCs w:val="21"/>
              </w:rPr>
              <w:t>=1－Q</w:t>
            </w:r>
            <w:r>
              <w:rPr>
                <w:rFonts w:ascii="宋体" w:hAnsi="宋体" w:cs="宋体"/>
                <w:spacing w:val="20"/>
                <w:szCs w:val="21"/>
                <w:vertAlign w:val="subscript"/>
              </w:rPr>
              <w:t>1</w:t>
            </w:r>
            <w:r>
              <w:rPr>
                <w:rFonts w:hint="eastAsia" w:ascii="宋体" w:hAnsi="宋体" w:cs="宋体"/>
                <w:spacing w:val="20"/>
                <w:szCs w:val="21"/>
              </w:rPr>
              <w:t>；</w:t>
            </w:r>
          </w:p>
          <w:p w14:paraId="714D67DC">
            <w:pPr>
              <w:widowControl/>
              <w:adjustRightInd w:val="0"/>
              <w:snapToGrid w:val="0"/>
              <w:spacing w:line="400" w:lineRule="exact"/>
              <w:ind w:left="420" w:leftChars="200" w:firstLine="210" w:firstLineChars="100"/>
              <w:jc w:val="left"/>
              <w:rPr>
                <w:rFonts w:ascii="宋体" w:hAnsi="宋体" w:cs="宋体"/>
                <w:szCs w:val="21"/>
              </w:rPr>
            </w:pPr>
            <w:r>
              <w:rPr>
                <w:rFonts w:ascii="宋体" w:hAnsi="宋体" w:cs="宋体"/>
                <w:szCs w:val="21"/>
              </w:rPr>
              <w:t>K</w:t>
            </w:r>
            <w:r>
              <w:rPr>
                <w:rFonts w:ascii="宋体" w:hAnsi="宋体" w:cs="宋体"/>
                <w:szCs w:val="21"/>
                <w:vertAlign w:val="subscript"/>
              </w:rPr>
              <w:t>1</w:t>
            </w:r>
            <w:r>
              <w:rPr>
                <w:rFonts w:hint="eastAsia" w:ascii="宋体" w:hAnsi="宋体" w:cs="宋体"/>
                <w:szCs w:val="21"/>
                <w:vertAlign w:val="subscript"/>
                <w:lang w:val="en-US" w:eastAsia="zh-CN"/>
              </w:rPr>
              <w:t xml:space="preserve"> </w:t>
            </w:r>
            <w:r>
              <w:rPr>
                <w:rFonts w:hint="eastAsia" w:ascii="微软雅黑" w:hAnsi="微软雅黑" w:eastAsia="微软雅黑" w:cs="微软雅黑"/>
                <w:szCs w:val="21"/>
                <w:lang w:eastAsia="zh-CN"/>
              </w:rPr>
              <w:t>——</w:t>
            </w:r>
            <w:r>
              <w:rPr>
                <w:rFonts w:hint="eastAsia" w:ascii="宋体" w:hAnsi="宋体" w:cs="宋体"/>
                <w:szCs w:val="21"/>
              </w:rPr>
              <w:t>为投标报价算术平均值</w:t>
            </w:r>
            <w:r>
              <w:rPr>
                <w:rFonts w:ascii="宋体" w:hAnsi="宋体" w:cs="宋体"/>
                <w:szCs w:val="21"/>
              </w:rPr>
              <w:t>A下浮系数，取值范围</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w:t>
            </w:r>
          </w:p>
          <w:p w14:paraId="1025406A">
            <w:pPr>
              <w:widowControl/>
              <w:adjustRightInd w:val="0"/>
              <w:snapToGrid w:val="0"/>
              <w:spacing w:line="400" w:lineRule="exact"/>
              <w:ind w:left="420" w:leftChars="200" w:firstLine="210" w:firstLineChars="100"/>
              <w:jc w:val="left"/>
              <w:rPr>
                <w:rFonts w:ascii="宋体" w:hAnsi="宋体" w:cs="宋体"/>
                <w:szCs w:val="21"/>
              </w:rPr>
            </w:pPr>
            <w:r>
              <w:rPr>
                <w:rFonts w:ascii="宋体" w:hAnsi="宋体" w:cs="宋体"/>
                <w:szCs w:val="21"/>
              </w:rPr>
              <w:t>K</w:t>
            </w:r>
            <w:r>
              <w:rPr>
                <w:rFonts w:ascii="宋体" w:hAnsi="宋体" w:cs="宋体"/>
                <w:szCs w:val="21"/>
                <w:vertAlign w:val="subscript"/>
              </w:rPr>
              <w:t>2</w:t>
            </w:r>
            <w:r>
              <w:rPr>
                <w:rFonts w:hint="eastAsia" w:ascii="宋体" w:hAnsi="宋体" w:cs="宋体"/>
                <w:szCs w:val="21"/>
                <w:vertAlign w:val="subscript"/>
                <w:lang w:val="en-US" w:eastAsia="zh-CN"/>
              </w:rPr>
              <w:t xml:space="preserve"> </w:t>
            </w:r>
            <w:r>
              <w:rPr>
                <w:rFonts w:hint="eastAsia" w:ascii="微软雅黑" w:hAnsi="微软雅黑" w:eastAsia="微软雅黑" w:cs="微软雅黑"/>
                <w:szCs w:val="21"/>
                <w:lang w:eastAsia="zh-CN"/>
              </w:rPr>
              <w:t>——</w:t>
            </w:r>
            <w:r>
              <w:rPr>
                <w:rFonts w:hint="eastAsia" w:ascii="宋体" w:hAnsi="宋体" w:cs="宋体"/>
                <w:szCs w:val="21"/>
              </w:rPr>
              <w:t>为最高投标限价</w:t>
            </w:r>
            <w:r>
              <w:rPr>
                <w:rFonts w:ascii="宋体" w:hAnsi="宋体" w:cs="宋体"/>
                <w:szCs w:val="21"/>
              </w:rPr>
              <w:t>B下浮系数，取值范围</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w:t>
            </w:r>
          </w:p>
          <w:p w14:paraId="749BE61F">
            <w:pPr>
              <w:widowControl/>
              <w:adjustRightInd w:val="0"/>
              <w:snapToGrid w:val="0"/>
              <w:spacing w:line="400" w:lineRule="exact"/>
              <w:ind w:left="0" w:leftChars="0" w:firstLine="210" w:firstLineChars="100"/>
              <w:jc w:val="left"/>
              <w:rPr>
                <w:rFonts w:ascii="宋体" w:hAnsi="宋体" w:cs="宋体"/>
                <w:szCs w:val="21"/>
              </w:rPr>
            </w:pPr>
            <w:r>
              <w:rPr>
                <w:rFonts w:ascii="宋体" w:hAnsi="宋体" w:cs="宋体"/>
                <w:szCs w:val="21"/>
              </w:rPr>
              <w:t>M值、Q</w:t>
            </w:r>
            <w:r>
              <w:rPr>
                <w:rFonts w:ascii="宋体" w:hAnsi="宋体" w:cs="宋体"/>
                <w:szCs w:val="21"/>
                <w:vertAlign w:val="subscript"/>
              </w:rPr>
              <w:t>1</w:t>
            </w:r>
            <w:r>
              <w:rPr>
                <w:rFonts w:hint="eastAsia" w:ascii="宋体" w:hAnsi="宋体" w:cs="宋体"/>
                <w:szCs w:val="21"/>
              </w:rPr>
              <w:t>值、</w:t>
            </w:r>
            <w:r>
              <w:rPr>
                <w:rFonts w:ascii="宋体" w:hAnsi="宋体" w:cs="宋体"/>
                <w:szCs w:val="21"/>
              </w:rPr>
              <w:t>K</w:t>
            </w:r>
            <w:r>
              <w:rPr>
                <w:rFonts w:ascii="宋体" w:hAnsi="宋体" w:cs="宋体"/>
                <w:szCs w:val="21"/>
                <w:vertAlign w:val="subscript"/>
              </w:rPr>
              <w:t>1</w:t>
            </w:r>
            <w:r>
              <w:rPr>
                <w:rFonts w:hint="eastAsia" w:ascii="宋体" w:hAnsi="宋体" w:cs="宋体"/>
                <w:szCs w:val="21"/>
              </w:rPr>
              <w:t>值、</w:t>
            </w:r>
            <w:r>
              <w:rPr>
                <w:rFonts w:ascii="宋体" w:hAnsi="宋体" w:cs="宋体"/>
                <w:szCs w:val="21"/>
              </w:rPr>
              <w:t>K</w:t>
            </w:r>
            <w:r>
              <w:rPr>
                <w:rFonts w:ascii="宋体" w:hAnsi="宋体" w:cs="宋体"/>
                <w:szCs w:val="21"/>
                <w:vertAlign w:val="subscript"/>
              </w:rPr>
              <w:t>2</w:t>
            </w:r>
            <w:r>
              <w:rPr>
                <w:rFonts w:hint="eastAsia" w:ascii="宋体" w:hAnsi="宋体" w:cs="宋体"/>
                <w:szCs w:val="21"/>
              </w:rPr>
              <w:t>值均在第二个信封</w:t>
            </w:r>
            <w:r>
              <w:rPr>
                <w:rFonts w:hint="eastAsia" w:ascii="宋体" w:hAnsi="宋体" w:cs="宋体"/>
                <w:color w:val="000000"/>
                <w:szCs w:val="21"/>
              </w:rPr>
              <w:t>（报价文件）</w:t>
            </w:r>
            <w:r>
              <w:rPr>
                <w:rFonts w:hint="eastAsia" w:ascii="宋体" w:hAnsi="宋体" w:cs="宋体"/>
                <w:szCs w:val="21"/>
              </w:rPr>
              <w:t>开标现场随机抽取确定，抽取要求见各系数的</w:t>
            </w:r>
            <w:r>
              <w:rPr>
                <w:rFonts w:ascii="宋体" w:hAnsi="宋体" w:cs="宋体"/>
                <w:szCs w:val="21"/>
              </w:rPr>
              <w:t>确定</w:t>
            </w:r>
            <w:r>
              <w:rPr>
                <w:rFonts w:hint="eastAsia" w:ascii="宋体" w:hAnsi="宋体" w:cs="宋体"/>
                <w:szCs w:val="21"/>
              </w:rPr>
              <w:t>。</w:t>
            </w:r>
          </w:p>
          <w:p w14:paraId="03D3F8A8">
            <w:pPr>
              <w:pStyle w:val="37"/>
              <w:spacing w:line="400" w:lineRule="exact"/>
              <w:ind w:firstLine="210" w:firstLineChars="100"/>
              <w:jc w:val="both"/>
              <w:rPr>
                <w:rFonts w:ascii="宋体" w:hAnsi="宋体" w:cs="宋体"/>
                <w:color w:val="000000"/>
                <w:sz w:val="21"/>
                <w:szCs w:val="21"/>
              </w:rPr>
            </w:pPr>
            <w:r>
              <w:rPr>
                <w:rFonts w:hint="eastAsia" w:ascii="宋体" w:hAnsi="宋体" w:cs="宋体"/>
                <w:color w:val="000000"/>
                <w:sz w:val="21"/>
                <w:szCs w:val="21"/>
                <w:lang w:val="en-US" w:eastAsia="zh-CN"/>
              </w:rPr>
              <w:t>注：</w:t>
            </w:r>
            <w:r>
              <w:rPr>
                <w:rFonts w:hint="eastAsia" w:ascii="宋体" w:hAnsi="宋体" w:cs="宋体"/>
                <w:color w:val="000000"/>
                <w:sz w:val="21"/>
                <w:szCs w:val="21"/>
              </w:rPr>
              <w:t>1.</w:t>
            </w:r>
            <w:r>
              <w:rPr>
                <w:rFonts w:ascii="宋体" w:hAnsi="宋体" w:cs="宋体"/>
                <w:color w:val="000000"/>
                <w:sz w:val="21"/>
                <w:szCs w:val="21"/>
              </w:rPr>
              <w:t>Q1取值范围30%～70%,Q1取值的步长不大于1%。</w:t>
            </w:r>
          </w:p>
          <w:p w14:paraId="6632D93C">
            <w:pPr>
              <w:pStyle w:val="37"/>
              <w:spacing w:line="400" w:lineRule="exact"/>
              <w:ind w:firstLine="210" w:firstLineChars="100"/>
              <w:jc w:val="both"/>
              <w:rPr>
                <w:rFonts w:ascii="宋体" w:hAnsi="宋体" w:cs="宋体"/>
                <w:color w:val="000000"/>
                <w:sz w:val="21"/>
                <w:szCs w:val="21"/>
              </w:rPr>
            </w:pPr>
            <w:r>
              <w:rPr>
                <w:rFonts w:ascii="宋体" w:hAnsi="宋体" w:cs="宋体"/>
                <w:color w:val="000000"/>
                <w:sz w:val="21"/>
                <w:szCs w:val="21"/>
              </w:rPr>
              <w:t>2.K1取值范围95%～100%, K1取值的步长不大于0.5%。</w:t>
            </w:r>
          </w:p>
          <w:p w14:paraId="03F61F7F">
            <w:pPr>
              <w:pStyle w:val="37"/>
              <w:spacing w:line="400" w:lineRule="exact"/>
              <w:ind w:left="0" w:leftChars="0" w:firstLine="210" w:firstLineChars="100"/>
              <w:jc w:val="both"/>
              <w:rPr>
                <w:rFonts w:ascii="宋体" w:hAnsi="宋体" w:cs="宋体"/>
                <w:color w:val="000000"/>
                <w:sz w:val="21"/>
                <w:szCs w:val="21"/>
              </w:rPr>
            </w:pPr>
            <w:r>
              <w:rPr>
                <w:rFonts w:ascii="宋体" w:hAnsi="宋体" w:cs="宋体"/>
                <w:color w:val="000000"/>
                <w:sz w:val="21"/>
                <w:szCs w:val="21"/>
              </w:rPr>
              <w:t>3.K2</w:t>
            </w:r>
            <w:r>
              <w:rPr>
                <w:rFonts w:hint="eastAsia" w:ascii="宋体" w:hAnsi="宋体" w:cs="宋体"/>
                <w:color w:val="000000"/>
                <w:sz w:val="21"/>
                <w:szCs w:val="21"/>
              </w:rPr>
              <w:t>取值范围</w:t>
            </w:r>
            <w:r>
              <w:rPr>
                <w:rFonts w:ascii="宋体" w:hAnsi="宋体" w:cs="宋体"/>
                <w:color w:val="000000"/>
                <w:sz w:val="21"/>
                <w:szCs w:val="21"/>
              </w:rPr>
              <w:t>(85%+M%)～(90%+M%)，其中M为0</w:t>
            </w:r>
            <w:r>
              <w:rPr>
                <w:rFonts w:hint="eastAsia" w:ascii="宋体" w:hAnsi="宋体" w:cs="宋体"/>
                <w:color w:val="000000"/>
                <w:sz w:val="21"/>
                <w:szCs w:val="21"/>
              </w:rPr>
              <w:t>～</w:t>
            </w:r>
            <w:r>
              <w:rPr>
                <w:rFonts w:ascii="宋体" w:hAnsi="宋体" w:cs="宋体"/>
                <w:color w:val="000000"/>
                <w:sz w:val="21"/>
                <w:szCs w:val="21"/>
              </w:rPr>
              <w:t>5的自然数，K2取值的步长不大于0.5%。</w:t>
            </w:r>
          </w:p>
          <w:p w14:paraId="56C721D1">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fldChar w:fldCharType="begin"/>
            </w:r>
            <w:r>
              <w:rPr>
                <w:rFonts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ascii="宋体" w:hAnsi="宋体" w:cs="宋体"/>
                <w:szCs w:val="21"/>
              </w:rPr>
              <w:t xml:space="preserve"> K</w:t>
            </w:r>
            <w:r>
              <w:rPr>
                <w:rFonts w:ascii="宋体" w:hAnsi="宋体" w:cs="宋体"/>
                <w:szCs w:val="21"/>
                <w:vertAlign w:val="subscript"/>
              </w:rPr>
              <w:t>1</w:t>
            </w:r>
            <w:r>
              <w:rPr>
                <w:rFonts w:hint="eastAsia" w:ascii="宋体" w:hAnsi="宋体" w:cs="宋体"/>
                <w:szCs w:val="21"/>
              </w:rPr>
              <w:t>、</w:t>
            </w:r>
            <w:r>
              <w:rPr>
                <w:rFonts w:ascii="宋体" w:hAnsi="宋体" w:cs="宋体"/>
                <w:szCs w:val="21"/>
              </w:rPr>
              <w:t>M</w:t>
            </w:r>
            <w:r>
              <w:rPr>
                <w:rFonts w:hint="eastAsia" w:ascii="宋体" w:hAnsi="宋体" w:cs="宋体"/>
                <w:szCs w:val="21"/>
              </w:rPr>
              <w:t>、</w:t>
            </w:r>
            <w:r>
              <w:rPr>
                <w:rFonts w:ascii="宋体" w:hAnsi="宋体" w:cs="宋体"/>
                <w:szCs w:val="21"/>
              </w:rPr>
              <w:t>K</w:t>
            </w:r>
            <w:r>
              <w:rPr>
                <w:rFonts w:ascii="宋体" w:hAnsi="宋体" w:cs="宋体"/>
                <w:szCs w:val="21"/>
                <w:vertAlign w:val="subscript"/>
              </w:rPr>
              <w:t>2</w:t>
            </w:r>
            <w:r>
              <w:rPr>
                <w:rFonts w:hint="eastAsia" w:ascii="宋体" w:hAnsi="宋体" w:cs="宋体"/>
                <w:szCs w:val="21"/>
              </w:rPr>
              <w:t>、</w:t>
            </w:r>
            <w:r>
              <w:rPr>
                <w:rFonts w:ascii="宋体" w:hAnsi="宋体" w:cs="宋体"/>
                <w:szCs w:val="21"/>
              </w:rPr>
              <w:t>Q</w:t>
            </w:r>
            <w:r>
              <w:rPr>
                <w:rFonts w:ascii="宋体" w:hAnsi="宋体" w:cs="宋体"/>
                <w:szCs w:val="21"/>
                <w:vertAlign w:val="subscript"/>
              </w:rPr>
              <w:t>1</w:t>
            </w:r>
            <w:r>
              <w:rPr>
                <w:rFonts w:hint="eastAsia" w:ascii="宋体" w:hAnsi="宋体" w:cs="宋体"/>
                <w:szCs w:val="21"/>
              </w:rPr>
              <w:t>的确定：</w:t>
            </w:r>
          </w:p>
          <w:p w14:paraId="34D73496">
            <w:pPr>
              <w:widowControl/>
              <w:adjustRightInd w:val="0"/>
              <w:snapToGrid w:val="0"/>
              <w:spacing w:line="400" w:lineRule="exact"/>
              <w:ind w:firstLine="210" w:firstLineChars="100"/>
              <w:rPr>
                <w:rFonts w:ascii="宋体" w:hAnsi="宋体" w:cs="宋体"/>
                <w:szCs w:val="21"/>
              </w:rPr>
            </w:pPr>
            <w:r>
              <w:rPr>
                <w:rFonts w:ascii="宋体" w:hAnsi="宋体" w:cs="宋体"/>
                <w:szCs w:val="21"/>
              </w:rPr>
              <w:t>K</w:t>
            </w:r>
            <w:r>
              <w:rPr>
                <w:rFonts w:ascii="宋体" w:hAnsi="宋体" w:cs="宋体"/>
                <w:szCs w:val="21"/>
                <w:vertAlign w:val="subscript"/>
              </w:rPr>
              <w:t>1</w:t>
            </w:r>
            <w:r>
              <w:rPr>
                <w:rFonts w:hint="eastAsia" w:ascii="宋体" w:hAnsi="宋体" w:cs="宋体"/>
                <w:szCs w:val="21"/>
              </w:rPr>
              <w:t>值的确定</w:t>
            </w:r>
            <w:r>
              <w:rPr>
                <w:rFonts w:hint="eastAsia" w:ascii="宋体" w:hAnsi="宋体" w:cs="宋体"/>
                <w:b/>
                <w:szCs w:val="21"/>
              </w:rPr>
              <w:t>（□</w:t>
            </w:r>
            <w:r>
              <w:rPr>
                <w:rFonts w:hint="eastAsia" w:ascii="宋体" w:hAnsi="宋体" w:cs="宋体"/>
                <w:szCs w:val="21"/>
              </w:rPr>
              <w:t>每个标段分别抽取</w:t>
            </w:r>
            <w:r>
              <w:rPr>
                <w:rFonts w:ascii="宋体" w:hAnsi="宋体" w:cs="宋体"/>
                <w:szCs w:val="21"/>
              </w:rPr>
              <w:t>一次</w:t>
            </w:r>
            <w:r>
              <w:rPr>
                <w:rFonts w:hint="eastAsia" w:ascii="宋体" w:hAnsi="宋体" w:cs="宋体"/>
                <w:szCs w:val="21"/>
              </w:rPr>
              <w:t>；</w:t>
            </w:r>
            <w:r>
              <w:rPr>
                <w:rFonts w:hint="eastAsia" w:ascii="宋体" w:hAnsi="宋体" w:cs="宋体"/>
                <w:b/>
                <w:szCs w:val="21"/>
              </w:rPr>
              <w:t>□</w:t>
            </w:r>
            <w:r>
              <w:rPr>
                <w:rFonts w:hint="eastAsia" w:ascii="宋体" w:hAnsi="宋体" w:cs="宋体"/>
                <w:szCs w:val="21"/>
              </w:rPr>
              <w:t>抽取</w:t>
            </w:r>
            <w:r>
              <w:rPr>
                <w:rFonts w:ascii="宋体" w:hAnsi="宋体" w:cs="宋体"/>
                <w:szCs w:val="21"/>
              </w:rPr>
              <w:t>一次</w:t>
            </w:r>
            <w:r>
              <w:rPr>
                <w:rFonts w:hint="eastAsia" w:ascii="宋体" w:hAnsi="宋体" w:cs="宋体"/>
                <w:szCs w:val="21"/>
              </w:rPr>
              <w:t>适用于</w:t>
            </w:r>
            <w:r>
              <w:rPr>
                <w:rFonts w:ascii="宋体" w:hAnsi="宋体" w:cs="宋体"/>
                <w:szCs w:val="21"/>
              </w:rPr>
              <w:t>所有</w:t>
            </w:r>
            <w:r>
              <w:rPr>
                <w:rFonts w:hint="eastAsia" w:ascii="宋体" w:hAnsi="宋体" w:cs="宋体"/>
                <w:szCs w:val="21"/>
              </w:rPr>
              <w:t>标段</w:t>
            </w:r>
            <w:r>
              <w:rPr>
                <w:rFonts w:hint="eastAsia" w:ascii="宋体" w:hAnsi="宋体" w:cs="宋体"/>
                <w:b/>
                <w:szCs w:val="21"/>
              </w:rPr>
              <w:t>）</w:t>
            </w:r>
            <w:r>
              <w:rPr>
                <w:rFonts w:hint="eastAsia" w:ascii="宋体" w:hAnsi="宋体" w:cs="宋体"/>
                <w:szCs w:val="21"/>
              </w:rPr>
              <w:t>：</w:t>
            </w:r>
            <w:r>
              <w:rPr>
                <w:rFonts w:ascii="宋体" w:hAnsi="宋体" w:cs="宋体"/>
                <w:szCs w:val="21"/>
              </w:rPr>
              <w:t xml:space="preserve"> </w:t>
            </w:r>
          </w:p>
          <w:tbl>
            <w:tblPr>
              <w:tblStyle w:val="49"/>
              <w:tblW w:w="6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196"/>
              <w:gridCol w:w="1026"/>
              <w:gridCol w:w="929"/>
              <w:gridCol w:w="1039"/>
              <w:gridCol w:w="980"/>
            </w:tblGrid>
            <w:tr w14:paraId="479D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07" w:type="dxa"/>
                  <w:vAlign w:val="center"/>
                </w:tcPr>
                <w:p w14:paraId="27B13F79">
                  <w:pPr>
                    <w:widowControl/>
                    <w:adjustRightInd w:val="0"/>
                    <w:snapToGrid w:val="0"/>
                    <w:spacing w:line="400" w:lineRule="exact"/>
                    <w:jc w:val="left"/>
                    <w:rPr>
                      <w:rFonts w:ascii="宋体" w:hAnsi="宋体" w:cs="宋体"/>
                      <w:szCs w:val="21"/>
                    </w:rPr>
                  </w:pPr>
                  <w:r>
                    <w:rPr>
                      <w:rFonts w:hint="eastAsia" w:ascii="宋体" w:hAnsi="宋体" w:cs="宋体"/>
                      <w:szCs w:val="21"/>
                    </w:rPr>
                    <w:t>抽取号码值</w:t>
                  </w:r>
                </w:p>
              </w:tc>
              <w:tc>
                <w:tcPr>
                  <w:tcW w:w="1196" w:type="dxa"/>
                  <w:vAlign w:val="center"/>
                </w:tcPr>
                <w:p w14:paraId="47C78CD2">
                  <w:pPr>
                    <w:widowControl/>
                    <w:adjustRightInd w:val="0"/>
                    <w:snapToGrid w:val="0"/>
                    <w:spacing w:line="400" w:lineRule="exact"/>
                    <w:jc w:val="left"/>
                    <w:rPr>
                      <w:rFonts w:ascii="宋体" w:hAnsi="宋体" w:cs="宋体"/>
                      <w:szCs w:val="21"/>
                    </w:rPr>
                  </w:pPr>
                </w:p>
              </w:tc>
              <w:tc>
                <w:tcPr>
                  <w:tcW w:w="1026" w:type="dxa"/>
                  <w:vAlign w:val="center"/>
                </w:tcPr>
                <w:p w14:paraId="28E29867">
                  <w:pPr>
                    <w:widowControl/>
                    <w:adjustRightInd w:val="0"/>
                    <w:snapToGrid w:val="0"/>
                    <w:spacing w:line="400" w:lineRule="exact"/>
                    <w:jc w:val="left"/>
                    <w:rPr>
                      <w:rFonts w:ascii="宋体" w:hAnsi="宋体" w:cs="宋体"/>
                      <w:szCs w:val="21"/>
                    </w:rPr>
                  </w:pPr>
                </w:p>
              </w:tc>
              <w:tc>
                <w:tcPr>
                  <w:tcW w:w="929" w:type="dxa"/>
                  <w:vAlign w:val="center"/>
                </w:tcPr>
                <w:p w14:paraId="383123B4">
                  <w:pPr>
                    <w:widowControl/>
                    <w:adjustRightInd w:val="0"/>
                    <w:snapToGrid w:val="0"/>
                    <w:spacing w:line="400" w:lineRule="exact"/>
                    <w:jc w:val="left"/>
                    <w:rPr>
                      <w:rFonts w:ascii="宋体" w:hAnsi="宋体" w:cs="宋体"/>
                      <w:szCs w:val="21"/>
                    </w:rPr>
                  </w:pPr>
                </w:p>
              </w:tc>
              <w:tc>
                <w:tcPr>
                  <w:tcW w:w="1039" w:type="dxa"/>
                  <w:vAlign w:val="center"/>
                </w:tcPr>
                <w:p w14:paraId="3F474339">
                  <w:pPr>
                    <w:widowControl/>
                    <w:adjustRightInd w:val="0"/>
                    <w:snapToGrid w:val="0"/>
                    <w:spacing w:line="400" w:lineRule="exact"/>
                    <w:jc w:val="left"/>
                    <w:rPr>
                      <w:rFonts w:ascii="宋体" w:hAnsi="宋体" w:cs="宋体"/>
                      <w:szCs w:val="21"/>
                    </w:rPr>
                  </w:pPr>
                </w:p>
              </w:tc>
              <w:tc>
                <w:tcPr>
                  <w:tcW w:w="980" w:type="dxa"/>
                  <w:vAlign w:val="center"/>
                </w:tcPr>
                <w:p w14:paraId="4AE6F166">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r>
            <w:tr w14:paraId="79A7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07" w:type="dxa"/>
                  <w:vAlign w:val="center"/>
                </w:tcPr>
                <w:p w14:paraId="1F1E934D">
                  <w:pPr>
                    <w:widowControl/>
                    <w:adjustRightInd w:val="0"/>
                    <w:snapToGrid w:val="0"/>
                    <w:spacing w:line="400" w:lineRule="exact"/>
                    <w:jc w:val="left"/>
                    <w:rPr>
                      <w:rFonts w:ascii="宋体" w:hAnsi="宋体" w:cs="宋体"/>
                      <w:szCs w:val="21"/>
                    </w:rPr>
                  </w:pPr>
                  <w:r>
                    <w:rPr>
                      <w:rFonts w:hint="eastAsia" w:ascii="宋体" w:hAnsi="宋体" w:cs="宋体"/>
                      <w:szCs w:val="21"/>
                    </w:rPr>
                    <w:t>对应</w:t>
                  </w:r>
                  <w:r>
                    <w:rPr>
                      <w:rFonts w:ascii="宋体" w:hAnsi="宋体" w:cs="宋体"/>
                      <w:szCs w:val="21"/>
                    </w:rPr>
                    <w:t>K</w:t>
                  </w:r>
                  <w:r>
                    <w:rPr>
                      <w:rFonts w:ascii="宋体" w:hAnsi="宋体" w:cs="宋体"/>
                      <w:szCs w:val="21"/>
                      <w:vertAlign w:val="subscript"/>
                    </w:rPr>
                    <w:t>1</w:t>
                  </w:r>
                  <w:r>
                    <w:rPr>
                      <w:rFonts w:hint="eastAsia" w:ascii="宋体" w:hAnsi="宋体" w:cs="宋体"/>
                      <w:szCs w:val="21"/>
                    </w:rPr>
                    <w:t>值</w:t>
                  </w:r>
                </w:p>
              </w:tc>
              <w:tc>
                <w:tcPr>
                  <w:tcW w:w="1196" w:type="dxa"/>
                  <w:vAlign w:val="center"/>
                </w:tcPr>
                <w:p w14:paraId="4AA738F6">
                  <w:pPr>
                    <w:widowControl/>
                    <w:adjustRightInd w:val="0"/>
                    <w:snapToGrid w:val="0"/>
                    <w:spacing w:line="400" w:lineRule="exact"/>
                    <w:jc w:val="left"/>
                    <w:rPr>
                      <w:rFonts w:ascii="宋体" w:hAnsi="宋体" w:cs="宋体"/>
                      <w:szCs w:val="21"/>
                    </w:rPr>
                  </w:pPr>
                </w:p>
              </w:tc>
              <w:tc>
                <w:tcPr>
                  <w:tcW w:w="1026" w:type="dxa"/>
                  <w:vAlign w:val="center"/>
                </w:tcPr>
                <w:p w14:paraId="695CE2A0">
                  <w:pPr>
                    <w:widowControl/>
                    <w:adjustRightInd w:val="0"/>
                    <w:snapToGrid w:val="0"/>
                    <w:spacing w:line="400" w:lineRule="exact"/>
                    <w:jc w:val="left"/>
                    <w:rPr>
                      <w:rFonts w:ascii="宋体" w:hAnsi="宋体" w:cs="宋体"/>
                      <w:szCs w:val="21"/>
                    </w:rPr>
                  </w:pPr>
                </w:p>
              </w:tc>
              <w:tc>
                <w:tcPr>
                  <w:tcW w:w="929" w:type="dxa"/>
                  <w:vAlign w:val="center"/>
                </w:tcPr>
                <w:p w14:paraId="1ED740B4">
                  <w:pPr>
                    <w:widowControl/>
                    <w:adjustRightInd w:val="0"/>
                    <w:snapToGrid w:val="0"/>
                    <w:spacing w:line="400" w:lineRule="exact"/>
                    <w:jc w:val="left"/>
                    <w:rPr>
                      <w:rFonts w:ascii="宋体" w:hAnsi="宋体" w:cs="宋体"/>
                      <w:szCs w:val="21"/>
                    </w:rPr>
                  </w:pPr>
                </w:p>
              </w:tc>
              <w:tc>
                <w:tcPr>
                  <w:tcW w:w="1039" w:type="dxa"/>
                  <w:vAlign w:val="center"/>
                </w:tcPr>
                <w:p w14:paraId="4F881E36">
                  <w:pPr>
                    <w:widowControl/>
                    <w:adjustRightInd w:val="0"/>
                    <w:snapToGrid w:val="0"/>
                    <w:spacing w:line="400" w:lineRule="exact"/>
                    <w:jc w:val="left"/>
                    <w:rPr>
                      <w:rFonts w:ascii="宋体" w:hAnsi="宋体" w:cs="宋体"/>
                      <w:szCs w:val="21"/>
                    </w:rPr>
                  </w:pPr>
                </w:p>
              </w:tc>
              <w:tc>
                <w:tcPr>
                  <w:tcW w:w="980" w:type="dxa"/>
                  <w:vAlign w:val="center"/>
                </w:tcPr>
                <w:p w14:paraId="03BF7599">
                  <w:pPr>
                    <w:widowControl/>
                    <w:adjustRightInd w:val="0"/>
                    <w:snapToGrid w:val="0"/>
                    <w:spacing w:line="400" w:lineRule="exact"/>
                    <w:jc w:val="center"/>
                    <w:rPr>
                      <w:rFonts w:ascii="宋体" w:hAnsi="宋体" w:cs="宋体"/>
                      <w:szCs w:val="21"/>
                    </w:rPr>
                  </w:pPr>
                  <w:r>
                    <w:rPr>
                      <w:rFonts w:hint="eastAsia" w:ascii="宋体" w:hAnsi="宋体" w:cs="宋体"/>
                      <w:szCs w:val="21"/>
                    </w:rPr>
                    <w:t>…</w:t>
                  </w:r>
                </w:p>
              </w:tc>
            </w:tr>
          </w:tbl>
          <w:p w14:paraId="628BA3CB">
            <w:pPr>
              <w:widowControl/>
              <w:spacing w:line="400" w:lineRule="exact"/>
              <w:ind w:firstLine="210" w:firstLineChars="100"/>
              <w:rPr>
                <w:rFonts w:ascii="宋体" w:hAnsi="宋体" w:cs="宋体"/>
                <w:szCs w:val="21"/>
              </w:rPr>
            </w:pPr>
            <w:r>
              <w:rPr>
                <w:rFonts w:ascii="宋体" w:hAnsi="宋体" w:cs="宋体"/>
                <w:szCs w:val="21"/>
              </w:rPr>
              <w:t xml:space="preserve">M </w:t>
            </w:r>
            <w:r>
              <w:rPr>
                <w:rFonts w:hint="eastAsia" w:ascii="宋体" w:hAnsi="宋体" w:cs="宋体"/>
                <w:szCs w:val="21"/>
              </w:rPr>
              <w:t>值的确定</w:t>
            </w:r>
            <w:r>
              <w:rPr>
                <w:rFonts w:hint="eastAsia" w:ascii="宋体" w:hAnsi="宋体" w:cs="宋体"/>
                <w:b/>
                <w:szCs w:val="21"/>
              </w:rPr>
              <w:t>（□</w:t>
            </w:r>
            <w:r>
              <w:rPr>
                <w:rFonts w:hint="eastAsia" w:ascii="宋体" w:hAnsi="宋体" w:cs="宋体"/>
                <w:szCs w:val="21"/>
              </w:rPr>
              <w:t>每个标段分别抽取</w:t>
            </w:r>
            <w:r>
              <w:rPr>
                <w:rFonts w:ascii="宋体" w:hAnsi="宋体" w:cs="宋体"/>
                <w:szCs w:val="21"/>
              </w:rPr>
              <w:t>一次</w:t>
            </w:r>
            <w:r>
              <w:rPr>
                <w:rFonts w:hint="eastAsia" w:ascii="宋体" w:hAnsi="宋体" w:cs="宋体"/>
                <w:szCs w:val="21"/>
              </w:rPr>
              <w:t>；</w:t>
            </w:r>
            <w:r>
              <w:rPr>
                <w:rFonts w:hint="eastAsia" w:ascii="宋体" w:hAnsi="宋体" w:cs="宋体"/>
                <w:b/>
                <w:szCs w:val="21"/>
              </w:rPr>
              <w:t>□</w:t>
            </w:r>
            <w:r>
              <w:rPr>
                <w:rFonts w:hint="eastAsia" w:ascii="宋体" w:hAnsi="宋体" w:cs="宋体"/>
                <w:szCs w:val="21"/>
              </w:rPr>
              <w:t>抽取</w:t>
            </w:r>
            <w:r>
              <w:rPr>
                <w:rFonts w:ascii="宋体" w:hAnsi="宋体" w:cs="宋体"/>
                <w:szCs w:val="21"/>
              </w:rPr>
              <w:t>一次</w:t>
            </w:r>
            <w:r>
              <w:rPr>
                <w:rFonts w:hint="eastAsia" w:ascii="宋体" w:hAnsi="宋体" w:cs="宋体"/>
                <w:szCs w:val="21"/>
              </w:rPr>
              <w:t>适用于</w:t>
            </w:r>
            <w:r>
              <w:rPr>
                <w:rFonts w:ascii="宋体" w:hAnsi="宋体" w:cs="宋体"/>
                <w:szCs w:val="21"/>
              </w:rPr>
              <w:t>所有</w:t>
            </w:r>
            <w:r>
              <w:rPr>
                <w:rFonts w:hint="eastAsia" w:ascii="宋体" w:hAnsi="宋体" w:cs="宋体"/>
                <w:szCs w:val="21"/>
              </w:rPr>
              <w:t>标段</w:t>
            </w:r>
            <w:r>
              <w:rPr>
                <w:rFonts w:hint="eastAsia" w:ascii="宋体" w:hAnsi="宋体" w:cs="宋体"/>
                <w:b/>
                <w:szCs w:val="21"/>
              </w:rPr>
              <w:t>）</w:t>
            </w:r>
            <w:r>
              <w:rPr>
                <w:rFonts w:hint="eastAsia" w:ascii="宋体" w:hAnsi="宋体" w:cs="宋体"/>
                <w:szCs w:val="21"/>
              </w:rPr>
              <w:t>：</w:t>
            </w:r>
          </w:p>
          <w:tbl>
            <w:tblPr>
              <w:tblStyle w:val="49"/>
              <w:tblW w:w="6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843"/>
              <w:gridCol w:w="843"/>
              <w:gridCol w:w="843"/>
              <w:gridCol w:w="843"/>
              <w:gridCol w:w="843"/>
              <w:gridCol w:w="845"/>
            </w:tblGrid>
            <w:tr w14:paraId="5753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379" w:type="dxa"/>
                  <w:vAlign w:val="center"/>
                </w:tcPr>
                <w:p w14:paraId="24DDDF02">
                  <w:pPr>
                    <w:widowControl/>
                    <w:spacing w:line="400" w:lineRule="exact"/>
                    <w:jc w:val="left"/>
                    <w:rPr>
                      <w:rFonts w:ascii="宋体" w:hAnsi="宋体" w:cs="宋体"/>
                      <w:szCs w:val="21"/>
                    </w:rPr>
                  </w:pPr>
                  <w:r>
                    <w:rPr>
                      <w:rFonts w:hint="eastAsia" w:ascii="宋体" w:hAnsi="宋体" w:cs="宋体"/>
                      <w:szCs w:val="21"/>
                    </w:rPr>
                    <w:t>抽取号码值</w:t>
                  </w:r>
                </w:p>
              </w:tc>
              <w:tc>
                <w:tcPr>
                  <w:tcW w:w="843" w:type="dxa"/>
                  <w:vAlign w:val="center"/>
                </w:tcPr>
                <w:p w14:paraId="7B6251D3">
                  <w:pPr>
                    <w:widowControl/>
                    <w:spacing w:line="400" w:lineRule="exact"/>
                    <w:ind w:firstLine="630" w:firstLineChars="300"/>
                    <w:jc w:val="center"/>
                    <w:rPr>
                      <w:rFonts w:ascii="宋体" w:hAnsi="宋体" w:cs="宋体"/>
                      <w:szCs w:val="21"/>
                    </w:rPr>
                  </w:pPr>
                </w:p>
              </w:tc>
              <w:tc>
                <w:tcPr>
                  <w:tcW w:w="843" w:type="dxa"/>
                  <w:vAlign w:val="center"/>
                </w:tcPr>
                <w:p w14:paraId="05D36B8D">
                  <w:pPr>
                    <w:widowControl/>
                    <w:spacing w:line="400" w:lineRule="exact"/>
                    <w:ind w:firstLine="630" w:firstLineChars="300"/>
                    <w:jc w:val="center"/>
                    <w:rPr>
                      <w:rFonts w:ascii="宋体" w:hAnsi="宋体" w:cs="宋体"/>
                      <w:szCs w:val="21"/>
                    </w:rPr>
                  </w:pPr>
                </w:p>
              </w:tc>
              <w:tc>
                <w:tcPr>
                  <w:tcW w:w="843" w:type="dxa"/>
                  <w:vAlign w:val="center"/>
                </w:tcPr>
                <w:p w14:paraId="12EB8536">
                  <w:pPr>
                    <w:widowControl/>
                    <w:spacing w:line="400" w:lineRule="exact"/>
                    <w:ind w:firstLine="630" w:firstLineChars="300"/>
                    <w:jc w:val="center"/>
                    <w:rPr>
                      <w:rFonts w:ascii="宋体" w:hAnsi="宋体" w:cs="宋体"/>
                      <w:szCs w:val="21"/>
                    </w:rPr>
                  </w:pPr>
                </w:p>
              </w:tc>
              <w:tc>
                <w:tcPr>
                  <w:tcW w:w="843" w:type="dxa"/>
                  <w:vAlign w:val="center"/>
                </w:tcPr>
                <w:p w14:paraId="6B31B08D">
                  <w:pPr>
                    <w:widowControl/>
                    <w:spacing w:line="400" w:lineRule="exact"/>
                    <w:ind w:firstLine="630" w:firstLineChars="300"/>
                    <w:jc w:val="center"/>
                    <w:rPr>
                      <w:rFonts w:ascii="宋体" w:hAnsi="宋体" w:cs="宋体"/>
                      <w:szCs w:val="21"/>
                    </w:rPr>
                  </w:pPr>
                </w:p>
              </w:tc>
              <w:tc>
                <w:tcPr>
                  <w:tcW w:w="843" w:type="dxa"/>
                  <w:vAlign w:val="center"/>
                </w:tcPr>
                <w:p w14:paraId="76C6AE4C">
                  <w:pPr>
                    <w:widowControl/>
                    <w:spacing w:line="400" w:lineRule="exact"/>
                    <w:ind w:firstLine="630" w:firstLineChars="300"/>
                    <w:jc w:val="center"/>
                    <w:rPr>
                      <w:rFonts w:ascii="宋体" w:hAnsi="宋体" w:cs="宋体"/>
                      <w:szCs w:val="21"/>
                    </w:rPr>
                  </w:pPr>
                </w:p>
              </w:tc>
              <w:tc>
                <w:tcPr>
                  <w:tcW w:w="845" w:type="dxa"/>
                  <w:vAlign w:val="center"/>
                </w:tcPr>
                <w:p w14:paraId="26FA4A19">
                  <w:pPr>
                    <w:widowControl/>
                    <w:spacing w:line="400" w:lineRule="exact"/>
                    <w:ind w:firstLine="630" w:firstLineChars="300"/>
                    <w:jc w:val="center"/>
                    <w:rPr>
                      <w:rFonts w:ascii="宋体" w:hAnsi="宋体" w:cs="宋体"/>
                      <w:szCs w:val="21"/>
                    </w:rPr>
                  </w:pPr>
                </w:p>
              </w:tc>
            </w:tr>
            <w:tr w14:paraId="40BF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79" w:type="dxa"/>
                  <w:vAlign w:val="center"/>
                </w:tcPr>
                <w:p w14:paraId="786022A4">
                  <w:pPr>
                    <w:widowControl/>
                    <w:spacing w:line="400" w:lineRule="exact"/>
                    <w:jc w:val="left"/>
                    <w:rPr>
                      <w:rFonts w:ascii="宋体" w:hAnsi="宋体" w:cs="宋体"/>
                      <w:szCs w:val="21"/>
                    </w:rPr>
                  </w:pPr>
                  <w:r>
                    <w:rPr>
                      <w:rFonts w:hint="eastAsia" w:ascii="宋体" w:hAnsi="宋体" w:cs="宋体"/>
                      <w:szCs w:val="21"/>
                    </w:rPr>
                    <w:t>对应</w:t>
                  </w:r>
                  <w:r>
                    <w:rPr>
                      <w:rFonts w:ascii="宋体" w:hAnsi="宋体" w:cs="宋体"/>
                      <w:szCs w:val="21"/>
                    </w:rPr>
                    <w:t>M值</w:t>
                  </w:r>
                </w:p>
              </w:tc>
              <w:tc>
                <w:tcPr>
                  <w:tcW w:w="843" w:type="dxa"/>
                  <w:vAlign w:val="center"/>
                </w:tcPr>
                <w:p w14:paraId="33552751">
                  <w:pPr>
                    <w:widowControl/>
                    <w:spacing w:line="400" w:lineRule="exact"/>
                    <w:jc w:val="center"/>
                    <w:rPr>
                      <w:rFonts w:ascii="宋体" w:hAnsi="宋体" w:cs="宋体"/>
                      <w:szCs w:val="21"/>
                    </w:rPr>
                  </w:pPr>
                  <w:r>
                    <w:rPr>
                      <w:rFonts w:ascii="宋体" w:hAnsi="宋体" w:cs="宋体"/>
                      <w:szCs w:val="21"/>
                    </w:rPr>
                    <w:t>0</w:t>
                  </w:r>
                </w:p>
              </w:tc>
              <w:tc>
                <w:tcPr>
                  <w:tcW w:w="843" w:type="dxa"/>
                  <w:vAlign w:val="center"/>
                </w:tcPr>
                <w:p w14:paraId="1D7F9046">
                  <w:pPr>
                    <w:widowControl/>
                    <w:spacing w:line="400" w:lineRule="exact"/>
                    <w:jc w:val="center"/>
                    <w:rPr>
                      <w:rFonts w:ascii="宋体" w:hAnsi="宋体" w:cs="宋体"/>
                      <w:szCs w:val="21"/>
                    </w:rPr>
                  </w:pPr>
                  <w:r>
                    <w:rPr>
                      <w:rFonts w:ascii="宋体" w:hAnsi="宋体" w:cs="宋体"/>
                      <w:szCs w:val="21"/>
                    </w:rPr>
                    <w:t>1</w:t>
                  </w:r>
                </w:p>
              </w:tc>
              <w:tc>
                <w:tcPr>
                  <w:tcW w:w="843" w:type="dxa"/>
                  <w:vAlign w:val="center"/>
                </w:tcPr>
                <w:p w14:paraId="74F032C0">
                  <w:pPr>
                    <w:widowControl/>
                    <w:spacing w:line="400" w:lineRule="exact"/>
                    <w:jc w:val="center"/>
                    <w:rPr>
                      <w:rFonts w:ascii="宋体" w:hAnsi="宋体" w:cs="宋体"/>
                      <w:szCs w:val="21"/>
                    </w:rPr>
                  </w:pPr>
                  <w:r>
                    <w:rPr>
                      <w:rFonts w:ascii="宋体" w:hAnsi="宋体" w:cs="宋体"/>
                      <w:szCs w:val="21"/>
                    </w:rPr>
                    <w:t>2</w:t>
                  </w:r>
                </w:p>
              </w:tc>
              <w:tc>
                <w:tcPr>
                  <w:tcW w:w="843" w:type="dxa"/>
                  <w:vAlign w:val="center"/>
                </w:tcPr>
                <w:p w14:paraId="375F9D1B">
                  <w:pPr>
                    <w:widowControl/>
                    <w:spacing w:line="400" w:lineRule="exact"/>
                    <w:jc w:val="center"/>
                    <w:rPr>
                      <w:rFonts w:ascii="宋体" w:hAnsi="宋体" w:cs="宋体"/>
                      <w:szCs w:val="21"/>
                    </w:rPr>
                  </w:pPr>
                  <w:r>
                    <w:rPr>
                      <w:rFonts w:ascii="宋体" w:hAnsi="宋体" w:cs="宋体"/>
                      <w:szCs w:val="21"/>
                    </w:rPr>
                    <w:t>3</w:t>
                  </w:r>
                </w:p>
              </w:tc>
              <w:tc>
                <w:tcPr>
                  <w:tcW w:w="843" w:type="dxa"/>
                  <w:vAlign w:val="center"/>
                </w:tcPr>
                <w:p w14:paraId="25246443">
                  <w:pPr>
                    <w:widowControl/>
                    <w:spacing w:line="400" w:lineRule="exact"/>
                    <w:jc w:val="center"/>
                    <w:rPr>
                      <w:rFonts w:ascii="宋体" w:hAnsi="宋体" w:cs="宋体"/>
                      <w:szCs w:val="21"/>
                    </w:rPr>
                  </w:pPr>
                  <w:r>
                    <w:rPr>
                      <w:rFonts w:ascii="宋体" w:hAnsi="宋体" w:cs="宋体"/>
                      <w:szCs w:val="21"/>
                    </w:rPr>
                    <w:t>4</w:t>
                  </w:r>
                </w:p>
              </w:tc>
              <w:tc>
                <w:tcPr>
                  <w:tcW w:w="845" w:type="dxa"/>
                  <w:vAlign w:val="center"/>
                </w:tcPr>
                <w:p w14:paraId="2130DD31">
                  <w:pPr>
                    <w:widowControl/>
                    <w:spacing w:line="400" w:lineRule="exact"/>
                    <w:jc w:val="center"/>
                    <w:rPr>
                      <w:rFonts w:ascii="宋体" w:hAnsi="宋体" w:cs="宋体"/>
                      <w:szCs w:val="21"/>
                    </w:rPr>
                  </w:pPr>
                  <w:r>
                    <w:rPr>
                      <w:rFonts w:ascii="宋体" w:hAnsi="宋体" w:cs="宋体"/>
                      <w:szCs w:val="21"/>
                    </w:rPr>
                    <w:t>5</w:t>
                  </w:r>
                </w:p>
              </w:tc>
            </w:tr>
          </w:tbl>
          <w:p w14:paraId="5017F04A">
            <w:pPr>
              <w:widowControl/>
              <w:spacing w:line="400" w:lineRule="exact"/>
              <w:ind w:firstLine="210" w:firstLineChars="100"/>
              <w:rPr>
                <w:rFonts w:ascii="宋体" w:hAnsi="宋体" w:cs="宋体"/>
                <w:szCs w:val="21"/>
              </w:rPr>
            </w:pPr>
            <w:r>
              <w:rPr>
                <w:rFonts w:ascii="宋体" w:hAnsi="宋体" w:cs="宋体"/>
                <w:szCs w:val="21"/>
              </w:rPr>
              <w:t>K</w:t>
            </w:r>
            <w:r>
              <w:rPr>
                <w:rFonts w:ascii="宋体" w:hAnsi="宋体" w:cs="宋体"/>
                <w:szCs w:val="21"/>
                <w:vertAlign w:val="subscript"/>
              </w:rPr>
              <w:t>2</w:t>
            </w:r>
            <w:r>
              <w:rPr>
                <w:rFonts w:hint="eastAsia" w:ascii="宋体" w:hAnsi="宋体" w:cs="宋体"/>
                <w:szCs w:val="21"/>
              </w:rPr>
              <w:t>值的确定</w:t>
            </w:r>
            <w:r>
              <w:rPr>
                <w:rFonts w:hint="eastAsia" w:ascii="宋体" w:hAnsi="宋体" w:cs="宋体"/>
                <w:b/>
                <w:szCs w:val="21"/>
              </w:rPr>
              <w:t>（□</w:t>
            </w:r>
            <w:r>
              <w:rPr>
                <w:rFonts w:hint="eastAsia" w:ascii="宋体" w:hAnsi="宋体" w:cs="宋体"/>
                <w:szCs w:val="21"/>
              </w:rPr>
              <w:t>每个标段分别抽取</w:t>
            </w:r>
            <w:r>
              <w:rPr>
                <w:rFonts w:ascii="宋体" w:hAnsi="宋体" w:cs="宋体"/>
                <w:szCs w:val="21"/>
              </w:rPr>
              <w:t>一次</w:t>
            </w:r>
            <w:r>
              <w:rPr>
                <w:rFonts w:hint="eastAsia" w:ascii="宋体" w:hAnsi="宋体" w:cs="宋体"/>
                <w:szCs w:val="21"/>
              </w:rPr>
              <w:t>；</w:t>
            </w:r>
            <w:r>
              <w:rPr>
                <w:rFonts w:hint="eastAsia" w:ascii="宋体" w:hAnsi="宋体" w:cs="宋体"/>
                <w:b/>
                <w:szCs w:val="21"/>
              </w:rPr>
              <w:t>□</w:t>
            </w:r>
            <w:r>
              <w:rPr>
                <w:rFonts w:hint="eastAsia" w:ascii="宋体" w:hAnsi="宋体" w:cs="宋体"/>
                <w:szCs w:val="21"/>
              </w:rPr>
              <w:t>抽取</w:t>
            </w:r>
            <w:r>
              <w:rPr>
                <w:rFonts w:ascii="宋体" w:hAnsi="宋体" w:cs="宋体"/>
                <w:szCs w:val="21"/>
              </w:rPr>
              <w:t>一次</w:t>
            </w:r>
            <w:r>
              <w:rPr>
                <w:rFonts w:hint="eastAsia" w:ascii="宋体" w:hAnsi="宋体" w:cs="宋体"/>
                <w:szCs w:val="21"/>
              </w:rPr>
              <w:t>适用于</w:t>
            </w:r>
            <w:r>
              <w:rPr>
                <w:rFonts w:ascii="宋体" w:hAnsi="宋体" w:cs="宋体"/>
                <w:szCs w:val="21"/>
              </w:rPr>
              <w:t>所有</w:t>
            </w:r>
            <w:r>
              <w:rPr>
                <w:rFonts w:hint="eastAsia" w:ascii="宋体" w:hAnsi="宋体" w:cs="宋体"/>
                <w:szCs w:val="21"/>
              </w:rPr>
              <w:t>标段</w:t>
            </w:r>
            <w:r>
              <w:rPr>
                <w:rFonts w:hint="eastAsia" w:ascii="宋体" w:hAnsi="宋体" w:cs="宋体"/>
                <w:b/>
                <w:szCs w:val="21"/>
              </w:rPr>
              <w:t>）</w:t>
            </w:r>
            <w:r>
              <w:rPr>
                <w:rFonts w:hint="eastAsia" w:ascii="宋体" w:hAnsi="宋体" w:cs="宋体"/>
                <w:szCs w:val="21"/>
              </w:rPr>
              <w:t>：</w:t>
            </w:r>
          </w:p>
          <w:tbl>
            <w:tblPr>
              <w:tblStyle w:val="49"/>
              <w:tblW w:w="6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014"/>
              <w:gridCol w:w="1101"/>
              <w:gridCol w:w="964"/>
              <w:gridCol w:w="965"/>
              <w:gridCol w:w="932"/>
            </w:tblGrid>
            <w:tr w14:paraId="187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81" w:type="dxa"/>
                  <w:vAlign w:val="center"/>
                </w:tcPr>
                <w:p w14:paraId="3EB96598">
                  <w:pPr>
                    <w:widowControl/>
                    <w:spacing w:line="400" w:lineRule="exact"/>
                    <w:jc w:val="left"/>
                    <w:rPr>
                      <w:rFonts w:ascii="宋体" w:hAnsi="宋体" w:cs="宋体"/>
                      <w:szCs w:val="21"/>
                    </w:rPr>
                  </w:pPr>
                  <w:r>
                    <w:rPr>
                      <w:rFonts w:hint="eastAsia" w:ascii="宋体" w:hAnsi="宋体" w:cs="宋体"/>
                      <w:szCs w:val="21"/>
                    </w:rPr>
                    <w:t>抽取号码值</w:t>
                  </w:r>
                </w:p>
              </w:tc>
              <w:tc>
                <w:tcPr>
                  <w:tcW w:w="1014" w:type="dxa"/>
                  <w:vAlign w:val="center"/>
                </w:tcPr>
                <w:p w14:paraId="21B6C0EA">
                  <w:pPr>
                    <w:widowControl/>
                    <w:spacing w:line="400" w:lineRule="exact"/>
                    <w:ind w:firstLine="630" w:firstLineChars="300"/>
                    <w:jc w:val="left"/>
                    <w:rPr>
                      <w:rFonts w:ascii="宋体" w:hAnsi="宋体" w:cs="宋体"/>
                      <w:szCs w:val="21"/>
                    </w:rPr>
                  </w:pPr>
                </w:p>
              </w:tc>
              <w:tc>
                <w:tcPr>
                  <w:tcW w:w="1101" w:type="dxa"/>
                  <w:vAlign w:val="center"/>
                </w:tcPr>
                <w:p w14:paraId="17A2164B">
                  <w:pPr>
                    <w:widowControl/>
                    <w:spacing w:line="400" w:lineRule="exact"/>
                    <w:ind w:firstLine="630" w:firstLineChars="300"/>
                    <w:jc w:val="left"/>
                    <w:rPr>
                      <w:rFonts w:ascii="宋体" w:hAnsi="宋体" w:cs="宋体"/>
                      <w:szCs w:val="21"/>
                    </w:rPr>
                  </w:pPr>
                </w:p>
              </w:tc>
              <w:tc>
                <w:tcPr>
                  <w:tcW w:w="964" w:type="dxa"/>
                  <w:vAlign w:val="center"/>
                </w:tcPr>
                <w:p w14:paraId="57A4F10C">
                  <w:pPr>
                    <w:widowControl/>
                    <w:spacing w:line="400" w:lineRule="exact"/>
                    <w:jc w:val="left"/>
                    <w:rPr>
                      <w:rFonts w:ascii="宋体" w:hAnsi="宋体" w:cs="宋体"/>
                      <w:szCs w:val="21"/>
                    </w:rPr>
                  </w:pPr>
                  <w:r>
                    <w:rPr>
                      <w:rFonts w:hint="eastAsia" w:ascii="宋体" w:hAnsi="宋体" w:cs="宋体"/>
                      <w:szCs w:val="21"/>
                    </w:rPr>
                    <w:t>…</w:t>
                  </w:r>
                </w:p>
              </w:tc>
              <w:tc>
                <w:tcPr>
                  <w:tcW w:w="965" w:type="dxa"/>
                  <w:vAlign w:val="center"/>
                </w:tcPr>
                <w:p w14:paraId="3B6EEE6E">
                  <w:pPr>
                    <w:widowControl/>
                    <w:spacing w:line="400" w:lineRule="exact"/>
                    <w:ind w:firstLine="630" w:firstLineChars="300"/>
                    <w:jc w:val="left"/>
                    <w:rPr>
                      <w:rFonts w:ascii="宋体" w:hAnsi="宋体" w:cs="宋体"/>
                      <w:szCs w:val="21"/>
                    </w:rPr>
                  </w:pPr>
                </w:p>
              </w:tc>
              <w:tc>
                <w:tcPr>
                  <w:tcW w:w="932" w:type="dxa"/>
                  <w:vAlign w:val="center"/>
                </w:tcPr>
                <w:p w14:paraId="656BE3D2">
                  <w:pPr>
                    <w:widowControl/>
                    <w:spacing w:line="400" w:lineRule="exact"/>
                    <w:ind w:firstLine="630" w:firstLineChars="300"/>
                    <w:jc w:val="left"/>
                    <w:rPr>
                      <w:rFonts w:ascii="宋体" w:hAnsi="宋体" w:cs="宋体"/>
                      <w:szCs w:val="21"/>
                    </w:rPr>
                  </w:pPr>
                </w:p>
              </w:tc>
            </w:tr>
            <w:tr w14:paraId="44E9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81" w:type="dxa"/>
                  <w:vAlign w:val="center"/>
                </w:tcPr>
                <w:p w14:paraId="11F5DE2A">
                  <w:pPr>
                    <w:widowControl/>
                    <w:spacing w:line="400" w:lineRule="exact"/>
                    <w:jc w:val="left"/>
                    <w:rPr>
                      <w:rFonts w:ascii="宋体" w:hAnsi="宋体" w:cs="宋体"/>
                      <w:szCs w:val="21"/>
                    </w:rPr>
                  </w:pPr>
                  <w:r>
                    <w:rPr>
                      <w:rFonts w:hint="eastAsia" w:ascii="宋体" w:hAnsi="宋体" w:cs="宋体"/>
                      <w:szCs w:val="21"/>
                    </w:rPr>
                    <w:t>对应</w:t>
                  </w:r>
                  <w:r>
                    <w:rPr>
                      <w:rFonts w:ascii="宋体" w:hAnsi="宋体" w:cs="宋体"/>
                      <w:szCs w:val="21"/>
                    </w:rPr>
                    <w:t>K2值</w:t>
                  </w:r>
                </w:p>
              </w:tc>
              <w:tc>
                <w:tcPr>
                  <w:tcW w:w="1014" w:type="dxa"/>
                  <w:vAlign w:val="center"/>
                </w:tcPr>
                <w:p w14:paraId="52A35DD4">
                  <w:pPr>
                    <w:widowControl/>
                    <w:spacing w:line="400" w:lineRule="exact"/>
                    <w:jc w:val="left"/>
                    <w:rPr>
                      <w:rFonts w:ascii="宋体" w:hAnsi="宋体" w:cs="宋体"/>
                      <w:szCs w:val="21"/>
                    </w:rPr>
                  </w:pPr>
                  <w:r>
                    <w:rPr>
                      <w:rFonts w:ascii="宋体" w:hAnsi="宋体" w:cs="宋体"/>
                      <w:szCs w:val="21"/>
                    </w:rPr>
                    <w:t>85%+M%</w:t>
                  </w:r>
                </w:p>
              </w:tc>
              <w:tc>
                <w:tcPr>
                  <w:tcW w:w="1101" w:type="dxa"/>
                  <w:vAlign w:val="center"/>
                </w:tcPr>
                <w:p w14:paraId="1F67BC52">
                  <w:pPr>
                    <w:widowControl/>
                    <w:spacing w:line="400" w:lineRule="exact"/>
                    <w:ind w:firstLine="630" w:firstLineChars="300"/>
                    <w:jc w:val="left"/>
                    <w:rPr>
                      <w:rFonts w:ascii="宋体" w:hAnsi="宋体" w:cs="宋体"/>
                      <w:szCs w:val="21"/>
                    </w:rPr>
                  </w:pPr>
                </w:p>
              </w:tc>
              <w:tc>
                <w:tcPr>
                  <w:tcW w:w="964" w:type="dxa"/>
                  <w:vAlign w:val="center"/>
                </w:tcPr>
                <w:p w14:paraId="04758BE4">
                  <w:pPr>
                    <w:widowControl/>
                    <w:spacing w:line="400" w:lineRule="exact"/>
                    <w:jc w:val="left"/>
                    <w:rPr>
                      <w:rFonts w:ascii="宋体" w:hAnsi="宋体" w:cs="宋体"/>
                      <w:szCs w:val="21"/>
                    </w:rPr>
                  </w:pPr>
                  <w:r>
                    <w:rPr>
                      <w:rFonts w:hint="eastAsia" w:ascii="宋体" w:hAnsi="宋体" w:cs="宋体"/>
                      <w:szCs w:val="21"/>
                    </w:rPr>
                    <w:t>…</w:t>
                  </w:r>
                </w:p>
              </w:tc>
              <w:tc>
                <w:tcPr>
                  <w:tcW w:w="965" w:type="dxa"/>
                  <w:vAlign w:val="center"/>
                </w:tcPr>
                <w:p w14:paraId="40D98F22">
                  <w:pPr>
                    <w:widowControl/>
                    <w:spacing w:line="400" w:lineRule="exact"/>
                    <w:ind w:firstLine="630" w:firstLineChars="300"/>
                    <w:jc w:val="left"/>
                    <w:rPr>
                      <w:rFonts w:ascii="宋体" w:hAnsi="宋体" w:cs="宋体"/>
                      <w:szCs w:val="21"/>
                    </w:rPr>
                  </w:pPr>
                </w:p>
              </w:tc>
              <w:tc>
                <w:tcPr>
                  <w:tcW w:w="932" w:type="dxa"/>
                  <w:vAlign w:val="center"/>
                </w:tcPr>
                <w:p w14:paraId="01B4097F">
                  <w:pPr>
                    <w:widowControl/>
                    <w:spacing w:line="400" w:lineRule="exact"/>
                    <w:jc w:val="left"/>
                    <w:rPr>
                      <w:rFonts w:ascii="宋体" w:hAnsi="宋体" w:cs="宋体"/>
                      <w:szCs w:val="21"/>
                    </w:rPr>
                  </w:pPr>
                  <w:r>
                    <w:rPr>
                      <w:rFonts w:ascii="宋体" w:hAnsi="宋体" w:cs="宋体"/>
                      <w:szCs w:val="21"/>
                    </w:rPr>
                    <w:t>90%+M%</w:t>
                  </w:r>
                </w:p>
              </w:tc>
            </w:tr>
          </w:tbl>
          <w:p w14:paraId="0CF336D8">
            <w:pPr>
              <w:widowControl/>
              <w:spacing w:line="400" w:lineRule="exact"/>
              <w:ind w:firstLine="210" w:firstLineChars="100"/>
              <w:rPr>
                <w:rFonts w:ascii="宋体" w:hAnsi="宋体" w:cs="宋体"/>
                <w:szCs w:val="21"/>
              </w:rPr>
            </w:pPr>
            <w:r>
              <w:rPr>
                <w:rFonts w:ascii="宋体" w:hAnsi="宋体" w:cs="宋体"/>
                <w:szCs w:val="21"/>
              </w:rPr>
              <w:t>Q</w:t>
            </w:r>
            <w:r>
              <w:rPr>
                <w:rFonts w:ascii="宋体" w:hAnsi="宋体" w:cs="宋体"/>
                <w:szCs w:val="21"/>
                <w:vertAlign w:val="subscript"/>
              </w:rPr>
              <w:t>1</w:t>
            </w:r>
            <w:r>
              <w:rPr>
                <w:rFonts w:hint="eastAsia" w:ascii="宋体" w:hAnsi="宋体" w:cs="宋体"/>
                <w:szCs w:val="21"/>
              </w:rPr>
              <w:t>值的确定</w:t>
            </w:r>
            <w:r>
              <w:rPr>
                <w:rFonts w:hint="eastAsia" w:ascii="宋体" w:hAnsi="宋体" w:cs="宋体"/>
                <w:b/>
                <w:szCs w:val="21"/>
              </w:rPr>
              <w:t>（□</w:t>
            </w:r>
            <w:r>
              <w:rPr>
                <w:rFonts w:hint="eastAsia" w:ascii="宋体" w:hAnsi="宋体" w:cs="宋体"/>
                <w:szCs w:val="21"/>
              </w:rPr>
              <w:t>每个标段分别抽取</w:t>
            </w:r>
            <w:r>
              <w:rPr>
                <w:rFonts w:ascii="宋体" w:hAnsi="宋体" w:cs="宋体"/>
                <w:szCs w:val="21"/>
              </w:rPr>
              <w:t>一次</w:t>
            </w:r>
            <w:r>
              <w:rPr>
                <w:rFonts w:hint="eastAsia" w:ascii="宋体" w:hAnsi="宋体" w:cs="宋体"/>
                <w:szCs w:val="21"/>
              </w:rPr>
              <w:t>；</w:t>
            </w:r>
            <w:r>
              <w:rPr>
                <w:rFonts w:hint="eastAsia" w:ascii="宋体" w:hAnsi="宋体" w:cs="宋体"/>
                <w:b/>
                <w:szCs w:val="21"/>
              </w:rPr>
              <w:t>□</w:t>
            </w:r>
            <w:r>
              <w:rPr>
                <w:rFonts w:hint="eastAsia" w:ascii="宋体" w:hAnsi="宋体" w:cs="宋体"/>
                <w:szCs w:val="21"/>
              </w:rPr>
              <w:t>抽取</w:t>
            </w:r>
            <w:r>
              <w:rPr>
                <w:rFonts w:ascii="宋体" w:hAnsi="宋体" w:cs="宋体"/>
                <w:szCs w:val="21"/>
              </w:rPr>
              <w:t>一次</w:t>
            </w:r>
            <w:r>
              <w:rPr>
                <w:rFonts w:hint="eastAsia" w:ascii="宋体" w:hAnsi="宋体" w:cs="宋体"/>
                <w:szCs w:val="21"/>
              </w:rPr>
              <w:t>适用于</w:t>
            </w:r>
            <w:r>
              <w:rPr>
                <w:rFonts w:ascii="宋体" w:hAnsi="宋体" w:cs="宋体"/>
                <w:szCs w:val="21"/>
              </w:rPr>
              <w:t>所有</w:t>
            </w:r>
            <w:r>
              <w:rPr>
                <w:rFonts w:hint="eastAsia" w:ascii="宋体" w:hAnsi="宋体" w:cs="宋体"/>
                <w:szCs w:val="21"/>
              </w:rPr>
              <w:t>标段</w:t>
            </w:r>
            <w:r>
              <w:rPr>
                <w:rFonts w:hint="eastAsia" w:ascii="宋体" w:hAnsi="宋体" w:cs="宋体"/>
                <w:b/>
                <w:szCs w:val="21"/>
              </w:rPr>
              <w:t>）</w:t>
            </w:r>
            <w:r>
              <w:rPr>
                <w:rFonts w:hint="eastAsia" w:ascii="宋体" w:hAnsi="宋体" w:cs="宋体"/>
                <w:szCs w:val="21"/>
              </w:rPr>
              <w:t>：</w:t>
            </w:r>
            <w:r>
              <w:rPr>
                <w:rFonts w:ascii="宋体" w:hAnsi="宋体" w:cs="宋体"/>
                <w:szCs w:val="21"/>
              </w:rPr>
              <w:t xml:space="preserve"> </w:t>
            </w:r>
          </w:p>
          <w:tbl>
            <w:tblPr>
              <w:tblStyle w:val="49"/>
              <w:tblW w:w="6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46"/>
              <w:gridCol w:w="747"/>
              <w:gridCol w:w="747"/>
              <w:gridCol w:w="746"/>
              <w:gridCol w:w="747"/>
              <w:gridCol w:w="747"/>
              <w:gridCol w:w="747"/>
            </w:tblGrid>
            <w:tr w14:paraId="452B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88" w:type="dxa"/>
                  <w:vAlign w:val="center"/>
                </w:tcPr>
                <w:p w14:paraId="4CFDD15B">
                  <w:pPr>
                    <w:widowControl/>
                    <w:spacing w:line="400" w:lineRule="exact"/>
                    <w:rPr>
                      <w:rFonts w:ascii="宋体" w:hAnsi="宋体" w:cs="宋体"/>
                      <w:szCs w:val="21"/>
                    </w:rPr>
                  </w:pPr>
                  <w:r>
                    <w:rPr>
                      <w:rFonts w:hint="eastAsia" w:ascii="宋体" w:hAnsi="宋体" w:cs="宋体"/>
                      <w:szCs w:val="21"/>
                    </w:rPr>
                    <w:t>抽取号码值</w:t>
                  </w:r>
                </w:p>
              </w:tc>
              <w:tc>
                <w:tcPr>
                  <w:tcW w:w="746" w:type="dxa"/>
                  <w:vAlign w:val="center"/>
                </w:tcPr>
                <w:p w14:paraId="2DD68444">
                  <w:pPr>
                    <w:widowControl/>
                    <w:spacing w:line="400" w:lineRule="exact"/>
                    <w:ind w:firstLine="630" w:firstLineChars="300"/>
                    <w:jc w:val="left"/>
                    <w:rPr>
                      <w:rFonts w:ascii="宋体" w:hAnsi="宋体" w:cs="宋体"/>
                      <w:szCs w:val="21"/>
                    </w:rPr>
                  </w:pPr>
                </w:p>
              </w:tc>
              <w:tc>
                <w:tcPr>
                  <w:tcW w:w="747" w:type="dxa"/>
                  <w:vAlign w:val="center"/>
                </w:tcPr>
                <w:p w14:paraId="76E43AEC">
                  <w:pPr>
                    <w:widowControl/>
                    <w:spacing w:line="400" w:lineRule="exact"/>
                    <w:ind w:firstLine="630" w:firstLineChars="300"/>
                    <w:jc w:val="left"/>
                    <w:rPr>
                      <w:rFonts w:ascii="宋体" w:hAnsi="宋体" w:cs="宋体"/>
                      <w:szCs w:val="21"/>
                    </w:rPr>
                  </w:pPr>
                </w:p>
              </w:tc>
              <w:tc>
                <w:tcPr>
                  <w:tcW w:w="747" w:type="dxa"/>
                  <w:vAlign w:val="center"/>
                </w:tcPr>
                <w:p w14:paraId="537D8ABC">
                  <w:pPr>
                    <w:widowControl/>
                    <w:spacing w:line="400" w:lineRule="exact"/>
                    <w:ind w:firstLine="630" w:firstLineChars="300"/>
                    <w:jc w:val="left"/>
                    <w:rPr>
                      <w:rFonts w:ascii="宋体" w:hAnsi="宋体" w:cs="宋体"/>
                      <w:szCs w:val="21"/>
                    </w:rPr>
                  </w:pPr>
                </w:p>
              </w:tc>
              <w:tc>
                <w:tcPr>
                  <w:tcW w:w="746" w:type="dxa"/>
                  <w:vAlign w:val="center"/>
                </w:tcPr>
                <w:p w14:paraId="7A44856F">
                  <w:pPr>
                    <w:widowControl/>
                    <w:spacing w:line="400" w:lineRule="exact"/>
                    <w:ind w:firstLine="630" w:firstLineChars="300"/>
                    <w:jc w:val="left"/>
                    <w:rPr>
                      <w:rFonts w:ascii="宋体" w:hAnsi="宋体" w:cs="宋体"/>
                      <w:szCs w:val="21"/>
                    </w:rPr>
                  </w:pPr>
                </w:p>
              </w:tc>
              <w:tc>
                <w:tcPr>
                  <w:tcW w:w="747" w:type="dxa"/>
                  <w:vAlign w:val="center"/>
                </w:tcPr>
                <w:p w14:paraId="3DC2F802">
                  <w:pPr>
                    <w:widowControl/>
                    <w:spacing w:line="400" w:lineRule="exact"/>
                    <w:ind w:firstLine="630" w:firstLineChars="300"/>
                    <w:jc w:val="left"/>
                    <w:rPr>
                      <w:rFonts w:ascii="宋体" w:hAnsi="宋体" w:cs="宋体"/>
                      <w:szCs w:val="21"/>
                    </w:rPr>
                  </w:pPr>
                </w:p>
              </w:tc>
              <w:tc>
                <w:tcPr>
                  <w:tcW w:w="747" w:type="dxa"/>
                  <w:vAlign w:val="center"/>
                </w:tcPr>
                <w:p w14:paraId="37C0FEA3">
                  <w:pPr>
                    <w:widowControl/>
                    <w:spacing w:line="400" w:lineRule="exact"/>
                    <w:ind w:firstLine="630" w:firstLineChars="300"/>
                    <w:jc w:val="left"/>
                    <w:rPr>
                      <w:rFonts w:ascii="宋体" w:hAnsi="宋体" w:cs="宋体"/>
                      <w:szCs w:val="21"/>
                    </w:rPr>
                  </w:pPr>
                </w:p>
              </w:tc>
              <w:tc>
                <w:tcPr>
                  <w:tcW w:w="747" w:type="dxa"/>
                  <w:vAlign w:val="center"/>
                </w:tcPr>
                <w:p w14:paraId="4311BF8F">
                  <w:pPr>
                    <w:widowControl/>
                    <w:spacing w:line="400" w:lineRule="exact"/>
                    <w:ind w:firstLine="630" w:firstLineChars="300"/>
                    <w:jc w:val="left"/>
                    <w:rPr>
                      <w:rFonts w:ascii="宋体" w:hAnsi="宋体" w:cs="宋体"/>
                      <w:szCs w:val="21"/>
                    </w:rPr>
                  </w:pPr>
                </w:p>
              </w:tc>
            </w:tr>
            <w:tr w14:paraId="6F4D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288" w:type="dxa"/>
                  <w:vAlign w:val="center"/>
                </w:tcPr>
                <w:p w14:paraId="6360894D">
                  <w:pPr>
                    <w:widowControl/>
                    <w:spacing w:line="400" w:lineRule="exact"/>
                    <w:rPr>
                      <w:rFonts w:ascii="宋体" w:hAnsi="宋体" w:cs="宋体"/>
                      <w:szCs w:val="21"/>
                    </w:rPr>
                  </w:pPr>
                  <w:r>
                    <w:rPr>
                      <w:rFonts w:hint="eastAsia" w:ascii="宋体" w:hAnsi="宋体" w:cs="宋体"/>
                      <w:szCs w:val="21"/>
                    </w:rPr>
                    <w:t>对应</w:t>
                  </w:r>
                  <w:r>
                    <w:rPr>
                      <w:rFonts w:ascii="宋体" w:hAnsi="宋体" w:cs="宋体"/>
                      <w:szCs w:val="21"/>
                    </w:rPr>
                    <w:t>Q</w:t>
                  </w:r>
                  <w:r>
                    <w:rPr>
                      <w:rFonts w:ascii="宋体" w:hAnsi="宋体" w:cs="宋体"/>
                      <w:szCs w:val="21"/>
                      <w:vertAlign w:val="subscript"/>
                    </w:rPr>
                    <w:t>1</w:t>
                  </w:r>
                  <w:r>
                    <w:rPr>
                      <w:rFonts w:hint="eastAsia" w:ascii="宋体" w:hAnsi="宋体" w:cs="宋体"/>
                      <w:szCs w:val="21"/>
                    </w:rPr>
                    <w:t>值</w:t>
                  </w:r>
                </w:p>
              </w:tc>
              <w:tc>
                <w:tcPr>
                  <w:tcW w:w="746" w:type="dxa"/>
                  <w:vAlign w:val="center"/>
                </w:tcPr>
                <w:p w14:paraId="1B09326F">
                  <w:pPr>
                    <w:widowControl/>
                    <w:spacing w:line="400" w:lineRule="exact"/>
                    <w:ind w:firstLine="630" w:firstLineChars="300"/>
                    <w:jc w:val="left"/>
                    <w:rPr>
                      <w:rFonts w:ascii="宋体" w:hAnsi="宋体" w:cs="宋体"/>
                      <w:szCs w:val="21"/>
                    </w:rPr>
                  </w:pPr>
                </w:p>
              </w:tc>
              <w:tc>
                <w:tcPr>
                  <w:tcW w:w="747" w:type="dxa"/>
                  <w:vAlign w:val="center"/>
                </w:tcPr>
                <w:p w14:paraId="78BC4A5F">
                  <w:pPr>
                    <w:widowControl/>
                    <w:spacing w:line="400" w:lineRule="exact"/>
                    <w:ind w:firstLine="630" w:firstLineChars="300"/>
                    <w:jc w:val="left"/>
                    <w:rPr>
                      <w:rFonts w:ascii="宋体" w:hAnsi="宋体" w:cs="宋体"/>
                      <w:szCs w:val="21"/>
                    </w:rPr>
                  </w:pPr>
                </w:p>
              </w:tc>
              <w:tc>
                <w:tcPr>
                  <w:tcW w:w="747" w:type="dxa"/>
                  <w:vAlign w:val="center"/>
                </w:tcPr>
                <w:p w14:paraId="2F14C851">
                  <w:pPr>
                    <w:widowControl/>
                    <w:spacing w:line="400" w:lineRule="exact"/>
                    <w:ind w:firstLine="630" w:firstLineChars="300"/>
                    <w:jc w:val="left"/>
                    <w:rPr>
                      <w:rFonts w:ascii="宋体" w:hAnsi="宋体" w:cs="宋体"/>
                      <w:szCs w:val="21"/>
                    </w:rPr>
                  </w:pPr>
                </w:p>
              </w:tc>
              <w:tc>
                <w:tcPr>
                  <w:tcW w:w="746" w:type="dxa"/>
                  <w:vAlign w:val="center"/>
                </w:tcPr>
                <w:p w14:paraId="5444BDE9">
                  <w:pPr>
                    <w:widowControl/>
                    <w:spacing w:line="400" w:lineRule="exact"/>
                    <w:ind w:firstLine="630" w:firstLineChars="300"/>
                    <w:jc w:val="left"/>
                    <w:rPr>
                      <w:rFonts w:ascii="宋体" w:hAnsi="宋体" w:cs="宋体"/>
                      <w:szCs w:val="21"/>
                    </w:rPr>
                  </w:pPr>
                </w:p>
              </w:tc>
              <w:tc>
                <w:tcPr>
                  <w:tcW w:w="747" w:type="dxa"/>
                  <w:vAlign w:val="center"/>
                </w:tcPr>
                <w:p w14:paraId="6009E02D">
                  <w:pPr>
                    <w:widowControl/>
                    <w:spacing w:line="400" w:lineRule="exact"/>
                    <w:ind w:firstLine="630" w:firstLineChars="300"/>
                    <w:jc w:val="left"/>
                    <w:rPr>
                      <w:rFonts w:ascii="宋体" w:hAnsi="宋体" w:cs="宋体"/>
                      <w:szCs w:val="21"/>
                    </w:rPr>
                  </w:pPr>
                </w:p>
              </w:tc>
              <w:tc>
                <w:tcPr>
                  <w:tcW w:w="747" w:type="dxa"/>
                  <w:vAlign w:val="center"/>
                </w:tcPr>
                <w:p w14:paraId="36A264C4">
                  <w:pPr>
                    <w:widowControl/>
                    <w:spacing w:line="400" w:lineRule="exact"/>
                    <w:ind w:firstLine="630" w:firstLineChars="300"/>
                    <w:jc w:val="left"/>
                    <w:rPr>
                      <w:rFonts w:ascii="宋体" w:hAnsi="宋体" w:cs="宋体"/>
                      <w:szCs w:val="21"/>
                    </w:rPr>
                  </w:pPr>
                </w:p>
              </w:tc>
              <w:tc>
                <w:tcPr>
                  <w:tcW w:w="747" w:type="dxa"/>
                  <w:vAlign w:val="center"/>
                </w:tcPr>
                <w:p w14:paraId="73BF2E17">
                  <w:pPr>
                    <w:widowControl/>
                    <w:spacing w:line="400" w:lineRule="exact"/>
                    <w:ind w:firstLine="630" w:firstLineChars="300"/>
                    <w:jc w:val="left"/>
                    <w:rPr>
                      <w:rFonts w:ascii="宋体" w:hAnsi="宋体" w:cs="宋体"/>
                      <w:szCs w:val="21"/>
                    </w:rPr>
                  </w:pPr>
                </w:p>
              </w:tc>
            </w:tr>
          </w:tbl>
          <w:p w14:paraId="30612ADE">
            <w:pPr>
              <w:widowControl/>
              <w:spacing w:line="400" w:lineRule="exact"/>
              <w:ind w:firstLine="0" w:firstLineChars="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方法二（二次平均法）</w:t>
            </w:r>
            <w:r>
              <w:rPr>
                <w:rFonts w:hint="eastAsia" w:ascii="宋体" w:hAnsi="宋体" w:cs="宋体"/>
                <w:szCs w:val="21"/>
              </w:rPr>
              <w:t>：</w:t>
            </w:r>
          </w:p>
          <w:p w14:paraId="7DE21161">
            <w:pPr>
              <w:widowControl/>
              <w:spacing w:line="400" w:lineRule="exact"/>
              <w:ind w:firstLine="210" w:firstLineChars="100"/>
              <w:rPr>
                <w:rFonts w:ascii="宋体" w:hAnsi="宋体" w:cs="宋体"/>
                <w:szCs w:val="21"/>
              </w:rPr>
            </w:pPr>
            <w:r>
              <w:rPr>
                <w:rFonts w:ascii="宋体" w:hAnsi="宋体" w:cs="宋体"/>
                <w:szCs w:val="21"/>
              </w:rPr>
              <w:t>第一次平均：</w:t>
            </w:r>
            <w:r>
              <w:rPr>
                <w:rFonts w:hint="eastAsia" w:ascii="宋体" w:hAnsi="宋体" w:cs="宋体"/>
                <w:szCs w:val="21"/>
              </w:rPr>
              <w:t>按本项规定应进入</w:t>
            </w:r>
            <w:r>
              <w:rPr>
                <w:rFonts w:hint="eastAsia" w:ascii="宋体" w:hAnsi="宋体"/>
                <w:szCs w:val="21"/>
              </w:rPr>
              <w:t>评标基准价计算的评标价的</w:t>
            </w:r>
            <w:r>
              <w:rPr>
                <w:rFonts w:hint="eastAsia" w:ascii="宋体" w:hAnsi="宋体" w:cs="宋体"/>
                <w:szCs w:val="21"/>
              </w:rPr>
              <w:t>算术</w:t>
            </w:r>
            <w:r>
              <w:rPr>
                <w:rFonts w:hint="eastAsia" w:ascii="宋体" w:hAnsi="宋体"/>
                <w:szCs w:val="21"/>
              </w:rPr>
              <w:t>平均值</w:t>
            </w:r>
            <w:r>
              <w:rPr>
                <w:rFonts w:hint="eastAsia" w:ascii="宋体" w:hAnsi="宋体" w:cs="宋体"/>
                <w:szCs w:val="21"/>
              </w:rPr>
              <w:t>（若参与计算的评标价个数</w:t>
            </w:r>
            <w:r>
              <w:rPr>
                <w:rFonts w:ascii="宋体" w:hAnsi="宋体" w:cs="宋体"/>
                <w:szCs w:val="21"/>
              </w:rPr>
              <w:t>≤10家时，直接取算数平均值；若</w:t>
            </w:r>
            <w:r>
              <w:rPr>
                <w:rFonts w:hint="eastAsia" w:ascii="宋体" w:hAnsi="宋体" w:cs="宋体"/>
                <w:szCs w:val="21"/>
              </w:rPr>
              <w:t>参与计算的评标价个数</w:t>
            </w:r>
            <w:r>
              <w:rPr>
                <w:rFonts w:ascii="宋体" w:hAnsi="宋体" w:cs="宋体"/>
                <w:szCs w:val="21"/>
              </w:rPr>
              <w:t>＞</w:t>
            </w:r>
            <w:r>
              <w:rPr>
                <w:rFonts w:hint="eastAsia" w:ascii="宋体" w:hAnsi="宋体" w:cs="宋体"/>
                <w:szCs w:val="21"/>
                <w:lang w:val="en-US" w:eastAsia="zh-CN"/>
              </w:rPr>
              <w:t>N</w:t>
            </w:r>
            <w:r>
              <w:rPr>
                <w:rFonts w:ascii="宋体" w:hAnsi="宋体" w:cs="宋体"/>
                <w:szCs w:val="21"/>
              </w:rPr>
              <w:t>×10家时，去掉其中的</w:t>
            </w:r>
            <w:r>
              <w:rPr>
                <w:rFonts w:hint="eastAsia" w:ascii="宋体" w:hAnsi="宋体" w:cs="宋体"/>
                <w:szCs w:val="21"/>
                <w:lang w:val="en-US" w:eastAsia="zh-CN"/>
              </w:rPr>
              <w:t>N</w:t>
            </w:r>
            <w:r>
              <w:rPr>
                <w:rFonts w:ascii="宋体" w:hAnsi="宋体" w:cs="宋体"/>
                <w:szCs w:val="21"/>
              </w:rPr>
              <w:t>个最高评标价和</w:t>
            </w:r>
            <w:r>
              <w:rPr>
                <w:rFonts w:hint="eastAsia" w:ascii="宋体" w:hAnsi="宋体" w:cs="宋体"/>
                <w:szCs w:val="21"/>
                <w:lang w:val="en-US" w:eastAsia="zh-CN"/>
              </w:rPr>
              <w:t>N</w:t>
            </w:r>
            <w:r>
              <w:rPr>
                <w:rFonts w:ascii="宋体" w:hAnsi="宋体" w:cs="宋体"/>
                <w:szCs w:val="21"/>
              </w:rPr>
              <w:t>个最低评标价后取算术平均值，</w:t>
            </w:r>
            <w:r>
              <w:rPr>
                <w:rFonts w:hint="eastAsia" w:ascii="宋体" w:hAnsi="宋体" w:cs="宋体"/>
                <w:szCs w:val="21"/>
                <w:lang w:val="en-US" w:eastAsia="zh-CN"/>
              </w:rPr>
              <w:t>N</w:t>
            </w:r>
            <w:r>
              <w:rPr>
                <w:rFonts w:ascii="宋体" w:hAnsi="宋体" w:cs="宋体"/>
                <w:szCs w:val="21"/>
              </w:rPr>
              <w:t>为自然数）。</w:t>
            </w:r>
          </w:p>
          <w:p w14:paraId="6553BFD3">
            <w:pPr>
              <w:widowControl/>
              <w:spacing w:line="400" w:lineRule="exact"/>
              <w:ind w:firstLine="210" w:firstLineChars="100"/>
              <w:rPr>
                <w:rFonts w:ascii="宋体" w:hAnsi="宋体" w:cs="宋体"/>
                <w:szCs w:val="21"/>
              </w:rPr>
            </w:pPr>
            <w:r>
              <w:rPr>
                <w:rFonts w:hint="eastAsia" w:ascii="宋体" w:hAnsi="宋体" w:cs="宋体"/>
                <w:szCs w:val="21"/>
              </w:rPr>
              <w:t>第二次平均：对所有小于或等于第一次评标价算数平均值的评标价（不含第一次平均已去掉的最低价）的二次算术平均值后即为评标基准价。</w:t>
            </w:r>
          </w:p>
          <w:p w14:paraId="05E7C425">
            <w:pPr>
              <w:widowControl/>
              <w:spacing w:line="400" w:lineRule="exact"/>
              <w:ind w:firstLine="0" w:firstLineChars="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方法三（随机低价法）</w:t>
            </w:r>
            <w:r>
              <w:rPr>
                <w:rFonts w:hint="eastAsia" w:ascii="宋体" w:hAnsi="宋体" w:cs="宋体"/>
                <w:szCs w:val="21"/>
              </w:rPr>
              <w:t>：</w:t>
            </w:r>
          </w:p>
          <w:p w14:paraId="38A492F1">
            <w:pPr>
              <w:widowControl/>
              <w:adjustRightInd/>
              <w:snapToGrid/>
              <w:spacing w:line="400" w:lineRule="exact"/>
              <w:ind w:firstLine="210" w:firstLineChars="100"/>
              <w:rPr>
                <w:rFonts w:ascii="宋体" w:hAnsi="宋体" w:cs="宋体"/>
                <w:szCs w:val="21"/>
              </w:rPr>
            </w:pPr>
            <w:r>
              <w:rPr>
                <w:rFonts w:hint="eastAsia" w:ascii="宋体" w:hAnsi="宋体" w:cs="宋体"/>
                <w:szCs w:val="21"/>
              </w:rPr>
              <w:t>评标基准价＝去掉</w:t>
            </w:r>
            <w:r>
              <w:rPr>
                <w:rFonts w:ascii="宋体" w:hAnsi="宋体" w:cs="宋体"/>
                <w:szCs w:val="21"/>
              </w:rPr>
              <w:t>n个最低</w:t>
            </w:r>
            <w:r>
              <w:rPr>
                <w:rFonts w:hint="eastAsia" w:ascii="宋体" w:hAnsi="宋体" w:cs="宋体"/>
                <w:szCs w:val="21"/>
              </w:rPr>
              <w:t>评标</w:t>
            </w:r>
            <w:r>
              <w:rPr>
                <w:rFonts w:ascii="宋体" w:hAnsi="宋体" w:cs="宋体"/>
                <w:szCs w:val="21"/>
              </w:rPr>
              <w:t>价后的最低</w:t>
            </w:r>
            <w:r>
              <w:rPr>
                <w:rFonts w:hint="eastAsia" w:ascii="宋体" w:hAnsi="宋体" w:cs="宋体"/>
                <w:szCs w:val="21"/>
              </w:rPr>
              <w:t>评标</w:t>
            </w:r>
            <w:r>
              <w:rPr>
                <w:rFonts w:ascii="宋体" w:hAnsi="宋体" w:cs="宋体"/>
                <w:szCs w:val="21"/>
              </w:rPr>
              <w:t>价</w:t>
            </w:r>
            <w:r>
              <w:rPr>
                <w:rFonts w:hint="eastAsia" w:ascii="宋体" w:hAnsi="宋体" w:cs="宋体"/>
                <w:szCs w:val="21"/>
                <w:lang w:eastAsia="zh-CN"/>
              </w:rPr>
              <w:t>。</w:t>
            </w:r>
          </w:p>
          <w:p w14:paraId="64E5D4B8">
            <w:pPr>
              <w:widowControl/>
              <w:adjustRightInd w:val="0"/>
              <w:snapToGrid w:val="0"/>
              <w:spacing w:line="400" w:lineRule="exact"/>
              <w:ind w:firstLine="210" w:firstLineChars="100"/>
              <w:rPr>
                <w:rFonts w:ascii="宋体" w:hAnsi="宋体" w:cs="宋体"/>
                <w:szCs w:val="21"/>
              </w:rPr>
            </w:pPr>
          </w:p>
        </w:tc>
      </w:tr>
      <w:tr w14:paraId="33ED509D">
        <w:tblPrEx>
          <w:tblCellMar>
            <w:top w:w="0" w:type="dxa"/>
            <w:left w:w="108" w:type="dxa"/>
            <w:bottom w:w="0" w:type="dxa"/>
            <w:right w:w="108" w:type="dxa"/>
          </w:tblCellMar>
        </w:tblPrEx>
        <w:trPr>
          <w:trHeight w:val="9234" w:hRule="atLeast"/>
        </w:trPr>
        <w:tc>
          <w:tcPr>
            <w:tcW w:w="990" w:type="dxa"/>
            <w:tcBorders>
              <w:top w:val="single" w:color="auto" w:sz="4" w:space="0"/>
              <w:left w:val="single" w:color="auto" w:sz="4" w:space="0"/>
              <w:bottom w:val="single" w:color="auto" w:sz="4" w:space="0"/>
              <w:right w:val="single" w:color="auto" w:sz="4" w:space="0"/>
            </w:tcBorders>
            <w:vAlign w:val="center"/>
          </w:tcPr>
          <w:p w14:paraId="145EB850">
            <w:pPr>
              <w:widowControl/>
              <w:adjustRightInd w:val="0"/>
              <w:snapToGrid w:val="0"/>
              <w:spacing w:line="400" w:lineRule="exact"/>
              <w:jc w:val="center"/>
              <w:rPr>
                <w:rFonts w:ascii="宋体" w:hAnsi="宋体" w:cs="宋体"/>
                <w:kern w:val="0"/>
                <w:szCs w:val="21"/>
              </w:rPr>
            </w:pPr>
            <w:r>
              <w:rPr>
                <w:rFonts w:ascii="宋体" w:hAnsi="宋体"/>
                <w:szCs w:val="21"/>
              </w:rPr>
              <w:t>2.2.2</w:t>
            </w:r>
          </w:p>
        </w:tc>
        <w:tc>
          <w:tcPr>
            <w:tcW w:w="1130" w:type="dxa"/>
            <w:tcBorders>
              <w:top w:val="single" w:color="auto" w:sz="4" w:space="0"/>
              <w:left w:val="single" w:color="auto" w:sz="4" w:space="0"/>
              <w:bottom w:val="single" w:color="auto" w:sz="4" w:space="0"/>
              <w:right w:val="single" w:color="auto" w:sz="4" w:space="0"/>
            </w:tcBorders>
            <w:vAlign w:val="center"/>
          </w:tcPr>
          <w:p w14:paraId="28B85AC1">
            <w:pPr>
              <w:widowControl/>
              <w:adjustRightInd w:val="0"/>
              <w:snapToGrid w:val="0"/>
              <w:spacing w:line="400" w:lineRule="exact"/>
              <w:jc w:val="center"/>
              <w:rPr>
                <w:rFonts w:ascii="宋体" w:hAnsi="宋体"/>
                <w:szCs w:val="21"/>
              </w:rPr>
            </w:pPr>
            <w:r>
              <w:rPr>
                <w:rFonts w:hint="eastAsia" w:ascii="宋体" w:hAnsi="宋体"/>
                <w:szCs w:val="21"/>
              </w:rPr>
              <w:t>评标基准价计算方法</w:t>
            </w:r>
          </w:p>
        </w:tc>
        <w:tc>
          <w:tcPr>
            <w:tcW w:w="6839" w:type="dxa"/>
            <w:tcBorders>
              <w:top w:val="single" w:color="auto" w:sz="4" w:space="0"/>
              <w:left w:val="single" w:color="auto" w:sz="4" w:space="0"/>
              <w:bottom w:val="single" w:color="auto" w:sz="4" w:space="0"/>
              <w:right w:val="single" w:color="auto" w:sz="4" w:space="0"/>
            </w:tcBorders>
            <w:vAlign w:val="center"/>
          </w:tcPr>
          <w:p w14:paraId="173031DD">
            <w:pPr>
              <w:widowControl/>
              <w:spacing w:line="400" w:lineRule="exact"/>
              <w:ind w:firstLine="210" w:firstLineChars="100"/>
              <w:rPr>
                <w:rFonts w:ascii="宋体" w:hAnsi="宋体" w:cs="宋体"/>
                <w:szCs w:val="21"/>
              </w:rPr>
            </w:pPr>
            <w:r>
              <w:rPr>
                <w:rFonts w:ascii="宋体" w:hAnsi="宋体" w:cs="宋体"/>
                <w:szCs w:val="21"/>
              </w:rPr>
              <w:t>n在第二个信封</w:t>
            </w:r>
            <w:r>
              <w:rPr>
                <w:rFonts w:hint="eastAsia" w:ascii="宋体" w:hAnsi="宋体" w:cs="宋体"/>
                <w:color w:val="000000"/>
                <w:szCs w:val="21"/>
              </w:rPr>
              <w:t>（报价文件）</w:t>
            </w:r>
            <w:r>
              <w:rPr>
                <w:rFonts w:ascii="宋体" w:hAnsi="宋体" w:cs="宋体"/>
                <w:szCs w:val="21"/>
              </w:rPr>
              <w:t>开标现场随机抽取，n的取值范围为</w:t>
            </w:r>
            <w:r>
              <w:rPr>
                <w:rFonts w:hint="eastAsia" w:ascii="宋体" w:hAnsi="宋体" w:cs="宋体"/>
                <w:szCs w:val="21"/>
              </w:rPr>
              <w:t>按本项规定参与</w:t>
            </w:r>
            <w:r>
              <w:rPr>
                <w:rFonts w:hint="eastAsia" w:ascii="宋体" w:hAnsi="宋体"/>
                <w:szCs w:val="21"/>
              </w:rPr>
              <w:t>评标基准价计算的评标价</w:t>
            </w:r>
            <w:r>
              <w:rPr>
                <w:rFonts w:ascii="宋体" w:hAnsi="宋体" w:cs="宋体"/>
                <w:szCs w:val="21"/>
              </w:rPr>
              <w:t>数量的</w:t>
            </w:r>
            <w:r>
              <w:rPr>
                <w:rFonts w:ascii="宋体" w:hAnsi="宋体" w:cs="宋体"/>
                <w:szCs w:val="21"/>
                <w:u w:val="single"/>
              </w:rPr>
              <w:t xml:space="preserve">     </w:t>
            </w:r>
            <w:r>
              <w:rPr>
                <w:rFonts w:ascii="宋体" w:hAnsi="宋体" w:cs="宋体"/>
                <w:szCs w:val="21"/>
              </w:rPr>
              <w:t xml:space="preserve"> （0.2～0.7倍）</w:t>
            </w:r>
            <w:r>
              <w:rPr>
                <w:rFonts w:hint="eastAsia" w:ascii="宋体" w:hAnsi="宋体" w:cs="宋体"/>
                <w:szCs w:val="21"/>
              </w:rPr>
              <w:t>向下取整后的所有整数。</w:t>
            </w:r>
          </w:p>
          <w:p w14:paraId="415FF1EF">
            <w:pPr>
              <w:widowControl/>
              <w:spacing w:line="400" w:lineRule="exact"/>
              <w:ind w:firstLine="0" w:firstLineChars="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
                <w:szCs w:val="21"/>
              </w:rPr>
              <w:t>方法四（最低价法）</w:t>
            </w:r>
            <w:r>
              <w:rPr>
                <w:rFonts w:hint="eastAsia" w:ascii="宋体" w:hAnsi="宋体" w:cs="宋体"/>
                <w:szCs w:val="21"/>
              </w:rPr>
              <w:t>：</w:t>
            </w:r>
          </w:p>
          <w:p w14:paraId="7763B690">
            <w:pPr>
              <w:widowControl/>
              <w:spacing w:line="400" w:lineRule="exact"/>
              <w:ind w:firstLine="210" w:firstLineChars="100"/>
              <w:rPr>
                <w:rFonts w:ascii="宋体" w:hAnsi="宋体" w:cs="宋体"/>
                <w:szCs w:val="21"/>
              </w:rPr>
            </w:pPr>
            <w:r>
              <w:rPr>
                <w:rFonts w:hint="eastAsia" w:ascii="宋体" w:hAnsi="宋体" w:cs="宋体"/>
                <w:szCs w:val="21"/>
              </w:rPr>
              <w:t>按本项规定参与</w:t>
            </w:r>
            <w:r>
              <w:rPr>
                <w:rFonts w:hint="eastAsia" w:ascii="宋体" w:hAnsi="宋体"/>
                <w:szCs w:val="21"/>
              </w:rPr>
              <w:t>评标基准价计算的评标价</w:t>
            </w:r>
            <w:r>
              <w:rPr>
                <w:rFonts w:hint="eastAsia" w:ascii="宋体" w:hAnsi="宋体" w:cs="宋体"/>
                <w:szCs w:val="21"/>
              </w:rPr>
              <w:t>中的最低评标价</w:t>
            </w:r>
            <w:r>
              <w:rPr>
                <w:rFonts w:hint="eastAsia" w:ascii="宋体" w:hAnsi="宋体" w:cs="宋体"/>
                <w:szCs w:val="21"/>
                <w:lang w:val="en-US" w:eastAsia="zh-CN"/>
              </w:rPr>
              <w:t>作</w:t>
            </w:r>
            <w:r>
              <w:rPr>
                <w:rFonts w:hint="eastAsia" w:ascii="宋体" w:hAnsi="宋体" w:cs="宋体"/>
                <w:szCs w:val="21"/>
              </w:rPr>
              <w:t>为评标基准价。</w:t>
            </w:r>
          </w:p>
          <w:p w14:paraId="68429204">
            <w:pPr>
              <w:widowControl/>
              <w:spacing w:line="400" w:lineRule="exact"/>
              <w:ind w:firstLine="0" w:firstLineChars="0"/>
              <w:rPr>
                <w:rFonts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
                <w:szCs w:val="21"/>
              </w:rPr>
              <w:t>方法五（随机下浮系数法）</w:t>
            </w:r>
            <w:r>
              <w:rPr>
                <w:rFonts w:hint="eastAsia" w:ascii="宋体" w:hAnsi="宋体" w:cs="宋体"/>
                <w:szCs w:val="21"/>
              </w:rPr>
              <w:t>：</w:t>
            </w:r>
          </w:p>
          <w:p w14:paraId="047818BB">
            <w:pPr>
              <w:widowControl/>
              <w:spacing w:line="400" w:lineRule="exact"/>
              <w:ind w:firstLine="210" w:firstLineChars="100"/>
              <w:rPr>
                <w:rFonts w:ascii="宋体" w:hAnsi="宋体" w:cs="宋体"/>
                <w:szCs w:val="21"/>
              </w:rPr>
            </w:pPr>
            <w:r>
              <w:rPr>
                <w:rFonts w:hint="eastAsia" w:ascii="宋体" w:hAnsi="宋体" w:cs="宋体"/>
                <w:szCs w:val="21"/>
              </w:rPr>
              <w:t>以最高投标限价下浮</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作为评标基准价</w:t>
            </w:r>
            <w:r>
              <w:rPr>
                <w:rFonts w:ascii="宋体" w:hAnsi="宋体" w:cs="宋体"/>
                <w:szCs w:val="21"/>
              </w:rPr>
              <w:t>。</w:t>
            </w:r>
          </w:p>
          <w:tbl>
            <w:tblPr>
              <w:tblStyle w:val="49"/>
              <w:tblW w:w="6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779"/>
              <w:gridCol w:w="1002"/>
              <w:gridCol w:w="830"/>
              <w:gridCol w:w="1305"/>
              <w:gridCol w:w="897"/>
            </w:tblGrid>
            <w:tr w14:paraId="4785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4" w:type="dxa"/>
                  <w:vAlign w:val="center"/>
                </w:tcPr>
                <w:p w14:paraId="4DB8E66A">
                  <w:pPr>
                    <w:widowControl/>
                    <w:spacing w:line="400" w:lineRule="exact"/>
                    <w:jc w:val="left"/>
                    <w:rPr>
                      <w:rFonts w:ascii="宋体" w:hAnsi="宋体" w:cs="宋体"/>
                      <w:szCs w:val="21"/>
                    </w:rPr>
                  </w:pPr>
                  <w:r>
                    <w:rPr>
                      <w:rFonts w:hint="eastAsia" w:ascii="宋体" w:hAnsi="宋体" w:cs="宋体"/>
                      <w:szCs w:val="21"/>
                    </w:rPr>
                    <w:t>抽取号码值</w:t>
                  </w:r>
                </w:p>
              </w:tc>
              <w:tc>
                <w:tcPr>
                  <w:tcW w:w="779" w:type="dxa"/>
                  <w:vAlign w:val="center"/>
                </w:tcPr>
                <w:p w14:paraId="7CDEFA8A">
                  <w:pPr>
                    <w:widowControl/>
                    <w:spacing w:line="400" w:lineRule="exact"/>
                    <w:ind w:firstLine="630" w:firstLineChars="300"/>
                    <w:jc w:val="center"/>
                    <w:rPr>
                      <w:rFonts w:ascii="宋体" w:hAnsi="宋体" w:cs="宋体"/>
                      <w:szCs w:val="21"/>
                    </w:rPr>
                  </w:pPr>
                </w:p>
              </w:tc>
              <w:tc>
                <w:tcPr>
                  <w:tcW w:w="1002" w:type="dxa"/>
                  <w:vAlign w:val="center"/>
                </w:tcPr>
                <w:p w14:paraId="1C421B3D">
                  <w:pPr>
                    <w:widowControl/>
                    <w:spacing w:line="400" w:lineRule="exact"/>
                    <w:ind w:firstLine="630" w:firstLineChars="300"/>
                    <w:jc w:val="center"/>
                    <w:rPr>
                      <w:rFonts w:ascii="宋体" w:hAnsi="宋体" w:cs="宋体"/>
                      <w:szCs w:val="21"/>
                    </w:rPr>
                  </w:pPr>
                </w:p>
              </w:tc>
              <w:tc>
                <w:tcPr>
                  <w:tcW w:w="830" w:type="dxa"/>
                  <w:vAlign w:val="center"/>
                </w:tcPr>
                <w:p w14:paraId="1133B62E">
                  <w:pPr>
                    <w:widowControl/>
                    <w:spacing w:line="400" w:lineRule="exact"/>
                    <w:jc w:val="center"/>
                    <w:rPr>
                      <w:rFonts w:ascii="宋体" w:hAnsi="宋体" w:cs="宋体"/>
                      <w:szCs w:val="21"/>
                    </w:rPr>
                  </w:pPr>
                  <w:r>
                    <w:rPr>
                      <w:rFonts w:hint="eastAsia" w:ascii="宋体" w:hAnsi="宋体" w:cs="宋体"/>
                      <w:szCs w:val="21"/>
                    </w:rPr>
                    <w:t>…</w:t>
                  </w:r>
                </w:p>
              </w:tc>
              <w:tc>
                <w:tcPr>
                  <w:tcW w:w="1305" w:type="dxa"/>
                  <w:vAlign w:val="center"/>
                </w:tcPr>
                <w:p w14:paraId="58282BF3">
                  <w:pPr>
                    <w:widowControl/>
                    <w:spacing w:line="400" w:lineRule="exact"/>
                    <w:ind w:firstLine="630" w:firstLineChars="300"/>
                    <w:jc w:val="center"/>
                    <w:rPr>
                      <w:rFonts w:ascii="宋体" w:hAnsi="宋体" w:cs="宋体"/>
                      <w:szCs w:val="21"/>
                    </w:rPr>
                  </w:pPr>
                </w:p>
              </w:tc>
              <w:tc>
                <w:tcPr>
                  <w:tcW w:w="897" w:type="dxa"/>
                  <w:vAlign w:val="center"/>
                </w:tcPr>
                <w:p w14:paraId="17E1E098">
                  <w:pPr>
                    <w:widowControl/>
                    <w:spacing w:line="400" w:lineRule="exact"/>
                    <w:ind w:firstLine="630" w:firstLineChars="300"/>
                    <w:jc w:val="center"/>
                    <w:rPr>
                      <w:rFonts w:ascii="宋体" w:hAnsi="宋体" w:cs="宋体"/>
                      <w:szCs w:val="21"/>
                    </w:rPr>
                  </w:pPr>
                </w:p>
              </w:tc>
            </w:tr>
            <w:tr w14:paraId="322A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4" w:type="dxa"/>
                  <w:vAlign w:val="center"/>
                </w:tcPr>
                <w:p w14:paraId="342BAF59">
                  <w:pPr>
                    <w:widowControl/>
                    <w:spacing w:line="400" w:lineRule="exact"/>
                    <w:jc w:val="left"/>
                    <w:rPr>
                      <w:rFonts w:ascii="宋体" w:hAnsi="宋体" w:cs="宋体"/>
                      <w:szCs w:val="21"/>
                    </w:rPr>
                  </w:pPr>
                  <w:r>
                    <w:rPr>
                      <w:rFonts w:hint="eastAsia" w:ascii="宋体" w:hAnsi="宋体" w:cs="宋体"/>
                      <w:szCs w:val="21"/>
                    </w:rPr>
                    <w:t>对应下浮系数</w:t>
                  </w:r>
                </w:p>
              </w:tc>
              <w:tc>
                <w:tcPr>
                  <w:tcW w:w="779" w:type="dxa"/>
                  <w:vAlign w:val="center"/>
                </w:tcPr>
                <w:p w14:paraId="0773DBC3">
                  <w:pPr>
                    <w:widowControl/>
                    <w:spacing w:line="400" w:lineRule="exact"/>
                    <w:jc w:val="center"/>
                    <w:rPr>
                      <w:rFonts w:ascii="宋体" w:hAnsi="宋体" w:cs="宋体"/>
                      <w:szCs w:val="21"/>
                    </w:rPr>
                  </w:pPr>
                  <w:r>
                    <w:rPr>
                      <w:rFonts w:ascii="宋体" w:hAnsi="宋体" w:cs="宋体"/>
                      <w:szCs w:val="21"/>
                    </w:rPr>
                    <w:t>85%</w:t>
                  </w:r>
                </w:p>
              </w:tc>
              <w:tc>
                <w:tcPr>
                  <w:tcW w:w="1002" w:type="dxa"/>
                  <w:vAlign w:val="center"/>
                </w:tcPr>
                <w:p w14:paraId="212012A6">
                  <w:pPr>
                    <w:widowControl/>
                    <w:spacing w:line="400" w:lineRule="exact"/>
                    <w:ind w:firstLine="630" w:firstLineChars="300"/>
                    <w:jc w:val="center"/>
                    <w:rPr>
                      <w:rFonts w:ascii="宋体" w:hAnsi="宋体" w:cs="宋体"/>
                      <w:szCs w:val="21"/>
                    </w:rPr>
                  </w:pPr>
                </w:p>
              </w:tc>
              <w:tc>
                <w:tcPr>
                  <w:tcW w:w="830" w:type="dxa"/>
                  <w:vAlign w:val="center"/>
                </w:tcPr>
                <w:p w14:paraId="0B7D8AD8">
                  <w:pPr>
                    <w:widowControl/>
                    <w:spacing w:line="400" w:lineRule="exact"/>
                    <w:jc w:val="center"/>
                    <w:rPr>
                      <w:rFonts w:ascii="宋体" w:hAnsi="宋体" w:cs="宋体"/>
                      <w:szCs w:val="21"/>
                    </w:rPr>
                  </w:pPr>
                  <w:r>
                    <w:rPr>
                      <w:rFonts w:hint="eastAsia" w:ascii="宋体" w:hAnsi="宋体" w:cs="宋体"/>
                      <w:szCs w:val="21"/>
                    </w:rPr>
                    <w:t>…</w:t>
                  </w:r>
                </w:p>
              </w:tc>
              <w:tc>
                <w:tcPr>
                  <w:tcW w:w="1305" w:type="dxa"/>
                  <w:vAlign w:val="center"/>
                </w:tcPr>
                <w:p w14:paraId="1ABA8747">
                  <w:pPr>
                    <w:widowControl/>
                    <w:spacing w:line="400" w:lineRule="exact"/>
                    <w:ind w:firstLine="630" w:firstLineChars="300"/>
                    <w:jc w:val="center"/>
                    <w:rPr>
                      <w:rFonts w:ascii="宋体" w:hAnsi="宋体" w:cs="宋体"/>
                      <w:szCs w:val="21"/>
                    </w:rPr>
                  </w:pPr>
                </w:p>
              </w:tc>
              <w:tc>
                <w:tcPr>
                  <w:tcW w:w="897" w:type="dxa"/>
                  <w:vAlign w:val="center"/>
                </w:tcPr>
                <w:p w14:paraId="56086588">
                  <w:pPr>
                    <w:widowControl/>
                    <w:spacing w:line="400" w:lineRule="exact"/>
                    <w:jc w:val="center"/>
                    <w:rPr>
                      <w:rFonts w:ascii="宋体" w:hAnsi="宋体" w:cs="宋体"/>
                      <w:szCs w:val="21"/>
                    </w:rPr>
                  </w:pPr>
                  <w:r>
                    <w:rPr>
                      <w:rFonts w:ascii="宋体" w:hAnsi="宋体" w:cs="宋体"/>
                      <w:szCs w:val="21"/>
                    </w:rPr>
                    <w:t>95%</w:t>
                  </w:r>
                </w:p>
              </w:tc>
            </w:tr>
          </w:tbl>
          <w:p w14:paraId="2B683235">
            <w:pPr>
              <w:widowControl/>
              <w:spacing w:line="400" w:lineRule="exact"/>
              <w:ind w:firstLine="210" w:firstLineChars="100"/>
              <w:rPr>
                <w:rFonts w:hint="eastAsia" w:ascii="宋体" w:hAnsi="宋体" w:eastAsia="宋体" w:cs="宋体"/>
                <w:color w:val="000000"/>
              </w:rPr>
            </w:pPr>
            <w:r>
              <w:rPr>
                <w:rFonts w:hint="eastAsia" w:ascii="宋体" w:hAnsi="宋体" w:cs="宋体"/>
                <w:b w:val="0"/>
                <w:bCs/>
                <w:color w:val="000000"/>
                <w:szCs w:val="21"/>
              </w:rPr>
              <w:t>注</w:t>
            </w:r>
            <w:r>
              <w:rPr>
                <w:rFonts w:hint="eastAsia" w:ascii="宋体" w:hAnsi="宋体" w:eastAsia="宋体" w:cs="宋体"/>
                <w:b w:val="0"/>
                <w:color w:val="000000"/>
                <w:szCs w:val="21"/>
              </w:rPr>
              <w:t>：</w:t>
            </w:r>
            <w:r>
              <w:rPr>
                <w:rFonts w:hint="eastAsia" w:ascii="宋体" w:hAnsi="宋体" w:eastAsia="宋体" w:cs="宋体"/>
                <w:color w:val="000000"/>
              </w:rPr>
              <w:t>招标人根据项目情况在取值范围中设定随机下浮系数，该系数的取值范围为85%~95%，在第二个信封（报价文件）开标现场随机抽取确定三个数，三个数的算术平均值即为随机下浮系数，其取值的步长不大于0.5%。</w:t>
            </w:r>
          </w:p>
          <w:p w14:paraId="3656AA85">
            <w:pPr>
              <w:pStyle w:val="299"/>
              <w:adjustRightInd w:val="0"/>
              <w:snapToGrid w:val="0"/>
              <w:spacing w:line="400" w:lineRule="exact"/>
              <w:rPr>
                <w:rStyle w:val="59"/>
                <w:rFonts w:hint="eastAsia" w:ascii="宋体" w:hAnsi="宋体" w:cs="宋体"/>
                <w:vertAlign w:val="baseline"/>
              </w:rPr>
            </w:pPr>
            <w:r>
              <w:rPr>
                <w:rFonts w:hint="eastAsia" w:ascii="宋体" w:hAnsi="宋体" w:cs="宋体"/>
                <w:b/>
                <w:szCs w:val="21"/>
              </w:rPr>
              <w:t>□</w:t>
            </w:r>
            <w:r>
              <w:rPr>
                <w:rFonts w:ascii="宋体" w:hAnsi="宋体" w:cs="宋体"/>
                <w:b w:val="0"/>
                <w:bCs/>
                <w:szCs w:val="21"/>
              </w:rPr>
              <w:t xml:space="preserve"> </w:t>
            </w:r>
            <w:r>
              <w:rPr>
                <w:rStyle w:val="59"/>
                <w:rFonts w:hint="eastAsia" w:ascii="宋体" w:hAnsi="宋体" w:cs="宋体"/>
                <w:b/>
                <w:bCs w:val="0"/>
                <w:vertAlign w:val="baseline"/>
              </w:rPr>
              <w:t>方法</w:t>
            </w:r>
            <w:r>
              <w:rPr>
                <w:rFonts w:hint="eastAsia" w:ascii="宋体" w:hAnsi="宋体" w:cs="宋体"/>
                <w:b/>
                <w:bCs w:val="0"/>
                <w:vertAlign w:val="baseline"/>
                <w:lang w:val="en-US" w:eastAsia="zh-CN"/>
              </w:rPr>
              <w:t>六</w:t>
            </w:r>
            <w:r>
              <w:rPr>
                <w:rStyle w:val="59"/>
                <w:rFonts w:hint="eastAsia" w:ascii="宋体" w:hAnsi="宋体" w:cs="宋体"/>
                <w:b/>
                <w:bCs w:val="0"/>
                <w:vertAlign w:val="baseline"/>
              </w:rPr>
              <w:t>（直接平均法）：</w:t>
            </w:r>
          </w:p>
          <w:p w14:paraId="4EEE6EAA">
            <w:pPr>
              <w:pStyle w:val="299"/>
              <w:adjustRightInd w:val="0"/>
              <w:snapToGrid w:val="0"/>
              <w:spacing w:line="400" w:lineRule="exact"/>
              <w:ind w:left="0" w:leftChars="0" w:firstLine="210" w:firstLineChars="100"/>
              <w:rPr>
                <w:rFonts w:hint="eastAsia" w:ascii="宋体" w:hAnsi="宋体" w:eastAsia="宋体" w:cs="宋体"/>
                <w:color w:val="000000"/>
              </w:rPr>
            </w:pPr>
            <w:r>
              <w:rPr>
                <w:rStyle w:val="59"/>
                <w:rFonts w:hint="eastAsia" w:ascii="宋体" w:hAnsi="宋体" w:cs="宋体"/>
                <w:vertAlign w:val="baseline"/>
              </w:rPr>
              <w:t>按第一个信封（商务及技术文件）评审得分由高到低的顺序选取前N</w:t>
            </w:r>
            <w:r>
              <w:rPr>
                <w:rFonts w:hint="eastAsia" w:ascii="宋体" w:hAnsi="宋体" w:cs="宋体"/>
                <w:vertAlign w:val="baseline"/>
                <w:lang w:eastAsia="zh-CN"/>
              </w:rPr>
              <w:t>（</w:t>
            </w:r>
            <w:r>
              <w:rPr>
                <w:rFonts w:hint="eastAsia" w:ascii="宋体" w:hAnsi="宋体" w:cs="宋体"/>
                <w:vertAlign w:val="baseline"/>
                <w:lang w:val="en-US" w:eastAsia="zh-CN"/>
              </w:rPr>
              <w:t>N=</w:t>
            </w:r>
            <w:r>
              <w:rPr>
                <w:rFonts w:hint="eastAsia" w:ascii="宋体" w:hAnsi="宋体" w:cs="宋体"/>
                <w:u w:val="single"/>
                <w:vertAlign w:val="baseline"/>
                <w:lang w:val="en-US" w:eastAsia="zh-CN"/>
              </w:rPr>
              <w:t xml:space="preserve">  </w:t>
            </w:r>
            <w:r>
              <w:rPr>
                <w:rFonts w:hint="eastAsia" w:ascii="宋体" w:hAnsi="宋体" w:cs="宋体"/>
                <w:vertAlign w:val="baseline"/>
                <w:lang w:eastAsia="zh-CN"/>
              </w:rPr>
              <w:t>）</w:t>
            </w:r>
            <w:r>
              <w:rPr>
                <w:rStyle w:val="59"/>
                <w:rFonts w:hint="eastAsia" w:ascii="宋体" w:hAnsi="宋体" w:cs="宋体"/>
                <w:vertAlign w:val="baseline"/>
              </w:rPr>
              <w:t>名（5≤N≤8，若不足N名，则选取相应数量，N为整数），对其第二个信封（报价文件）的评标价作算数平均（按规定在开标现场被宣布为不进入评标基准价计算的投标报价除外），将该平均值直接作为评标基准价。</w:t>
            </w:r>
          </w:p>
          <w:p w14:paraId="00515136">
            <w:pPr>
              <w:widowControl/>
              <w:spacing w:line="400" w:lineRule="exac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）评标基准价确定场合：</w:t>
            </w:r>
          </w:p>
          <w:p w14:paraId="2041CE72">
            <w:pPr>
              <w:widowControl/>
              <w:spacing w:line="400" w:lineRule="exact"/>
              <w:ind w:firstLine="210" w:firstLineChars="100"/>
              <w:rPr>
                <w:rFonts w:ascii="宋体" w:hAnsi="宋体" w:cs="宋体"/>
                <w:szCs w:val="21"/>
              </w:rPr>
            </w:pPr>
            <w:r>
              <w:rPr>
                <w:rFonts w:hint="eastAsia" w:ascii="宋体" w:hAnsi="宋体" w:cs="宋体"/>
                <w:szCs w:val="21"/>
              </w:rPr>
              <w:t>评标基准价按以上规则计算后在第二个信封</w:t>
            </w:r>
            <w:r>
              <w:rPr>
                <w:rFonts w:hint="eastAsia" w:ascii="宋体" w:hAnsi="宋体" w:cs="宋体"/>
                <w:color w:val="000000"/>
                <w:szCs w:val="21"/>
              </w:rPr>
              <w:t>（报价文件）</w:t>
            </w:r>
            <w:r>
              <w:rPr>
                <w:rFonts w:hint="eastAsia" w:ascii="宋体" w:hAnsi="宋体" w:cs="宋体"/>
                <w:szCs w:val="21"/>
              </w:rPr>
              <w:t>开标现场公布，如果投标人认为评标基准价计算有误，有权在开标现场提出，经监督人当场核实确认后，可重新计算和宣布评标基准价。</w:t>
            </w:r>
          </w:p>
          <w:p w14:paraId="156F3E3B">
            <w:pPr>
              <w:widowControl/>
              <w:spacing w:line="400" w:lineRule="exact"/>
              <w:ind w:firstLine="210" w:firstLineChars="100"/>
              <w:rPr>
                <w:rFonts w:ascii="宋体" w:hAnsi="宋体" w:cs="宋体"/>
                <w:szCs w:val="21"/>
              </w:rPr>
            </w:pPr>
            <w:r>
              <w:rPr>
                <w:rFonts w:hint="eastAsia" w:ascii="宋体" w:hAnsi="宋体" w:cs="宋体"/>
                <w:szCs w:val="21"/>
              </w:rPr>
              <w:t>在评标过程中，评标委员会应对招标人开标时计算的评标基准价进行复核，存在计算错误的应予以修正并在评标报告中作出说明。除</w:t>
            </w:r>
            <w:r>
              <w:rPr>
                <w:rFonts w:ascii="宋体" w:hAnsi="宋体" w:cs="宋体"/>
                <w:szCs w:val="21"/>
              </w:rPr>
              <w:t>开标时计算错误外，</w:t>
            </w:r>
            <w:r>
              <w:rPr>
                <w:rFonts w:hint="eastAsia" w:ascii="宋体" w:hAnsi="宋体" w:cs="宋体"/>
                <w:szCs w:val="21"/>
              </w:rPr>
              <w:t>确认后的评标基准价不因第二个信封</w:t>
            </w:r>
            <w:r>
              <w:rPr>
                <w:rFonts w:hint="eastAsia" w:ascii="宋体" w:hAnsi="宋体" w:cs="宋体"/>
                <w:color w:val="000000"/>
                <w:szCs w:val="21"/>
              </w:rPr>
              <w:t>（报价文件）</w:t>
            </w:r>
            <w:r>
              <w:rPr>
                <w:rFonts w:ascii="宋体" w:hAnsi="宋体" w:cs="宋体"/>
                <w:szCs w:val="21"/>
              </w:rPr>
              <w:t>评审否决投标而</w:t>
            </w:r>
            <w:r>
              <w:rPr>
                <w:rFonts w:hint="eastAsia" w:ascii="宋体" w:hAnsi="宋体" w:cs="宋体"/>
                <w:szCs w:val="21"/>
              </w:rPr>
              <w:t>改变，也不因招投标当事人异议、投诉以及其</w:t>
            </w:r>
            <w:r>
              <w:rPr>
                <w:rFonts w:hint="eastAsia" w:ascii="宋体" w:hAnsi="宋体" w:cs="宋体"/>
                <w:szCs w:val="21"/>
                <w:lang w:val="en-US" w:eastAsia="zh-CN"/>
              </w:rPr>
              <w:t>他</w:t>
            </w:r>
            <w:r>
              <w:rPr>
                <w:rFonts w:hint="eastAsia" w:ascii="宋体" w:hAnsi="宋体" w:cs="宋体"/>
                <w:szCs w:val="21"/>
              </w:rPr>
              <w:t>任何情形而改变。</w:t>
            </w:r>
            <w:r>
              <w:rPr>
                <w:rFonts w:ascii="宋体" w:hAnsi="宋体" w:cs="宋体"/>
                <w:b/>
                <w:szCs w:val="21"/>
              </w:rPr>
              <w:t xml:space="preserve">  </w:t>
            </w:r>
          </w:p>
        </w:tc>
      </w:tr>
      <w:tr w14:paraId="1B0C930B">
        <w:tblPrEx>
          <w:tblCellMar>
            <w:top w:w="0" w:type="dxa"/>
            <w:left w:w="108" w:type="dxa"/>
            <w:bottom w:w="0" w:type="dxa"/>
            <w:right w:w="108" w:type="dxa"/>
          </w:tblCellMar>
        </w:tblPrEx>
        <w:trPr>
          <w:trHeight w:val="1101" w:hRule="atLeast"/>
        </w:trPr>
        <w:tc>
          <w:tcPr>
            <w:tcW w:w="990" w:type="dxa"/>
            <w:tcBorders>
              <w:top w:val="single" w:color="auto" w:sz="4" w:space="0"/>
              <w:left w:val="single" w:color="auto" w:sz="4" w:space="0"/>
              <w:bottom w:val="single" w:color="auto" w:sz="4" w:space="0"/>
              <w:right w:val="single" w:color="auto" w:sz="4" w:space="0"/>
            </w:tcBorders>
            <w:vAlign w:val="center"/>
          </w:tcPr>
          <w:p w14:paraId="43877E57">
            <w:pPr>
              <w:widowControl/>
              <w:adjustRightInd w:val="0"/>
              <w:snapToGrid w:val="0"/>
              <w:spacing w:line="400" w:lineRule="exact"/>
              <w:jc w:val="center"/>
              <w:rPr>
                <w:rFonts w:ascii="宋体" w:hAnsi="宋体" w:cs="宋体"/>
                <w:kern w:val="0"/>
                <w:szCs w:val="21"/>
              </w:rPr>
            </w:pPr>
            <w:r>
              <w:rPr>
                <w:rFonts w:ascii="宋体" w:hAnsi="宋体"/>
                <w:szCs w:val="21"/>
              </w:rPr>
              <w:t>2.2.3</w:t>
            </w:r>
          </w:p>
        </w:tc>
        <w:tc>
          <w:tcPr>
            <w:tcW w:w="1130" w:type="dxa"/>
            <w:tcBorders>
              <w:top w:val="single" w:color="000000" w:sz="4" w:space="0"/>
              <w:left w:val="single" w:color="auto" w:sz="4" w:space="0"/>
              <w:bottom w:val="single" w:color="auto" w:sz="4" w:space="0"/>
              <w:right w:val="single" w:color="000000" w:sz="4" w:space="0"/>
            </w:tcBorders>
            <w:vAlign w:val="center"/>
          </w:tcPr>
          <w:p w14:paraId="24017686">
            <w:pPr>
              <w:widowControl/>
              <w:adjustRightInd w:val="0"/>
              <w:snapToGrid w:val="0"/>
              <w:spacing w:line="400" w:lineRule="exact"/>
              <w:jc w:val="center"/>
              <w:rPr>
                <w:rFonts w:ascii="宋体" w:hAnsi="宋体"/>
                <w:szCs w:val="21"/>
              </w:rPr>
            </w:pPr>
            <w:r>
              <w:rPr>
                <w:rFonts w:hint="eastAsia" w:ascii="宋体" w:hAnsi="宋体"/>
                <w:szCs w:val="21"/>
              </w:rPr>
              <w:t>评标价的偏差率计算公式</w:t>
            </w:r>
          </w:p>
        </w:tc>
        <w:tc>
          <w:tcPr>
            <w:tcW w:w="6839" w:type="dxa"/>
            <w:tcBorders>
              <w:top w:val="single" w:color="000000" w:sz="4" w:space="0"/>
              <w:left w:val="nil"/>
              <w:bottom w:val="single" w:color="000000" w:sz="4" w:space="0"/>
              <w:right w:val="single" w:color="000000" w:sz="4" w:space="0"/>
            </w:tcBorders>
            <w:vAlign w:val="center"/>
          </w:tcPr>
          <w:p w14:paraId="21AFE75A">
            <w:pPr>
              <w:pStyle w:val="299"/>
              <w:adjustRightInd w:val="0"/>
              <w:snapToGrid w:val="0"/>
              <w:spacing w:line="400" w:lineRule="exact"/>
              <w:rPr>
                <w:rFonts w:ascii="宋体" w:hAnsi="宋体"/>
                <w:szCs w:val="21"/>
              </w:rPr>
            </w:pPr>
            <w:r>
              <w:rPr>
                <w:rFonts w:hint="eastAsia" w:ascii="宋体" w:hAnsi="宋体"/>
                <w:szCs w:val="21"/>
              </w:rPr>
              <w:t>偏差率＝</w:t>
            </w:r>
            <w:r>
              <w:rPr>
                <w:rFonts w:ascii="宋体" w:hAnsi="宋体"/>
                <w:b/>
                <w:szCs w:val="21"/>
              </w:rPr>
              <w:t>|</w:t>
            </w:r>
            <w:r>
              <w:rPr>
                <w:rFonts w:ascii="宋体" w:hAnsi="宋体"/>
                <w:szCs w:val="21"/>
              </w:rPr>
              <w:t>100%×（投标人评标价－评标基准价）／评标基准价</w:t>
            </w:r>
            <w:r>
              <w:rPr>
                <w:rFonts w:ascii="宋体" w:hAnsi="宋体"/>
                <w:b/>
                <w:szCs w:val="21"/>
              </w:rPr>
              <w:t>|</w:t>
            </w:r>
          </w:p>
          <w:p w14:paraId="0822F3A6">
            <w:pPr>
              <w:widowControl/>
              <w:adjustRightInd w:val="0"/>
              <w:snapToGrid w:val="0"/>
              <w:spacing w:line="400" w:lineRule="exact"/>
              <w:rPr>
                <w:rFonts w:hint="eastAsia" w:ascii="宋体" w:hAnsi="宋体" w:eastAsia="宋体"/>
                <w:szCs w:val="21"/>
                <w:lang w:eastAsia="zh-CN"/>
              </w:rPr>
            </w:pPr>
            <w:r>
              <w:rPr>
                <w:rFonts w:hint="eastAsia" w:ascii="宋体" w:hAnsi="宋体"/>
                <w:szCs w:val="21"/>
              </w:rPr>
              <w:t>偏差率保留</w:t>
            </w:r>
            <w:r>
              <w:rPr>
                <w:rFonts w:ascii="宋体" w:hAnsi="宋体"/>
                <w:szCs w:val="21"/>
                <w:u w:val="single"/>
              </w:rPr>
              <w:t xml:space="preserve">      </w:t>
            </w:r>
            <w:r>
              <w:rPr>
                <w:rFonts w:hint="eastAsia" w:ascii="宋体" w:hAnsi="宋体"/>
                <w:szCs w:val="21"/>
              </w:rPr>
              <w:t>位小数（</w:t>
            </w:r>
            <w:r>
              <w:rPr>
                <w:rFonts w:hint="eastAsia" w:ascii="宋体" w:hAnsi="宋体"/>
                <w:szCs w:val="21"/>
                <w:lang w:eastAsia="zh-CN"/>
              </w:rPr>
              <w:t>“</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lang w:val="en-US" w:eastAsia="zh-CN"/>
              </w:rPr>
              <w:t>前面数值的位数</w:t>
            </w:r>
            <w:r>
              <w:rPr>
                <w:rFonts w:hint="eastAsia" w:ascii="宋体" w:hAnsi="宋体"/>
                <w:szCs w:val="21"/>
              </w:rPr>
              <w:t>）</w:t>
            </w:r>
            <w:r>
              <w:rPr>
                <w:rFonts w:hint="eastAsia" w:ascii="宋体" w:hAnsi="宋体"/>
                <w:szCs w:val="21"/>
                <w:lang w:eastAsia="zh-CN"/>
              </w:rPr>
              <w:t>。</w:t>
            </w:r>
          </w:p>
        </w:tc>
      </w:tr>
      <w:tr w14:paraId="0A2851A2">
        <w:tblPrEx>
          <w:tblCellMar>
            <w:top w:w="0" w:type="dxa"/>
            <w:left w:w="108" w:type="dxa"/>
            <w:bottom w:w="0" w:type="dxa"/>
            <w:right w:w="108" w:type="dxa"/>
          </w:tblCellMar>
        </w:tblPrEx>
        <w:trPr>
          <w:trHeight w:val="580" w:hRule="atLeast"/>
        </w:trPr>
        <w:tc>
          <w:tcPr>
            <w:tcW w:w="990" w:type="dxa"/>
            <w:tcBorders>
              <w:top w:val="single" w:color="auto" w:sz="4" w:space="0"/>
              <w:left w:val="single" w:color="auto" w:sz="4" w:space="0"/>
              <w:bottom w:val="single" w:color="auto" w:sz="4" w:space="0"/>
              <w:right w:val="single" w:color="auto" w:sz="4" w:space="0"/>
            </w:tcBorders>
            <w:vAlign w:val="center"/>
          </w:tcPr>
          <w:p w14:paraId="3D707E08">
            <w:pPr>
              <w:widowControl/>
              <w:adjustRightInd w:val="0"/>
              <w:snapToGrid w:val="0"/>
              <w:spacing w:line="400" w:lineRule="exact"/>
              <w:jc w:val="center"/>
              <w:rPr>
                <w:rFonts w:ascii="宋体" w:hAnsi="宋体" w:cs="宋体"/>
                <w:kern w:val="0"/>
                <w:szCs w:val="21"/>
              </w:rPr>
            </w:pPr>
            <w:r>
              <w:rPr>
                <w:rFonts w:ascii="宋体" w:hAnsi="宋体" w:cs="宋体"/>
                <w:kern w:val="0"/>
                <w:szCs w:val="21"/>
              </w:rPr>
              <w:t>2.2.4</w:t>
            </w:r>
          </w:p>
        </w:tc>
        <w:tc>
          <w:tcPr>
            <w:tcW w:w="1130" w:type="dxa"/>
            <w:tcBorders>
              <w:top w:val="single" w:color="auto" w:sz="4" w:space="0"/>
              <w:left w:val="single" w:color="auto" w:sz="4" w:space="0"/>
              <w:bottom w:val="single" w:color="auto" w:sz="4" w:space="0"/>
              <w:right w:val="single" w:color="auto" w:sz="4" w:space="0"/>
            </w:tcBorders>
            <w:vAlign w:val="center"/>
          </w:tcPr>
          <w:p w14:paraId="619EE164">
            <w:pPr>
              <w:pStyle w:val="299"/>
              <w:adjustRightInd w:val="0"/>
              <w:snapToGrid w:val="0"/>
              <w:spacing w:line="400" w:lineRule="exact"/>
              <w:jc w:val="center"/>
              <w:rPr>
                <w:rFonts w:ascii="宋体" w:hAnsi="宋体"/>
                <w:szCs w:val="21"/>
              </w:rPr>
            </w:pPr>
            <w:r>
              <w:rPr>
                <w:rFonts w:hint="eastAsia" w:ascii="宋体" w:hAnsi="宋体"/>
                <w:szCs w:val="21"/>
              </w:rPr>
              <w:t>评分标准</w:t>
            </w:r>
          </w:p>
        </w:tc>
        <w:tc>
          <w:tcPr>
            <w:tcW w:w="6839" w:type="dxa"/>
            <w:tcBorders>
              <w:top w:val="single" w:color="000000" w:sz="4" w:space="0"/>
              <w:left w:val="single" w:color="auto" w:sz="4" w:space="0"/>
              <w:bottom w:val="single" w:color="000000" w:sz="4" w:space="0"/>
              <w:right w:val="single" w:color="000000" w:sz="4" w:space="0"/>
            </w:tcBorders>
            <w:vAlign w:val="center"/>
          </w:tcPr>
          <w:p w14:paraId="317A16A8">
            <w:pPr>
              <w:pStyle w:val="299"/>
              <w:adjustRightInd w:val="0"/>
              <w:snapToGrid w:val="0"/>
              <w:spacing w:line="400" w:lineRule="exact"/>
              <w:rPr>
                <w:rFonts w:hint="eastAsia" w:ascii="宋体" w:hAnsi="宋体" w:eastAsia="宋体"/>
                <w:b/>
                <w:szCs w:val="21"/>
                <w:lang w:eastAsia="zh-CN"/>
              </w:rPr>
            </w:pPr>
            <w:r>
              <w:rPr>
                <w:rFonts w:hint="eastAsia" w:ascii="宋体" w:hAnsi="宋体" w:cs="宋体"/>
                <w:szCs w:val="21"/>
              </w:rPr>
              <w:t>见“评分因素与权重分值”</w:t>
            </w:r>
            <w:r>
              <w:rPr>
                <w:rFonts w:hint="eastAsia" w:ascii="宋体" w:hAnsi="宋体" w:cs="宋体"/>
                <w:szCs w:val="21"/>
                <w:lang w:eastAsia="zh-CN"/>
              </w:rPr>
              <w:t>。</w:t>
            </w:r>
          </w:p>
        </w:tc>
      </w:tr>
    </w:tbl>
    <w:p w14:paraId="44C8C7D7"/>
    <w:p w14:paraId="1BA5BD75">
      <w:pPr>
        <w:rPr>
          <w:rFonts w:hint="eastAsia"/>
          <w:lang w:val="en-US" w:eastAsia="zh-CN"/>
        </w:rPr>
      </w:pPr>
      <w:r>
        <w:rPr>
          <w:rFonts w:hint="eastAsia"/>
          <w:lang w:val="en-US" w:eastAsia="zh-CN"/>
        </w:rPr>
        <w:br w:type="page"/>
      </w:r>
    </w:p>
    <w:p w14:paraId="4B709D4F">
      <w:pPr>
        <w:jc w:val="right"/>
        <w:rPr>
          <w:rFonts w:hint="eastAsia" w:eastAsia="宋体"/>
          <w:lang w:val="en-US" w:eastAsia="zh-CN"/>
        </w:rPr>
      </w:pPr>
      <w:r>
        <w:rPr>
          <w:rFonts w:hint="eastAsia"/>
          <w:lang w:val="en-US" w:eastAsia="zh-CN"/>
        </w:rPr>
        <w:t>续上表</w:t>
      </w:r>
    </w:p>
    <w:tbl>
      <w:tblPr>
        <w:tblStyle w:val="49"/>
        <w:tblW w:w="8959" w:type="dxa"/>
        <w:tblInd w:w="-34" w:type="dxa"/>
        <w:tblLayout w:type="fixed"/>
        <w:tblCellMar>
          <w:top w:w="0" w:type="dxa"/>
          <w:left w:w="108" w:type="dxa"/>
          <w:bottom w:w="0" w:type="dxa"/>
          <w:right w:w="108" w:type="dxa"/>
        </w:tblCellMar>
      </w:tblPr>
      <w:tblGrid>
        <w:gridCol w:w="990"/>
        <w:gridCol w:w="1130"/>
        <w:gridCol w:w="6839"/>
      </w:tblGrid>
      <w:tr w14:paraId="42D9FA67">
        <w:tblPrEx>
          <w:tblCellMar>
            <w:top w:w="0" w:type="dxa"/>
            <w:left w:w="108" w:type="dxa"/>
            <w:bottom w:w="0" w:type="dxa"/>
            <w:right w:w="108" w:type="dxa"/>
          </w:tblCellMar>
        </w:tblPrEx>
        <w:trPr>
          <w:trHeight w:val="288" w:hRule="atLeast"/>
          <w:tblHeader/>
        </w:trPr>
        <w:tc>
          <w:tcPr>
            <w:tcW w:w="2120" w:type="dxa"/>
            <w:gridSpan w:val="2"/>
            <w:tcBorders>
              <w:top w:val="single" w:color="000000" w:sz="4" w:space="0"/>
              <w:left w:val="single" w:color="000000" w:sz="4" w:space="0"/>
              <w:bottom w:val="single" w:color="auto" w:sz="4" w:space="0"/>
              <w:right w:val="single" w:color="000000" w:sz="4" w:space="0"/>
            </w:tcBorders>
            <w:vAlign w:val="center"/>
          </w:tcPr>
          <w:p w14:paraId="4E1C9C17">
            <w:pPr>
              <w:widowControl/>
              <w:adjustRightInd w:val="0"/>
              <w:snapToGrid w:val="0"/>
              <w:spacing w:line="400" w:lineRule="exact"/>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条款号</w:t>
            </w:r>
          </w:p>
        </w:tc>
        <w:tc>
          <w:tcPr>
            <w:tcW w:w="6839" w:type="dxa"/>
            <w:tcBorders>
              <w:top w:val="single" w:color="000000" w:sz="4" w:space="0"/>
              <w:left w:val="nil"/>
              <w:bottom w:val="single" w:color="auto" w:sz="4" w:space="0"/>
              <w:right w:val="single" w:color="000000" w:sz="4" w:space="0"/>
            </w:tcBorders>
            <w:vAlign w:val="center"/>
          </w:tcPr>
          <w:p w14:paraId="3D389BC3">
            <w:pPr>
              <w:pStyle w:val="299"/>
              <w:adjustRightInd w:val="0"/>
              <w:snapToGrid w:val="0"/>
              <w:spacing w:line="40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评审因素与评审标准</w:t>
            </w:r>
          </w:p>
        </w:tc>
      </w:tr>
      <w:tr w14:paraId="06B17417">
        <w:tblPrEx>
          <w:tblCellMar>
            <w:top w:w="0" w:type="dxa"/>
            <w:left w:w="108" w:type="dxa"/>
            <w:bottom w:w="0" w:type="dxa"/>
            <w:right w:w="108" w:type="dxa"/>
          </w:tblCellMar>
        </w:tblPrEx>
        <w:trPr>
          <w:trHeight w:val="2142" w:hRule="atLeast"/>
        </w:trPr>
        <w:tc>
          <w:tcPr>
            <w:tcW w:w="990" w:type="dxa"/>
            <w:tcBorders>
              <w:top w:val="single" w:color="000000" w:sz="4" w:space="0"/>
              <w:left w:val="single" w:color="000000" w:sz="4" w:space="0"/>
              <w:bottom w:val="single" w:color="auto" w:sz="4" w:space="0"/>
              <w:right w:val="single" w:color="000000" w:sz="4" w:space="0"/>
            </w:tcBorders>
            <w:vAlign w:val="center"/>
          </w:tcPr>
          <w:p w14:paraId="57F46521">
            <w:pPr>
              <w:widowControl/>
              <w:adjustRightInd w:val="0"/>
              <w:snapToGrid w:val="0"/>
              <w:spacing w:line="400" w:lineRule="exact"/>
              <w:jc w:val="center"/>
              <w:rPr>
                <w:rFonts w:ascii="宋体" w:hAnsi="宋体" w:cs="宋体"/>
                <w:kern w:val="0"/>
                <w:szCs w:val="21"/>
              </w:rPr>
            </w:pPr>
            <w:r>
              <w:rPr>
                <w:rFonts w:ascii="宋体" w:hAnsi="宋体" w:cs="宋体"/>
                <w:kern w:val="0"/>
                <w:szCs w:val="21"/>
              </w:rPr>
              <w:t>3.1</w:t>
            </w:r>
          </w:p>
          <w:p w14:paraId="5712340C">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第一个信封初步评审</w:t>
            </w:r>
          </w:p>
        </w:tc>
        <w:tc>
          <w:tcPr>
            <w:tcW w:w="1130" w:type="dxa"/>
            <w:tcBorders>
              <w:top w:val="single" w:color="auto" w:sz="4" w:space="0"/>
              <w:left w:val="nil"/>
              <w:bottom w:val="single" w:color="auto" w:sz="4" w:space="0"/>
              <w:right w:val="single" w:color="000000" w:sz="4" w:space="0"/>
            </w:tcBorders>
            <w:vAlign w:val="center"/>
          </w:tcPr>
          <w:p w14:paraId="2C78D7BE">
            <w:pPr>
              <w:widowControl/>
              <w:adjustRightInd w:val="0"/>
              <w:snapToGrid w:val="0"/>
              <w:spacing w:line="400" w:lineRule="exact"/>
              <w:jc w:val="center"/>
              <w:rPr>
                <w:rFonts w:ascii="宋体" w:hAnsi="宋体" w:cs="宋体"/>
                <w:kern w:val="0"/>
                <w:szCs w:val="21"/>
              </w:rPr>
            </w:pPr>
            <w:r>
              <w:rPr>
                <w:rFonts w:ascii="宋体" w:hAnsi="宋体" w:cs="宋体"/>
                <w:kern w:val="0"/>
                <w:szCs w:val="21"/>
              </w:rPr>
              <w:t>3.1.1</w:t>
            </w:r>
          </w:p>
        </w:tc>
        <w:tc>
          <w:tcPr>
            <w:tcW w:w="6839" w:type="dxa"/>
            <w:tcBorders>
              <w:top w:val="single" w:color="000000" w:sz="4" w:space="0"/>
              <w:left w:val="nil"/>
              <w:bottom w:val="single" w:color="auto" w:sz="4" w:space="0"/>
              <w:right w:val="single" w:color="000000" w:sz="4" w:space="0"/>
            </w:tcBorders>
            <w:vAlign w:val="center"/>
          </w:tcPr>
          <w:p w14:paraId="25A48002">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1）评标委员会依据本章第2.1.1</w:t>
            </w:r>
            <w:r>
              <w:rPr>
                <w:rFonts w:hint="eastAsia" w:ascii="宋体" w:hAnsi="宋体" w:cs="宋体"/>
                <w:szCs w:val="21"/>
              </w:rPr>
              <w:t>项、第</w:t>
            </w:r>
            <w:r>
              <w:rPr>
                <w:rFonts w:ascii="宋体" w:hAnsi="宋体" w:cs="宋体"/>
                <w:szCs w:val="21"/>
              </w:rPr>
              <w:t>2.1.2</w:t>
            </w:r>
            <w:r>
              <w:rPr>
                <w:rFonts w:hint="eastAsia" w:ascii="宋体" w:hAnsi="宋体" w:cs="宋体"/>
                <w:szCs w:val="21"/>
              </w:rPr>
              <w:t>项、第</w:t>
            </w:r>
            <w:r>
              <w:rPr>
                <w:rFonts w:ascii="宋体" w:hAnsi="宋体" w:cs="宋体"/>
                <w:szCs w:val="21"/>
              </w:rPr>
              <w:t>2.1.3项规定的标准对投标文件第一个信封（商务及技术文件）进行初步评审。有一项不符合评审标准的，评标委员会应否决其投标。</w:t>
            </w:r>
          </w:p>
          <w:p w14:paraId="101DD8C1">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2）通过第一个信封</w:t>
            </w:r>
            <w:r>
              <w:rPr>
                <w:rFonts w:hint="eastAsia" w:ascii="宋体" w:hAnsi="宋体" w:cs="宋体"/>
                <w:szCs w:val="21"/>
              </w:rPr>
              <w:t>（</w:t>
            </w:r>
            <w:r>
              <w:rPr>
                <w:rFonts w:ascii="宋体" w:hAnsi="宋体" w:cs="宋体"/>
                <w:szCs w:val="21"/>
              </w:rPr>
              <w:t>商务</w:t>
            </w:r>
            <w:r>
              <w:rPr>
                <w:rFonts w:hint="eastAsia" w:ascii="宋体" w:hAnsi="宋体" w:cs="宋体"/>
                <w:szCs w:val="21"/>
              </w:rPr>
              <w:t>及</w:t>
            </w:r>
            <w:r>
              <w:rPr>
                <w:rFonts w:ascii="宋体" w:hAnsi="宋体" w:cs="宋体"/>
                <w:szCs w:val="21"/>
              </w:rPr>
              <w:t>技术文件</w:t>
            </w:r>
            <w:r>
              <w:rPr>
                <w:rFonts w:hint="eastAsia" w:ascii="宋体" w:hAnsi="宋体" w:cs="宋体"/>
                <w:szCs w:val="21"/>
              </w:rPr>
              <w:t>）</w:t>
            </w:r>
            <w:r>
              <w:rPr>
                <w:rFonts w:ascii="宋体" w:hAnsi="宋体" w:cs="宋体"/>
                <w:szCs w:val="21"/>
              </w:rPr>
              <w:t>评审的投标人</w:t>
            </w:r>
            <w:r>
              <w:rPr>
                <w:rFonts w:hint="eastAsia" w:ascii="宋体" w:hAnsi="宋体" w:cs="宋体"/>
                <w:szCs w:val="21"/>
              </w:rPr>
              <w:t>仅有2</w:t>
            </w:r>
            <w:r>
              <w:rPr>
                <w:rFonts w:hint="eastAsia" w:ascii="宋体" w:hAnsi="宋体" w:cs="宋体"/>
                <w:szCs w:val="21"/>
                <w:lang w:val="en-US" w:eastAsia="zh-CN"/>
              </w:rPr>
              <w:t>家</w:t>
            </w:r>
            <w:r>
              <w:rPr>
                <w:rFonts w:ascii="宋体" w:hAnsi="宋体" w:cs="宋体"/>
                <w:szCs w:val="21"/>
              </w:rPr>
              <w:t>的，评标委员会可以否决全部投标；未否决全部投标的，评标委员会应当在评标报告中阐明理由，招标人应当按照第二章</w:t>
            </w:r>
            <w:r>
              <w:rPr>
                <w:rFonts w:hint="eastAsia" w:ascii="宋体" w:hAnsi="宋体" w:cs="宋体"/>
                <w:szCs w:val="21"/>
              </w:rPr>
              <w:t>“投标人须知”前附表</w:t>
            </w:r>
            <w:r>
              <w:rPr>
                <w:rFonts w:ascii="宋体" w:hAnsi="宋体" w:cs="宋体"/>
                <w:szCs w:val="21"/>
              </w:rPr>
              <w:t>第5.2.3项规定的程序进行第二个信封</w:t>
            </w:r>
            <w:r>
              <w:rPr>
                <w:rFonts w:hint="eastAsia" w:ascii="宋体" w:hAnsi="宋体" w:cs="宋体"/>
                <w:szCs w:val="21"/>
                <w:lang w:eastAsia="zh-CN"/>
              </w:rPr>
              <w:t>（</w:t>
            </w:r>
            <w:r>
              <w:rPr>
                <w:rFonts w:ascii="宋体" w:hAnsi="宋体" w:cs="宋体"/>
                <w:szCs w:val="21"/>
              </w:rPr>
              <w:t>报价文件</w:t>
            </w:r>
            <w:r>
              <w:rPr>
                <w:rFonts w:hint="eastAsia" w:ascii="宋体" w:hAnsi="宋体" w:cs="宋体"/>
                <w:szCs w:val="21"/>
                <w:lang w:eastAsia="zh-CN"/>
              </w:rPr>
              <w:t>）</w:t>
            </w:r>
            <w:r>
              <w:rPr>
                <w:rFonts w:ascii="宋体" w:hAnsi="宋体" w:cs="宋体"/>
                <w:szCs w:val="21"/>
              </w:rPr>
              <w:t>开标，但评标委员会在进行</w:t>
            </w:r>
            <w:r>
              <w:rPr>
                <w:rFonts w:hint="eastAsia" w:ascii="宋体" w:hAnsi="宋体" w:cs="宋体"/>
                <w:szCs w:val="21"/>
              </w:rPr>
              <w:t>第二个信封（</w:t>
            </w:r>
            <w:r>
              <w:rPr>
                <w:rFonts w:ascii="宋体" w:hAnsi="宋体" w:cs="宋体"/>
                <w:szCs w:val="21"/>
              </w:rPr>
              <w:t>报价文件</w:t>
            </w:r>
            <w:r>
              <w:rPr>
                <w:rFonts w:hint="eastAsia" w:ascii="宋体" w:hAnsi="宋体" w:cs="宋体"/>
                <w:szCs w:val="21"/>
              </w:rPr>
              <w:t>）</w:t>
            </w:r>
            <w:r>
              <w:rPr>
                <w:rFonts w:ascii="宋体" w:hAnsi="宋体" w:cs="宋体"/>
                <w:szCs w:val="21"/>
              </w:rPr>
              <w:t>评审时仍有权否决全部投标；评标委员会未在</w:t>
            </w:r>
            <w:r>
              <w:rPr>
                <w:rFonts w:hint="eastAsia" w:ascii="宋体" w:hAnsi="宋体" w:cs="宋体"/>
                <w:szCs w:val="21"/>
              </w:rPr>
              <w:t>第二个信封（</w:t>
            </w:r>
            <w:r>
              <w:rPr>
                <w:rFonts w:ascii="宋体" w:hAnsi="宋体" w:cs="宋体"/>
                <w:szCs w:val="21"/>
              </w:rPr>
              <w:t>报价文件</w:t>
            </w:r>
            <w:r>
              <w:rPr>
                <w:rFonts w:hint="eastAsia" w:ascii="宋体" w:hAnsi="宋体" w:cs="宋体"/>
                <w:szCs w:val="21"/>
              </w:rPr>
              <w:t>）</w:t>
            </w:r>
            <w:r>
              <w:rPr>
                <w:rFonts w:ascii="宋体" w:hAnsi="宋体" w:cs="宋体"/>
                <w:szCs w:val="21"/>
              </w:rPr>
              <w:t>评审时否决全部投标的，应当在评标报告中阐明理由并推荐中标候选人。</w:t>
            </w:r>
          </w:p>
          <w:p w14:paraId="49B59C53">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3）当通过第一个信封</w:t>
            </w:r>
            <w:r>
              <w:rPr>
                <w:rFonts w:hint="eastAsia" w:ascii="宋体" w:hAnsi="宋体" w:cs="宋体"/>
                <w:szCs w:val="21"/>
              </w:rPr>
              <w:t>（</w:t>
            </w:r>
            <w:r>
              <w:rPr>
                <w:rFonts w:ascii="宋体" w:hAnsi="宋体" w:cs="宋体"/>
                <w:szCs w:val="21"/>
              </w:rPr>
              <w:t>商务</w:t>
            </w:r>
            <w:r>
              <w:rPr>
                <w:rFonts w:hint="eastAsia" w:ascii="宋体" w:hAnsi="宋体" w:cs="宋体"/>
                <w:szCs w:val="21"/>
              </w:rPr>
              <w:t>及</w:t>
            </w:r>
            <w:r>
              <w:rPr>
                <w:rFonts w:ascii="宋体" w:hAnsi="宋体" w:cs="宋体"/>
                <w:szCs w:val="21"/>
              </w:rPr>
              <w:t>技术文件</w:t>
            </w:r>
            <w:r>
              <w:rPr>
                <w:rFonts w:hint="eastAsia" w:ascii="宋体" w:hAnsi="宋体" w:cs="宋体"/>
                <w:szCs w:val="21"/>
              </w:rPr>
              <w:t>）</w:t>
            </w:r>
            <w:r>
              <w:rPr>
                <w:rFonts w:ascii="宋体" w:hAnsi="宋体" w:cs="宋体"/>
                <w:szCs w:val="21"/>
              </w:rPr>
              <w:t>评审的投标人仅有1家时，评标委员会应否决其投标。</w:t>
            </w:r>
          </w:p>
        </w:tc>
      </w:tr>
      <w:tr w14:paraId="2C963CE2">
        <w:tblPrEx>
          <w:tblCellMar>
            <w:top w:w="0" w:type="dxa"/>
            <w:left w:w="108" w:type="dxa"/>
            <w:bottom w:w="0" w:type="dxa"/>
            <w:right w:w="108" w:type="dxa"/>
          </w:tblCellMar>
        </w:tblPrEx>
        <w:trPr>
          <w:trHeight w:val="1659"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14:paraId="7138B23F">
            <w:pPr>
              <w:pStyle w:val="299"/>
              <w:adjustRightInd w:val="0"/>
              <w:snapToGrid w:val="0"/>
              <w:spacing w:line="400" w:lineRule="exact"/>
              <w:jc w:val="center"/>
              <w:rPr>
                <w:rFonts w:ascii="宋体" w:hAnsi="宋体" w:cs="宋体"/>
                <w:szCs w:val="21"/>
              </w:rPr>
            </w:pPr>
            <w:r>
              <w:rPr>
                <w:rFonts w:ascii="宋体" w:hAnsi="宋体" w:cs="宋体"/>
                <w:szCs w:val="21"/>
              </w:rPr>
              <w:t>3.2</w:t>
            </w:r>
          </w:p>
          <w:p w14:paraId="2A0CBFC1">
            <w:pPr>
              <w:widowControl/>
              <w:adjustRightInd w:val="0"/>
              <w:snapToGrid w:val="0"/>
              <w:spacing w:line="400" w:lineRule="exact"/>
              <w:jc w:val="center"/>
              <w:rPr>
                <w:rFonts w:ascii="宋体" w:hAnsi="宋体" w:cs="宋体"/>
                <w:kern w:val="0"/>
                <w:szCs w:val="21"/>
              </w:rPr>
            </w:pPr>
            <w:r>
              <w:rPr>
                <w:rFonts w:hint="eastAsia" w:ascii="宋体" w:hAnsi="宋体" w:cs="宋体"/>
                <w:szCs w:val="21"/>
              </w:rPr>
              <w:t>第一个信封详细评审</w:t>
            </w:r>
          </w:p>
        </w:tc>
        <w:tc>
          <w:tcPr>
            <w:tcW w:w="1130" w:type="dxa"/>
            <w:tcBorders>
              <w:top w:val="single" w:color="auto" w:sz="4" w:space="0"/>
              <w:left w:val="single" w:color="auto" w:sz="4" w:space="0"/>
              <w:bottom w:val="single" w:color="auto" w:sz="4" w:space="0"/>
              <w:right w:val="single" w:color="auto" w:sz="4" w:space="0"/>
            </w:tcBorders>
            <w:vAlign w:val="center"/>
          </w:tcPr>
          <w:p w14:paraId="145BB4A9">
            <w:pPr>
              <w:widowControl/>
              <w:adjustRightInd w:val="0"/>
              <w:snapToGrid w:val="0"/>
              <w:spacing w:line="400" w:lineRule="exact"/>
              <w:jc w:val="center"/>
              <w:rPr>
                <w:rFonts w:ascii="宋体" w:hAnsi="宋体" w:cs="宋体"/>
                <w:kern w:val="0"/>
                <w:szCs w:val="21"/>
              </w:rPr>
            </w:pPr>
            <w:r>
              <w:rPr>
                <w:rFonts w:ascii="宋体" w:hAnsi="宋体" w:cs="宋体"/>
                <w:szCs w:val="21"/>
              </w:rPr>
              <w:t>3.2.1</w:t>
            </w:r>
          </w:p>
        </w:tc>
        <w:tc>
          <w:tcPr>
            <w:tcW w:w="6839" w:type="dxa"/>
            <w:tcBorders>
              <w:top w:val="single" w:color="auto" w:sz="4" w:space="0"/>
              <w:left w:val="single" w:color="auto" w:sz="4" w:space="0"/>
              <w:bottom w:val="single" w:color="auto" w:sz="4" w:space="0"/>
              <w:right w:val="single" w:color="auto" w:sz="4" w:space="0"/>
            </w:tcBorders>
            <w:vAlign w:val="center"/>
          </w:tcPr>
          <w:p w14:paraId="283CDA7F">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1）按本章第2.2.4项（1）目规定的评审因素和分值对</w:t>
            </w:r>
            <w:r>
              <w:rPr>
                <w:rFonts w:hint="eastAsia" w:ascii="宋体" w:hAnsi="宋体" w:cs="宋体"/>
                <w:szCs w:val="21"/>
              </w:rPr>
              <w:t>设计施工总承包方案</w:t>
            </w:r>
            <w:r>
              <w:rPr>
                <w:rFonts w:ascii="宋体" w:hAnsi="宋体" w:cs="宋体"/>
                <w:szCs w:val="21"/>
              </w:rPr>
              <w:t>部分计算出得分A；</w:t>
            </w:r>
          </w:p>
          <w:p w14:paraId="1991D9A3">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2）按本章第2.2.4项（2）目规定的评审因素和分值对主要人员部分计算出得分B；</w:t>
            </w:r>
          </w:p>
          <w:p w14:paraId="6C8484A1">
            <w:pPr>
              <w:widowControl/>
              <w:adjustRightInd w:val="0"/>
              <w:snapToGrid w:val="0"/>
              <w:spacing w:line="400" w:lineRule="exact"/>
              <w:rPr>
                <w:rFonts w:hint="eastAsia" w:ascii="宋体" w:hAnsi="宋体" w:eastAsia="宋体" w:cs="宋体"/>
                <w:kern w:val="0"/>
                <w:szCs w:val="21"/>
                <w:lang w:eastAsia="zh-CN"/>
              </w:rPr>
            </w:pPr>
            <w:r>
              <w:rPr>
                <w:rFonts w:hint="eastAsia" w:ascii="宋体" w:hAnsi="宋体" w:cs="宋体"/>
                <w:szCs w:val="21"/>
              </w:rPr>
              <w:t>（</w:t>
            </w:r>
            <w:r>
              <w:rPr>
                <w:rFonts w:ascii="宋体" w:hAnsi="宋体" w:cs="宋体"/>
                <w:szCs w:val="21"/>
              </w:rPr>
              <w:t>3）按本章第2.2.4项（4）目规定的评审因素和分值对其他部分计算出得分D</w:t>
            </w:r>
            <w:r>
              <w:rPr>
                <w:rFonts w:hint="eastAsia" w:ascii="宋体" w:hAnsi="宋体" w:cs="宋体"/>
                <w:szCs w:val="21"/>
                <w:lang w:eastAsia="zh-CN"/>
              </w:rPr>
              <w:t>。</w:t>
            </w:r>
          </w:p>
        </w:tc>
      </w:tr>
      <w:tr w14:paraId="47DD2D8F">
        <w:tblPrEx>
          <w:tblCellMar>
            <w:top w:w="0" w:type="dxa"/>
            <w:left w:w="108" w:type="dxa"/>
            <w:bottom w:w="0" w:type="dxa"/>
            <w:right w:w="108" w:type="dxa"/>
          </w:tblCellMar>
        </w:tblPrEx>
        <w:trPr>
          <w:trHeight w:val="530"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2164CBA9">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078E1E5E">
            <w:pPr>
              <w:widowControl/>
              <w:adjustRightInd w:val="0"/>
              <w:snapToGrid w:val="0"/>
              <w:spacing w:line="400" w:lineRule="exact"/>
              <w:jc w:val="center"/>
              <w:rPr>
                <w:rFonts w:ascii="宋体" w:hAnsi="宋体" w:cs="宋体"/>
                <w:kern w:val="0"/>
                <w:szCs w:val="21"/>
              </w:rPr>
            </w:pPr>
            <w:r>
              <w:rPr>
                <w:rFonts w:ascii="宋体" w:hAnsi="宋体" w:cs="宋体"/>
                <w:szCs w:val="21"/>
              </w:rPr>
              <w:t>3.2.2</w:t>
            </w:r>
          </w:p>
        </w:tc>
        <w:tc>
          <w:tcPr>
            <w:tcW w:w="6839" w:type="dxa"/>
            <w:tcBorders>
              <w:top w:val="single" w:color="auto" w:sz="4" w:space="0"/>
              <w:left w:val="single" w:color="auto" w:sz="4" w:space="0"/>
              <w:bottom w:val="single" w:color="auto" w:sz="4" w:space="0"/>
              <w:right w:val="single" w:color="auto" w:sz="4" w:space="0"/>
            </w:tcBorders>
            <w:vAlign w:val="center"/>
          </w:tcPr>
          <w:p w14:paraId="1F6E89F7">
            <w:pPr>
              <w:widowControl/>
              <w:adjustRightInd w:val="0"/>
              <w:snapToGrid w:val="0"/>
              <w:spacing w:line="400" w:lineRule="exact"/>
              <w:rPr>
                <w:rFonts w:ascii="宋体" w:hAnsi="宋体" w:cs="宋体"/>
                <w:kern w:val="0"/>
                <w:szCs w:val="21"/>
              </w:rPr>
            </w:pPr>
            <w:r>
              <w:rPr>
                <w:rFonts w:hint="eastAsia" w:ascii="宋体" w:hAnsi="宋体" w:cs="宋体"/>
                <w:szCs w:val="21"/>
              </w:rPr>
              <w:t>投标人的商务和技术得分分值计算</w:t>
            </w:r>
            <w:r>
              <w:rPr>
                <w:rFonts w:asciiTheme="minorEastAsia" w:hAnsiTheme="minorEastAsia" w:eastAsiaTheme="minorEastAsia"/>
                <w:szCs w:val="21"/>
              </w:rPr>
              <w:t>“四舍五入”</w:t>
            </w:r>
            <w:r>
              <w:rPr>
                <w:rFonts w:hint="eastAsia"/>
                <w:szCs w:val="21"/>
              </w:rPr>
              <w:t>至少保留小数点后</w:t>
            </w:r>
            <w:r>
              <w:rPr>
                <w:rFonts w:asciiTheme="minorEastAsia" w:hAnsiTheme="minorEastAsia" w:eastAsiaTheme="minorEastAsia"/>
                <w:szCs w:val="21"/>
                <w:u w:val="single"/>
              </w:rPr>
              <w:t xml:space="preserve">  </w:t>
            </w:r>
            <w:r>
              <w:rPr>
                <w:rFonts w:hint="eastAsia"/>
                <w:szCs w:val="21"/>
              </w:rPr>
              <w:t>位</w:t>
            </w:r>
            <w:r>
              <w:rPr>
                <w:rFonts w:hint="eastAsia" w:ascii="宋体" w:hAnsi="宋体" w:cs="宋体"/>
                <w:szCs w:val="21"/>
              </w:rPr>
              <w:t>。</w:t>
            </w:r>
          </w:p>
        </w:tc>
      </w:tr>
      <w:tr w14:paraId="6D278052">
        <w:tblPrEx>
          <w:tblCellMar>
            <w:top w:w="0" w:type="dxa"/>
            <w:left w:w="108" w:type="dxa"/>
            <w:bottom w:w="0" w:type="dxa"/>
            <w:right w:w="108" w:type="dxa"/>
          </w:tblCellMar>
        </w:tblPrEx>
        <w:trPr>
          <w:trHeight w:val="502"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27D80D2B">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1DC03043">
            <w:pPr>
              <w:widowControl/>
              <w:adjustRightInd w:val="0"/>
              <w:snapToGrid w:val="0"/>
              <w:spacing w:line="400" w:lineRule="exact"/>
              <w:jc w:val="center"/>
              <w:rPr>
                <w:rFonts w:ascii="宋体" w:hAnsi="宋体" w:cs="宋体"/>
                <w:kern w:val="0"/>
                <w:szCs w:val="21"/>
              </w:rPr>
            </w:pPr>
            <w:r>
              <w:rPr>
                <w:rFonts w:ascii="宋体" w:hAnsi="宋体" w:cs="宋体"/>
                <w:szCs w:val="21"/>
              </w:rPr>
              <w:t>3.2.3</w:t>
            </w:r>
          </w:p>
        </w:tc>
        <w:tc>
          <w:tcPr>
            <w:tcW w:w="6839" w:type="dxa"/>
            <w:tcBorders>
              <w:top w:val="single" w:color="auto" w:sz="4" w:space="0"/>
              <w:left w:val="single" w:color="auto" w:sz="4" w:space="0"/>
              <w:bottom w:val="single" w:color="auto" w:sz="4" w:space="0"/>
              <w:right w:val="single" w:color="auto" w:sz="4" w:space="0"/>
            </w:tcBorders>
            <w:vAlign w:val="center"/>
          </w:tcPr>
          <w:p w14:paraId="29BEEA0F">
            <w:pPr>
              <w:widowControl/>
              <w:adjustRightInd w:val="0"/>
              <w:snapToGrid w:val="0"/>
              <w:spacing w:line="400" w:lineRule="exact"/>
              <w:rPr>
                <w:rFonts w:ascii="宋体" w:hAnsi="宋体" w:cs="宋体"/>
                <w:kern w:val="0"/>
                <w:szCs w:val="21"/>
              </w:rPr>
            </w:pPr>
            <w:r>
              <w:rPr>
                <w:rFonts w:hint="eastAsia" w:ascii="宋体" w:hAnsi="宋体" w:cs="宋体"/>
                <w:szCs w:val="21"/>
              </w:rPr>
              <w:t>投标人的商务和技术得分</w:t>
            </w:r>
            <w:r>
              <w:rPr>
                <w:rFonts w:ascii="宋体" w:hAnsi="宋体" w:cs="宋体"/>
                <w:szCs w:val="21"/>
              </w:rPr>
              <w:t>=A＋B＋D。</w:t>
            </w:r>
          </w:p>
        </w:tc>
      </w:tr>
      <w:tr w14:paraId="05E1C897">
        <w:tblPrEx>
          <w:tblCellMar>
            <w:top w:w="0" w:type="dxa"/>
            <w:left w:w="108" w:type="dxa"/>
            <w:bottom w:w="0" w:type="dxa"/>
            <w:right w:w="108" w:type="dxa"/>
          </w:tblCellMar>
        </w:tblPrEx>
        <w:trPr>
          <w:trHeight w:val="1029"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14:paraId="5E3343CC">
            <w:pPr>
              <w:widowControl/>
              <w:adjustRightInd w:val="0"/>
              <w:snapToGrid w:val="0"/>
              <w:spacing w:line="400" w:lineRule="exact"/>
              <w:jc w:val="center"/>
              <w:rPr>
                <w:rFonts w:ascii="宋体" w:hAnsi="宋体" w:cs="宋体"/>
                <w:kern w:val="0"/>
                <w:szCs w:val="21"/>
              </w:rPr>
            </w:pPr>
            <w:r>
              <w:rPr>
                <w:rFonts w:ascii="宋体" w:hAnsi="宋体" w:cs="宋体"/>
                <w:kern w:val="0"/>
                <w:szCs w:val="21"/>
              </w:rPr>
              <w:t>3.4</w:t>
            </w:r>
          </w:p>
          <w:p w14:paraId="5380FD4A">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第二个信封初步评审</w:t>
            </w:r>
          </w:p>
        </w:tc>
        <w:tc>
          <w:tcPr>
            <w:tcW w:w="1130" w:type="dxa"/>
            <w:tcBorders>
              <w:top w:val="single" w:color="auto" w:sz="4" w:space="0"/>
              <w:left w:val="single" w:color="auto" w:sz="4" w:space="0"/>
              <w:bottom w:val="single" w:color="000000" w:sz="4" w:space="0"/>
              <w:right w:val="single" w:color="000000" w:sz="4" w:space="0"/>
            </w:tcBorders>
            <w:vAlign w:val="center"/>
          </w:tcPr>
          <w:p w14:paraId="52A393E4">
            <w:pPr>
              <w:widowControl/>
              <w:adjustRightInd w:val="0"/>
              <w:snapToGrid w:val="0"/>
              <w:spacing w:line="400" w:lineRule="exact"/>
              <w:jc w:val="center"/>
              <w:rPr>
                <w:rFonts w:ascii="宋体" w:hAnsi="宋体" w:cs="宋体"/>
                <w:kern w:val="0"/>
                <w:szCs w:val="21"/>
              </w:rPr>
            </w:pPr>
            <w:r>
              <w:rPr>
                <w:rFonts w:ascii="宋体" w:hAnsi="宋体" w:cs="宋体"/>
                <w:kern w:val="0"/>
                <w:szCs w:val="21"/>
              </w:rPr>
              <w:t>3.4.1</w:t>
            </w:r>
          </w:p>
        </w:tc>
        <w:tc>
          <w:tcPr>
            <w:tcW w:w="6839" w:type="dxa"/>
            <w:tcBorders>
              <w:top w:val="single" w:color="auto" w:sz="4" w:space="0"/>
              <w:left w:val="nil"/>
              <w:bottom w:val="single" w:color="000000" w:sz="4" w:space="0"/>
              <w:right w:val="single" w:color="000000" w:sz="4" w:space="0"/>
            </w:tcBorders>
            <w:vAlign w:val="center"/>
          </w:tcPr>
          <w:p w14:paraId="3F5EC0D5">
            <w:pPr>
              <w:widowControl/>
              <w:adjustRightInd w:val="0"/>
              <w:snapToGrid w:val="0"/>
              <w:spacing w:line="400" w:lineRule="exact"/>
              <w:rPr>
                <w:rFonts w:ascii="宋体" w:hAnsi="宋体"/>
                <w:kern w:val="0"/>
                <w:szCs w:val="21"/>
              </w:rPr>
            </w:pPr>
            <w:r>
              <w:rPr>
                <w:rFonts w:hint="eastAsia" w:ascii="宋体" w:hAnsi="宋体" w:cs="宋体"/>
                <w:kern w:val="0"/>
                <w:szCs w:val="21"/>
              </w:rPr>
              <w:t>评标委员会依据本章第</w:t>
            </w:r>
            <w:r>
              <w:rPr>
                <w:rFonts w:ascii="宋体" w:hAnsi="宋体" w:cs="宋体"/>
                <w:kern w:val="0"/>
                <w:szCs w:val="21"/>
              </w:rPr>
              <w:t>2.1.1项、第2.1.3项规定的评审标准对投标文件第二个信封（报价文件）进行初步评审，有一项不符合评审标准的，</w:t>
            </w:r>
            <w:r>
              <w:rPr>
                <w:rFonts w:hint="eastAsia" w:ascii="宋体" w:hAnsi="宋体"/>
                <w:szCs w:val="21"/>
              </w:rPr>
              <w:t>评标委员会应否决其投标</w:t>
            </w:r>
            <w:r>
              <w:rPr>
                <w:rFonts w:hint="eastAsia" w:ascii="宋体" w:hAnsi="宋体" w:cs="宋体"/>
                <w:kern w:val="0"/>
                <w:szCs w:val="21"/>
              </w:rPr>
              <w:t>。</w:t>
            </w:r>
          </w:p>
        </w:tc>
      </w:tr>
      <w:tr w14:paraId="5E8B8991">
        <w:tblPrEx>
          <w:tblCellMar>
            <w:top w:w="0" w:type="dxa"/>
            <w:left w:w="108" w:type="dxa"/>
            <w:bottom w:w="0" w:type="dxa"/>
            <w:right w:w="108" w:type="dxa"/>
          </w:tblCellMar>
        </w:tblPrEx>
        <w:trPr>
          <w:trHeight w:val="432"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78CF243C">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single" w:color="auto" w:sz="4" w:space="0"/>
              <w:bottom w:val="single" w:color="000000" w:sz="4" w:space="0"/>
              <w:right w:val="single" w:color="000000" w:sz="4" w:space="0"/>
            </w:tcBorders>
            <w:vAlign w:val="center"/>
          </w:tcPr>
          <w:p w14:paraId="700CB270">
            <w:pPr>
              <w:widowControl/>
              <w:adjustRightInd w:val="0"/>
              <w:snapToGrid w:val="0"/>
              <w:spacing w:line="400" w:lineRule="exact"/>
              <w:jc w:val="center"/>
              <w:rPr>
                <w:rFonts w:ascii="宋体" w:hAnsi="宋体" w:cs="宋体"/>
                <w:kern w:val="0"/>
                <w:szCs w:val="21"/>
              </w:rPr>
            </w:pPr>
            <w:r>
              <w:rPr>
                <w:rFonts w:ascii="宋体" w:hAnsi="宋体" w:cs="宋体"/>
                <w:kern w:val="0"/>
                <w:szCs w:val="21"/>
              </w:rPr>
              <w:t>3.4.2</w:t>
            </w:r>
          </w:p>
        </w:tc>
        <w:tc>
          <w:tcPr>
            <w:tcW w:w="6839" w:type="dxa"/>
            <w:tcBorders>
              <w:top w:val="single" w:color="auto" w:sz="4" w:space="0"/>
              <w:left w:val="nil"/>
              <w:bottom w:val="single" w:color="000000" w:sz="4" w:space="0"/>
              <w:right w:val="single" w:color="000000" w:sz="4" w:space="0"/>
            </w:tcBorders>
            <w:vAlign w:val="center"/>
          </w:tcPr>
          <w:p w14:paraId="1D6CC9C0">
            <w:pPr>
              <w:widowControl/>
              <w:adjustRightInd/>
              <w:snapToGrid/>
              <w:spacing w:line="400" w:lineRule="exact"/>
              <w:rPr>
                <w:rFonts w:ascii="宋体" w:hAnsi="宋体" w:cs="宋体"/>
                <w:kern w:val="0"/>
                <w:szCs w:val="21"/>
              </w:rPr>
            </w:pPr>
            <w:r>
              <w:rPr>
                <w:rFonts w:hint="eastAsia" w:ascii="宋体" w:hAnsi="宋体" w:cs="宋体"/>
                <w:kern w:val="0"/>
                <w:szCs w:val="21"/>
              </w:rPr>
              <w:t>对投标人投标报价进行算术性修正的原则：</w:t>
            </w:r>
          </w:p>
          <w:p w14:paraId="715DA5BD">
            <w:pPr>
              <w:spacing w:line="400" w:lineRule="exact"/>
              <w:rPr>
                <w:rFonts w:ascii="宋体" w:hAnsi="宋体" w:cs="宋体"/>
                <w:kern w:val="0"/>
                <w:szCs w:val="21"/>
              </w:rPr>
            </w:pPr>
            <w:r>
              <w:rPr>
                <w:rFonts w:hint="eastAsia" w:ascii="宋体" w:hAnsi="宋体" w:cs="宋体"/>
                <w:kern w:val="0"/>
                <w:szCs w:val="21"/>
              </w:rPr>
              <w:t>□ 方式一：</w:t>
            </w:r>
          </w:p>
          <w:p w14:paraId="6EA4B328">
            <w:pPr>
              <w:widowControl/>
              <w:adjustRightInd/>
              <w:snapToGrid/>
              <w:spacing w:line="400" w:lineRule="exact"/>
              <w:ind w:firstLine="210" w:firstLine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1）投标函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中的</w:t>
            </w:r>
            <w:r>
              <w:rPr>
                <w:rFonts w:hint="eastAsia" w:ascii="宋体" w:hAnsi="宋体" w:cs="宋体"/>
                <w:kern w:val="0"/>
                <w:szCs w:val="21"/>
                <w:lang w:val="en-US" w:eastAsia="zh-CN"/>
              </w:rPr>
              <w:t>投标总报价</w:t>
            </w:r>
            <w:r>
              <w:rPr>
                <w:rFonts w:ascii="宋体" w:hAnsi="宋体" w:cs="宋体"/>
                <w:kern w:val="0"/>
                <w:szCs w:val="21"/>
              </w:rPr>
              <w:t>大写金额与小写金额不一致的，以大写金额为准。</w:t>
            </w:r>
          </w:p>
          <w:p w14:paraId="6A704893">
            <w:pPr>
              <w:widowControl/>
              <w:adjustRightInd/>
              <w:snapToGrid/>
              <w:spacing w:line="400" w:lineRule="exact"/>
              <w:ind w:firstLine="210" w:firstLineChars="100"/>
              <w:rPr>
                <w:rFonts w:ascii="宋体" w:hAnsi="宋体" w:cs="宋体"/>
                <w:kern w:val="0"/>
                <w:szCs w:val="21"/>
              </w:rPr>
            </w:pPr>
            <w:r>
              <w:rPr>
                <w:rFonts w:hint="eastAsia" w:ascii="宋体" w:hAnsi="宋体" w:cs="宋体"/>
                <w:kern w:val="0"/>
                <w:szCs w:val="21"/>
              </w:rPr>
              <w:t>（</w:t>
            </w:r>
            <w:r>
              <w:rPr>
                <w:rFonts w:ascii="宋体" w:hAnsi="宋体" w:cs="宋体"/>
                <w:kern w:val="0"/>
                <w:szCs w:val="21"/>
              </w:rPr>
              <w:t>2）清单汇总表投标报价金额与投标函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中的</w:t>
            </w:r>
            <w:r>
              <w:rPr>
                <w:rFonts w:hint="eastAsia" w:ascii="宋体" w:hAnsi="宋体" w:cs="宋体"/>
                <w:kern w:val="0"/>
                <w:szCs w:val="21"/>
                <w:lang w:val="en-US" w:eastAsia="zh-CN"/>
              </w:rPr>
              <w:t>投标总报价</w:t>
            </w:r>
            <w:r>
              <w:rPr>
                <w:rFonts w:ascii="宋体" w:hAnsi="宋体" w:cs="宋体"/>
                <w:kern w:val="0"/>
                <w:szCs w:val="21"/>
              </w:rPr>
              <w:t>大写金额不一致的，以投标函</w:t>
            </w:r>
            <w:r>
              <w:rPr>
                <w:rFonts w:hint="eastAsia" w:ascii="宋体" w:hAnsi="宋体" w:cs="宋体"/>
                <w:kern w:val="0"/>
                <w:szCs w:val="21"/>
              </w:rPr>
              <w:t>（</w:t>
            </w:r>
            <w:r>
              <w:rPr>
                <w:rFonts w:ascii="宋体" w:hAnsi="宋体" w:cs="宋体"/>
                <w:kern w:val="0"/>
                <w:szCs w:val="21"/>
              </w:rPr>
              <w:t>第二个信封</w:t>
            </w:r>
            <w:r>
              <w:rPr>
                <w:rFonts w:hint="eastAsia" w:ascii="宋体" w:hAnsi="宋体" w:cs="宋体"/>
                <w:kern w:val="0"/>
                <w:szCs w:val="21"/>
              </w:rPr>
              <w:t>）</w:t>
            </w:r>
            <w:r>
              <w:rPr>
                <w:rFonts w:ascii="宋体" w:hAnsi="宋体" w:cs="宋体"/>
                <w:kern w:val="0"/>
                <w:szCs w:val="21"/>
              </w:rPr>
              <w:t>中</w:t>
            </w:r>
            <w:r>
              <w:rPr>
                <w:rFonts w:hint="eastAsia" w:ascii="宋体" w:hAnsi="宋体" w:cs="宋体"/>
                <w:kern w:val="0"/>
                <w:szCs w:val="21"/>
                <w:lang w:val="en-US" w:eastAsia="zh-CN"/>
              </w:rPr>
              <w:t>投标总报价</w:t>
            </w:r>
            <w:r>
              <w:rPr>
                <w:rFonts w:ascii="宋体" w:hAnsi="宋体" w:cs="宋体"/>
                <w:kern w:val="0"/>
                <w:szCs w:val="21"/>
              </w:rPr>
              <w:t>大写金额为准。</w:t>
            </w:r>
          </w:p>
          <w:p w14:paraId="214A959C">
            <w:pPr>
              <w:spacing w:line="400" w:lineRule="exact"/>
              <w:rPr>
                <w:rFonts w:ascii="宋体" w:hAnsi="宋体" w:cs="宋体"/>
                <w:kern w:val="0"/>
                <w:szCs w:val="21"/>
              </w:rPr>
            </w:pPr>
            <w:r>
              <w:rPr>
                <w:rFonts w:hint="eastAsia" w:ascii="宋体" w:hAnsi="宋体" w:cs="宋体"/>
                <w:kern w:val="0"/>
                <w:szCs w:val="21"/>
              </w:rPr>
              <w:t>□ 方式二：</w:t>
            </w:r>
          </w:p>
          <w:p w14:paraId="27099B25">
            <w:pPr>
              <w:widowControl/>
              <w:adjustRightInd/>
              <w:snapToGrid/>
              <w:spacing w:line="400" w:lineRule="exact"/>
              <w:ind w:firstLine="210" w:firstLineChars="100"/>
              <w:rPr>
                <w:rFonts w:hint="eastAsia" w:ascii="宋体" w:hAnsi="宋体" w:cs="宋体"/>
                <w:szCs w:val="21"/>
              </w:rPr>
            </w:pPr>
            <w:r>
              <w:rPr>
                <w:rFonts w:hint="eastAsia" w:ascii="宋体" w:hAnsi="宋体" w:cs="宋体"/>
                <w:szCs w:val="21"/>
              </w:rPr>
              <w:t>……</w:t>
            </w:r>
          </w:p>
          <w:p w14:paraId="02AA093E">
            <w:pPr>
              <w:widowControl/>
              <w:adjustRightInd/>
              <w:snapToGrid/>
              <w:spacing w:line="400" w:lineRule="exact"/>
              <w:ind w:firstLine="210" w:firstLineChars="100"/>
              <w:rPr>
                <w:rFonts w:hint="eastAsia" w:ascii="宋体" w:hAnsi="宋体" w:cs="宋体"/>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00E3282A">
        <w:tblPrEx>
          <w:tblCellMar>
            <w:top w:w="0" w:type="dxa"/>
            <w:left w:w="108" w:type="dxa"/>
            <w:bottom w:w="0" w:type="dxa"/>
            <w:right w:w="108" w:type="dxa"/>
          </w:tblCellMar>
        </w:tblPrEx>
        <w:trPr>
          <w:trHeight w:val="2726" w:hRule="atLeast"/>
        </w:trPr>
        <w:tc>
          <w:tcPr>
            <w:tcW w:w="990" w:type="dxa"/>
            <w:vMerge w:val="restart"/>
            <w:tcBorders>
              <w:top w:val="single" w:color="auto" w:sz="4" w:space="0"/>
              <w:left w:val="single" w:color="auto" w:sz="4" w:space="0"/>
              <w:right w:val="single" w:color="auto" w:sz="4" w:space="0"/>
            </w:tcBorders>
            <w:vAlign w:val="center"/>
          </w:tcPr>
          <w:p w14:paraId="445C16AA">
            <w:pPr>
              <w:widowControl/>
              <w:adjustRightInd w:val="0"/>
              <w:snapToGrid w:val="0"/>
              <w:spacing w:line="400" w:lineRule="exact"/>
              <w:jc w:val="center"/>
              <w:rPr>
                <w:rFonts w:ascii="宋体" w:hAnsi="宋体" w:cs="宋体"/>
                <w:kern w:val="0"/>
                <w:szCs w:val="21"/>
              </w:rPr>
            </w:pPr>
            <w:r>
              <w:rPr>
                <w:rFonts w:ascii="宋体" w:hAnsi="宋体" w:cs="宋体"/>
                <w:kern w:val="0"/>
                <w:szCs w:val="21"/>
              </w:rPr>
              <w:t>3.4</w:t>
            </w:r>
          </w:p>
          <w:p w14:paraId="3217872E">
            <w:pPr>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第二个信封初步评审</w:t>
            </w:r>
          </w:p>
        </w:tc>
        <w:tc>
          <w:tcPr>
            <w:tcW w:w="1130" w:type="dxa"/>
            <w:tcBorders>
              <w:top w:val="single" w:color="000000" w:sz="4" w:space="0"/>
              <w:left w:val="single" w:color="auto" w:sz="4" w:space="0"/>
              <w:right w:val="single" w:color="000000" w:sz="4" w:space="0"/>
            </w:tcBorders>
            <w:vAlign w:val="center"/>
          </w:tcPr>
          <w:p w14:paraId="479645CF">
            <w:pPr>
              <w:adjustRightInd w:val="0"/>
              <w:snapToGrid w:val="0"/>
              <w:spacing w:line="400" w:lineRule="exact"/>
              <w:jc w:val="center"/>
              <w:rPr>
                <w:rFonts w:ascii="宋体" w:hAnsi="宋体" w:cs="宋体"/>
                <w:kern w:val="0"/>
                <w:szCs w:val="21"/>
              </w:rPr>
            </w:pPr>
            <w:r>
              <w:rPr>
                <w:rFonts w:ascii="宋体" w:hAnsi="宋体" w:cs="宋体"/>
                <w:kern w:val="0"/>
                <w:szCs w:val="21"/>
              </w:rPr>
              <w:t>3.4.3</w:t>
            </w:r>
          </w:p>
        </w:tc>
        <w:tc>
          <w:tcPr>
            <w:tcW w:w="6839" w:type="dxa"/>
            <w:tcBorders>
              <w:top w:val="single" w:color="000000" w:sz="4" w:space="0"/>
              <w:left w:val="nil"/>
              <w:right w:val="single" w:color="000000" w:sz="4" w:space="0"/>
            </w:tcBorders>
            <w:vAlign w:val="center"/>
          </w:tcPr>
          <w:p w14:paraId="3275600B">
            <w:pPr>
              <w:adjustRightInd/>
              <w:snapToGrid/>
              <w:spacing w:line="400" w:lineRule="exact"/>
              <w:ind w:firstLine="0" w:firstLineChars="0"/>
              <w:rPr>
                <w:rFonts w:hint="eastAsia" w:ascii="宋体" w:hAnsi="宋体" w:cs="宋体"/>
                <w:kern w:val="0"/>
                <w:szCs w:val="21"/>
              </w:rPr>
            </w:pPr>
            <w:r>
              <w:rPr>
                <w:rFonts w:hint="eastAsia" w:ascii="宋体" w:hAnsi="宋体" w:cs="宋体"/>
                <w:kern w:val="0"/>
                <w:szCs w:val="21"/>
              </w:rPr>
              <w:t>对投标人已标价价格清单中的投标报价有其他错误进行修正的原则：</w:t>
            </w:r>
          </w:p>
          <w:p w14:paraId="041898CA">
            <w:pPr>
              <w:adjustRightInd/>
              <w:snapToGrid/>
              <w:spacing w:line="400" w:lineRule="exact"/>
              <w:rPr>
                <w:rFonts w:ascii="宋体" w:hAnsi="宋体" w:cs="宋体"/>
                <w:kern w:val="0"/>
                <w:szCs w:val="21"/>
              </w:rPr>
            </w:pPr>
            <w:r>
              <w:rPr>
                <w:rFonts w:hint="eastAsia" w:ascii="宋体" w:hAnsi="宋体" w:cs="宋体"/>
                <w:kern w:val="0"/>
                <w:szCs w:val="21"/>
              </w:rPr>
              <w:t>□ 方式一：</w:t>
            </w:r>
          </w:p>
          <w:p w14:paraId="10CB8BE5">
            <w:pPr>
              <w:adjustRightInd/>
              <w:snapToGrid/>
              <w:spacing w:line="400" w:lineRule="exact"/>
              <w:ind w:firstLine="210" w:firstLineChars="100"/>
              <w:rPr>
                <w:rFonts w:ascii="宋体" w:hAnsi="宋体" w:cs="宋体"/>
                <w:kern w:val="0"/>
                <w:szCs w:val="21"/>
              </w:rPr>
            </w:pPr>
            <w:r>
              <w:rPr>
                <w:rFonts w:hint="eastAsia" w:ascii="宋体" w:hAnsi="宋体" w:cs="宋体"/>
                <w:kern w:val="0"/>
                <w:szCs w:val="21"/>
              </w:rPr>
              <w:t>价格清单中的投标报价有其他错误的，评标阶段不作修正，在签订合同时以投标函（第二个信封）中投标总报价大写金额为准，按第二章“投标人须知”前附表第</w:t>
            </w:r>
            <w:r>
              <w:rPr>
                <w:rFonts w:ascii="宋体" w:hAnsi="宋体" w:cs="宋体"/>
                <w:kern w:val="0"/>
                <w:szCs w:val="21"/>
              </w:rPr>
              <w:t>7.8.3项规定修正。</w:t>
            </w:r>
          </w:p>
          <w:p w14:paraId="3890756F">
            <w:pPr>
              <w:adjustRightInd/>
              <w:snapToGrid/>
              <w:spacing w:line="400" w:lineRule="exact"/>
              <w:rPr>
                <w:rFonts w:ascii="宋体" w:hAnsi="宋体" w:cs="宋体"/>
                <w:kern w:val="0"/>
                <w:szCs w:val="21"/>
              </w:rPr>
            </w:pPr>
            <w:r>
              <w:rPr>
                <w:rFonts w:hint="eastAsia" w:ascii="宋体" w:hAnsi="宋体" w:cs="宋体"/>
                <w:kern w:val="0"/>
                <w:szCs w:val="21"/>
              </w:rPr>
              <w:t>□ 方式二：</w:t>
            </w:r>
          </w:p>
          <w:p w14:paraId="68CC88AC">
            <w:pPr>
              <w:adjustRightInd/>
              <w:snapToGrid/>
              <w:spacing w:line="400" w:lineRule="exact"/>
              <w:ind w:firstLine="210" w:firstLineChars="100"/>
              <w:rPr>
                <w:rFonts w:hint="eastAsia" w:ascii="宋体" w:hAnsi="宋体" w:cs="宋体"/>
                <w:szCs w:val="21"/>
              </w:rPr>
            </w:pPr>
            <w:r>
              <w:rPr>
                <w:rFonts w:hint="eastAsia" w:ascii="宋体" w:hAnsi="宋体" w:cs="宋体"/>
                <w:szCs w:val="21"/>
              </w:rPr>
              <w:t>……</w:t>
            </w:r>
          </w:p>
          <w:p w14:paraId="4001B468">
            <w:pPr>
              <w:adjustRightInd/>
              <w:snapToGrid/>
              <w:spacing w:line="400" w:lineRule="exact"/>
              <w:ind w:firstLine="210" w:firstLineChars="100"/>
              <w:rPr>
                <w:rFonts w:hint="eastAsia" w:ascii="宋体" w:hAnsi="宋体" w:cs="宋体"/>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7D851690">
        <w:tblPrEx>
          <w:tblCellMar>
            <w:top w:w="0" w:type="dxa"/>
            <w:left w:w="108" w:type="dxa"/>
            <w:bottom w:w="0" w:type="dxa"/>
            <w:right w:w="108" w:type="dxa"/>
          </w:tblCellMar>
        </w:tblPrEx>
        <w:trPr>
          <w:trHeight w:val="604" w:hRule="atLeast"/>
        </w:trPr>
        <w:tc>
          <w:tcPr>
            <w:tcW w:w="990" w:type="dxa"/>
            <w:vMerge w:val="continue"/>
            <w:tcBorders>
              <w:left w:val="single" w:color="auto" w:sz="4" w:space="0"/>
              <w:bottom w:val="single" w:color="auto" w:sz="4" w:space="0"/>
              <w:right w:val="single" w:color="auto" w:sz="4" w:space="0"/>
            </w:tcBorders>
            <w:vAlign w:val="center"/>
          </w:tcPr>
          <w:p w14:paraId="5592CF4E">
            <w:pPr>
              <w:widowControl/>
              <w:adjustRightInd w:val="0"/>
              <w:snapToGrid w:val="0"/>
              <w:spacing w:line="400" w:lineRule="exact"/>
              <w:jc w:val="center"/>
              <w:rPr>
                <w:rFonts w:ascii="宋体" w:hAnsi="宋体" w:cs="宋体"/>
                <w:b/>
                <w:bCs/>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619483A9">
            <w:pPr>
              <w:widowControl/>
              <w:adjustRightInd w:val="0"/>
              <w:snapToGrid w:val="0"/>
              <w:spacing w:line="400" w:lineRule="exact"/>
              <w:jc w:val="center"/>
              <w:rPr>
                <w:rFonts w:ascii="宋体" w:hAnsi="宋体" w:cs="宋体"/>
                <w:b/>
                <w:bCs/>
                <w:kern w:val="0"/>
                <w:szCs w:val="21"/>
              </w:rPr>
            </w:pPr>
            <w:r>
              <w:rPr>
                <w:rFonts w:ascii="宋体" w:hAnsi="宋体" w:cs="宋体"/>
                <w:kern w:val="0"/>
                <w:szCs w:val="21"/>
              </w:rPr>
              <w:t>3.</w:t>
            </w:r>
            <w:r>
              <w:rPr>
                <w:rFonts w:hint="eastAsia" w:ascii="宋体" w:hAnsi="宋体" w:cs="宋体"/>
                <w:kern w:val="0"/>
                <w:szCs w:val="21"/>
                <w:lang w:val="en-US" w:eastAsia="zh-CN"/>
              </w:rPr>
              <w:t>4</w:t>
            </w:r>
            <w:r>
              <w:rPr>
                <w:rFonts w:ascii="宋体" w:hAnsi="宋体" w:cs="宋体"/>
                <w:kern w:val="0"/>
                <w:szCs w:val="21"/>
              </w:rPr>
              <w:t>.4</w:t>
            </w:r>
          </w:p>
        </w:tc>
        <w:tc>
          <w:tcPr>
            <w:tcW w:w="6839" w:type="dxa"/>
            <w:tcBorders>
              <w:top w:val="single" w:color="auto" w:sz="4" w:space="0"/>
              <w:left w:val="nil"/>
              <w:bottom w:val="single" w:color="auto" w:sz="4" w:space="0"/>
              <w:right w:val="single" w:color="auto" w:sz="4" w:space="0"/>
            </w:tcBorders>
            <w:vAlign w:val="center"/>
          </w:tcPr>
          <w:p w14:paraId="3694C183">
            <w:pPr>
              <w:widowControl/>
              <w:adjustRightInd w:val="0"/>
              <w:snapToGrid w:val="0"/>
              <w:spacing w:line="400" w:lineRule="exact"/>
              <w:jc w:val="left"/>
              <w:rPr>
                <w:rFonts w:ascii="宋体" w:hAnsi="宋体" w:cs="宋体"/>
                <w:b/>
                <w:bCs/>
                <w:kern w:val="0"/>
                <w:szCs w:val="21"/>
              </w:rPr>
            </w:pPr>
            <w:r>
              <w:rPr>
                <w:rFonts w:hint="eastAsia" w:ascii="宋体" w:hAnsi="宋体"/>
                <w:szCs w:val="21"/>
              </w:rPr>
              <w:t>投标人的投标报价若超过最高投标限价（如有），评标委员会应否决其投标。</w:t>
            </w:r>
          </w:p>
        </w:tc>
      </w:tr>
      <w:tr w14:paraId="72CCF470">
        <w:tblPrEx>
          <w:tblCellMar>
            <w:top w:w="0" w:type="dxa"/>
            <w:left w:w="108" w:type="dxa"/>
            <w:bottom w:w="0" w:type="dxa"/>
            <w:right w:w="108" w:type="dxa"/>
          </w:tblCellMar>
        </w:tblPrEx>
        <w:trPr>
          <w:trHeight w:val="840"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14:paraId="1E781CF9">
            <w:pPr>
              <w:widowControl/>
              <w:adjustRightInd w:val="0"/>
              <w:snapToGrid w:val="0"/>
              <w:spacing w:line="400" w:lineRule="exact"/>
              <w:jc w:val="center"/>
              <w:rPr>
                <w:rFonts w:ascii="宋体" w:hAnsi="宋体" w:cs="宋体"/>
                <w:kern w:val="0"/>
                <w:szCs w:val="21"/>
              </w:rPr>
            </w:pPr>
            <w:r>
              <w:rPr>
                <w:rFonts w:ascii="宋体" w:hAnsi="宋体" w:cs="宋体"/>
                <w:kern w:val="0"/>
                <w:szCs w:val="21"/>
              </w:rPr>
              <w:t>3.5</w:t>
            </w:r>
          </w:p>
          <w:p w14:paraId="765FA867">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第二个信封详细评审</w:t>
            </w:r>
          </w:p>
        </w:tc>
        <w:tc>
          <w:tcPr>
            <w:tcW w:w="1130" w:type="dxa"/>
            <w:tcBorders>
              <w:top w:val="single" w:color="auto" w:sz="4" w:space="0"/>
              <w:left w:val="single" w:color="auto" w:sz="4" w:space="0"/>
              <w:bottom w:val="single" w:color="auto" w:sz="4" w:space="0"/>
              <w:right w:val="single" w:color="auto" w:sz="4" w:space="0"/>
            </w:tcBorders>
            <w:vAlign w:val="center"/>
          </w:tcPr>
          <w:p w14:paraId="350FF4BC">
            <w:pPr>
              <w:widowControl/>
              <w:adjustRightInd w:val="0"/>
              <w:snapToGrid w:val="0"/>
              <w:spacing w:line="400" w:lineRule="exact"/>
              <w:jc w:val="center"/>
              <w:rPr>
                <w:rFonts w:ascii="宋体" w:hAnsi="宋体" w:cs="宋体"/>
                <w:kern w:val="0"/>
                <w:szCs w:val="21"/>
              </w:rPr>
            </w:pPr>
            <w:r>
              <w:rPr>
                <w:rFonts w:ascii="宋体" w:hAnsi="宋体" w:cs="宋体"/>
                <w:kern w:val="0"/>
                <w:szCs w:val="21"/>
              </w:rPr>
              <w:t>3.5.1</w:t>
            </w:r>
          </w:p>
        </w:tc>
        <w:tc>
          <w:tcPr>
            <w:tcW w:w="6839" w:type="dxa"/>
            <w:tcBorders>
              <w:top w:val="single" w:color="auto" w:sz="4" w:space="0"/>
              <w:bottom w:val="single" w:color="auto" w:sz="4" w:space="0"/>
              <w:right w:val="single" w:color="auto" w:sz="4" w:space="0"/>
            </w:tcBorders>
            <w:vAlign w:val="center"/>
          </w:tcPr>
          <w:p w14:paraId="3A9D2D5F">
            <w:pPr>
              <w:widowControl/>
              <w:adjustRightInd w:val="0"/>
              <w:snapToGrid w:val="0"/>
              <w:spacing w:line="400" w:lineRule="exact"/>
              <w:rPr>
                <w:rFonts w:ascii="宋体" w:hAnsi="宋体"/>
                <w:szCs w:val="21"/>
              </w:rPr>
            </w:pPr>
            <w:r>
              <w:rPr>
                <w:rFonts w:hint="eastAsia" w:ascii="宋体" w:hAnsi="宋体" w:cs="宋体"/>
                <w:szCs w:val="21"/>
              </w:rPr>
              <w:t>按本章</w:t>
            </w:r>
            <w:r>
              <w:rPr>
                <w:rFonts w:ascii="宋体" w:hAnsi="宋体" w:cs="宋体"/>
                <w:szCs w:val="21"/>
              </w:rPr>
              <w:t>2.2.4项第（3）目规定的评审因素和分值对评标价计算出得分F，评标价得分分值计算</w:t>
            </w:r>
            <w:r>
              <w:rPr>
                <w:rFonts w:asciiTheme="minorEastAsia" w:hAnsiTheme="minorEastAsia" w:eastAsiaTheme="minorEastAsia"/>
                <w:szCs w:val="21"/>
              </w:rPr>
              <w:t>“四舍五入”</w:t>
            </w:r>
            <w:r>
              <w:rPr>
                <w:rFonts w:hint="eastAsia"/>
                <w:szCs w:val="21"/>
              </w:rPr>
              <w:t>至少保留小数点后</w:t>
            </w:r>
            <w:r>
              <w:rPr>
                <w:rFonts w:asciiTheme="minorEastAsia" w:hAnsiTheme="minorEastAsia" w:eastAsiaTheme="minorEastAsia"/>
                <w:szCs w:val="21"/>
                <w:u w:val="single"/>
              </w:rPr>
              <w:t xml:space="preserve">    </w:t>
            </w:r>
            <w:r>
              <w:rPr>
                <w:rFonts w:hint="eastAsia"/>
                <w:szCs w:val="21"/>
              </w:rPr>
              <w:t>位</w:t>
            </w:r>
            <w:r>
              <w:rPr>
                <w:rFonts w:hint="eastAsia" w:ascii="宋体" w:hAnsi="宋体" w:cs="宋体"/>
                <w:szCs w:val="21"/>
              </w:rPr>
              <w:t>。</w:t>
            </w:r>
          </w:p>
        </w:tc>
      </w:tr>
      <w:tr w14:paraId="3A89CCF6">
        <w:tblPrEx>
          <w:tblCellMar>
            <w:top w:w="0" w:type="dxa"/>
            <w:left w:w="108" w:type="dxa"/>
            <w:bottom w:w="0" w:type="dxa"/>
            <w:right w:w="108" w:type="dxa"/>
          </w:tblCellMar>
        </w:tblPrEx>
        <w:trPr>
          <w:trHeight w:val="520"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61D1A511">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single" w:color="auto" w:sz="4" w:space="0"/>
              <w:bottom w:val="single" w:color="000000" w:sz="4" w:space="0"/>
              <w:right w:val="single" w:color="auto" w:sz="4" w:space="0"/>
            </w:tcBorders>
            <w:vAlign w:val="center"/>
          </w:tcPr>
          <w:p w14:paraId="43A1FE95">
            <w:pPr>
              <w:widowControl/>
              <w:adjustRightInd w:val="0"/>
              <w:snapToGrid w:val="0"/>
              <w:spacing w:line="400" w:lineRule="exact"/>
              <w:jc w:val="center"/>
              <w:rPr>
                <w:rFonts w:ascii="宋体" w:hAnsi="宋体" w:cs="宋体"/>
                <w:kern w:val="0"/>
                <w:szCs w:val="21"/>
              </w:rPr>
            </w:pPr>
            <w:r>
              <w:rPr>
                <w:rFonts w:ascii="宋体" w:hAnsi="宋体" w:cs="宋体"/>
                <w:kern w:val="0"/>
                <w:szCs w:val="21"/>
              </w:rPr>
              <w:t>3.5.2</w:t>
            </w:r>
          </w:p>
        </w:tc>
        <w:tc>
          <w:tcPr>
            <w:tcW w:w="6839" w:type="dxa"/>
            <w:tcBorders>
              <w:top w:val="single" w:color="auto" w:sz="4" w:space="0"/>
              <w:left w:val="single" w:color="auto" w:sz="4" w:space="0"/>
              <w:bottom w:val="single" w:color="auto" w:sz="4" w:space="0"/>
              <w:right w:val="single" w:color="auto" w:sz="4" w:space="0"/>
            </w:tcBorders>
            <w:vAlign w:val="center"/>
          </w:tcPr>
          <w:p w14:paraId="0CF66C4C">
            <w:pPr>
              <w:widowControl/>
              <w:adjustRightInd w:val="0"/>
              <w:snapToGrid w:val="0"/>
              <w:spacing w:line="400" w:lineRule="exact"/>
              <w:rPr>
                <w:rFonts w:ascii="宋体" w:hAnsi="宋体" w:cs="宋体"/>
                <w:kern w:val="0"/>
                <w:szCs w:val="21"/>
              </w:rPr>
            </w:pPr>
            <w:r>
              <w:rPr>
                <w:rFonts w:hint="eastAsia" w:ascii="宋体" w:hAnsi="宋体" w:cs="宋体"/>
                <w:szCs w:val="21"/>
              </w:rPr>
              <w:t>投标人综合得分＝投标人的商务和技术得分＋</w:t>
            </w:r>
            <w:r>
              <w:rPr>
                <w:rFonts w:ascii="宋体" w:hAnsi="宋体" w:cs="宋体"/>
                <w:szCs w:val="21"/>
              </w:rPr>
              <w:t>F</w:t>
            </w:r>
          </w:p>
        </w:tc>
      </w:tr>
      <w:tr w14:paraId="1CB5C109">
        <w:tblPrEx>
          <w:tblCellMar>
            <w:top w:w="0" w:type="dxa"/>
            <w:left w:w="108" w:type="dxa"/>
            <w:bottom w:w="0" w:type="dxa"/>
            <w:right w:w="108" w:type="dxa"/>
          </w:tblCellMar>
        </w:tblPrEx>
        <w:trPr>
          <w:trHeight w:val="570"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1185E90B">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single" w:color="auto" w:sz="4" w:space="0"/>
              <w:bottom w:val="single" w:color="auto" w:sz="4" w:space="0"/>
              <w:right w:val="single" w:color="000000" w:sz="4" w:space="0"/>
            </w:tcBorders>
            <w:vAlign w:val="center"/>
          </w:tcPr>
          <w:p w14:paraId="09A034F4">
            <w:pPr>
              <w:widowControl/>
              <w:adjustRightInd w:val="0"/>
              <w:snapToGrid w:val="0"/>
              <w:spacing w:line="400" w:lineRule="exact"/>
              <w:jc w:val="center"/>
              <w:rPr>
                <w:rFonts w:ascii="宋体" w:hAnsi="宋体" w:cs="宋体"/>
                <w:kern w:val="0"/>
                <w:szCs w:val="21"/>
              </w:rPr>
            </w:pPr>
            <w:r>
              <w:rPr>
                <w:rFonts w:ascii="宋体" w:hAnsi="宋体" w:cs="宋体"/>
                <w:kern w:val="0"/>
                <w:szCs w:val="21"/>
              </w:rPr>
              <w:t>3.5.3</w:t>
            </w:r>
          </w:p>
        </w:tc>
        <w:tc>
          <w:tcPr>
            <w:tcW w:w="6839" w:type="dxa"/>
            <w:tcBorders>
              <w:top w:val="single" w:color="auto" w:sz="4" w:space="0"/>
              <w:left w:val="nil"/>
              <w:bottom w:val="single" w:color="auto" w:sz="4" w:space="0"/>
              <w:right w:val="single" w:color="000000" w:sz="4" w:space="0"/>
            </w:tcBorders>
            <w:vAlign w:val="center"/>
          </w:tcPr>
          <w:p w14:paraId="120ADF8B">
            <w:pPr>
              <w:widowControl/>
              <w:adjustRightInd w:val="0"/>
              <w:snapToGrid w:val="0"/>
              <w:spacing w:line="400" w:lineRule="exact"/>
              <w:rPr>
                <w:rFonts w:ascii="宋体" w:hAnsi="宋体"/>
                <w:szCs w:val="21"/>
              </w:rPr>
            </w:pPr>
            <w:r>
              <w:rPr>
                <w:rFonts w:hint="eastAsia" w:ascii="宋体" w:hAnsi="宋体" w:cs="宋体"/>
                <w:kern w:val="0"/>
                <w:szCs w:val="21"/>
              </w:rPr>
              <w:t>评标委员会认定投标人以低于成本报价的，其投标将予以否决。</w:t>
            </w:r>
          </w:p>
        </w:tc>
      </w:tr>
      <w:tr w14:paraId="0E584A70">
        <w:tblPrEx>
          <w:tblCellMar>
            <w:top w:w="0" w:type="dxa"/>
            <w:left w:w="108" w:type="dxa"/>
            <w:bottom w:w="0" w:type="dxa"/>
            <w:right w:w="108" w:type="dxa"/>
          </w:tblCellMar>
        </w:tblPrEx>
        <w:trPr>
          <w:trHeight w:val="1101"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14:paraId="475CD20F">
            <w:pPr>
              <w:widowControl/>
              <w:adjustRightInd w:val="0"/>
              <w:snapToGrid w:val="0"/>
              <w:spacing w:line="400" w:lineRule="exact"/>
              <w:jc w:val="center"/>
              <w:rPr>
                <w:rFonts w:ascii="宋体" w:hAnsi="宋体"/>
                <w:szCs w:val="21"/>
              </w:rPr>
            </w:pPr>
            <w:r>
              <w:rPr>
                <w:rFonts w:ascii="宋体" w:hAnsi="宋体"/>
                <w:szCs w:val="21"/>
              </w:rPr>
              <w:t>3.6</w:t>
            </w:r>
          </w:p>
          <w:p w14:paraId="597DFFD3">
            <w:pPr>
              <w:widowControl/>
              <w:adjustRightInd w:val="0"/>
              <w:snapToGrid w:val="0"/>
              <w:spacing w:line="400" w:lineRule="exact"/>
              <w:jc w:val="center"/>
              <w:rPr>
                <w:rFonts w:ascii="宋体" w:hAnsi="宋体" w:cs="宋体"/>
                <w:kern w:val="0"/>
                <w:szCs w:val="21"/>
              </w:rPr>
            </w:pPr>
            <w:r>
              <w:rPr>
                <w:rFonts w:hint="eastAsia" w:ascii="宋体" w:hAnsi="宋体"/>
                <w:szCs w:val="21"/>
              </w:rPr>
              <w:t>投标文件相关信息</w:t>
            </w:r>
            <w:r>
              <w:rPr>
                <w:rFonts w:hint="eastAsia" w:ascii="宋体" w:hAnsi="宋体"/>
                <w:szCs w:val="21"/>
                <w:lang w:val="en-US" w:eastAsia="zh-CN"/>
              </w:rPr>
              <w:t>的</w:t>
            </w:r>
            <w:r>
              <w:rPr>
                <w:rFonts w:hint="eastAsia" w:ascii="宋体" w:hAnsi="宋体"/>
                <w:szCs w:val="21"/>
              </w:rPr>
              <w:t>核查</w:t>
            </w:r>
          </w:p>
        </w:tc>
        <w:tc>
          <w:tcPr>
            <w:tcW w:w="1130" w:type="dxa"/>
            <w:tcBorders>
              <w:top w:val="single" w:color="auto" w:sz="4" w:space="0"/>
              <w:left w:val="single" w:color="auto" w:sz="4" w:space="0"/>
              <w:bottom w:val="single" w:color="auto" w:sz="4" w:space="0"/>
              <w:right w:val="single" w:color="auto" w:sz="4" w:space="0"/>
            </w:tcBorders>
            <w:vAlign w:val="center"/>
          </w:tcPr>
          <w:p w14:paraId="71D682B4">
            <w:pPr>
              <w:widowControl/>
              <w:adjustRightInd w:val="0"/>
              <w:snapToGrid w:val="0"/>
              <w:spacing w:line="400" w:lineRule="exact"/>
              <w:jc w:val="center"/>
              <w:rPr>
                <w:rFonts w:ascii="宋体" w:hAnsi="宋体" w:cs="宋体"/>
                <w:kern w:val="0"/>
                <w:szCs w:val="21"/>
              </w:rPr>
            </w:pPr>
            <w:r>
              <w:rPr>
                <w:rFonts w:ascii="宋体" w:hAnsi="宋体"/>
                <w:szCs w:val="21"/>
              </w:rPr>
              <w:t>3.6.1</w:t>
            </w:r>
          </w:p>
        </w:tc>
        <w:tc>
          <w:tcPr>
            <w:tcW w:w="6839" w:type="dxa"/>
            <w:tcBorders>
              <w:top w:val="single" w:color="auto" w:sz="4" w:space="0"/>
              <w:left w:val="single" w:color="auto" w:sz="4" w:space="0"/>
              <w:bottom w:val="single" w:color="auto" w:sz="4" w:space="0"/>
              <w:right w:val="single" w:color="auto" w:sz="4" w:space="0"/>
            </w:tcBorders>
            <w:vAlign w:val="center"/>
          </w:tcPr>
          <w:p w14:paraId="2E1690B7">
            <w:pPr>
              <w:widowControl/>
              <w:adjustRightInd/>
              <w:snapToGrid/>
              <w:spacing w:line="400" w:lineRule="exact"/>
              <w:rPr>
                <w:rFonts w:ascii="宋体" w:hAnsi="宋体"/>
                <w:szCs w:val="21"/>
              </w:rPr>
            </w:pPr>
            <w:r>
              <w:rPr>
                <w:rFonts w:hint="eastAsia" w:ascii="宋体" w:hAnsi="宋体" w:cs="宋体"/>
                <w:szCs w:val="21"/>
              </w:rPr>
              <w:t>经核实评标委员会认定投标人按招标文件第九章“投标文件格式”要求在投标文件中提供的信息与</w:t>
            </w:r>
            <w:r>
              <w:rPr>
                <w:rFonts w:hint="eastAsia" w:ascii="宋体" w:hAnsi="宋体"/>
                <w:szCs w:val="21"/>
              </w:rPr>
              <w:t>交通运输主管部门</w:t>
            </w:r>
            <w:r>
              <w:rPr>
                <w:rFonts w:ascii="宋体" w:hAnsi="宋体"/>
                <w:szCs w:val="21"/>
              </w:rPr>
              <w:t>“</w:t>
            </w:r>
            <w:r>
              <w:rPr>
                <w:rFonts w:hint="eastAsia" w:ascii="宋体" w:hAnsi="宋体" w:cs="宋体"/>
                <w:szCs w:val="21"/>
              </w:rPr>
              <w:t>全国公路建设市场监督管理系统</w:t>
            </w:r>
            <w:r>
              <w:rPr>
                <w:rFonts w:ascii="宋体" w:hAnsi="宋体"/>
                <w:szCs w:val="21"/>
              </w:rPr>
              <w:t>”</w:t>
            </w:r>
            <w:r>
              <w:rPr>
                <w:rFonts w:hint="eastAsia" w:ascii="宋体" w:hAnsi="宋体"/>
                <w:szCs w:val="21"/>
              </w:rPr>
              <w:t>（</w:t>
            </w:r>
            <w:r>
              <w:rPr>
                <w:rFonts w:hint="eastAsia"/>
              </w:rPr>
              <w:t xml:space="preserve"> 注：</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号）要求，招标人应通过名录对投标人资质条件进行审核的公路施工企业。）以及“信用交通·四川”等相关网站发布的信息不符</w:t>
            </w:r>
            <w:r>
              <w:rPr>
                <w:rFonts w:hint="eastAsia" w:ascii="宋体" w:hAnsi="宋体" w:cs="宋体"/>
                <w:szCs w:val="21"/>
              </w:rPr>
              <w:t>，使得投标人的资格条件不符合招标文件规定的，评标委员会应否决其投标</w:t>
            </w:r>
            <w:r>
              <w:rPr>
                <w:rFonts w:hint="eastAsia" w:ascii="宋体" w:hAnsi="宋体"/>
                <w:szCs w:val="21"/>
              </w:rPr>
              <w:t>。</w:t>
            </w:r>
          </w:p>
        </w:tc>
      </w:tr>
      <w:tr w14:paraId="2A13A00E">
        <w:tblPrEx>
          <w:tblCellMar>
            <w:top w:w="0" w:type="dxa"/>
            <w:left w:w="108" w:type="dxa"/>
            <w:bottom w:w="0" w:type="dxa"/>
            <w:right w:w="108" w:type="dxa"/>
          </w:tblCellMar>
        </w:tblPrEx>
        <w:trPr>
          <w:trHeight w:val="850"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14:paraId="7BA07B2F">
            <w:pPr>
              <w:widowControl/>
              <w:adjustRightInd w:val="0"/>
              <w:snapToGrid w:val="0"/>
              <w:spacing w:line="400" w:lineRule="exact"/>
              <w:jc w:val="center"/>
              <w:rPr>
                <w:rFonts w:ascii="宋体" w:hAnsi="宋体" w:cs="宋体"/>
                <w:kern w:val="0"/>
                <w:szCs w:val="21"/>
              </w:rPr>
            </w:pPr>
          </w:p>
        </w:tc>
        <w:tc>
          <w:tcPr>
            <w:tcW w:w="1130" w:type="dxa"/>
            <w:tcBorders>
              <w:top w:val="single" w:color="auto" w:sz="4" w:space="0"/>
              <w:left w:val="single" w:color="auto" w:sz="4" w:space="0"/>
              <w:bottom w:val="single" w:color="000000" w:sz="4" w:space="0"/>
              <w:right w:val="single" w:color="000000" w:sz="4" w:space="0"/>
            </w:tcBorders>
            <w:vAlign w:val="center"/>
          </w:tcPr>
          <w:p w14:paraId="5DF1F699">
            <w:pPr>
              <w:widowControl/>
              <w:adjustRightInd w:val="0"/>
              <w:snapToGrid w:val="0"/>
              <w:spacing w:line="400" w:lineRule="exact"/>
              <w:jc w:val="center"/>
              <w:rPr>
                <w:rFonts w:ascii="宋体" w:hAnsi="宋体" w:cs="宋体"/>
                <w:kern w:val="0"/>
                <w:szCs w:val="21"/>
              </w:rPr>
            </w:pPr>
            <w:r>
              <w:rPr>
                <w:rFonts w:ascii="宋体" w:hAnsi="宋体"/>
                <w:szCs w:val="21"/>
              </w:rPr>
              <w:t>3.6.2</w:t>
            </w:r>
          </w:p>
        </w:tc>
        <w:tc>
          <w:tcPr>
            <w:tcW w:w="6839" w:type="dxa"/>
            <w:tcBorders>
              <w:top w:val="single" w:color="auto" w:sz="4" w:space="0"/>
              <w:left w:val="nil"/>
              <w:bottom w:val="single" w:color="000000" w:sz="4" w:space="0"/>
              <w:right w:val="single" w:color="000000" w:sz="4" w:space="0"/>
            </w:tcBorders>
            <w:vAlign w:val="center"/>
          </w:tcPr>
          <w:p w14:paraId="5F753437">
            <w:pPr>
              <w:widowControl/>
              <w:adjustRightInd w:val="0"/>
              <w:snapToGrid w:val="0"/>
              <w:spacing w:line="400" w:lineRule="exact"/>
              <w:rPr>
                <w:rFonts w:ascii="宋体" w:hAnsi="宋体"/>
                <w:szCs w:val="21"/>
              </w:rPr>
            </w:pPr>
            <w:r>
              <w:rPr>
                <w:rFonts w:hint="eastAsia" w:ascii="宋体" w:hAnsi="宋体"/>
                <w:szCs w:val="21"/>
              </w:rPr>
              <w:t>评标委员会在评标过程中发现投标人存在</w:t>
            </w:r>
            <w:r>
              <w:rPr>
                <w:rFonts w:hint="eastAsia" w:ascii="宋体" w:hAnsi="宋体"/>
                <w:kern w:val="0"/>
                <w:szCs w:val="21"/>
              </w:rPr>
              <w:t>串通投标、弄虚作假、行贿等违法行为的</w:t>
            </w:r>
            <w:r>
              <w:rPr>
                <w:rFonts w:hint="eastAsia" w:ascii="宋体" w:hAnsi="宋体"/>
                <w:szCs w:val="21"/>
              </w:rPr>
              <w:t>，评标委员会应否决其投标。</w:t>
            </w:r>
          </w:p>
        </w:tc>
      </w:tr>
      <w:tr w14:paraId="08AA2EB7">
        <w:tblPrEx>
          <w:tblCellMar>
            <w:top w:w="0" w:type="dxa"/>
            <w:left w:w="108" w:type="dxa"/>
            <w:bottom w:w="0" w:type="dxa"/>
            <w:right w:w="108" w:type="dxa"/>
          </w:tblCellMar>
        </w:tblPrEx>
        <w:tc>
          <w:tcPr>
            <w:tcW w:w="990" w:type="dxa"/>
            <w:tcBorders>
              <w:top w:val="single" w:color="auto" w:sz="4" w:space="0"/>
              <w:left w:val="single" w:color="000000" w:sz="4" w:space="0"/>
              <w:bottom w:val="single" w:color="auto" w:sz="4" w:space="0"/>
              <w:right w:val="single" w:color="000000" w:sz="4" w:space="0"/>
            </w:tcBorders>
            <w:vAlign w:val="center"/>
          </w:tcPr>
          <w:p w14:paraId="72E1B8FB">
            <w:pPr>
              <w:widowControl/>
              <w:adjustRightInd w:val="0"/>
              <w:snapToGrid w:val="0"/>
              <w:spacing w:line="400" w:lineRule="exact"/>
              <w:jc w:val="center"/>
              <w:rPr>
                <w:rFonts w:ascii="宋体" w:hAnsi="宋体" w:cs="宋体"/>
                <w:kern w:val="0"/>
                <w:szCs w:val="21"/>
              </w:rPr>
            </w:pPr>
            <w:r>
              <w:rPr>
                <w:rFonts w:ascii="宋体" w:hAnsi="宋体" w:cs="宋体"/>
                <w:kern w:val="0"/>
                <w:szCs w:val="21"/>
              </w:rPr>
              <w:t>3.7</w:t>
            </w:r>
          </w:p>
          <w:p w14:paraId="0C6FF80E">
            <w:pPr>
              <w:widowControl/>
              <w:adjustRightInd w:val="0"/>
              <w:snapToGrid w:val="0"/>
              <w:spacing w:line="400" w:lineRule="exact"/>
              <w:jc w:val="center"/>
              <w:rPr>
                <w:rFonts w:ascii="宋体" w:hAnsi="宋体" w:cs="宋体"/>
                <w:kern w:val="0"/>
                <w:szCs w:val="21"/>
              </w:rPr>
            </w:pPr>
            <w:r>
              <w:rPr>
                <w:rFonts w:hint="eastAsia" w:ascii="宋体" w:hAnsi="宋体" w:cs="宋体"/>
                <w:kern w:val="0"/>
                <w:szCs w:val="21"/>
              </w:rPr>
              <w:t>投标文件的澄清和说明</w:t>
            </w:r>
          </w:p>
        </w:tc>
        <w:tc>
          <w:tcPr>
            <w:tcW w:w="1130" w:type="dxa"/>
            <w:tcBorders>
              <w:top w:val="single" w:color="000000" w:sz="4" w:space="0"/>
              <w:left w:val="nil"/>
              <w:bottom w:val="single" w:color="000000" w:sz="4" w:space="0"/>
              <w:right w:val="single" w:color="000000" w:sz="4" w:space="0"/>
            </w:tcBorders>
            <w:vAlign w:val="center"/>
          </w:tcPr>
          <w:p w14:paraId="5ADB5332">
            <w:pPr>
              <w:widowControl/>
              <w:adjustRightInd w:val="0"/>
              <w:snapToGrid w:val="0"/>
              <w:spacing w:line="400" w:lineRule="exact"/>
              <w:ind w:firstLine="120"/>
              <w:rPr>
                <w:rFonts w:ascii="宋体" w:hAnsi="宋体" w:cs="宋体"/>
                <w:kern w:val="0"/>
                <w:szCs w:val="21"/>
              </w:rPr>
            </w:pPr>
            <w:r>
              <w:rPr>
                <w:rFonts w:ascii="宋体" w:hAnsi="宋体" w:cs="宋体"/>
                <w:kern w:val="0"/>
                <w:szCs w:val="21"/>
              </w:rPr>
              <w:t>3.7.1</w:t>
            </w:r>
          </w:p>
        </w:tc>
        <w:tc>
          <w:tcPr>
            <w:tcW w:w="6839" w:type="dxa"/>
            <w:tcBorders>
              <w:top w:val="single" w:color="000000" w:sz="4" w:space="0"/>
              <w:left w:val="nil"/>
              <w:bottom w:val="single" w:color="000000" w:sz="4" w:space="0"/>
              <w:right w:val="single" w:color="000000" w:sz="4" w:space="0"/>
            </w:tcBorders>
            <w:vAlign w:val="center"/>
          </w:tcPr>
          <w:p w14:paraId="424A570C">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1）在评标过程中，评标委员会通过“</w:t>
            </w:r>
            <w:r>
              <w:rPr>
                <w:rFonts w:hint="eastAsia" w:ascii="宋体" w:hAnsi="宋体" w:cs="宋体"/>
                <w:szCs w:val="21"/>
              </w:rPr>
              <w:t>乐山市公共资源交易服务平台电子招投标系统</w:t>
            </w:r>
            <w:r>
              <w:rPr>
                <w:rFonts w:ascii="宋体" w:hAnsi="宋体" w:cs="宋体"/>
                <w:szCs w:val="21"/>
              </w:rPr>
              <w:t>”要求投标人对投标文件中含义不明确的内容、明显文字或计算错误进行澄清或说明。评标委员会不接受投标人主动提出的澄清、说明。</w:t>
            </w:r>
          </w:p>
          <w:p w14:paraId="6AB39671">
            <w:pPr>
              <w:pStyle w:val="299"/>
              <w:adjustRightInd w:val="0"/>
              <w:snapToGrid w:val="0"/>
              <w:spacing w:line="400" w:lineRule="exact"/>
              <w:rPr>
                <w:rFonts w:ascii="宋体" w:hAnsi="宋体" w:cs="宋体"/>
                <w:szCs w:val="21"/>
              </w:rPr>
            </w:pPr>
            <w:r>
              <w:rPr>
                <w:rFonts w:hint="eastAsia" w:ascii="宋体" w:hAnsi="宋体" w:cs="宋体"/>
                <w:szCs w:val="21"/>
              </w:rPr>
              <w:t>（</w:t>
            </w:r>
            <w:r>
              <w:rPr>
                <w:rFonts w:ascii="宋体" w:hAnsi="宋体" w:cs="宋体"/>
                <w:szCs w:val="21"/>
              </w:rPr>
              <w:t>2）投标人收到问题澄清通知后必须在规定时间内通过“</w:t>
            </w:r>
            <w:r>
              <w:rPr>
                <w:rFonts w:hint="eastAsia" w:ascii="宋体" w:hAnsi="宋体" w:cs="宋体"/>
                <w:szCs w:val="21"/>
              </w:rPr>
              <w:t>乐山市公共资源交易服务平台电子招投标系统</w:t>
            </w:r>
            <w:r>
              <w:rPr>
                <w:rFonts w:ascii="宋体" w:hAnsi="宋体" w:cs="宋体"/>
                <w:szCs w:val="21"/>
              </w:rPr>
              <w:t>”给予澄清，投标人的澄清必须加盖投标人单位电子印章或法定代表</w:t>
            </w:r>
            <w:r>
              <w:rPr>
                <w:rFonts w:hint="eastAsia" w:ascii="宋体" w:hAnsi="宋体" w:cs="宋体"/>
                <w:szCs w:val="21"/>
              </w:rPr>
              <w:t>人或其委托代理人的电子签章或电子印章。</w:t>
            </w:r>
          </w:p>
          <w:p w14:paraId="38526A57">
            <w:pPr>
              <w:widowControl/>
              <w:adjustRightInd w:val="0"/>
              <w:snapToGrid w:val="0"/>
              <w:spacing w:line="400" w:lineRule="exact"/>
              <w:rPr>
                <w:rFonts w:ascii="宋体" w:hAnsi="宋体"/>
                <w:szCs w:val="21"/>
              </w:rPr>
            </w:pPr>
            <w:r>
              <w:rPr>
                <w:rFonts w:hint="eastAsia" w:ascii="宋体" w:hAnsi="宋体" w:cs="宋体"/>
                <w:szCs w:val="21"/>
              </w:rPr>
              <w:t>（</w:t>
            </w:r>
            <w:r>
              <w:rPr>
                <w:rFonts w:ascii="宋体" w:hAnsi="宋体" w:cs="宋体"/>
                <w:szCs w:val="21"/>
              </w:rPr>
              <w:t>3）投标人不按评标委员会要求澄清或说明的，评标委员会应否决其投标。</w:t>
            </w:r>
          </w:p>
        </w:tc>
      </w:tr>
      <w:tr w14:paraId="005C6D69">
        <w:tblPrEx>
          <w:tblCellMar>
            <w:top w:w="0" w:type="dxa"/>
            <w:left w:w="108" w:type="dxa"/>
            <w:bottom w:w="0" w:type="dxa"/>
            <w:right w:w="108" w:type="dxa"/>
          </w:tblCellMar>
        </w:tblPrEx>
        <w:trPr>
          <w:trHeight w:val="770" w:hRule="atLeast"/>
        </w:trPr>
        <w:tc>
          <w:tcPr>
            <w:tcW w:w="8959" w:type="dxa"/>
            <w:gridSpan w:val="3"/>
            <w:tcBorders>
              <w:top w:val="single" w:color="auto" w:sz="4" w:space="0"/>
              <w:left w:val="single" w:color="000000" w:sz="4" w:space="0"/>
              <w:bottom w:val="single" w:color="000000" w:sz="4" w:space="0"/>
              <w:right w:val="single" w:color="000000" w:sz="4" w:space="0"/>
            </w:tcBorders>
            <w:vAlign w:val="center"/>
          </w:tcPr>
          <w:p w14:paraId="4BF331D6">
            <w:pPr>
              <w:pStyle w:val="299"/>
              <w:adjustRightInd w:val="0"/>
              <w:snapToGrid w:val="0"/>
              <w:spacing w:line="400" w:lineRule="exact"/>
              <w:rPr>
                <w:rFonts w:ascii="宋体" w:hAnsi="宋体" w:cs="宋体"/>
                <w:szCs w:val="21"/>
              </w:rPr>
            </w:pPr>
            <w:r>
              <w:rPr>
                <w:rFonts w:hint="eastAsia" w:ascii="宋体" w:hAnsi="宋体" w:cs="宋体"/>
                <w:szCs w:val="21"/>
              </w:rPr>
              <w:t>需要补充的</w:t>
            </w:r>
            <w:r>
              <w:rPr>
                <w:rFonts w:ascii="宋体" w:hAnsi="宋体" w:cs="宋体"/>
                <w:szCs w:val="21"/>
              </w:rPr>
              <w:t>其他内容：</w:t>
            </w:r>
          </w:p>
          <w:p w14:paraId="04D78B28">
            <w:pPr>
              <w:pStyle w:val="299"/>
              <w:adjustRightInd w:val="0"/>
              <w:snapToGrid w:val="0"/>
              <w:spacing w:line="400" w:lineRule="exact"/>
              <w:rPr>
                <w:rFonts w:ascii="宋体" w:hAnsi="宋体" w:cs="宋体"/>
                <w:szCs w:val="21"/>
              </w:rPr>
            </w:pPr>
            <w:r>
              <w:rPr>
                <w:rFonts w:hint="eastAsia" w:ascii="宋体" w:hAnsi="宋体" w:cs="宋体"/>
                <w:szCs w:val="21"/>
              </w:rPr>
              <w:t>……</w:t>
            </w:r>
          </w:p>
        </w:tc>
      </w:tr>
    </w:tbl>
    <w:p w14:paraId="539D6583">
      <w:pPr>
        <w:spacing w:line="360" w:lineRule="auto"/>
        <w:rPr>
          <w:rFonts w:ascii="黑体" w:hAnsi="黑体" w:eastAsia="黑体" w:cs="宋体"/>
          <w:sz w:val="28"/>
          <w:szCs w:val="28"/>
        </w:rPr>
      </w:pPr>
      <w:r>
        <w:rPr>
          <w:rStyle w:val="128"/>
          <w:rFonts w:ascii="黑体" w:hAnsi="黑体" w:cs="黑体"/>
          <w:sz w:val="30"/>
          <w:szCs w:val="30"/>
        </w:rPr>
        <w:br w:type="page"/>
      </w:r>
      <w:r>
        <w:rPr>
          <w:rStyle w:val="128"/>
          <w:rFonts w:ascii="黑体" w:hAnsi="黑体" w:cs="黑体"/>
          <w:sz w:val="30"/>
          <w:szCs w:val="30"/>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标段评分因素与权重分值</w:t>
      </w:r>
    </w:p>
    <w:tbl>
      <w:tblPr>
        <w:tblStyle w:val="4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00"/>
        <w:gridCol w:w="1080"/>
        <w:gridCol w:w="3637"/>
        <w:gridCol w:w="709"/>
        <w:gridCol w:w="1262"/>
      </w:tblGrid>
      <w:tr w14:paraId="6492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2" w:type="dxa"/>
            <w:vMerge w:val="restart"/>
            <w:vAlign w:val="center"/>
          </w:tcPr>
          <w:p w14:paraId="6766324A">
            <w:pPr>
              <w:pStyle w:val="299"/>
              <w:adjustRightInd w:val="0"/>
              <w:snapToGrid w:val="0"/>
              <w:spacing w:line="276" w:lineRule="auto"/>
              <w:jc w:val="center"/>
              <w:rPr>
                <w:rFonts w:ascii="宋体" w:hAnsi="宋体" w:cs="宋体"/>
                <w:b/>
                <w:szCs w:val="21"/>
              </w:rPr>
            </w:pPr>
            <w:r>
              <w:rPr>
                <w:rFonts w:hint="eastAsia" w:ascii="宋体" w:hAnsi="宋体" w:cs="宋体"/>
                <w:b/>
                <w:szCs w:val="21"/>
              </w:rPr>
              <w:t>条款号</w:t>
            </w:r>
          </w:p>
        </w:tc>
        <w:tc>
          <w:tcPr>
            <w:tcW w:w="7788" w:type="dxa"/>
            <w:gridSpan w:val="5"/>
            <w:vAlign w:val="center"/>
          </w:tcPr>
          <w:p w14:paraId="282D5007">
            <w:pPr>
              <w:pStyle w:val="299"/>
              <w:adjustRightInd w:val="0"/>
              <w:snapToGrid w:val="0"/>
              <w:spacing w:line="276" w:lineRule="auto"/>
              <w:jc w:val="center"/>
              <w:rPr>
                <w:rFonts w:ascii="宋体" w:hAnsi="宋体" w:cs="宋体"/>
                <w:b/>
                <w:szCs w:val="21"/>
              </w:rPr>
            </w:pPr>
            <w:r>
              <w:rPr>
                <w:rFonts w:hint="eastAsia" w:ascii="宋体" w:hAnsi="宋体" w:cs="宋体"/>
                <w:b/>
                <w:szCs w:val="21"/>
              </w:rPr>
              <w:t>评分因素与权重分值</w:t>
            </w:r>
          </w:p>
        </w:tc>
      </w:tr>
      <w:tr w14:paraId="37A5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jc w:val="center"/>
        </w:trPr>
        <w:tc>
          <w:tcPr>
            <w:tcW w:w="982" w:type="dxa"/>
            <w:vMerge w:val="continue"/>
            <w:vAlign w:val="center"/>
          </w:tcPr>
          <w:p w14:paraId="556DD87A">
            <w:pPr>
              <w:pStyle w:val="299"/>
              <w:adjustRightInd w:val="0"/>
              <w:snapToGrid w:val="0"/>
              <w:spacing w:line="276" w:lineRule="auto"/>
              <w:jc w:val="center"/>
              <w:rPr>
                <w:rFonts w:ascii="宋体" w:hAnsi="宋体" w:cs="宋体"/>
                <w:b/>
                <w:szCs w:val="21"/>
              </w:rPr>
            </w:pPr>
          </w:p>
        </w:tc>
        <w:tc>
          <w:tcPr>
            <w:tcW w:w="1100" w:type="dxa"/>
            <w:vAlign w:val="center"/>
          </w:tcPr>
          <w:p w14:paraId="3C1F2E88">
            <w:pPr>
              <w:pStyle w:val="299"/>
              <w:adjustRightInd w:val="0"/>
              <w:snapToGrid w:val="0"/>
              <w:spacing w:line="276" w:lineRule="auto"/>
              <w:jc w:val="center"/>
              <w:rPr>
                <w:rFonts w:ascii="宋体" w:hAnsi="宋体" w:cs="宋体"/>
                <w:b/>
                <w:szCs w:val="21"/>
              </w:rPr>
            </w:pPr>
            <w:r>
              <w:rPr>
                <w:rFonts w:hint="eastAsia" w:ascii="宋体" w:hAnsi="宋体" w:cs="宋体"/>
                <w:b/>
                <w:szCs w:val="21"/>
              </w:rPr>
              <w:t>评分因素</w:t>
            </w:r>
          </w:p>
        </w:tc>
        <w:tc>
          <w:tcPr>
            <w:tcW w:w="1080" w:type="dxa"/>
            <w:vAlign w:val="center"/>
          </w:tcPr>
          <w:p w14:paraId="3247EE81">
            <w:pPr>
              <w:pStyle w:val="299"/>
              <w:adjustRightInd w:val="0"/>
              <w:snapToGrid w:val="0"/>
              <w:spacing w:line="276" w:lineRule="auto"/>
              <w:jc w:val="center"/>
              <w:rPr>
                <w:rFonts w:ascii="宋体" w:hAnsi="宋体" w:cs="宋体"/>
                <w:b/>
                <w:szCs w:val="21"/>
              </w:rPr>
            </w:pPr>
            <w:r>
              <w:rPr>
                <w:rFonts w:hint="eastAsia" w:ascii="宋体" w:hAnsi="宋体" w:cs="宋体"/>
                <w:b/>
                <w:szCs w:val="21"/>
              </w:rPr>
              <w:t>评分因素权重分值</w:t>
            </w:r>
          </w:p>
        </w:tc>
        <w:tc>
          <w:tcPr>
            <w:tcW w:w="3637" w:type="dxa"/>
            <w:vAlign w:val="center"/>
          </w:tcPr>
          <w:p w14:paraId="3126C7B6">
            <w:pPr>
              <w:pStyle w:val="299"/>
              <w:adjustRightInd w:val="0"/>
              <w:snapToGrid w:val="0"/>
              <w:spacing w:line="276" w:lineRule="auto"/>
              <w:jc w:val="center"/>
              <w:rPr>
                <w:rFonts w:ascii="宋体" w:hAnsi="宋体" w:cs="宋体"/>
                <w:b/>
                <w:szCs w:val="21"/>
              </w:rPr>
            </w:pPr>
            <w:r>
              <w:rPr>
                <w:rFonts w:hint="eastAsia" w:ascii="宋体" w:hAnsi="宋体" w:cs="宋体"/>
                <w:b/>
                <w:szCs w:val="21"/>
              </w:rPr>
              <w:t>各评分因素细分项</w:t>
            </w:r>
          </w:p>
        </w:tc>
        <w:tc>
          <w:tcPr>
            <w:tcW w:w="709" w:type="dxa"/>
            <w:vAlign w:val="center"/>
          </w:tcPr>
          <w:p w14:paraId="7B338147">
            <w:pPr>
              <w:pStyle w:val="299"/>
              <w:adjustRightInd w:val="0"/>
              <w:snapToGrid w:val="0"/>
              <w:spacing w:line="276" w:lineRule="auto"/>
              <w:jc w:val="center"/>
              <w:rPr>
                <w:rFonts w:ascii="宋体" w:hAnsi="宋体" w:cs="宋体"/>
                <w:b/>
                <w:szCs w:val="21"/>
              </w:rPr>
            </w:pPr>
            <w:r>
              <w:rPr>
                <w:rFonts w:hint="eastAsia" w:ascii="宋体" w:hAnsi="宋体" w:cs="宋体"/>
                <w:b/>
                <w:szCs w:val="21"/>
              </w:rPr>
              <w:t>分值</w:t>
            </w:r>
          </w:p>
        </w:tc>
        <w:tc>
          <w:tcPr>
            <w:tcW w:w="1262" w:type="dxa"/>
            <w:vAlign w:val="center"/>
          </w:tcPr>
          <w:p w14:paraId="18649DDE">
            <w:pPr>
              <w:pStyle w:val="299"/>
              <w:adjustRightInd w:val="0"/>
              <w:snapToGrid w:val="0"/>
              <w:spacing w:line="276" w:lineRule="auto"/>
              <w:jc w:val="center"/>
              <w:rPr>
                <w:rFonts w:ascii="宋体" w:hAnsi="宋体" w:cs="宋体"/>
                <w:b/>
                <w:szCs w:val="21"/>
              </w:rPr>
            </w:pPr>
            <w:r>
              <w:rPr>
                <w:rFonts w:hint="eastAsia" w:ascii="宋体" w:hAnsi="宋体" w:cs="宋体"/>
                <w:b/>
                <w:szCs w:val="21"/>
              </w:rPr>
              <w:t>评分标准</w:t>
            </w:r>
          </w:p>
        </w:tc>
      </w:tr>
      <w:tr w14:paraId="7B66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2" w:type="dxa"/>
            <w:vMerge w:val="restart"/>
            <w:vAlign w:val="center"/>
          </w:tcPr>
          <w:p w14:paraId="250FF6F8">
            <w:pPr>
              <w:pStyle w:val="299"/>
              <w:adjustRightInd w:val="0"/>
              <w:snapToGrid w:val="0"/>
              <w:spacing w:line="400" w:lineRule="exact"/>
              <w:jc w:val="center"/>
              <w:rPr>
                <w:rFonts w:ascii="宋体" w:hAnsi="宋体" w:cs="宋体"/>
                <w:szCs w:val="21"/>
              </w:rPr>
            </w:pPr>
            <w:r>
              <w:rPr>
                <w:rFonts w:ascii="宋体" w:hAnsi="宋体" w:cs="宋体"/>
                <w:szCs w:val="21"/>
              </w:rPr>
              <w:t>2.2.4</w:t>
            </w:r>
            <w:r>
              <w:rPr>
                <w:rFonts w:hint="eastAsia" w:ascii="宋体" w:hAnsi="宋体" w:cs="宋体"/>
                <w:szCs w:val="21"/>
              </w:rPr>
              <w:t>（</w:t>
            </w:r>
            <w:r>
              <w:rPr>
                <w:rFonts w:ascii="宋体" w:hAnsi="宋体" w:cs="宋体"/>
                <w:szCs w:val="21"/>
              </w:rPr>
              <w:t>1）</w:t>
            </w:r>
          </w:p>
        </w:tc>
        <w:tc>
          <w:tcPr>
            <w:tcW w:w="1100" w:type="dxa"/>
            <w:vMerge w:val="restart"/>
            <w:vAlign w:val="center"/>
          </w:tcPr>
          <w:p w14:paraId="255BB5FE">
            <w:pPr>
              <w:pStyle w:val="299"/>
              <w:adjustRightInd w:val="0"/>
              <w:snapToGrid w:val="0"/>
              <w:spacing w:line="400" w:lineRule="exact"/>
              <w:jc w:val="center"/>
              <w:rPr>
                <w:rFonts w:ascii="宋体" w:hAnsi="宋体" w:cs="宋体"/>
                <w:szCs w:val="21"/>
              </w:rPr>
            </w:pPr>
            <w:r>
              <w:rPr>
                <w:rFonts w:hint="eastAsia" w:ascii="宋体" w:hAnsi="宋体" w:cs="宋体"/>
                <w:szCs w:val="21"/>
              </w:rPr>
              <w:t>设计施工总承包方案</w:t>
            </w:r>
            <w:r>
              <w:rPr>
                <w:rFonts w:ascii="宋体" w:hAnsi="宋体" w:cs="宋体"/>
                <w:szCs w:val="21"/>
              </w:rPr>
              <w:t>A</w:t>
            </w:r>
          </w:p>
        </w:tc>
        <w:tc>
          <w:tcPr>
            <w:tcW w:w="1080" w:type="dxa"/>
            <w:vMerge w:val="restart"/>
            <w:vAlign w:val="center"/>
          </w:tcPr>
          <w:p w14:paraId="50468317">
            <w:pPr>
              <w:pStyle w:val="299"/>
              <w:adjustRightInd w:val="0"/>
              <w:snapToGrid w:val="0"/>
              <w:spacing w:line="400" w:lineRule="exact"/>
              <w:jc w:val="center"/>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r>
              <w:rPr>
                <w:rFonts w:ascii="宋体" w:hAnsi="宋体" w:cs="宋体"/>
                <w:szCs w:val="21"/>
              </w:rPr>
              <w:t xml:space="preserve"> </w:t>
            </w:r>
          </w:p>
        </w:tc>
        <w:tc>
          <w:tcPr>
            <w:tcW w:w="3637" w:type="dxa"/>
            <w:vAlign w:val="center"/>
          </w:tcPr>
          <w:p w14:paraId="498C630D">
            <w:pPr>
              <w:pStyle w:val="299"/>
              <w:adjustRightInd w:val="0"/>
              <w:snapToGrid w:val="0"/>
              <w:spacing w:line="400" w:lineRule="exact"/>
              <w:rPr>
                <w:rFonts w:hint="default" w:ascii="宋体" w:hAnsi="宋体" w:eastAsia="宋体" w:cs="宋体"/>
                <w:szCs w:val="21"/>
                <w:lang w:val="en-US" w:eastAsia="zh-CN"/>
              </w:rPr>
            </w:pPr>
            <w:r>
              <w:rPr>
                <w:rFonts w:hint="eastAsia" w:ascii="宋体" w:hAnsi="宋体" w:cs="宋体"/>
                <w:szCs w:val="21"/>
              </w:rPr>
              <w:t>项目管理机构的组建</w:t>
            </w:r>
            <w:r>
              <w:rPr>
                <w:rFonts w:hint="eastAsia" w:ascii="宋体" w:hAnsi="宋体" w:cs="宋体"/>
                <w:szCs w:val="21"/>
                <w:lang w:val="en-US" w:eastAsia="zh-CN"/>
              </w:rPr>
              <w:t>A</w:t>
            </w:r>
            <w:r>
              <w:rPr>
                <w:rFonts w:hint="eastAsia" w:ascii="宋体" w:hAnsi="宋体" w:cs="宋体"/>
                <w:szCs w:val="21"/>
                <w:vertAlign w:val="subscript"/>
                <w:lang w:val="en-US" w:eastAsia="zh-CN"/>
              </w:rPr>
              <w:t>1</w:t>
            </w:r>
          </w:p>
        </w:tc>
        <w:tc>
          <w:tcPr>
            <w:tcW w:w="709" w:type="dxa"/>
            <w:vAlign w:val="center"/>
          </w:tcPr>
          <w:p w14:paraId="72A9DB83">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2B553D3C">
            <w:pPr>
              <w:pStyle w:val="299"/>
              <w:adjustRightInd w:val="0"/>
              <w:snapToGrid w:val="0"/>
              <w:spacing w:line="400" w:lineRule="exact"/>
              <w:rPr>
                <w:rFonts w:ascii="宋体" w:hAnsi="宋体" w:cs="宋体"/>
                <w:szCs w:val="21"/>
              </w:rPr>
            </w:pPr>
            <w:r>
              <w:rPr>
                <w:rFonts w:ascii="宋体" w:hAnsi="宋体" w:cs="宋体"/>
                <w:szCs w:val="21"/>
              </w:rPr>
              <w:t xml:space="preserve"> </w:t>
            </w:r>
            <w:r>
              <w:rPr>
                <w:rFonts w:ascii="宋体" w:hAnsi="宋体" w:cs="宋体"/>
                <w:szCs w:val="21"/>
                <w:u w:val="single"/>
              </w:rPr>
              <w:t xml:space="preserve">               </w:t>
            </w:r>
          </w:p>
        </w:tc>
      </w:tr>
      <w:tr w14:paraId="563E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2" w:type="dxa"/>
            <w:vMerge w:val="continue"/>
            <w:vAlign w:val="center"/>
          </w:tcPr>
          <w:p w14:paraId="58C4C467">
            <w:pPr>
              <w:pStyle w:val="299"/>
              <w:adjustRightInd w:val="0"/>
              <w:snapToGrid w:val="0"/>
              <w:spacing w:line="400" w:lineRule="exact"/>
              <w:jc w:val="center"/>
              <w:rPr>
                <w:rFonts w:ascii="宋体" w:hAnsi="宋体" w:cs="宋体"/>
                <w:szCs w:val="21"/>
              </w:rPr>
            </w:pPr>
          </w:p>
        </w:tc>
        <w:tc>
          <w:tcPr>
            <w:tcW w:w="1100" w:type="dxa"/>
            <w:vMerge w:val="continue"/>
            <w:vAlign w:val="center"/>
          </w:tcPr>
          <w:p w14:paraId="615B8584">
            <w:pPr>
              <w:pStyle w:val="299"/>
              <w:adjustRightInd w:val="0"/>
              <w:snapToGrid w:val="0"/>
              <w:spacing w:line="400" w:lineRule="exact"/>
              <w:jc w:val="center"/>
              <w:rPr>
                <w:rFonts w:ascii="宋体" w:hAnsi="宋体" w:cs="宋体"/>
                <w:szCs w:val="21"/>
              </w:rPr>
            </w:pPr>
          </w:p>
        </w:tc>
        <w:tc>
          <w:tcPr>
            <w:tcW w:w="1080" w:type="dxa"/>
            <w:vMerge w:val="continue"/>
            <w:vAlign w:val="center"/>
          </w:tcPr>
          <w:p w14:paraId="799607A7">
            <w:pPr>
              <w:pStyle w:val="299"/>
              <w:adjustRightInd w:val="0"/>
              <w:snapToGrid w:val="0"/>
              <w:spacing w:line="400" w:lineRule="exact"/>
              <w:jc w:val="center"/>
              <w:rPr>
                <w:rFonts w:ascii="宋体" w:hAnsi="宋体" w:cs="宋体"/>
                <w:szCs w:val="21"/>
                <w:u w:val="single"/>
              </w:rPr>
            </w:pPr>
          </w:p>
        </w:tc>
        <w:tc>
          <w:tcPr>
            <w:tcW w:w="3637" w:type="dxa"/>
            <w:vAlign w:val="center"/>
          </w:tcPr>
          <w:p w14:paraId="3EFE08B4">
            <w:pPr>
              <w:pStyle w:val="299"/>
              <w:adjustRightInd w:val="0"/>
              <w:snapToGrid w:val="0"/>
              <w:spacing w:line="400" w:lineRule="exact"/>
              <w:rPr>
                <w:rFonts w:ascii="宋体" w:hAnsi="宋体" w:cs="宋体"/>
                <w:szCs w:val="21"/>
              </w:rPr>
            </w:pPr>
            <w:r>
              <w:rPr>
                <w:rFonts w:hint="eastAsia" w:ascii="宋体" w:hAnsi="宋体" w:cs="宋体"/>
                <w:szCs w:val="21"/>
              </w:rPr>
              <w:t>总体实施方案</w:t>
            </w:r>
            <w:r>
              <w:rPr>
                <w:rFonts w:hint="eastAsia" w:ascii="宋体" w:hAnsi="宋体" w:cs="宋体"/>
                <w:szCs w:val="21"/>
                <w:lang w:val="en-US" w:eastAsia="zh-CN"/>
              </w:rPr>
              <w:t>A</w:t>
            </w:r>
            <w:r>
              <w:rPr>
                <w:rFonts w:hint="eastAsia" w:ascii="宋体" w:hAnsi="宋体" w:cs="宋体"/>
                <w:szCs w:val="21"/>
                <w:vertAlign w:val="subscript"/>
                <w:lang w:val="en-US" w:eastAsia="zh-CN"/>
              </w:rPr>
              <w:t>2</w:t>
            </w:r>
          </w:p>
        </w:tc>
        <w:tc>
          <w:tcPr>
            <w:tcW w:w="709" w:type="dxa"/>
            <w:vAlign w:val="center"/>
          </w:tcPr>
          <w:p w14:paraId="59755B42">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7ED9EB94">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475F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2" w:type="dxa"/>
            <w:vMerge w:val="continue"/>
            <w:vAlign w:val="center"/>
          </w:tcPr>
          <w:p w14:paraId="688949C5">
            <w:pPr>
              <w:pStyle w:val="299"/>
              <w:adjustRightInd w:val="0"/>
              <w:snapToGrid w:val="0"/>
              <w:spacing w:line="400" w:lineRule="exact"/>
              <w:jc w:val="center"/>
              <w:rPr>
                <w:rFonts w:ascii="宋体" w:hAnsi="宋体" w:cs="宋体"/>
                <w:szCs w:val="21"/>
              </w:rPr>
            </w:pPr>
          </w:p>
        </w:tc>
        <w:tc>
          <w:tcPr>
            <w:tcW w:w="1100" w:type="dxa"/>
            <w:vMerge w:val="continue"/>
            <w:vAlign w:val="center"/>
          </w:tcPr>
          <w:p w14:paraId="10D3F9D7">
            <w:pPr>
              <w:pStyle w:val="299"/>
              <w:adjustRightInd w:val="0"/>
              <w:snapToGrid w:val="0"/>
              <w:spacing w:line="400" w:lineRule="exact"/>
              <w:jc w:val="center"/>
              <w:rPr>
                <w:rFonts w:ascii="宋体" w:hAnsi="宋体" w:cs="宋体"/>
                <w:szCs w:val="21"/>
              </w:rPr>
            </w:pPr>
          </w:p>
        </w:tc>
        <w:tc>
          <w:tcPr>
            <w:tcW w:w="1080" w:type="dxa"/>
            <w:vMerge w:val="continue"/>
            <w:vAlign w:val="center"/>
          </w:tcPr>
          <w:p w14:paraId="591317B4">
            <w:pPr>
              <w:pStyle w:val="299"/>
              <w:adjustRightInd w:val="0"/>
              <w:snapToGrid w:val="0"/>
              <w:spacing w:line="400" w:lineRule="exact"/>
              <w:jc w:val="center"/>
              <w:rPr>
                <w:rFonts w:ascii="宋体" w:hAnsi="宋体" w:cs="宋体"/>
                <w:szCs w:val="21"/>
                <w:u w:val="single"/>
              </w:rPr>
            </w:pPr>
          </w:p>
        </w:tc>
        <w:tc>
          <w:tcPr>
            <w:tcW w:w="3637" w:type="dxa"/>
            <w:vAlign w:val="center"/>
          </w:tcPr>
          <w:p w14:paraId="31E0D358">
            <w:pPr>
              <w:pStyle w:val="299"/>
              <w:adjustRightInd w:val="0"/>
              <w:snapToGrid w:val="0"/>
              <w:spacing w:line="400" w:lineRule="exact"/>
              <w:rPr>
                <w:rFonts w:ascii="宋体" w:hAnsi="宋体" w:cs="宋体"/>
                <w:szCs w:val="21"/>
              </w:rPr>
            </w:pPr>
            <w:r>
              <w:rPr>
                <w:rFonts w:hint="eastAsia" w:ascii="宋体" w:hAnsi="宋体"/>
                <w:szCs w:val="21"/>
              </w:rPr>
              <w:t>施工图</w:t>
            </w:r>
            <w:r>
              <w:rPr>
                <w:rFonts w:ascii="宋体" w:hAnsi="宋体"/>
                <w:szCs w:val="21"/>
              </w:rPr>
              <w:t>勘察设计阶段组织实施方案</w:t>
            </w:r>
            <w:r>
              <w:rPr>
                <w:rFonts w:hint="eastAsia" w:ascii="宋体" w:hAnsi="宋体" w:cs="宋体"/>
                <w:szCs w:val="21"/>
                <w:lang w:val="en-US" w:eastAsia="zh-CN"/>
              </w:rPr>
              <w:t>A</w:t>
            </w:r>
            <w:r>
              <w:rPr>
                <w:rFonts w:hint="eastAsia" w:ascii="宋体" w:hAnsi="宋体" w:cs="宋体"/>
                <w:szCs w:val="21"/>
                <w:vertAlign w:val="subscript"/>
                <w:lang w:val="en-US" w:eastAsia="zh-CN"/>
              </w:rPr>
              <w:t>3</w:t>
            </w:r>
          </w:p>
        </w:tc>
        <w:tc>
          <w:tcPr>
            <w:tcW w:w="709" w:type="dxa"/>
            <w:vAlign w:val="center"/>
          </w:tcPr>
          <w:p w14:paraId="1CDF7B61">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14E6F202">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0C35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2" w:type="dxa"/>
            <w:vMerge w:val="continue"/>
            <w:vAlign w:val="center"/>
          </w:tcPr>
          <w:p w14:paraId="18D52314">
            <w:pPr>
              <w:pStyle w:val="299"/>
              <w:adjustRightInd w:val="0"/>
              <w:snapToGrid w:val="0"/>
              <w:spacing w:line="400" w:lineRule="exact"/>
              <w:jc w:val="center"/>
              <w:rPr>
                <w:rFonts w:ascii="宋体" w:hAnsi="宋体" w:cs="宋体"/>
                <w:szCs w:val="21"/>
              </w:rPr>
            </w:pPr>
          </w:p>
        </w:tc>
        <w:tc>
          <w:tcPr>
            <w:tcW w:w="1100" w:type="dxa"/>
            <w:vMerge w:val="continue"/>
            <w:vAlign w:val="center"/>
          </w:tcPr>
          <w:p w14:paraId="0A221433">
            <w:pPr>
              <w:pStyle w:val="299"/>
              <w:adjustRightInd w:val="0"/>
              <w:snapToGrid w:val="0"/>
              <w:spacing w:line="400" w:lineRule="exact"/>
              <w:jc w:val="center"/>
              <w:rPr>
                <w:rFonts w:ascii="宋体" w:hAnsi="宋体" w:cs="宋体"/>
                <w:szCs w:val="21"/>
              </w:rPr>
            </w:pPr>
          </w:p>
        </w:tc>
        <w:tc>
          <w:tcPr>
            <w:tcW w:w="1080" w:type="dxa"/>
            <w:vMerge w:val="continue"/>
            <w:vAlign w:val="center"/>
          </w:tcPr>
          <w:p w14:paraId="2A146019">
            <w:pPr>
              <w:pStyle w:val="299"/>
              <w:adjustRightInd w:val="0"/>
              <w:snapToGrid w:val="0"/>
              <w:spacing w:line="400" w:lineRule="exact"/>
              <w:jc w:val="center"/>
              <w:rPr>
                <w:rFonts w:ascii="宋体" w:hAnsi="宋体" w:cs="宋体"/>
                <w:szCs w:val="21"/>
                <w:u w:val="single"/>
              </w:rPr>
            </w:pPr>
          </w:p>
        </w:tc>
        <w:tc>
          <w:tcPr>
            <w:tcW w:w="3637" w:type="dxa"/>
            <w:tcBorders>
              <w:top w:val="single" w:color="auto" w:sz="4" w:space="0"/>
              <w:left w:val="single" w:color="auto" w:sz="4" w:space="0"/>
              <w:bottom w:val="single" w:color="auto" w:sz="4" w:space="0"/>
              <w:right w:val="single" w:color="auto" w:sz="4" w:space="0"/>
            </w:tcBorders>
            <w:vAlign w:val="center"/>
          </w:tcPr>
          <w:p w14:paraId="05C9C8E5">
            <w:pPr>
              <w:adjustRightInd w:val="0"/>
              <w:snapToGrid w:val="0"/>
              <w:spacing w:line="360" w:lineRule="exact"/>
              <w:rPr>
                <w:rFonts w:ascii="宋体" w:hAnsi="宋体" w:cs="宋体"/>
                <w:szCs w:val="21"/>
              </w:rPr>
            </w:pPr>
            <w:r>
              <w:rPr>
                <w:rFonts w:ascii="宋体" w:hAnsi="宋体"/>
                <w:szCs w:val="21"/>
              </w:rPr>
              <w:t>施工阶段组织实施方案</w:t>
            </w:r>
            <w:r>
              <w:rPr>
                <w:rFonts w:hint="eastAsia" w:ascii="宋体" w:hAnsi="宋体" w:cs="宋体"/>
                <w:szCs w:val="21"/>
                <w:lang w:val="en-US" w:eastAsia="zh-CN"/>
              </w:rPr>
              <w:t>A</w:t>
            </w:r>
            <w:r>
              <w:rPr>
                <w:rFonts w:hint="eastAsia" w:ascii="宋体" w:hAnsi="宋体" w:cs="宋体"/>
                <w:szCs w:val="21"/>
                <w:vertAlign w:val="subscript"/>
                <w:lang w:val="en-US" w:eastAsia="zh-CN"/>
              </w:rPr>
              <w:t>4</w:t>
            </w:r>
          </w:p>
        </w:tc>
        <w:tc>
          <w:tcPr>
            <w:tcW w:w="709" w:type="dxa"/>
            <w:vAlign w:val="center"/>
          </w:tcPr>
          <w:p w14:paraId="5D8D6B14">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14D8C638">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7FCF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2" w:type="dxa"/>
            <w:vMerge w:val="continue"/>
            <w:vAlign w:val="center"/>
          </w:tcPr>
          <w:p w14:paraId="41135052">
            <w:pPr>
              <w:pStyle w:val="299"/>
              <w:adjustRightInd w:val="0"/>
              <w:snapToGrid w:val="0"/>
              <w:spacing w:line="400" w:lineRule="exact"/>
              <w:jc w:val="center"/>
              <w:rPr>
                <w:rFonts w:ascii="宋体" w:hAnsi="宋体" w:cs="宋体"/>
                <w:szCs w:val="21"/>
              </w:rPr>
            </w:pPr>
          </w:p>
        </w:tc>
        <w:tc>
          <w:tcPr>
            <w:tcW w:w="1100" w:type="dxa"/>
            <w:vMerge w:val="continue"/>
            <w:vAlign w:val="center"/>
          </w:tcPr>
          <w:p w14:paraId="553E152E">
            <w:pPr>
              <w:pStyle w:val="299"/>
              <w:adjustRightInd w:val="0"/>
              <w:snapToGrid w:val="0"/>
              <w:spacing w:line="400" w:lineRule="exact"/>
              <w:jc w:val="center"/>
              <w:rPr>
                <w:rFonts w:ascii="宋体" w:hAnsi="宋体" w:cs="宋体"/>
                <w:szCs w:val="21"/>
              </w:rPr>
            </w:pPr>
          </w:p>
        </w:tc>
        <w:tc>
          <w:tcPr>
            <w:tcW w:w="1080" w:type="dxa"/>
            <w:vMerge w:val="continue"/>
            <w:vAlign w:val="center"/>
          </w:tcPr>
          <w:p w14:paraId="31CBD7BD">
            <w:pPr>
              <w:pStyle w:val="299"/>
              <w:adjustRightInd w:val="0"/>
              <w:snapToGrid w:val="0"/>
              <w:spacing w:line="400" w:lineRule="exact"/>
              <w:jc w:val="center"/>
              <w:rPr>
                <w:rFonts w:ascii="宋体" w:hAnsi="宋体" w:cs="宋体"/>
                <w:szCs w:val="21"/>
                <w:u w:val="single"/>
              </w:rPr>
            </w:pPr>
          </w:p>
        </w:tc>
        <w:tc>
          <w:tcPr>
            <w:tcW w:w="3637" w:type="dxa"/>
            <w:tcBorders>
              <w:top w:val="single" w:color="auto" w:sz="4" w:space="0"/>
              <w:left w:val="single" w:color="auto" w:sz="4" w:space="0"/>
              <w:bottom w:val="single" w:color="auto" w:sz="4" w:space="0"/>
              <w:right w:val="single" w:color="auto" w:sz="4" w:space="0"/>
            </w:tcBorders>
            <w:vAlign w:val="center"/>
          </w:tcPr>
          <w:p w14:paraId="6BB0F19A">
            <w:pPr>
              <w:pStyle w:val="299"/>
              <w:adjustRightInd w:val="0"/>
              <w:snapToGrid w:val="0"/>
              <w:spacing w:line="400" w:lineRule="exact"/>
              <w:rPr>
                <w:rFonts w:ascii="宋体" w:hAnsi="宋体" w:cs="宋体"/>
                <w:szCs w:val="21"/>
              </w:rPr>
            </w:pPr>
            <w:r>
              <w:rPr>
                <w:rFonts w:ascii="宋体" w:hAnsi="宋体"/>
                <w:szCs w:val="21"/>
              </w:rPr>
              <w:t>施工阶段</w:t>
            </w:r>
            <w:r>
              <w:rPr>
                <w:rFonts w:hint="eastAsia" w:ascii="宋体" w:hAnsi="宋体"/>
                <w:szCs w:val="21"/>
              </w:rPr>
              <w:t>的主要工程项目</w:t>
            </w:r>
            <w:r>
              <w:rPr>
                <w:rFonts w:ascii="宋体" w:hAnsi="宋体"/>
                <w:szCs w:val="21"/>
              </w:rPr>
              <w:t>技术服务方案</w:t>
            </w:r>
            <w:r>
              <w:rPr>
                <w:rFonts w:hint="eastAsia" w:ascii="宋体" w:hAnsi="宋体" w:cs="宋体"/>
                <w:szCs w:val="21"/>
                <w:lang w:val="en-US" w:eastAsia="zh-CN"/>
              </w:rPr>
              <w:t>A</w:t>
            </w:r>
            <w:r>
              <w:rPr>
                <w:rFonts w:hint="eastAsia" w:ascii="宋体" w:hAnsi="宋体" w:cs="宋体"/>
                <w:szCs w:val="21"/>
                <w:vertAlign w:val="subscript"/>
                <w:lang w:val="en-US" w:eastAsia="zh-CN"/>
              </w:rPr>
              <w:t>5</w:t>
            </w:r>
          </w:p>
        </w:tc>
        <w:tc>
          <w:tcPr>
            <w:tcW w:w="709" w:type="dxa"/>
            <w:vAlign w:val="center"/>
          </w:tcPr>
          <w:p w14:paraId="06A74C1B">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6DFFDBCC">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4738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2" w:type="dxa"/>
            <w:vMerge w:val="continue"/>
            <w:vAlign w:val="center"/>
          </w:tcPr>
          <w:p w14:paraId="459ADBC3">
            <w:pPr>
              <w:pStyle w:val="299"/>
              <w:adjustRightInd w:val="0"/>
              <w:snapToGrid w:val="0"/>
              <w:spacing w:line="400" w:lineRule="exact"/>
              <w:jc w:val="center"/>
              <w:rPr>
                <w:rFonts w:ascii="宋体" w:hAnsi="宋体" w:cs="宋体"/>
                <w:szCs w:val="21"/>
              </w:rPr>
            </w:pPr>
          </w:p>
        </w:tc>
        <w:tc>
          <w:tcPr>
            <w:tcW w:w="1100" w:type="dxa"/>
            <w:vMerge w:val="continue"/>
            <w:vAlign w:val="center"/>
          </w:tcPr>
          <w:p w14:paraId="7FFF3C39">
            <w:pPr>
              <w:pStyle w:val="299"/>
              <w:adjustRightInd w:val="0"/>
              <w:snapToGrid w:val="0"/>
              <w:spacing w:line="400" w:lineRule="exact"/>
              <w:jc w:val="center"/>
              <w:rPr>
                <w:rFonts w:ascii="宋体" w:hAnsi="宋体" w:cs="宋体"/>
                <w:szCs w:val="21"/>
              </w:rPr>
            </w:pPr>
          </w:p>
        </w:tc>
        <w:tc>
          <w:tcPr>
            <w:tcW w:w="1080" w:type="dxa"/>
            <w:vMerge w:val="continue"/>
            <w:vAlign w:val="center"/>
          </w:tcPr>
          <w:p w14:paraId="05A82FB0">
            <w:pPr>
              <w:pStyle w:val="299"/>
              <w:adjustRightInd w:val="0"/>
              <w:snapToGrid w:val="0"/>
              <w:spacing w:line="400" w:lineRule="exact"/>
              <w:jc w:val="center"/>
              <w:rPr>
                <w:rFonts w:ascii="宋体" w:hAnsi="宋体" w:cs="宋体"/>
                <w:szCs w:val="21"/>
                <w:u w:val="single"/>
              </w:rPr>
            </w:pPr>
          </w:p>
        </w:tc>
        <w:tc>
          <w:tcPr>
            <w:tcW w:w="3637" w:type="dxa"/>
            <w:vAlign w:val="center"/>
          </w:tcPr>
          <w:p w14:paraId="348D28B2">
            <w:pPr>
              <w:adjustRightInd w:val="0"/>
              <w:snapToGrid w:val="0"/>
              <w:spacing w:line="360" w:lineRule="exact"/>
              <w:rPr>
                <w:rFonts w:ascii="宋体" w:hAnsi="宋体"/>
                <w:szCs w:val="21"/>
              </w:rPr>
            </w:pPr>
            <w:r>
              <w:rPr>
                <w:rFonts w:ascii="宋体" w:hAnsi="宋体"/>
                <w:szCs w:val="21"/>
              </w:rPr>
              <w:t>项目实施与设计施工进度计划</w:t>
            </w:r>
            <w:r>
              <w:rPr>
                <w:rFonts w:hint="eastAsia" w:ascii="宋体" w:hAnsi="宋体" w:cs="宋体"/>
                <w:szCs w:val="21"/>
                <w:lang w:val="en-US" w:eastAsia="zh-CN"/>
              </w:rPr>
              <w:t>A</w:t>
            </w:r>
            <w:r>
              <w:rPr>
                <w:rFonts w:hint="eastAsia" w:ascii="宋体" w:hAnsi="宋体" w:cs="宋体"/>
                <w:szCs w:val="21"/>
                <w:vertAlign w:val="subscript"/>
                <w:lang w:val="en-US" w:eastAsia="zh-CN"/>
              </w:rPr>
              <w:t>6</w:t>
            </w:r>
          </w:p>
        </w:tc>
        <w:tc>
          <w:tcPr>
            <w:tcW w:w="709" w:type="dxa"/>
            <w:vAlign w:val="center"/>
          </w:tcPr>
          <w:p w14:paraId="0608EE6D">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05D48080">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25E9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2" w:type="dxa"/>
            <w:vMerge w:val="continue"/>
            <w:vAlign w:val="center"/>
          </w:tcPr>
          <w:p w14:paraId="2BB46B0E">
            <w:pPr>
              <w:pStyle w:val="299"/>
              <w:adjustRightInd w:val="0"/>
              <w:snapToGrid w:val="0"/>
              <w:spacing w:line="400" w:lineRule="exact"/>
              <w:jc w:val="center"/>
              <w:rPr>
                <w:rFonts w:ascii="宋体" w:hAnsi="宋体" w:cs="宋体"/>
                <w:szCs w:val="21"/>
              </w:rPr>
            </w:pPr>
          </w:p>
        </w:tc>
        <w:tc>
          <w:tcPr>
            <w:tcW w:w="1100" w:type="dxa"/>
            <w:vMerge w:val="continue"/>
            <w:vAlign w:val="center"/>
          </w:tcPr>
          <w:p w14:paraId="078C8502">
            <w:pPr>
              <w:pStyle w:val="299"/>
              <w:adjustRightInd w:val="0"/>
              <w:snapToGrid w:val="0"/>
              <w:spacing w:line="400" w:lineRule="exact"/>
              <w:jc w:val="center"/>
              <w:rPr>
                <w:rFonts w:ascii="宋体" w:hAnsi="宋体" w:cs="宋体"/>
                <w:szCs w:val="21"/>
              </w:rPr>
            </w:pPr>
          </w:p>
        </w:tc>
        <w:tc>
          <w:tcPr>
            <w:tcW w:w="1080" w:type="dxa"/>
            <w:vMerge w:val="continue"/>
            <w:vAlign w:val="center"/>
          </w:tcPr>
          <w:p w14:paraId="4D79458C">
            <w:pPr>
              <w:pStyle w:val="299"/>
              <w:adjustRightInd w:val="0"/>
              <w:snapToGrid w:val="0"/>
              <w:spacing w:line="400" w:lineRule="exact"/>
              <w:jc w:val="center"/>
              <w:rPr>
                <w:rFonts w:ascii="宋体" w:hAnsi="宋体" w:cs="宋体"/>
                <w:szCs w:val="21"/>
              </w:rPr>
            </w:pPr>
          </w:p>
        </w:tc>
        <w:tc>
          <w:tcPr>
            <w:tcW w:w="3637" w:type="dxa"/>
            <w:vAlign w:val="center"/>
          </w:tcPr>
          <w:p w14:paraId="71D0D6CB">
            <w:pPr>
              <w:pStyle w:val="299"/>
              <w:adjustRightInd w:val="0"/>
              <w:snapToGrid w:val="0"/>
              <w:spacing w:line="400" w:lineRule="exact"/>
              <w:rPr>
                <w:rFonts w:ascii="宋体" w:hAnsi="宋体" w:cs="宋体"/>
                <w:szCs w:val="21"/>
              </w:rPr>
            </w:pPr>
            <w:r>
              <w:rPr>
                <w:rFonts w:hint="eastAsia" w:ascii="宋体" w:hAnsi="宋体" w:cs="宋体"/>
                <w:szCs w:val="21"/>
              </w:rPr>
              <w:t>质量管理体系</w:t>
            </w:r>
            <w:r>
              <w:rPr>
                <w:rFonts w:hint="eastAsia" w:ascii="宋体" w:hAnsi="宋体" w:cs="宋体"/>
                <w:szCs w:val="21"/>
                <w:lang w:val="en-US" w:eastAsia="zh-CN"/>
              </w:rPr>
              <w:t>A</w:t>
            </w:r>
            <w:r>
              <w:rPr>
                <w:rFonts w:hint="eastAsia" w:ascii="宋体" w:hAnsi="宋体" w:cs="宋体"/>
                <w:szCs w:val="21"/>
                <w:vertAlign w:val="subscript"/>
                <w:lang w:val="en-US" w:eastAsia="zh-CN"/>
              </w:rPr>
              <w:t>7</w:t>
            </w:r>
          </w:p>
        </w:tc>
        <w:tc>
          <w:tcPr>
            <w:tcW w:w="709" w:type="dxa"/>
            <w:vAlign w:val="center"/>
          </w:tcPr>
          <w:p w14:paraId="527E0C06">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79B55B08">
            <w:pPr>
              <w:pStyle w:val="299"/>
              <w:adjustRightInd w:val="0"/>
              <w:snapToGrid w:val="0"/>
              <w:spacing w:line="400" w:lineRule="exact"/>
              <w:rPr>
                <w:rFonts w:ascii="宋体" w:hAnsi="宋体" w:cs="宋体"/>
                <w:szCs w:val="21"/>
                <w:u w:val="single"/>
              </w:rPr>
            </w:pPr>
            <w:r>
              <w:rPr>
                <w:rFonts w:ascii="宋体" w:hAnsi="宋体" w:cs="宋体"/>
                <w:szCs w:val="21"/>
                <w:u w:val="single"/>
              </w:rPr>
              <w:t xml:space="preserve">               </w:t>
            </w:r>
          </w:p>
        </w:tc>
      </w:tr>
      <w:tr w14:paraId="1B2C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2" w:type="dxa"/>
            <w:vMerge w:val="continue"/>
            <w:vAlign w:val="center"/>
          </w:tcPr>
          <w:p w14:paraId="0C5CB751">
            <w:pPr>
              <w:pStyle w:val="299"/>
              <w:adjustRightInd w:val="0"/>
              <w:snapToGrid w:val="0"/>
              <w:spacing w:line="400" w:lineRule="exact"/>
              <w:jc w:val="center"/>
              <w:rPr>
                <w:rFonts w:ascii="宋体" w:hAnsi="宋体" w:cs="宋体"/>
                <w:szCs w:val="21"/>
              </w:rPr>
            </w:pPr>
          </w:p>
        </w:tc>
        <w:tc>
          <w:tcPr>
            <w:tcW w:w="1100" w:type="dxa"/>
            <w:vMerge w:val="continue"/>
            <w:vAlign w:val="center"/>
          </w:tcPr>
          <w:p w14:paraId="432F8A94">
            <w:pPr>
              <w:pStyle w:val="299"/>
              <w:adjustRightInd w:val="0"/>
              <w:snapToGrid w:val="0"/>
              <w:spacing w:line="400" w:lineRule="exact"/>
              <w:jc w:val="center"/>
              <w:rPr>
                <w:rFonts w:ascii="宋体" w:hAnsi="宋体" w:cs="宋体"/>
                <w:szCs w:val="21"/>
              </w:rPr>
            </w:pPr>
          </w:p>
        </w:tc>
        <w:tc>
          <w:tcPr>
            <w:tcW w:w="1080" w:type="dxa"/>
            <w:vMerge w:val="continue"/>
            <w:vAlign w:val="center"/>
          </w:tcPr>
          <w:p w14:paraId="679444CD">
            <w:pPr>
              <w:pStyle w:val="299"/>
              <w:adjustRightInd w:val="0"/>
              <w:snapToGrid w:val="0"/>
              <w:spacing w:line="400" w:lineRule="exact"/>
              <w:rPr>
                <w:rFonts w:ascii="宋体" w:hAnsi="宋体" w:cs="宋体"/>
                <w:szCs w:val="21"/>
              </w:rPr>
            </w:pPr>
          </w:p>
        </w:tc>
        <w:tc>
          <w:tcPr>
            <w:tcW w:w="3637" w:type="dxa"/>
            <w:vAlign w:val="center"/>
          </w:tcPr>
          <w:p w14:paraId="668A5DEB">
            <w:pPr>
              <w:pStyle w:val="299"/>
              <w:adjustRightInd w:val="0"/>
              <w:snapToGrid w:val="0"/>
              <w:spacing w:line="400" w:lineRule="exact"/>
              <w:rPr>
                <w:rFonts w:ascii="宋体" w:hAnsi="宋体" w:cs="宋体"/>
                <w:szCs w:val="21"/>
              </w:rPr>
            </w:pPr>
            <w:r>
              <w:rPr>
                <w:rFonts w:ascii="宋体" w:hAnsi="宋体"/>
                <w:szCs w:val="21"/>
              </w:rPr>
              <w:t>对初步设计的优化建议</w:t>
            </w:r>
            <w:r>
              <w:rPr>
                <w:rFonts w:hint="eastAsia" w:ascii="宋体" w:hAnsi="宋体" w:cs="宋体"/>
                <w:szCs w:val="21"/>
                <w:lang w:val="en-US" w:eastAsia="zh-CN"/>
              </w:rPr>
              <w:t>A</w:t>
            </w:r>
            <w:r>
              <w:rPr>
                <w:rFonts w:hint="eastAsia" w:ascii="宋体" w:hAnsi="宋体" w:cs="宋体"/>
                <w:szCs w:val="21"/>
                <w:vertAlign w:val="subscript"/>
                <w:lang w:val="en-US" w:eastAsia="zh-CN"/>
              </w:rPr>
              <w:t>8</w:t>
            </w:r>
          </w:p>
        </w:tc>
        <w:tc>
          <w:tcPr>
            <w:tcW w:w="709" w:type="dxa"/>
            <w:vAlign w:val="center"/>
          </w:tcPr>
          <w:p w14:paraId="31358EA4">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355245F9">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1CC9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2" w:type="dxa"/>
            <w:vMerge w:val="continue"/>
            <w:vAlign w:val="center"/>
          </w:tcPr>
          <w:p w14:paraId="6910B341">
            <w:pPr>
              <w:pStyle w:val="299"/>
              <w:adjustRightInd w:val="0"/>
              <w:snapToGrid w:val="0"/>
              <w:spacing w:line="400" w:lineRule="exact"/>
              <w:jc w:val="center"/>
              <w:rPr>
                <w:rFonts w:ascii="宋体" w:hAnsi="宋体" w:cs="宋体"/>
                <w:szCs w:val="21"/>
              </w:rPr>
            </w:pPr>
          </w:p>
        </w:tc>
        <w:tc>
          <w:tcPr>
            <w:tcW w:w="1100" w:type="dxa"/>
            <w:vMerge w:val="continue"/>
            <w:vAlign w:val="center"/>
          </w:tcPr>
          <w:p w14:paraId="4B3DA9BA">
            <w:pPr>
              <w:pStyle w:val="299"/>
              <w:adjustRightInd w:val="0"/>
              <w:snapToGrid w:val="0"/>
              <w:spacing w:line="400" w:lineRule="exact"/>
              <w:jc w:val="center"/>
              <w:rPr>
                <w:rFonts w:ascii="宋体" w:hAnsi="宋体" w:cs="宋体"/>
                <w:szCs w:val="21"/>
              </w:rPr>
            </w:pPr>
          </w:p>
        </w:tc>
        <w:tc>
          <w:tcPr>
            <w:tcW w:w="1080" w:type="dxa"/>
            <w:vMerge w:val="continue"/>
            <w:vAlign w:val="center"/>
          </w:tcPr>
          <w:p w14:paraId="51D67270">
            <w:pPr>
              <w:pStyle w:val="299"/>
              <w:adjustRightInd w:val="0"/>
              <w:snapToGrid w:val="0"/>
              <w:spacing w:line="400" w:lineRule="exact"/>
              <w:rPr>
                <w:rFonts w:ascii="宋体" w:hAnsi="宋体" w:cs="宋体"/>
                <w:szCs w:val="21"/>
              </w:rPr>
            </w:pPr>
          </w:p>
        </w:tc>
        <w:tc>
          <w:tcPr>
            <w:tcW w:w="3637" w:type="dxa"/>
            <w:vAlign w:val="center"/>
          </w:tcPr>
          <w:p w14:paraId="278590CD">
            <w:pPr>
              <w:pStyle w:val="299"/>
              <w:adjustRightInd w:val="0"/>
              <w:snapToGrid w:val="0"/>
              <w:spacing w:line="400" w:lineRule="exact"/>
              <w:rPr>
                <w:rFonts w:ascii="宋体" w:hAnsi="宋体" w:cs="宋体"/>
                <w:szCs w:val="21"/>
              </w:rPr>
            </w:pPr>
            <w:r>
              <w:rPr>
                <w:rFonts w:hint="eastAsia" w:ascii="宋体" w:hAnsi="宋体" w:cs="宋体"/>
                <w:szCs w:val="21"/>
              </w:rPr>
              <w:t>……</w:t>
            </w:r>
          </w:p>
        </w:tc>
        <w:tc>
          <w:tcPr>
            <w:tcW w:w="709" w:type="dxa"/>
            <w:vAlign w:val="center"/>
          </w:tcPr>
          <w:p w14:paraId="01C78BE6">
            <w:pPr>
              <w:pStyle w:val="299"/>
              <w:adjustRightInd w:val="0"/>
              <w:snapToGrid w:val="0"/>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262" w:type="dxa"/>
            <w:vAlign w:val="center"/>
          </w:tcPr>
          <w:p w14:paraId="0BE0F00D">
            <w:pPr>
              <w:pStyle w:val="299"/>
              <w:adjustRightInd w:val="0"/>
              <w:snapToGrid w:val="0"/>
              <w:spacing w:line="400" w:lineRule="exact"/>
              <w:rPr>
                <w:rFonts w:ascii="宋体" w:hAnsi="宋体" w:cs="宋体"/>
                <w:szCs w:val="21"/>
              </w:rPr>
            </w:pPr>
            <w:r>
              <w:rPr>
                <w:rFonts w:ascii="宋体" w:hAnsi="宋体" w:cs="宋体"/>
                <w:szCs w:val="21"/>
                <w:u w:val="single"/>
              </w:rPr>
              <w:t xml:space="preserve">               </w:t>
            </w:r>
          </w:p>
        </w:tc>
      </w:tr>
      <w:tr w14:paraId="2D69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Merge w:val="continue"/>
            <w:vAlign w:val="center"/>
          </w:tcPr>
          <w:p w14:paraId="2552B3ED">
            <w:pPr>
              <w:pStyle w:val="299"/>
              <w:adjustRightInd w:val="0"/>
              <w:snapToGrid w:val="0"/>
              <w:spacing w:line="400" w:lineRule="exact"/>
              <w:jc w:val="center"/>
              <w:rPr>
                <w:rFonts w:ascii="宋体" w:hAnsi="宋体" w:cs="宋体"/>
                <w:szCs w:val="21"/>
              </w:rPr>
            </w:pPr>
          </w:p>
        </w:tc>
        <w:tc>
          <w:tcPr>
            <w:tcW w:w="1100" w:type="dxa"/>
            <w:vMerge w:val="continue"/>
            <w:vAlign w:val="center"/>
          </w:tcPr>
          <w:p w14:paraId="7B64889D">
            <w:pPr>
              <w:pStyle w:val="299"/>
              <w:adjustRightInd w:val="0"/>
              <w:snapToGrid w:val="0"/>
              <w:spacing w:line="400" w:lineRule="exact"/>
              <w:jc w:val="center"/>
              <w:rPr>
                <w:rFonts w:ascii="宋体" w:hAnsi="宋体" w:cs="宋体"/>
                <w:szCs w:val="21"/>
              </w:rPr>
            </w:pPr>
          </w:p>
        </w:tc>
        <w:tc>
          <w:tcPr>
            <w:tcW w:w="1080" w:type="dxa"/>
            <w:vMerge w:val="continue"/>
            <w:vAlign w:val="center"/>
          </w:tcPr>
          <w:p w14:paraId="2AEB0474">
            <w:pPr>
              <w:pStyle w:val="299"/>
              <w:adjustRightInd w:val="0"/>
              <w:snapToGrid w:val="0"/>
              <w:spacing w:line="400" w:lineRule="exact"/>
              <w:rPr>
                <w:rFonts w:ascii="宋体" w:hAnsi="宋体" w:cs="宋体"/>
                <w:szCs w:val="21"/>
              </w:rPr>
            </w:pPr>
          </w:p>
        </w:tc>
        <w:tc>
          <w:tcPr>
            <w:tcW w:w="5608" w:type="dxa"/>
            <w:gridSpan w:val="3"/>
            <w:vAlign w:val="center"/>
          </w:tcPr>
          <w:p w14:paraId="07400D2F">
            <w:pPr>
              <w:pStyle w:val="299"/>
              <w:adjustRightInd w:val="0"/>
              <w:snapToGrid w:val="0"/>
              <w:spacing w:line="400" w:lineRule="exact"/>
              <w:ind w:firstLine="210" w:firstLineChars="100"/>
            </w:pPr>
            <w:r>
              <w:rPr>
                <w:rFonts w:hint="eastAsia"/>
                <w:lang w:val="en-US" w:eastAsia="zh-CN"/>
              </w:rPr>
              <w:t>1.</w:t>
            </w:r>
            <w:r>
              <w:rPr>
                <w:rFonts w:hint="eastAsia"/>
              </w:rPr>
              <w:t xml:space="preserve">各评分因素细分项得分计算方式：  </w:t>
            </w:r>
          </w:p>
          <w:p w14:paraId="529F69E5">
            <w:pPr>
              <w:pStyle w:val="299"/>
              <w:adjustRightInd w:val="0"/>
              <w:snapToGrid w:val="0"/>
              <w:spacing w:line="400" w:lineRule="exact"/>
              <w:ind w:firstLine="200" w:firstLineChars="100"/>
            </w:pPr>
            <w:r>
              <w:rPr>
                <w:rFonts w:hint="eastAsia" w:ascii="宋体" w:hAnsi="宋体" w:cs="宋体"/>
                <w:color w:val="000000"/>
                <w:kern w:val="0"/>
                <w:sz w:val="20"/>
                <w:szCs w:val="20"/>
                <w:lang w:val="en-US" w:eastAsia="zh-CN" w:bidi="ar"/>
              </w:rPr>
              <w:t>□</w:t>
            </w:r>
            <w:r>
              <w:rPr>
                <w:rFonts w:hint="eastAsia"/>
                <w:color w:val="000000"/>
                <w:szCs w:val="21"/>
              </w:rPr>
              <w:t>方式一：</w:t>
            </w:r>
            <w:r>
              <w:rPr>
                <w:rFonts w:hint="eastAsia"/>
              </w:rPr>
              <w:t>各评分因素细分项得分应以评标委员会各成员的打分平均值确定。</w:t>
            </w:r>
          </w:p>
          <w:p w14:paraId="513DFC40">
            <w:pPr>
              <w:pStyle w:val="299"/>
              <w:adjustRightInd w:val="0"/>
              <w:snapToGrid w:val="0"/>
              <w:spacing w:line="400" w:lineRule="exact"/>
              <w:ind w:firstLine="210" w:firstLineChars="100"/>
            </w:pPr>
            <w:r>
              <w:rPr>
                <w:rFonts w:hint="eastAsia"/>
                <w:lang w:val="en-US" w:eastAsia="zh-CN"/>
              </w:rPr>
              <w:t>注：</w:t>
            </w:r>
            <w:r>
              <w:rPr>
                <w:rFonts w:hint="eastAsia"/>
              </w:rPr>
              <w:t>适用于评标委员会成员总数为5人。</w:t>
            </w:r>
          </w:p>
          <w:p w14:paraId="0332B2C3">
            <w:pPr>
              <w:pStyle w:val="299"/>
              <w:adjustRightInd w:val="0"/>
              <w:snapToGrid w:val="0"/>
              <w:spacing w:line="400" w:lineRule="exact"/>
              <w:ind w:firstLine="200" w:firstLineChars="100"/>
            </w:pPr>
            <w:r>
              <w:rPr>
                <w:rFonts w:hint="eastAsia" w:ascii="宋体" w:hAnsi="宋体" w:cs="宋体"/>
                <w:color w:val="000000"/>
                <w:kern w:val="0"/>
                <w:sz w:val="20"/>
                <w:szCs w:val="20"/>
                <w:lang w:val="en-US" w:eastAsia="zh-CN" w:bidi="ar"/>
              </w:rPr>
              <w:t>□</w:t>
            </w:r>
            <w:r>
              <w:rPr>
                <w:rFonts w:hint="eastAsia"/>
                <w:color w:val="000000"/>
                <w:szCs w:val="21"/>
              </w:rPr>
              <w:t>方式二：</w:t>
            </w:r>
            <w:r>
              <w:rPr>
                <w:rFonts w:hint="eastAsia"/>
              </w:rPr>
              <w:t>各评分因素细分项得分，以评标委员会各成员的打分去掉一个最高和一个最低分后，计算平均值确定。</w:t>
            </w:r>
          </w:p>
          <w:p w14:paraId="450FCF16">
            <w:pPr>
              <w:pStyle w:val="299"/>
              <w:adjustRightInd w:val="0"/>
              <w:snapToGrid w:val="0"/>
              <w:spacing w:line="400" w:lineRule="exact"/>
              <w:ind w:firstLine="210" w:firstLineChars="100"/>
              <w:rPr>
                <w:color w:val="000000"/>
                <w:szCs w:val="21"/>
              </w:rPr>
            </w:pPr>
            <w:r>
              <w:rPr>
                <w:rFonts w:hint="eastAsia"/>
                <w:lang w:val="en-US" w:eastAsia="zh-CN"/>
              </w:rPr>
              <w:t>注：</w:t>
            </w:r>
            <w:r>
              <w:rPr>
                <w:rFonts w:hint="eastAsia"/>
              </w:rPr>
              <w:t>适用于评标委员会成员总数为</w:t>
            </w:r>
            <w:r>
              <w:t>7</w:t>
            </w:r>
            <w:r>
              <w:rPr>
                <w:rFonts w:hint="eastAsia"/>
              </w:rPr>
              <w:t>人。</w:t>
            </w:r>
          </w:p>
          <w:p w14:paraId="636B6C76">
            <w:pPr>
              <w:pStyle w:val="299"/>
              <w:adjustRightInd w:val="0"/>
              <w:snapToGrid w:val="0"/>
              <w:spacing w:line="400" w:lineRule="exact"/>
              <w:ind w:firstLine="200" w:firstLineChars="100"/>
              <w:rPr>
                <w:highlight w:val="none"/>
              </w:rPr>
            </w:pPr>
            <w:r>
              <w:rPr>
                <w:rFonts w:hint="eastAsia" w:ascii="宋体" w:hAnsi="宋体" w:cs="宋体"/>
                <w:color w:val="000000"/>
                <w:kern w:val="0"/>
                <w:sz w:val="20"/>
                <w:szCs w:val="20"/>
                <w:lang w:val="en-US" w:eastAsia="zh-CN" w:bidi="ar"/>
              </w:rPr>
              <w:t>□</w:t>
            </w:r>
            <w:r>
              <w:rPr>
                <w:rFonts w:hint="eastAsia"/>
                <w:color w:val="000000"/>
                <w:szCs w:val="21"/>
                <w:highlight w:val="none"/>
              </w:rPr>
              <w:t>方式三：</w:t>
            </w:r>
            <w:r>
              <w:rPr>
                <w:rFonts w:hint="eastAsia"/>
                <w:highlight w:val="none"/>
              </w:rPr>
              <w:t>各评分因素细分项得分计算步骤如下：</w:t>
            </w:r>
          </w:p>
          <w:p w14:paraId="3B363E29">
            <w:pPr>
              <w:pStyle w:val="299"/>
              <w:numPr>
                <w:ilvl w:val="255"/>
                <w:numId w:val="0"/>
              </w:numPr>
              <w:adjustRightInd w:val="0"/>
              <w:snapToGrid w:val="0"/>
              <w:spacing w:line="400" w:lineRule="exact"/>
              <w:ind w:firstLine="420" w:firstLineChars="200"/>
              <w:rPr>
                <w:rFonts w:hint="eastAsia" w:ascii="宋体" w:hAnsi="宋体" w:eastAsia="宋体" w:cs="宋体"/>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计算各专家对所有投标人评分因素细分项最高评分与最低评分的差值（简称“分差值”），确定分差值</w:t>
            </w:r>
            <w:r>
              <w:rPr>
                <w:rFonts w:hint="eastAsia" w:ascii="宋体" w:hAnsi="宋体" w:eastAsia="宋体" w:cs="宋体"/>
                <w:highlight w:val="none"/>
              </w:rPr>
              <w:t>最大专家的个数。</w:t>
            </w:r>
          </w:p>
          <w:p w14:paraId="7C60DB92">
            <w:pPr>
              <w:pStyle w:val="299"/>
              <w:numPr>
                <w:ilvl w:val="255"/>
                <w:numId w:val="0"/>
              </w:numPr>
              <w:adjustRightInd w:val="0"/>
              <w:snapToGrid w:val="0"/>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 2 \* GB3 \* MERGEFORMAT </w:instrText>
            </w:r>
            <w:r>
              <w:rPr>
                <w:rFonts w:hint="eastAsia" w:ascii="宋体" w:hAnsi="宋体" w:eastAsia="宋体" w:cs="宋体"/>
                <w:highlight w:val="none"/>
              </w:rPr>
              <w:fldChar w:fldCharType="separate"/>
            </w:r>
            <w:r>
              <w:rPr>
                <w:rFonts w:hint="eastAsia" w:ascii="宋体" w:hAnsi="宋体" w:eastAsia="宋体" w:cs="宋体"/>
                <w:highlight w:val="none"/>
              </w:rPr>
              <w:t>②</w:t>
            </w:r>
            <w:r>
              <w:rPr>
                <w:rFonts w:hint="eastAsia" w:ascii="宋体" w:hAnsi="宋体" w:eastAsia="宋体" w:cs="宋体"/>
                <w:highlight w:val="none"/>
              </w:rPr>
              <w:fldChar w:fldCharType="end"/>
            </w:r>
            <w:r>
              <w:rPr>
                <w:rFonts w:hint="eastAsia" w:ascii="宋体" w:hAnsi="宋体" w:eastAsia="宋体" w:cs="宋体"/>
                <w:highlight w:val="none"/>
              </w:rPr>
              <w:t>同一细分项，若分差值最大的专家个数≤2名，则去掉分差值最大的专家该细分项评分；若分差值最大的专家个数≥3名，则保留所有专家细分项评分。</w:t>
            </w:r>
          </w:p>
          <w:p w14:paraId="480F1B8E">
            <w:pPr>
              <w:pStyle w:val="299"/>
              <w:adjustRightInd w:val="0"/>
              <w:snapToGrid w:val="0"/>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 3 \* GB3 \* MERGEFORMAT </w:instrText>
            </w:r>
            <w:r>
              <w:rPr>
                <w:rFonts w:hint="eastAsia" w:ascii="宋体" w:hAnsi="宋体" w:eastAsia="宋体" w:cs="宋体"/>
                <w:highlight w:val="none"/>
              </w:rPr>
              <w:fldChar w:fldCharType="separate"/>
            </w:r>
            <w:r>
              <w:rPr>
                <w:rFonts w:hint="eastAsia" w:ascii="宋体" w:hAnsi="宋体" w:eastAsia="宋体" w:cs="宋体"/>
                <w:highlight w:val="none"/>
              </w:rPr>
              <w:t>③</w:t>
            </w:r>
            <w:r>
              <w:rPr>
                <w:rFonts w:hint="eastAsia" w:ascii="宋体" w:hAnsi="宋体" w:eastAsia="宋体" w:cs="宋体"/>
                <w:highlight w:val="none"/>
              </w:rPr>
              <w:fldChar w:fldCharType="end"/>
            </w:r>
            <w:r>
              <w:rPr>
                <w:rFonts w:hint="eastAsia" w:ascii="宋体" w:hAnsi="宋体" w:eastAsia="宋体" w:cs="宋体"/>
                <w:highlight w:val="none"/>
              </w:rPr>
              <w:t>各评分因素细分项最终得分应以完成上述</w:t>
            </w:r>
            <w:r>
              <w:rPr>
                <w:rFonts w:hint="eastAsia" w:ascii="宋体" w:hAnsi="宋体" w:eastAsia="宋体" w:cs="宋体"/>
                <w:highlight w:val="none"/>
              </w:rPr>
              <w:fldChar w:fldCharType="begin"/>
            </w:r>
            <w:r>
              <w:rPr>
                <w:rFonts w:hint="eastAsia" w:ascii="宋体" w:hAnsi="宋体" w:eastAsia="宋体" w:cs="宋体"/>
                <w:highlight w:val="none"/>
              </w:rPr>
              <w:instrText xml:space="preserve"> = 1 \* GB3 \* MERGEFORMAT </w:instrText>
            </w:r>
            <w:r>
              <w:rPr>
                <w:rFonts w:hint="eastAsia" w:ascii="宋体" w:hAnsi="宋体" w:eastAsia="宋体" w:cs="宋体"/>
                <w:highlight w:val="none"/>
              </w:rPr>
              <w:fldChar w:fldCharType="separate"/>
            </w:r>
            <w:r>
              <w:rPr>
                <w:rFonts w:hint="eastAsia" w:ascii="宋体" w:hAnsi="宋体" w:eastAsia="宋体" w:cs="宋体"/>
                <w:highlight w:val="none"/>
              </w:rPr>
              <w:t>①</w:t>
            </w:r>
            <w:r>
              <w:rPr>
                <w:rFonts w:hint="eastAsia" w:ascii="宋体" w:hAnsi="宋体" w:eastAsia="宋体" w:cs="宋体"/>
                <w:highlight w:val="none"/>
              </w:rPr>
              <w:fldChar w:fldCharType="end"/>
            </w:r>
            <w:r>
              <w:rPr>
                <w:rFonts w:hint="eastAsia" w:ascii="宋体" w:hAnsi="宋体" w:eastAsia="宋体" w:cs="宋体"/>
                <w:highlight w:val="none"/>
              </w:rPr>
              <w:fldChar w:fldCharType="begin"/>
            </w:r>
            <w:r>
              <w:rPr>
                <w:rFonts w:hint="eastAsia" w:ascii="宋体" w:hAnsi="宋体" w:eastAsia="宋体" w:cs="宋体"/>
                <w:highlight w:val="none"/>
              </w:rPr>
              <w:instrText xml:space="preserve"> = 2 \* GB3 \* MERGEFORMAT </w:instrText>
            </w:r>
            <w:r>
              <w:rPr>
                <w:rFonts w:hint="eastAsia" w:ascii="宋体" w:hAnsi="宋体" w:eastAsia="宋体" w:cs="宋体"/>
                <w:highlight w:val="none"/>
              </w:rPr>
              <w:fldChar w:fldCharType="separate"/>
            </w:r>
            <w:r>
              <w:rPr>
                <w:rFonts w:hint="eastAsia" w:ascii="宋体" w:hAnsi="宋体" w:eastAsia="宋体" w:cs="宋体"/>
                <w:highlight w:val="none"/>
              </w:rPr>
              <w:t>②</w:t>
            </w:r>
            <w:r>
              <w:rPr>
                <w:rFonts w:hint="eastAsia" w:ascii="宋体" w:hAnsi="宋体" w:eastAsia="宋体" w:cs="宋体"/>
                <w:highlight w:val="none"/>
              </w:rPr>
              <w:fldChar w:fldCharType="end"/>
            </w:r>
            <w:r>
              <w:rPr>
                <w:rFonts w:hint="eastAsia" w:ascii="宋体" w:hAnsi="宋体" w:eastAsia="宋体" w:cs="宋体"/>
                <w:highlight w:val="none"/>
              </w:rPr>
              <w:t>步骤后，再对仍保留的专家细分项评分去掉一个最高和一个最低分后计算平均值。</w:t>
            </w:r>
          </w:p>
          <w:p w14:paraId="60BD7FDD">
            <w:pPr>
              <w:pStyle w:val="299"/>
              <w:adjustRightInd w:val="0"/>
              <w:snapToGrid w:val="0"/>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lang w:val="en-US" w:eastAsia="zh-CN"/>
              </w:rPr>
              <w:t>注：</w:t>
            </w:r>
            <w:r>
              <w:rPr>
                <w:rFonts w:hint="eastAsia" w:ascii="宋体" w:hAnsi="宋体" w:eastAsia="宋体" w:cs="宋体"/>
                <w:highlight w:val="none"/>
              </w:rPr>
              <w:t>适用于评标委员会成员总数为9人及以上。</w:t>
            </w:r>
          </w:p>
          <w:p w14:paraId="36BA5D2A">
            <w:pPr>
              <w:pStyle w:val="299"/>
              <w:adjustRightInd w:val="0"/>
              <w:snapToGrid w:val="0"/>
              <w:spacing w:line="400" w:lineRule="exact"/>
              <w:ind w:firstLine="210" w:firstLineChars="1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投标人投标文件中施工组织设计各评分因素细分项无内容的得0分。</w:t>
            </w:r>
          </w:p>
          <w:p w14:paraId="673AFDF5">
            <w:pPr>
              <w:pStyle w:val="299"/>
              <w:adjustRightInd w:val="0"/>
              <w:snapToGrid w:val="0"/>
              <w:spacing w:line="400" w:lineRule="exact"/>
              <w:ind w:firstLine="211" w:firstLineChars="100"/>
              <w:rPr>
                <w:rFonts w:ascii="宋体" w:hAnsi="宋体" w:cs="宋体"/>
                <w:szCs w:val="21"/>
              </w:rPr>
            </w:pPr>
            <w:r>
              <w:rPr>
                <w:rFonts w:hint="eastAsia" w:ascii="宋体" w:hAnsi="宋体" w:eastAsia="宋体" w:cs="宋体"/>
                <w:b/>
                <w:szCs w:val="21"/>
              </w:rPr>
              <w:t>□</w:t>
            </w:r>
            <w:r>
              <w:rPr>
                <w:rFonts w:hint="eastAsia" w:ascii="宋体" w:hAnsi="宋体" w:eastAsia="宋体" w:cs="宋体"/>
                <w:lang w:val="en-US" w:eastAsia="zh-CN"/>
              </w:rPr>
              <w:t>3.</w:t>
            </w:r>
            <w:r>
              <w:rPr>
                <w:rFonts w:hint="eastAsia" w:ascii="宋体" w:hAnsi="宋体" w:eastAsia="宋体" w:cs="宋体"/>
              </w:rPr>
              <w:t>招标人对</w:t>
            </w:r>
            <w:r>
              <w:rPr>
                <w:rFonts w:hint="eastAsia" w:ascii="宋体" w:hAnsi="宋体" w:cs="宋体"/>
                <w:lang w:val="en-US" w:eastAsia="zh-CN"/>
              </w:rPr>
              <w:t>设计施工总承包方案</w:t>
            </w:r>
            <w:r>
              <w:rPr>
                <w:rFonts w:hint="eastAsia" w:ascii="宋体" w:hAnsi="宋体" w:eastAsia="宋体" w:cs="宋体"/>
              </w:rPr>
              <w:t>评审采用暗标方式的，投标人</w:t>
            </w:r>
            <w:r>
              <w:rPr>
                <w:rFonts w:hint="eastAsia" w:ascii="宋体" w:hAnsi="宋体" w:cs="宋体"/>
                <w:lang w:val="en-US" w:eastAsia="zh-CN"/>
              </w:rPr>
              <w:t>设计施工总承包方案</w:t>
            </w:r>
            <w:r>
              <w:rPr>
                <w:rFonts w:hint="eastAsia" w:ascii="宋体" w:hAnsi="宋体" w:eastAsia="宋体" w:cs="宋体"/>
                <w:kern w:val="0"/>
              </w:rPr>
              <w:t>中出现投标人的名称和其他可识别投标人身份的文字、符号、标识等时，其</w:t>
            </w:r>
            <w:r>
              <w:rPr>
                <w:rFonts w:hint="eastAsia" w:ascii="宋体" w:hAnsi="宋体" w:cs="宋体"/>
                <w:lang w:val="en-US" w:eastAsia="zh-CN"/>
              </w:rPr>
              <w:t>设计施工总承包方案</w:t>
            </w:r>
            <w:r>
              <w:rPr>
                <w:rFonts w:hint="eastAsia" w:ascii="宋体" w:hAnsi="宋体" w:eastAsia="宋体" w:cs="宋体"/>
                <w:kern w:val="0"/>
              </w:rPr>
              <w:t>评审得分为</w:t>
            </w:r>
            <w:r>
              <w:rPr>
                <w:rFonts w:hint="eastAsia" w:ascii="宋体" w:hAnsi="宋体" w:eastAsia="宋体" w:cs="宋体"/>
                <w:kern w:val="0"/>
                <w:u w:val="single"/>
              </w:rPr>
              <w:t xml:space="preserve"> 0 </w:t>
            </w:r>
            <w:r>
              <w:rPr>
                <w:rFonts w:hint="eastAsia" w:ascii="宋体" w:hAnsi="宋体" w:eastAsia="宋体" w:cs="宋体"/>
                <w:kern w:val="0"/>
              </w:rPr>
              <w:t>分。</w:t>
            </w:r>
          </w:p>
          <w:p w14:paraId="42F4FDB8">
            <w:pPr>
              <w:pStyle w:val="299"/>
              <w:adjustRightInd w:val="0"/>
              <w:snapToGrid w:val="0"/>
              <w:spacing w:line="400" w:lineRule="exact"/>
              <w:rPr>
                <w:rFonts w:ascii="宋体" w:hAnsi="宋体" w:cs="宋体"/>
                <w:szCs w:val="21"/>
                <w:u w:val="single"/>
              </w:rPr>
            </w:pPr>
            <w:r>
              <w:rPr>
                <w:rFonts w:hint="eastAsia" w:ascii="宋体" w:hAnsi="宋体" w:cs="宋体"/>
                <w:szCs w:val="21"/>
              </w:rPr>
              <w:t>……</w:t>
            </w:r>
          </w:p>
        </w:tc>
      </w:tr>
      <w:tr w14:paraId="2BD8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gridSpan w:val="6"/>
            <w:vAlign w:val="center"/>
          </w:tcPr>
          <w:p w14:paraId="195929C6">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7FD44C52">
            <w:pPr>
              <w:pStyle w:val="299"/>
              <w:adjustRightInd w:val="0"/>
              <w:snapToGrid w:val="0"/>
              <w:spacing w:line="400" w:lineRule="exact"/>
              <w:rPr>
                <w:rFonts w:ascii="宋体" w:hAnsi="宋体" w:cs="宋体"/>
                <w:szCs w:val="21"/>
                <w:u w:val="single"/>
              </w:rPr>
            </w:pPr>
            <w:r>
              <w:rPr>
                <w:rFonts w:hint="eastAsia" w:ascii="宋体" w:hAnsi="宋体" w:cs="宋体"/>
                <w:szCs w:val="21"/>
              </w:rPr>
              <w:t>……</w:t>
            </w:r>
          </w:p>
        </w:tc>
      </w:tr>
    </w:tbl>
    <w:p w14:paraId="21FB9D40">
      <w:pPr>
        <w:jc w:val="left"/>
      </w:pPr>
      <w:r>
        <w:rPr>
          <w:rFonts w:hint="eastAsia"/>
        </w:rPr>
        <w:br w:type="page"/>
      </w:r>
    </w:p>
    <w:p w14:paraId="0F2A1BDD">
      <w:pPr>
        <w:jc w:val="right"/>
      </w:pPr>
      <w:r>
        <w:rPr>
          <w:rFonts w:hint="eastAsia"/>
        </w:rPr>
        <w:t>续上表</w:t>
      </w:r>
    </w:p>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35"/>
        <w:gridCol w:w="895"/>
        <w:gridCol w:w="851"/>
        <w:gridCol w:w="662"/>
        <w:gridCol w:w="676"/>
        <w:gridCol w:w="699"/>
        <w:gridCol w:w="10"/>
        <w:gridCol w:w="3623"/>
      </w:tblGrid>
      <w:tr w14:paraId="2872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975" w:type="dxa"/>
            <w:vMerge w:val="restart"/>
            <w:vAlign w:val="center"/>
          </w:tcPr>
          <w:p w14:paraId="7F77D9CF">
            <w:pPr>
              <w:pStyle w:val="299"/>
              <w:spacing w:line="276" w:lineRule="auto"/>
              <w:jc w:val="center"/>
              <w:rPr>
                <w:rFonts w:ascii="宋体" w:hAnsi="宋体" w:cs="宋体"/>
                <w:b/>
                <w:szCs w:val="21"/>
              </w:rPr>
            </w:pPr>
            <w:r>
              <w:rPr>
                <w:rFonts w:hint="eastAsia" w:ascii="宋体" w:hAnsi="宋体" w:cs="宋体"/>
                <w:b/>
                <w:szCs w:val="21"/>
              </w:rPr>
              <w:t>条款号</w:t>
            </w:r>
          </w:p>
        </w:tc>
        <w:tc>
          <w:tcPr>
            <w:tcW w:w="7951" w:type="dxa"/>
            <w:gridSpan w:val="8"/>
            <w:vAlign w:val="center"/>
          </w:tcPr>
          <w:p w14:paraId="7C10F8A9">
            <w:pPr>
              <w:pStyle w:val="299"/>
              <w:spacing w:line="276" w:lineRule="auto"/>
              <w:ind w:firstLine="316" w:firstLineChars="150"/>
              <w:jc w:val="center"/>
              <w:rPr>
                <w:rFonts w:ascii="宋体" w:hAnsi="宋体" w:cs="宋体"/>
                <w:b/>
                <w:szCs w:val="21"/>
              </w:rPr>
            </w:pPr>
            <w:r>
              <w:rPr>
                <w:rFonts w:hint="eastAsia" w:ascii="宋体" w:hAnsi="宋体" w:cs="宋体"/>
                <w:b/>
                <w:szCs w:val="21"/>
              </w:rPr>
              <w:t>评分因素与权重分值</w:t>
            </w:r>
          </w:p>
        </w:tc>
      </w:tr>
      <w:tr w14:paraId="2B45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vMerge w:val="continue"/>
            <w:vAlign w:val="center"/>
          </w:tcPr>
          <w:p w14:paraId="1C3F02BD">
            <w:pPr>
              <w:pStyle w:val="299"/>
              <w:spacing w:line="276" w:lineRule="auto"/>
              <w:jc w:val="center"/>
              <w:rPr>
                <w:rFonts w:ascii="宋体" w:hAnsi="宋体" w:cs="宋体"/>
                <w:b/>
                <w:szCs w:val="21"/>
              </w:rPr>
            </w:pPr>
          </w:p>
        </w:tc>
        <w:tc>
          <w:tcPr>
            <w:tcW w:w="1430" w:type="dxa"/>
            <w:gridSpan w:val="2"/>
            <w:vAlign w:val="center"/>
          </w:tcPr>
          <w:p w14:paraId="0250412F">
            <w:pPr>
              <w:pStyle w:val="299"/>
              <w:spacing w:line="276" w:lineRule="auto"/>
              <w:jc w:val="center"/>
              <w:rPr>
                <w:rFonts w:ascii="宋体" w:hAnsi="宋体" w:cs="宋体"/>
                <w:b/>
                <w:szCs w:val="21"/>
              </w:rPr>
            </w:pPr>
            <w:r>
              <w:rPr>
                <w:rFonts w:hint="eastAsia" w:ascii="宋体" w:hAnsi="宋体" w:cs="宋体"/>
                <w:b/>
                <w:szCs w:val="21"/>
              </w:rPr>
              <w:t>评分因素</w:t>
            </w:r>
          </w:p>
        </w:tc>
        <w:tc>
          <w:tcPr>
            <w:tcW w:w="851" w:type="dxa"/>
            <w:vAlign w:val="center"/>
          </w:tcPr>
          <w:p w14:paraId="764EEF85">
            <w:pPr>
              <w:pStyle w:val="299"/>
              <w:spacing w:line="276" w:lineRule="auto"/>
              <w:jc w:val="center"/>
              <w:rPr>
                <w:rFonts w:ascii="宋体" w:hAnsi="宋体" w:cs="宋体"/>
                <w:b/>
                <w:szCs w:val="21"/>
              </w:rPr>
            </w:pPr>
            <w:r>
              <w:rPr>
                <w:rFonts w:hint="eastAsia" w:ascii="宋体" w:hAnsi="宋体" w:cs="宋体"/>
                <w:b/>
                <w:szCs w:val="21"/>
              </w:rPr>
              <w:t>评分因素权重分值</w:t>
            </w:r>
          </w:p>
        </w:tc>
        <w:tc>
          <w:tcPr>
            <w:tcW w:w="1338" w:type="dxa"/>
            <w:gridSpan w:val="2"/>
            <w:vAlign w:val="center"/>
          </w:tcPr>
          <w:p w14:paraId="629A1876">
            <w:pPr>
              <w:pStyle w:val="299"/>
              <w:spacing w:line="276" w:lineRule="auto"/>
              <w:jc w:val="center"/>
              <w:rPr>
                <w:rFonts w:ascii="宋体" w:hAnsi="宋体" w:cs="宋体"/>
                <w:b/>
                <w:szCs w:val="21"/>
              </w:rPr>
            </w:pPr>
            <w:r>
              <w:rPr>
                <w:rFonts w:hint="eastAsia" w:ascii="宋体" w:hAnsi="宋体" w:cs="宋体"/>
                <w:b/>
                <w:szCs w:val="21"/>
              </w:rPr>
              <w:t>各评分因素</w:t>
            </w:r>
          </w:p>
          <w:p w14:paraId="2E84D744">
            <w:pPr>
              <w:pStyle w:val="299"/>
              <w:spacing w:line="276" w:lineRule="auto"/>
              <w:jc w:val="center"/>
              <w:rPr>
                <w:rFonts w:ascii="宋体" w:hAnsi="宋体" w:cs="宋体"/>
                <w:b/>
                <w:szCs w:val="21"/>
              </w:rPr>
            </w:pPr>
            <w:r>
              <w:rPr>
                <w:rFonts w:hint="eastAsia" w:ascii="宋体" w:hAnsi="宋体" w:cs="宋体"/>
                <w:b/>
                <w:szCs w:val="21"/>
              </w:rPr>
              <w:t>细分项</w:t>
            </w:r>
          </w:p>
        </w:tc>
        <w:tc>
          <w:tcPr>
            <w:tcW w:w="709" w:type="dxa"/>
            <w:gridSpan w:val="2"/>
            <w:vAlign w:val="center"/>
          </w:tcPr>
          <w:p w14:paraId="37866831">
            <w:pPr>
              <w:pStyle w:val="299"/>
              <w:spacing w:line="276" w:lineRule="auto"/>
              <w:jc w:val="center"/>
              <w:rPr>
                <w:rFonts w:ascii="宋体" w:hAnsi="宋体" w:cs="宋体"/>
                <w:b/>
                <w:szCs w:val="21"/>
                <w:u w:val="single"/>
              </w:rPr>
            </w:pPr>
            <w:r>
              <w:rPr>
                <w:rFonts w:hint="eastAsia" w:ascii="宋体" w:hAnsi="宋体" w:cs="宋体"/>
                <w:b/>
                <w:szCs w:val="21"/>
              </w:rPr>
              <w:t>分值</w:t>
            </w:r>
          </w:p>
        </w:tc>
        <w:tc>
          <w:tcPr>
            <w:tcW w:w="3623" w:type="dxa"/>
            <w:vAlign w:val="center"/>
          </w:tcPr>
          <w:p w14:paraId="439CA4F4">
            <w:pPr>
              <w:pStyle w:val="299"/>
              <w:spacing w:line="276" w:lineRule="auto"/>
              <w:ind w:firstLine="316" w:firstLineChars="150"/>
              <w:jc w:val="center"/>
              <w:rPr>
                <w:rFonts w:ascii="宋体" w:hAnsi="宋体" w:cs="宋体"/>
                <w:b/>
                <w:szCs w:val="21"/>
              </w:rPr>
            </w:pPr>
            <w:r>
              <w:rPr>
                <w:rFonts w:hint="eastAsia" w:ascii="宋体" w:hAnsi="宋体" w:cs="宋体"/>
                <w:b/>
                <w:szCs w:val="21"/>
              </w:rPr>
              <w:t>评分标准</w:t>
            </w:r>
          </w:p>
        </w:tc>
      </w:tr>
      <w:tr w14:paraId="046A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vAlign w:val="center"/>
          </w:tcPr>
          <w:p w14:paraId="264E4EE5">
            <w:pPr>
              <w:pStyle w:val="299"/>
              <w:spacing w:line="400" w:lineRule="exact"/>
              <w:jc w:val="center"/>
              <w:rPr>
                <w:rFonts w:ascii="宋体" w:hAnsi="宋体" w:cs="宋体"/>
                <w:szCs w:val="21"/>
              </w:rPr>
            </w:pPr>
            <w:r>
              <w:rPr>
                <w:rFonts w:ascii="宋体" w:hAnsi="宋体" w:cs="宋体"/>
                <w:szCs w:val="21"/>
              </w:rPr>
              <w:t>2.2.4</w:t>
            </w:r>
            <w:r>
              <w:rPr>
                <w:rFonts w:hint="eastAsia" w:ascii="宋体" w:hAnsi="宋体" w:cs="宋体"/>
                <w:szCs w:val="21"/>
              </w:rPr>
              <w:t>（</w:t>
            </w:r>
            <w:r>
              <w:rPr>
                <w:rFonts w:ascii="宋体" w:hAnsi="宋体" w:cs="宋体"/>
                <w:szCs w:val="21"/>
              </w:rPr>
              <w:t>2）</w:t>
            </w:r>
          </w:p>
        </w:tc>
        <w:tc>
          <w:tcPr>
            <w:tcW w:w="1430" w:type="dxa"/>
            <w:gridSpan w:val="2"/>
            <w:vMerge w:val="restart"/>
            <w:vAlign w:val="center"/>
          </w:tcPr>
          <w:p w14:paraId="183AA11F">
            <w:pPr>
              <w:pStyle w:val="299"/>
              <w:spacing w:line="400" w:lineRule="exact"/>
              <w:jc w:val="center"/>
              <w:rPr>
                <w:rFonts w:ascii="宋体" w:hAnsi="宋体" w:cs="宋体"/>
                <w:szCs w:val="21"/>
              </w:rPr>
            </w:pPr>
            <w:r>
              <w:rPr>
                <w:rFonts w:hint="eastAsia" w:cs="宋体" w:asciiTheme="minorEastAsia" w:hAnsiTheme="minorEastAsia" w:eastAsiaTheme="minorEastAsia"/>
                <w:b/>
                <w:szCs w:val="21"/>
              </w:rPr>
              <w:t xml:space="preserve">□ </w:t>
            </w:r>
            <w:r>
              <w:rPr>
                <w:rFonts w:hint="eastAsia" w:ascii="宋体" w:hAnsi="宋体" w:cs="宋体"/>
                <w:szCs w:val="21"/>
              </w:rPr>
              <w:t>主要人员</w:t>
            </w:r>
          </w:p>
          <w:p w14:paraId="47663865">
            <w:pPr>
              <w:pStyle w:val="299"/>
              <w:spacing w:line="400" w:lineRule="exact"/>
              <w:jc w:val="center"/>
              <w:rPr>
                <w:rFonts w:ascii="宋体" w:hAnsi="宋体" w:cs="宋体"/>
                <w:szCs w:val="21"/>
              </w:rPr>
            </w:pPr>
            <w:r>
              <w:rPr>
                <w:rFonts w:ascii="宋体" w:hAnsi="宋体" w:cs="宋体"/>
                <w:szCs w:val="21"/>
              </w:rPr>
              <w:t>B</w:t>
            </w:r>
          </w:p>
        </w:tc>
        <w:tc>
          <w:tcPr>
            <w:tcW w:w="851" w:type="dxa"/>
            <w:vMerge w:val="restart"/>
            <w:vAlign w:val="center"/>
          </w:tcPr>
          <w:p w14:paraId="195BC1F6">
            <w:pPr>
              <w:pStyle w:val="299"/>
              <w:spacing w:line="400" w:lineRule="exac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75CDBDD2">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kern w:val="0"/>
                <w:szCs w:val="21"/>
              </w:rPr>
              <w:t>设计项目负责人任职资格与业绩B</w:t>
            </w:r>
            <w:r>
              <w:rPr>
                <w:rFonts w:hint="eastAsia" w:asciiTheme="minorEastAsia" w:hAnsiTheme="minorEastAsia" w:eastAsiaTheme="minorEastAsia"/>
                <w:kern w:val="0"/>
                <w:szCs w:val="21"/>
                <w:vertAlign w:val="subscript"/>
              </w:rPr>
              <w:t>1</w:t>
            </w:r>
          </w:p>
        </w:tc>
        <w:tc>
          <w:tcPr>
            <w:tcW w:w="709" w:type="dxa"/>
            <w:gridSpan w:val="2"/>
            <w:vAlign w:val="center"/>
          </w:tcPr>
          <w:p w14:paraId="260F1A8F">
            <w:pPr>
              <w:pStyle w:val="299"/>
              <w:adjustRightInd w:val="0"/>
              <w:snapToGrid w:val="0"/>
              <w:spacing w:line="400" w:lineRule="exact"/>
              <w:rPr>
                <w:rFonts w:cs="宋体" w:asciiTheme="minorEastAsia" w:hAnsiTheme="minorEastAsia" w:eastAsiaTheme="minorEastAsia"/>
                <w:szCs w:val="21"/>
                <w:u w:val="single"/>
              </w:rPr>
            </w:pP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tc>
        <w:tc>
          <w:tcPr>
            <w:tcW w:w="3623" w:type="dxa"/>
            <w:vAlign w:val="center"/>
          </w:tcPr>
          <w:p w14:paraId="65601DB1">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（1）满足资格审查条件最低要求得</w:t>
            </w:r>
          </w:p>
          <w:p w14:paraId="5E7F083C">
            <w:pPr>
              <w:widowControl/>
              <w:adjustRightInd w:val="0"/>
              <w:snapToGrid w:val="0"/>
              <w:spacing w:line="400" w:lineRule="exact"/>
              <w:rPr>
                <w:rFonts w:cs="宋体" w:asciiTheme="minorEastAsia" w:hAnsiTheme="minorEastAsia" w:eastAsiaTheme="minorEastAsia"/>
                <w:b/>
                <w:szCs w:val="21"/>
              </w:rPr>
            </w:pP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p w14:paraId="7A6EB4D8">
            <w:pPr>
              <w:widowControl/>
              <w:spacing w:line="400" w:lineRule="exact"/>
              <w:rPr>
                <w:rFonts w:ascii="宋体" w:hAnsi="宋体"/>
                <w:kern w:val="0"/>
                <w:szCs w:val="21"/>
              </w:rPr>
            </w:pP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p>
          <w:p w14:paraId="0E5FFF6A">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p>
          <w:p w14:paraId="6FF3879F">
            <w:pPr>
              <w:pStyle w:val="48"/>
              <w:spacing w:after="0" w:line="400" w:lineRule="exact"/>
              <w:ind w:left="0" w:leftChars="0" w:firstLine="210" w:firstLineChars="100"/>
            </w:pPr>
            <w:r>
              <w:rPr>
                <w:rFonts w:hint="eastAsia"/>
              </w:rPr>
              <w:t>注：</w:t>
            </w:r>
            <w:r>
              <w:rPr>
                <w:rFonts w:hint="eastAsia" w:ascii="宋体" w:hAnsi="宋体" w:cs="宋体"/>
              </w:rPr>
              <w:t>资格条件中已作为最低要求的不得再作为加分的内容，下同。</w:t>
            </w:r>
          </w:p>
          <w:p w14:paraId="01A43CFC">
            <w:pPr>
              <w:widowControl/>
              <w:spacing w:line="400" w:lineRule="exact"/>
              <w:rPr>
                <w:rFonts w:ascii="宋体" w:hAnsi="宋体"/>
                <w:kern w:val="0"/>
                <w:szCs w:val="21"/>
              </w:rPr>
            </w:pPr>
            <w:r>
              <w:rPr>
                <w:rFonts w:hint="eastAsia" w:ascii="宋体" w:hAnsi="宋体"/>
                <w:kern w:val="0"/>
                <w:szCs w:val="21"/>
              </w:rPr>
              <w:t>（4）扣除满足资格条件最低要求的业绩数量后：</w:t>
            </w:r>
          </w:p>
          <w:p w14:paraId="1D743378">
            <w:pPr>
              <w:widowControl/>
              <w:spacing w:line="400" w:lineRule="exact"/>
              <w:ind w:left="211" w:hanging="211" w:hangingChars="100"/>
              <w:jc w:val="left"/>
              <w:rPr>
                <w:rFonts w:ascii="宋体" w:hAnsi="宋体"/>
                <w:kern w:val="0"/>
                <w:szCs w:val="21"/>
              </w:rPr>
            </w:pPr>
            <w:r>
              <w:rPr>
                <w:rFonts w:hint="eastAsia" w:ascii="宋体" w:hAnsi="宋体" w:cs="宋体"/>
                <w:b/>
                <w:szCs w:val="21"/>
              </w:rPr>
              <w:t>□</w:t>
            </w:r>
            <w:r>
              <w:rPr>
                <w:rFonts w:hint="eastAsia" w:ascii="宋体" w:hAnsi="宋体"/>
                <w:kern w:val="0"/>
                <w:szCs w:val="21"/>
              </w:rPr>
              <w:t>每增加</w:t>
            </w:r>
            <w:r>
              <w:rPr>
                <w:rFonts w:hint="eastAsia" w:ascii="宋体" w:hAnsi="宋体"/>
                <w:kern w:val="0"/>
                <w:szCs w:val="21"/>
                <w:u w:val="single"/>
              </w:rPr>
              <w:t xml:space="preserve"> 1 </w:t>
            </w:r>
            <w:r>
              <w:rPr>
                <w:rFonts w:hint="eastAsia" w:ascii="宋体" w:hAnsi="宋体"/>
                <w:kern w:val="0"/>
                <w:szCs w:val="21"/>
              </w:rPr>
              <w:t>段不低于</w:t>
            </w:r>
            <w:r>
              <w:rPr>
                <w:rFonts w:hint="eastAsia" w:ascii="宋体" w:hAnsi="宋体"/>
                <w:kern w:val="0"/>
                <w:szCs w:val="21"/>
                <w:u w:val="single"/>
              </w:rPr>
              <w:t xml:space="preserve">     </w:t>
            </w:r>
            <w:r>
              <w:rPr>
                <w:rFonts w:hint="eastAsia" w:ascii="宋体" w:hAnsi="宋体"/>
                <w:kern w:val="0"/>
                <w:szCs w:val="21"/>
              </w:rPr>
              <w:t>公里的国内（□新建；□改扩建；□新建或改扩建）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公路（□初步；□施工图；□初步或施工图）勘察设计工作项目负责人业绩加</w:t>
            </w:r>
            <w:r>
              <w:rPr>
                <w:rFonts w:hint="eastAsia"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1476CD58">
            <w:pPr>
              <w:pStyle w:val="48"/>
              <w:spacing w:after="0" w:line="400" w:lineRule="exact"/>
              <w:ind w:left="0" w:leftChars="0" w:firstLine="210" w:firstLineChars="100"/>
              <w:rPr>
                <w:rFonts w:ascii="宋体" w:hAnsi="宋体"/>
                <w:kern w:val="0"/>
                <w:szCs w:val="21"/>
              </w:rPr>
            </w:pPr>
            <w:r>
              <w:rPr>
                <w:rFonts w:hint="eastAsia" w:ascii="宋体" w:hAnsi="宋体"/>
                <w:kern w:val="0"/>
                <w:szCs w:val="21"/>
              </w:rPr>
              <w:t>注：“□新建；□改扩建；□新建或改扩建”“□初步；□施工图；□初步或施工图”为单选项，下同。</w:t>
            </w:r>
          </w:p>
          <w:p w14:paraId="5F354FA8">
            <w:pPr>
              <w:widowControl/>
              <w:adjustRightInd w:val="0"/>
              <w:snapToGrid w:val="0"/>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7F7F496E">
            <w:pPr>
              <w:widowControl/>
              <w:adjustRightInd w:val="0"/>
              <w:snapToGrid w:val="0"/>
              <w:spacing w:line="400" w:lineRule="exact"/>
              <w:rPr>
                <w:rFonts w:cs="宋体" w:asciiTheme="minorEastAsia" w:hAnsiTheme="minorEastAsia" w:eastAsiaTheme="minorEastAsia"/>
                <w:kern w:val="0"/>
                <w:szCs w:val="21"/>
              </w:rPr>
            </w:pPr>
            <w:r>
              <w:rPr>
                <w:rFonts w:hint="eastAsia" w:ascii="宋体" w:hAnsi="宋体"/>
                <w:kern w:val="0"/>
                <w:szCs w:val="21"/>
              </w:rPr>
              <w:t>（1）、（2）、（3）、（4）合计得分最多至满分为止。</w:t>
            </w:r>
          </w:p>
        </w:tc>
      </w:tr>
      <w:tr w14:paraId="5A4A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975" w:type="dxa"/>
            <w:vMerge w:val="continue"/>
            <w:vAlign w:val="center"/>
          </w:tcPr>
          <w:p w14:paraId="787E6E3A">
            <w:pPr>
              <w:pStyle w:val="299"/>
              <w:spacing w:line="400" w:lineRule="exact"/>
              <w:jc w:val="center"/>
              <w:rPr>
                <w:rFonts w:ascii="宋体" w:hAnsi="宋体" w:cs="宋体"/>
                <w:szCs w:val="21"/>
              </w:rPr>
            </w:pPr>
          </w:p>
        </w:tc>
        <w:tc>
          <w:tcPr>
            <w:tcW w:w="1430" w:type="dxa"/>
            <w:gridSpan w:val="2"/>
            <w:vMerge w:val="continue"/>
            <w:vAlign w:val="center"/>
          </w:tcPr>
          <w:p w14:paraId="34F04790">
            <w:pPr>
              <w:pStyle w:val="299"/>
              <w:spacing w:line="400" w:lineRule="exact"/>
              <w:jc w:val="center"/>
              <w:rPr>
                <w:rFonts w:ascii="宋体" w:hAnsi="宋体" w:cs="宋体"/>
                <w:szCs w:val="21"/>
              </w:rPr>
            </w:pPr>
          </w:p>
        </w:tc>
        <w:tc>
          <w:tcPr>
            <w:tcW w:w="851" w:type="dxa"/>
            <w:vMerge w:val="continue"/>
            <w:vAlign w:val="center"/>
          </w:tcPr>
          <w:p w14:paraId="46AEE739">
            <w:pPr>
              <w:pStyle w:val="299"/>
              <w:spacing w:line="400" w:lineRule="exact"/>
              <w:rPr>
                <w:rFonts w:ascii="宋体" w:hAnsi="宋体" w:cs="宋体"/>
                <w:szCs w:val="21"/>
                <w:u w:val="single"/>
              </w:rPr>
            </w:pPr>
          </w:p>
        </w:tc>
        <w:tc>
          <w:tcPr>
            <w:tcW w:w="1338" w:type="dxa"/>
            <w:gridSpan w:val="2"/>
            <w:vAlign w:val="center"/>
          </w:tcPr>
          <w:p w14:paraId="28075F1C">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勘察设计技术负责人或总设计师任职资格与业绩</w:t>
            </w:r>
            <w:r>
              <w:rPr>
                <w:rFonts w:hint="eastAsia" w:asciiTheme="minorEastAsia" w:hAnsiTheme="minorEastAsia" w:eastAsiaTheme="minorEastAsia"/>
                <w:kern w:val="0"/>
                <w:szCs w:val="21"/>
              </w:rPr>
              <w:t>B</w:t>
            </w:r>
            <w:r>
              <w:rPr>
                <w:rFonts w:asciiTheme="minorEastAsia" w:hAnsiTheme="minorEastAsia" w:eastAsiaTheme="minorEastAsia"/>
                <w:kern w:val="0"/>
                <w:szCs w:val="21"/>
                <w:vertAlign w:val="subscript"/>
              </w:rPr>
              <w:t>2</w:t>
            </w:r>
          </w:p>
        </w:tc>
        <w:tc>
          <w:tcPr>
            <w:tcW w:w="709" w:type="dxa"/>
            <w:gridSpan w:val="2"/>
            <w:vAlign w:val="center"/>
          </w:tcPr>
          <w:p w14:paraId="7F1B0DEB">
            <w:pPr>
              <w:pStyle w:val="299"/>
              <w:adjustRightInd w:val="0"/>
              <w:snapToGrid w:val="0"/>
              <w:spacing w:line="400" w:lineRule="exact"/>
              <w:rPr>
                <w:rFonts w:cs="宋体" w:asciiTheme="minorEastAsia" w:hAnsiTheme="minorEastAsia" w:eastAsiaTheme="minorEastAsia"/>
                <w:szCs w:val="21"/>
                <w:u w:val="single"/>
              </w:rPr>
            </w:pP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tc>
        <w:tc>
          <w:tcPr>
            <w:tcW w:w="3623" w:type="dxa"/>
            <w:shd w:val="clear" w:color="auto" w:fill="auto"/>
            <w:vAlign w:val="center"/>
          </w:tcPr>
          <w:p w14:paraId="4F96FEB7">
            <w:pPr>
              <w:widowControl/>
              <w:adjustRightInd/>
              <w:snapToGrid/>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（1）满足资格审查条件最低要求得</w:t>
            </w:r>
          </w:p>
          <w:p w14:paraId="36A77E22">
            <w:pPr>
              <w:widowControl/>
              <w:adjustRightInd/>
              <w:snapToGrid/>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p w14:paraId="45DCE490">
            <w:pPr>
              <w:widowControl/>
              <w:spacing w:line="400" w:lineRule="exact"/>
              <w:rPr>
                <w:rFonts w:ascii="宋体" w:hAnsi="宋体"/>
                <w:kern w:val="0"/>
                <w:szCs w:val="21"/>
              </w:rPr>
            </w:pPr>
            <w:r>
              <w:rPr>
                <w:rFonts w:hint="eastAsia" w:ascii="宋体" w:hAnsi="宋体"/>
                <w:kern w:val="0"/>
                <w:szCs w:val="21"/>
                <w:lang w:eastAsia="zh-CN"/>
              </w:rPr>
              <w:t>（</w:t>
            </w:r>
            <w:r>
              <w:rPr>
                <w:rFonts w:hint="eastAsia" w:ascii="宋体" w:hAnsi="宋体"/>
                <w:kern w:val="0"/>
                <w:szCs w:val="21"/>
              </w:rPr>
              <w:t>2）</w:t>
            </w:r>
            <w:r>
              <w:rPr>
                <w:rFonts w:hint="eastAsia" w:ascii="宋体" w:hAnsi="宋体" w:cs="宋体"/>
                <w:color w:val="000000"/>
                <w:szCs w:val="21"/>
              </w:rPr>
              <w:t>高级工程师加</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szCs w:val="21"/>
              </w:rPr>
              <w:t>正（教授级或研究员级）高级工程师</w:t>
            </w:r>
            <w:r>
              <w:rPr>
                <w:rFonts w:hint="eastAsia" w:ascii="宋体" w:hAnsi="宋体" w:cs="宋体"/>
                <w:kern w:val="0"/>
                <w:szCs w:val="21"/>
              </w:rPr>
              <w:t>加</w:t>
            </w:r>
            <w:r>
              <w:rPr>
                <w:rFonts w:hint="eastAsia"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77C4F228">
            <w:pPr>
              <w:widowControl/>
              <w:spacing w:line="400" w:lineRule="exact"/>
              <w:rPr>
                <w:rFonts w:ascii="宋体" w:hAnsi="宋体"/>
                <w:kern w:val="0"/>
                <w:szCs w:val="21"/>
              </w:rPr>
            </w:pPr>
            <w:r>
              <w:rPr>
                <w:rFonts w:hint="eastAsia" w:ascii="宋体" w:hAnsi="宋体"/>
                <w:kern w:val="0"/>
                <w:szCs w:val="21"/>
              </w:rPr>
              <w:t>（3）具有</w:t>
            </w:r>
            <w:r>
              <w:rPr>
                <w:rFonts w:hint="eastAsia" w:ascii="宋体" w:hAnsi="宋体"/>
                <w:kern w:val="0"/>
                <w:szCs w:val="21"/>
                <w:u w:val="single"/>
              </w:rPr>
              <w:t xml:space="preserve">   </w:t>
            </w:r>
            <w:r>
              <w:rPr>
                <w:rFonts w:hint="eastAsia" w:ascii="宋体" w:hAnsi="宋体"/>
                <w:kern w:val="0"/>
                <w:szCs w:val="21"/>
              </w:rPr>
              <w:t>执业资格证书加</w:t>
            </w:r>
            <w:r>
              <w:rPr>
                <w:rFonts w:hint="eastAsia" w:ascii="宋体" w:hAnsi="宋体"/>
                <w:kern w:val="0"/>
                <w:szCs w:val="21"/>
                <w:u w:val="single"/>
              </w:rPr>
              <w:t xml:space="preserve">  </w:t>
            </w:r>
            <w:r>
              <w:rPr>
                <w:rFonts w:hint="eastAsia" w:ascii="宋体" w:hAnsi="宋体"/>
                <w:kern w:val="0"/>
                <w:szCs w:val="21"/>
              </w:rPr>
              <w:t>分；</w:t>
            </w:r>
          </w:p>
          <w:p w14:paraId="731233BB">
            <w:pPr>
              <w:widowControl/>
              <w:spacing w:line="400" w:lineRule="exact"/>
              <w:rPr>
                <w:rFonts w:ascii="宋体" w:hAnsi="宋体"/>
                <w:kern w:val="0"/>
                <w:szCs w:val="21"/>
              </w:rPr>
            </w:pPr>
            <w:r>
              <w:rPr>
                <w:rFonts w:hint="eastAsia" w:ascii="宋体" w:hAnsi="宋体"/>
                <w:kern w:val="0"/>
                <w:szCs w:val="21"/>
              </w:rPr>
              <w:t>（4）扣除满足资格条件最低要求的业绩数量后：</w:t>
            </w:r>
          </w:p>
          <w:p w14:paraId="734FAAA8">
            <w:pPr>
              <w:widowControl/>
              <w:spacing w:line="400" w:lineRule="exact"/>
              <w:rPr>
                <w:rFonts w:ascii="宋体" w:hAnsi="宋体"/>
                <w:kern w:val="0"/>
                <w:szCs w:val="21"/>
              </w:rPr>
            </w:pPr>
            <w:r>
              <w:rPr>
                <w:rFonts w:hint="eastAsia" w:ascii="宋体" w:hAnsi="宋体"/>
                <w:b/>
                <w:bCs/>
                <w:kern w:val="0"/>
                <w:szCs w:val="21"/>
              </w:rPr>
              <w:t>□</w:t>
            </w:r>
            <w:r>
              <w:rPr>
                <w:rFonts w:hint="eastAsia" w:ascii="宋体" w:hAnsi="宋体"/>
                <w:kern w:val="0"/>
                <w:szCs w:val="21"/>
              </w:rPr>
              <w:t>每增加</w:t>
            </w:r>
            <w:r>
              <w:rPr>
                <w:rFonts w:hint="eastAsia" w:ascii="宋体" w:hAnsi="宋体"/>
                <w:kern w:val="0"/>
                <w:szCs w:val="21"/>
                <w:u w:val="single"/>
              </w:rPr>
              <w:t>1</w:t>
            </w:r>
            <w:r>
              <w:rPr>
                <w:rFonts w:hint="eastAsia" w:ascii="宋体" w:hAnsi="宋体"/>
                <w:kern w:val="0"/>
                <w:szCs w:val="21"/>
              </w:rPr>
              <w:t>段不低于</w:t>
            </w:r>
            <w:r>
              <w:rPr>
                <w:rFonts w:hint="eastAsia" w:ascii="宋体" w:hAnsi="宋体"/>
                <w:kern w:val="0"/>
                <w:szCs w:val="21"/>
                <w:u w:val="single"/>
              </w:rPr>
              <w:t xml:space="preserve">   </w:t>
            </w:r>
            <w:r>
              <w:rPr>
                <w:rFonts w:hint="eastAsia" w:ascii="宋体" w:hAnsi="宋体"/>
                <w:kern w:val="0"/>
                <w:szCs w:val="21"/>
              </w:rPr>
              <w:t>公里的国内</w:t>
            </w:r>
          </w:p>
          <w:p w14:paraId="5C00B589">
            <w:pPr>
              <w:widowControl/>
              <w:spacing w:line="400" w:lineRule="exact"/>
              <w:ind w:firstLine="210" w:firstLineChars="100"/>
              <w:rPr>
                <w:rFonts w:ascii="宋体" w:hAnsi="宋体"/>
                <w:kern w:val="0"/>
                <w:szCs w:val="21"/>
              </w:rPr>
            </w:pPr>
            <w:r>
              <w:rPr>
                <w:rFonts w:hint="eastAsia" w:ascii="宋体" w:hAnsi="宋体"/>
                <w:kern w:val="0"/>
                <w:szCs w:val="21"/>
              </w:rPr>
              <w:t>（□新建；</w:t>
            </w:r>
            <w:r>
              <w:rPr>
                <w:rFonts w:hint="eastAsia" w:ascii="宋体" w:hAnsi="宋体"/>
                <w:kern w:val="0"/>
                <w:szCs w:val="21"/>
              </w:rPr>
              <w:sym w:font="Wingdings 2" w:char="00A3"/>
            </w:r>
            <w:r>
              <w:rPr>
                <w:rFonts w:hint="eastAsia" w:ascii="宋体" w:hAnsi="宋体"/>
                <w:kern w:val="0"/>
                <w:szCs w:val="21"/>
              </w:rPr>
              <w:t>改扩建；□新建或改</w:t>
            </w:r>
          </w:p>
          <w:p w14:paraId="15A5649C">
            <w:pPr>
              <w:widowControl/>
              <w:spacing w:line="400" w:lineRule="exact"/>
              <w:ind w:firstLine="210" w:firstLineChars="100"/>
              <w:rPr>
                <w:rFonts w:ascii="宋体" w:hAnsi="宋体"/>
                <w:kern w:val="0"/>
                <w:szCs w:val="21"/>
              </w:rPr>
            </w:pPr>
            <w:r>
              <w:rPr>
                <w:rFonts w:hint="eastAsia" w:ascii="宋体" w:hAnsi="宋体"/>
                <w:kern w:val="0"/>
                <w:szCs w:val="21"/>
              </w:rPr>
              <w:t>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w:t>
            </w:r>
            <w:r>
              <w:rPr>
                <w:rFonts w:hint="eastAsia" w:ascii="宋体" w:hAnsi="宋体"/>
                <w:kern w:val="0"/>
                <w:szCs w:val="21"/>
              </w:rPr>
              <w:t>公路（□初</w:t>
            </w:r>
          </w:p>
          <w:p w14:paraId="71E0B095">
            <w:pPr>
              <w:widowControl/>
              <w:spacing w:line="400" w:lineRule="exact"/>
              <w:ind w:left="210" w:leftChars="100"/>
              <w:rPr>
                <w:rFonts w:ascii="宋体" w:hAnsi="宋体"/>
                <w:kern w:val="0"/>
                <w:szCs w:val="21"/>
              </w:rPr>
            </w:pPr>
            <w:r>
              <w:rPr>
                <w:rFonts w:hint="eastAsia" w:ascii="宋体" w:hAnsi="宋体"/>
                <w:kern w:val="0"/>
                <w:szCs w:val="21"/>
              </w:rPr>
              <w:t>步；</w:t>
            </w:r>
            <w:r>
              <w:rPr>
                <w:rFonts w:hint="eastAsia" w:ascii="宋体" w:hAnsi="宋体"/>
                <w:kern w:val="0"/>
                <w:szCs w:val="21"/>
              </w:rPr>
              <w:sym w:font="Wingdings 2" w:char="00A3"/>
            </w:r>
            <w:r>
              <w:rPr>
                <w:rFonts w:hint="eastAsia" w:ascii="宋体" w:hAnsi="宋体"/>
                <w:kern w:val="0"/>
                <w:szCs w:val="21"/>
              </w:rPr>
              <w:t>施工图；□初步或施工图）勘察设计工作项目负责人或技术负责人或总设计师业绩加</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分，累计加</w:t>
            </w:r>
            <w:r>
              <w:rPr>
                <w:rFonts w:hint="eastAsia" w:ascii="宋体" w:hAnsi="宋体"/>
                <w:kern w:val="0"/>
                <w:szCs w:val="21"/>
                <w:u w:val="single"/>
              </w:rPr>
              <w:t xml:space="preserve">   </w:t>
            </w:r>
            <w:r>
              <w:rPr>
                <w:rFonts w:hint="eastAsia" w:ascii="宋体" w:hAnsi="宋体"/>
                <w:kern w:val="0"/>
                <w:szCs w:val="21"/>
              </w:rPr>
              <w:t>分。</w:t>
            </w:r>
          </w:p>
          <w:p w14:paraId="00B10FAA">
            <w:pPr>
              <w:widowControl/>
              <w:adjustRightInd/>
              <w:snapToGrid/>
              <w:spacing w:line="400" w:lineRule="exact"/>
              <w:jc w:val="left"/>
              <w:rPr>
                <w:rFonts w:ascii="宋体" w:hAnsi="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41E1C20D">
            <w:pPr>
              <w:widowControl/>
              <w:adjustRightInd/>
              <w:snapToGrid/>
              <w:spacing w:line="240" w:lineRule="auto"/>
              <w:rPr>
                <w:rFonts w:cs="宋体" w:asciiTheme="minorEastAsia" w:hAnsiTheme="minorEastAsia" w:eastAsiaTheme="minorEastAsia"/>
                <w:kern w:val="0"/>
                <w:sz w:val="21"/>
                <w:szCs w:val="21"/>
                <w:lang w:val="en-US" w:eastAsia="zh-CN" w:bidi="ar-SA"/>
              </w:rPr>
            </w:pPr>
            <w:r>
              <w:rPr>
                <w:rFonts w:hint="eastAsia" w:ascii="宋体" w:hAnsi="宋体"/>
                <w:kern w:val="0"/>
                <w:szCs w:val="21"/>
              </w:rPr>
              <w:t>（1）、（2）、（3）、（4）合计得分最多至满分为止。</w:t>
            </w:r>
          </w:p>
        </w:tc>
      </w:tr>
      <w:tr w14:paraId="3B21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75" w:type="dxa"/>
            <w:vMerge w:val="continue"/>
            <w:vAlign w:val="center"/>
          </w:tcPr>
          <w:p w14:paraId="6E5A98B3">
            <w:pPr>
              <w:pStyle w:val="299"/>
              <w:spacing w:line="400" w:lineRule="exact"/>
              <w:jc w:val="center"/>
              <w:rPr>
                <w:rFonts w:ascii="宋体" w:hAnsi="宋体" w:cs="宋体"/>
                <w:szCs w:val="21"/>
              </w:rPr>
            </w:pPr>
          </w:p>
        </w:tc>
        <w:tc>
          <w:tcPr>
            <w:tcW w:w="1430" w:type="dxa"/>
            <w:gridSpan w:val="2"/>
            <w:vMerge w:val="continue"/>
            <w:vAlign w:val="center"/>
          </w:tcPr>
          <w:p w14:paraId="4CA65580">
            <w:pPr>
              <w:pStyle w:val="299"/>
              <w:spacing w:line="400" w:lineRule="exact"/>
              <w:jc w:val="center"/>
              <w:rPr>
                <w:rFonts w:ascii="宋体" w:hAnsi="宋体" w:cs="宋体"/>
                <w:szCs w:val="21"/>
              </w:rPr>
            </w:pPr>
          </w:p>
        </w:tc>
        <w:tc>
          <w:tcPr>
            <w:tcW w:w="851" w:type="dxa"/>
            <w:vMerge w:val="continue"/>
            <w:vAlign w:val="center"/>
          </w:tcPr>
          <w:p w14:paraId="13290DD8">
            <w:pPr>
              <w:pStyle w:val="299"/>
              <w:spacing w:line="400" w:lineRule="exact"/>
              <w:rPr>
                <w:rFonts w:ascii="宋体" w:hAnsi="宋体" w:cs="宋体"/>
                <w:szCs w:val="21"/>
              </w:rPr>
            </w:pPr>
          </w:p>
        </w:tc>
        <w:tc>
          <w:tcPr>
            <w:tcW w:w="1338" w:type="dxa"/>
            <w:gridSpan w:val="2"/>
            <w:vAlign w:val="center"/>
          </w:tcPr>
          <w:p w14:paraId="23EADD30">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项目经理任职资格与业绩</w:t>
            </w:r>
            <w:r>
              <w:rPr>
                <w:rFonts w:cs="宋体" w:asciiTheme="minorEastAsia" w:hAnsiTheme="minorEastAsia" w:eastAsiaTheme="minorEastAsia"/>
                <w:szCs w:val="21"/>
                <w:u w:val="none"/>
              </w:rPr>
              <w:t>B</w:t>
            </w:r>
            <w:r>
              <w:rPr>
                <w:rFonts w:cs="宋体" w:asciiTheme="minorEastAsia" w:hAnsiTheme="minorEastAsia" w:eastAsiaTheme="minorEastAsia"/>
                <w:szCs w:val="21"/>
                <w:u w:val="none"/>
                <w:vertAlign w:val="subscript"/>
              </w:rPr>
              <w:t>3</w:t>
            </w:r>
          </w:p>
        </w:tc>
        <w:tc>
          <w:tcPr>
            <w:tcW w:w="709" w:type="dxa"/>
            <w:gridSpan w:val="2"/>
            <w:vAlign w:val="center"/>
          </w:tcPr>
          <w:p w14:paraId="707943D5">
            <w:pPr>
              <w:pStyle w:val="299"/>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623" w:type="dxa"/>
            <w:vAlign w:val="center"/>
          </w:tcPr>
          <w:p w14:paraId="1563CE43">
            <w:pPr>
              <w:widowControl/>
              <w:adjustRightInd/>
              <w:snapToGrid/>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（1）满足资格审查条件最低要求得</w:t>
            </w:r>
          </w:p>
          <w:p w14:paraId="4C931E8F">
            <w:pPr>
              <w:widowControl/>
              <w:adjustRightInd/>
              <w:snapToGrid/>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p w14:paraId="492349B5">
            <w:pPr>
              <w:widowControl/>
              <w:adjustRightInd/>
              <w:snapToGrid/>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2）技术职称每升高一级加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7C7B162F">
            <w:pPr>
              <w:widowControl/>
              <w:adjustRightInd/>
              <w:snapToGrid/>
              <w:spacing w:line="400" w:lineRule="exact"/>
              <w:ind w:firstLine="210" w:firstLineChars="100"/>
              <w:rPr>
                <w:rFonts w:ascii="宋体" w:hAnsi="宋体" w:cs="宋体"/>
                <w:kern w:val="0"/>
                <w:szCs w:val="21"/>
              </w:rPr>
            </w:pPr>
            <w:r>
              <w:rPr>
                <w:rFonts w:hint="eastAsia" w:ascii="宋体" w:hAnsi="宋体" w:cs="宋体"/>
                <w:kern w:val="0"/>
                <w:szCs w:val="21"/>
              </w:rPr>
              <w:t>注：</w:t>
            </w:r>
            <w:r>
              <w:rPr>
                <w:rFonts w:ascii="宋体" w:hAnsi="宋体" w:cs="宋体"/>
                <w:kern w:val="0"/>
                <w:szCs w:val="21"/>
              </w:rPr>
              <w:t>资格条件最低要求为工程师时，最多按升高2级考虑，即最多加分至正（教授级或研究员级）高级工程师。</w:t>
            </w:r>
            <w:r>
              <w:rPr>
                <w:rFonts w:hint="eastAsia" w:ascii="宋体" w:hAnsi="宋体" w:cs="宋体"/>
                <w:kern w:val="0"/>
                <w:szCs w:val="21"/>
              </w:rPr>
              <w:t>下同。</w:t>
            </w:r>
          </w:p>
          <w:p w14:paraId="2440DAE0">
            <w:pPr>
              <w:widowControl/>
              <w:adjustRightInd/>
              <w:snapToGrid/>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3）扣除满足资格条件最低要求的业绩</w:t>
            </w:r>
            <w:r>
              <w:rPr>
                <w:rFonts w:hint="eastAsia" w:ascii="宋体" w:hAnsi="宋体" w:cs="宋体"/>
                <w:kern w:val="0"/>
                <w:szCs w:val="21"/>
              </w:rPr>
              <w:t>数量后：</w:t>
            </w:r>
          </w:p>
          <w:p w14:paraId="66C4B097">
            <w:pPr>
              <w:widowControl/>
              <w:spacing w:after="0" w:line="400" w:lineRule="exact"/>
              <w:ind w:left="211" w:leftChars="0" w:hanging="211" w:hangingChars="100"/>
              <w:rPr>
                <w:rFonts w:hint="eastAsia" w:ascii="宋体" w:hAnsi="宋体" w:cs="宋体"/>
                <w:kern w:val="0"/>
                <w:szCs w:val="21"/>
                <w:lang w:eastAsia="zh-CN"/>
              </w:rPr>
            </w:pPr>
            <w:r>
              <w:rPr>
                <w:rFonts w:hint="eastAsia" w:ascii="宋体" w:hAnsi="宋体" w:cs="宋体"/>
                <w:b/>
                <w:szCs w:val="21"/>
              </w:rPr>
              <w:t>□</w:t>
            </w:r>
            <w:r>
              <w:rPr>
                <w:rFonts w:hint="eastAsia" w:ascii="宋体" w:hAnsi="宋体" w:cs="宋体"/>
                <w:kern w:val="0"/>
                <w:szCs w:val="21"/>
              </w:rPr>
              <w:t>每增加</w:t>
            </w:r>
            <w:r>
              <w:rPr>
                <w:rFonts w:ascii="宋体" w:hAnsi="宋体" w:cs="宋体"/>
                <w:kern w:val="0"/>
                <w:szCs w:val="21"/>
                <w:u w:val="single"/>
              </w:rPr>
              <w:t xml:space="preserve"> 1 </w:t>
            </w:r>
            <w:r>
              <w:rPr>
                <w:rFonts w:hint="eastAsia" w:ascii="宋体" w:hAnsi="宋体" w:cs="宋体"/>
                <w:kern w:val="0"/>
                <w:szCs w:val="21"/>
              </w:rPr>
              <w:t>个</w:t>
            </w:r>
            <w:r>
              <w:rPr>
                <w:rFonts w:hint="eastAsia" w:ascii="宋体" w:hAnsi="宋体" w:cs="宋体"/>
                <w:szCs w:val="21"/>
              </w:rPr>
              <w:t>（□新建；□改扩建；□新建或改扩建）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kern w:val="0"/>
                <w:szCs w:val="21"/>
              </w:rPr>
              <w:t>公路路基土建工程施工资格审查要求职务业绩加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r>
              <w:rPr>
                <w:rFonts w:hint="eastAsia" w:ascii="宋体" w:hAnsi="宋体" w:cs="宋体"/>
                <w:kern w:val="0"/>
                <w:szCs w:val="21"/>
                <w:lang w:eastAsia="zh-CN"/>
              </w:rPr>
              <w:t>。</w:t>
            </w:r>
          </w:p>
          <w:p w14:paraId="2EBA4C92">
            <w:pPr>
              <w:widowControl/>
              <w:spacing w:line="400" w:lineRule="exact"/>
              <w:ind w:left="0" w:leftChars="0" w:firstLine="210" w:firstLineChars="100"/>
              <w:rPr>
                <w:rFonts w:ascii="宋体" w:hAnsi="宋体"/>
              </w:rPr>
            </w:pPr>
            <w:r>
              <w:rPr>
                <w:rFonts w:hint="eastAsia" w:ascii="宋体" w:hAnsi="宋体"/>
              </w:rPr>
              <w:t>注：1</w:t>
            </w:r>
            <w:r>
              <w:rPr>
                <w:rFonts w:ascii="宋体" w:hAnsi="宋体"/>
              </w:rPr>
              <w:t>.</w:t>
            </w:r>
            <w:r>
              <w:rPr>
                <w:rFonts w:hint="eastAsia" w:ascii="宋体" w:hAnsi="宋体"/>
              </w:rPr>
              <w:t>“</w:t>
            </w:r>
            <w:r>
              <w:rPr>
                <w:rFonts w:hint="eastAsia" w:ascii="宋体" w:hAnsi="宋体" w:cs="宋体"/>
                <w:szCs w:val="21"/>
              </w:rPr>
              <w:t>□新建；□改扩建；□新建或改扩建</w:t>
            </w:r>
            <w:r>
              <w:rPr>
                <w:rFonts w:hint="eastAsia" w:ascii="宋体" w:hAnsi="宋体"/>
              </w:rPr>
              <w:t>”为单选项，下同。</w:t>
            </w:r>
          </w:p>
          <w:p w14:paraId="7DD7A132">
            <w:pPr>
              <w:spacing w:line="400" w:lineRule="exact"/>
              <w:ind w:firstLine="210" w:firstLineChars="100"/>
              <w:rPr>
                <w:rFonts w:ascii="宋体" w:hAnsi="宋体" w:cs="宋体"/>
                <w:kern w:val="0"/>
                <w:szCs w:val="21"/>
              </w:rPr>
            </w:pPr>
            <w:r>
              <w:rPr>
                <w:rFonts w:hint="eastAsia" w:ascii="宋体" w:hAnsi="宋体"/>
              </w:rPr>
              <w:t>2</w:t>
            </w:r>
            <w:r>
              <w:rPr>
                <w:rFonts w:ascii="宋体" w:hAnsi="宋体"/>
              </w:rPr>
              <w:t>.</w:t>
            </w:r>
            <w:r>
              <w:rPr>
                <w:rFonts w:hint="eastAsia"/>
              </w:rPr>
              <w:t>路基土建工程指须至少包含“路基工程、桥涵工程”或“路基工程、隧道工程”的项目。下同。</w:t>
            </w:r>
          </w:p>
          <w:p w14:paraId="0E0354BF">
            <w:pPr>
              <w:widowControl/>
              <w:adjustRightInd/>
              <w:snapToGrid/>
              <w:spacing w:line="400" w:lineRule="exact"/>
              <w:ind w:left="211"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公路特大桥（</w:t>
            </w:r>
            <w:r>
              <w:rPr>
                <w:rFonts w:hint="eastAsia"/>
              </w:rPr>
              <w:t>该桥梁工程可为路基土建工程中包含的内容或者单独桥梁工程合同的项目</w:t>
            </w:r>
            <w:r>
              <w:rPr>
                <w:rFonts w:hint="eastAsia" w:ascii="宋体" w:hAnsi="宋体"/>
              </w:rPr>
              <w:t>。下同。</w:t>
            </w:r>
            <w:r>
              <w:rPr>
                <w:rFonts w:hint="eastAsia" w:ascii="宋体" w:hAnsi="宋体" w:cs="宋体"/>
                <w:szCs w:val="21"/>
              </w:rPr>
              <w:t>）</w:t>
            </w:r>
            <w:r>
              <w:rPr>
                <w:rFonts w:hint="eastAsia" w:ascii="宋体" w:hAnsi="宋体" w:cs="宋体"/>
                <w:kern w:val="0"/>
                <w:szCs w:val="21"/>
              </w:rPr>
              <w:t>施工资格审查要求职务业绩加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szCs w:val="21"/>
                <w:u w:val="singl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分；□每增加</w:t>
            </w:r>
            <w:r>
              <w:rPr>
                <w:rFonts w:ascii="宋体" w:hAnsi="宋体" w:cs="宋体"/>
                <w:kern w:val="0"/>
                <w:szCs w:val="21"/>
                <w:u w:val="single"/>
              </w:rPr>
              <w:t xml:space="preserve"> 1</w:t>
            </w:r>
            <w:r>
              <w:rPr>
                <w:rFonts w:hint="eastAsia" w:ascii="宋体" w:hAnsi="宋体" w:cs="宋体"/>
                <w:kern w:val="0"/>
                <w:szCs w:val="21"/>
                <w:u w:val="single"/>
              </w:rPr>
              <w:t xml:space="preserve">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313D45EA">
            <w:pPr>
              <w:spacing w:line="400" w:lineRule="exact"/>
              <w:ind w:firstLine="210" w:firstLineChars="100"/>
              <w:rPr>
                <w:rFonts w:ascii="宋体" w:hAnsi="宋体" w:cs="宋体"/>
                <w:kern w:val="0"/>
                <w:szCs w:val="21"/>
                <w:u w:val="single"/>
              </w:rPr>
            </w:pPr>
            <w:r>
              <w:rPr>
                <w:rFonts w:hint="eastAsia"/>
              </w:rPr>
              <w:t>注：编号</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rPr>
              <w:t>为资格审查条件中招标人作了桥型要求的桥梁类型顺序编号，按照设置前后顺序编列。原则上建议桥梁类型不超过2种。下同。</w:t>
            </w:r>
          </w:p>
          <w:p w14:paraId="5910DCB3">
            <w:pPr>
              <w:adjustRightInd/>
              <w:snapToGrid/>
              <w:spacing w:line="400" w:lineRule="exact"/>
              <w:ind w:left="211" w:leftChars="0" w:hanging="211" w:hangingChars="100"/>
              <w:rPr>
                <w:rFonts w:ascii="宋体" w:hAnsi="宋体" w:cs="宋体"/>
                <w:kern w:val="0"/>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座国内（□新建；□改扩建；□新建或改扩建）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公路（□中隧道及以上；</w:t>
            </w:r>
            <w:r>
              <w:rPr>
                <w:rFonts w:hint="eastAsia" w:ascii="宋体" w:hAnsi="宋体" w:cs="宋体"/>
                <w:szCs w:val="21"/>
              </w:rPr>
              <w:sym w:font="Wingdings 2" w:char="00A3"/>
            </w:r>
            <w:r>
              <w:rPr>
                <w:rFonts w:hint="eastAsia" w:ascii="宋体" w:hAnsi="宋体" w:cs="宋体"/>
                <w:szCs w:val="21"/>
              </w:rPr>
              <w:t>长隧道及以上；□特长隧道；□单洞长度</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szCs w:val="21"/>
              </w:rPr>
              <w:t>米及以上特长隧道）施工项目</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w:t>
            </w:r>
          </w:p>
          <w:p w14:paraId="48839580">
            <w:pPr>
              <w:spacing w:line="400" w:lineRule="exact"/>
              <w:ind w:firstLine="210" w:firstLineChars="100"/>
              <w:rPr>
                <w:rFonts w:ascii="宋体" w:hAnsi="宋体"/>
                <w:sz w:val="21"/>
                <w:szCs w:val="24"/>
              </w:rPr>
            </w:pPr>
            <w:r>
              <w:rPr>
                <w:rFonts w:hint="eastAsia" w:ascii="宋体" w:hAnsi="宋体"/>
                <w:sz w:val="21"/>
                <w:szCs w:val="24"/>
              </w:rPr>
              <w:t>注：</w:t>
            </w:r>
            <w:r>
              <w:rPr>
                <w:rFonts w:ascii="宋体" w:hAnsi="宋体"/>
                <w:sz w:val="21"/>
                <w:szCs w:val="24"/>
              </w:rPr>
              <w:t>1.</w:t>
            </w:r>
            <w:r>
              <w:rPr>
                <w:rFonts w:hint="eastAsia" w:ascii="宋体" w:hAnsi="宋体"/>
                <w:sz w:val="21"/>
                <w:szCs w:val="24"/>
              </w:rPr>
              <w:t>单洞长度对于具有双洞的隧道，其承担隧道长度以左右线隧道长度较长的为准；若只有单洞的，则以承担单洞隧道长度数据为准。隧道单洞长度不含斜井、竖井、支洞。下同。</w:t>
            </w:r>
          </w:p>
          <w:p w14:paraId="12CA77A3">
            <w:pPr>
              <w:spacing w:line="400" w:lineRule="exact"/>
              <w:ind w:firstLine="210" w:firstLineChars="100"/>
              <w:rPr>
                <w:rFonts w:ascii="宋体" w:hAnsi="宋体" w:cs="宋体"/>
                <w:kern w:val="0"/>
                <w:szCs w:val="21"/>
              </w:rPr>
            </w:pPr>
            <w:r>
              <w:rPr>
                <w:rStyle w:val="59"/>
                <w:rFonts w:ascii="宋体" w:hAnsi="宋体"/>
                <w:vertAlign w:val="baseline"/>
              </w:rPr>
              <w:t>2</w:t>
            </w:r>
            <w:r>
              <w:rPr>
                <w:rFonts w:ascii="宋体" w:hAnsi="宋体"/>
              </w:rPr>
              <w:t>.</w:t>
            </w:r>
            <w:r>
              <w:rPr>
                <w:rFonts w:hint="eastAsia" w:ascii="宋体" w:hAnsi="宋体"/>
              </w:rPr>
              <w:t>隧道为单选项，该隧道工程可为路基土建工程中包含的内容或者单独隧道工程合同的项目。下同。</w:t>
            </w:r>
          </w:p>
          <w:p w14:paraId="12BCD47F">
            <w:pPr>
              <w:adjustRightInd/>
              <w:snapToGrid/>
              <w:spacing w:line="400" w:lineRule="exact"/>
              <w:ind w:left="211" w:hanging="211" w:hangingChars="100"/>
              <w:jc w:val="left"/>
              <w:rPr>
                <w:rFonts w:ascii="宋体" w:hAnsi="宋体" w:cs="宋体"/>
                <w:szCs w:val="21"/>
              </w:rPr>
            </w:pPr>
            <w:r>
              <w:rPr>
                <w:rFonts w:hint="eastAsia" w:ascii="宋体" w:hAnsi="宋体" w:cs="宋体"/>
                <w:b/>
                <w:szCs w:val="21"/>
              </w:rPr>
              <w:t>□</w:t>
            </w:r>
            <w:r>
              <w:rPr>
                <w:rFonts w:hint="eastAsia" w:ascii="宋体" w:hAnsi="宋体" w:cs="宋体"/>
                <w:szCs w:val="21"/>
              </w:rPr>
              <w:t>每增加</w:t>
            </w:r>
            <w:r>
              <w:rPr>
                <w:rFonts w:ascii="宋体" w:hAnsi="宋体" w:cs="宋体"/>
                <w:szCs w:val="21"/>
                <w:u w:val="single"/>
              </w:rPr>
              <w:t xml:space="preserve"> 1 </w:t>
            </w:r>
            <w:r>
              <w:rPr>
                <w:rFonts w:hint="eastAsia" w:ascii="宋体" w:hAnsi="宋体" w:cs="宋体"/>
                <w:szCs w:val="21"/>
              </w:rPr>
              <w:t>个国内（□新建；□改扩建；□新建或改扩建）</w:t>
            </w:r>
            <w:r>
              <w:rPr>
                <w:rFonts w:ascii="宋体" w:hAnsi="宋体" w:cs="宋体"/>
                <w:szCs w:val="21"/>
                <w:u w:val="single"/>
              </w:rPr>
              <w:t xml:space="preserve">   </w:t>
            </w:r>
            <w:r>
              <w:rPr>
                <w:rFonts w:ascii="宋体" w:hAnsi="宋体" w:cs="宋体"/>
                <w:szCs w:val="21"/>
              </w:rPr>
              <w:t>级及以上</w:t>
            </w:r>
            <w:r>
              <w:rPr>
                <w:rFonts w:hint="eastAsia" w:ascii="宋体" w:hAnsi="宋体" w:cs="宋体"/>
                <w:szCs w:val="21"/>
              </w:rPr>
              <w:t>公路路面工程施工项目中担任</w:t>
            </w:r>
            <w:r>
              <w:rPr>
                <w:rFonts w:hint="eastAsia" w:ascii="宋体" w:hAnsi="宋体" w:cs="宋体"/>
                <w:kern w:val="0"/>
                <w:szCs w:val="21"/>
              </w:rPr>
              <w:t>资格审查要求职务业绩加</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64DFC292">
            <w:pPr>
              <w:adjustRightInd/>
              <w:snapToGrid/>
              <w:spacing w:line="400" w:lineRule="exact"/>
              <w:ind w:left="211" w:hanging="211" w:hangingChars="100"/>
              <w:jc w:val="left"/>
              <w:rPr>
                <w:rFonts w:ascii="宋体" w:hAnsi="宋体" w:cs="宋体"/>
                <w:kern w:val="0"/>
                <w:szCs w:val="21"/>
              </w:rPr>
            </w:pPr>
            <w:r>
              <w:rPr>
                <w:rFonts w:hint="eastAsia" w:ascii="宋体" w:hAnsi="宋体" w:cs="宋体"/>
                <w:b/>
                <w:bCs/>
                <w:szCs w:val="21"/>
              </w:rPr>
              <w:t>□</w:t>
            </w:r>
            <w:r>
              <w:rPr>
                <w:rFonts w:hint="eastAsia" w:ascii="宋体" w:hAnsi="宋体" w:cs="宋体"/>
                <w:szCs w:val="21"/>
              </w:rPr>
              <w:t>每增加</w:t>
            </w:r>
            <w:r>
              <w:rPr>
                <w:rFonts w:hint="eastAsia" w:ascii="宋体" w:hAnsi="宋体" w:cs="宋体"/>
                <w:szCs w:val="21"/>
                <w:u w:val="none"/>
              </w:rPr>
              <w:t xml:space="preserve"> 1 </w:t>
            </w:r>
            <w:r>
              <w:rPr>
                <w:rFonts w:hint="eastAsia" w:ascii="宋体" w:hAnsi="宋体" w:cs="宋体"/>
                <w:szCs w:val="21"/>
              </w:rPr>
              <w:t>个国内（□新建；□改扩建；□新建或改扩建）</w:t>
            </w:r>
            <w:r>
              <w:rPr>
                <w:rFonts w:hint="eastAsia" w:ascii="宋体" w:hAnsi="宋体" w:cs="宋体"/>
                <w:szCs w:val="21"/>
                <w:u w:val="none"/>
              </w:rPr>
              <w:t xml:space="preserve">   </w:t>
            </w:r>
            <w:r>
              <w:rPr>
                <w:rFonts w:ascii="宋体" w:hAnsi="宋体" w:cs="宋体"/>
                <w:szCs w:val="21"/>
              </w:rPr>
              <w:t>级及以上</w:t>
            </w:r>
            <w:r>
              <w:rPr>
                <w:rFonts w:hint="eastAsia" w:ascii="宋体" w:hAnsi="宋体" w:cs="宋体"/>
                <w:szCs w:val="21"/>
              </w:rPr>
              <w:t>公路交通安全设施工程施工项目中担任</w:t>
            </w:r>
            <w:r>
              <w:rPr>
                <w:rFonts w:hint="eastAsia" w:ascii="宋体" w:hAnsi="宋体" w:cs="宋体"/>
                <w:kern w:val="0"/>
                <w:szCs w:val="21"/>
              </w:rPr>
              <w:t>资格审查要求职务业绩加</w:t>
            </w:r>
            <w:r>
              <w:rPr>
                <w:rFonts w:hint="eastAsia" w:ascii="宋体" w:hAnsi="宋体" w:cs="宋体"/>
                <w:kern w:val="2"/>
                <w:szCs w:val="21"/>
                <w:u w:val="none"/>
              </w:rPr>
              <w:t xml:space="preserve">   </w:t>
            </w:r>
            <w:r>
              <w:rPr>
                <w:rFonts w:hint="eastAsia" w:ascii="宋体" w:hAnsi="宋体" w:cs="宋体"/>
                <w:kern w:val="0"/>
                <w:szCs w:val="21"/>
              </w:rPr>
              <w:t>分，累计加</w:t>
            </w:r>
            <w:r>
              <w:rPr>
                <w:rFonts w:hint="eastAsia" w:ascii="宋体" w:hAnsi="宋体" w:cs="宋体"/>
                <w:kern w:val="2"/>
                <w:szCs w:val="21"/>
                <w:u w:val="none"/>
              </w:rPr>
              <w:t xml:space="preserve">   </w:t>
            </w:r>
            <w:r>
              <w:rPr>
                <w:rFonts w:hint="eastAsia" w:ascii="宋体" w:hAnsi="宋体" w:cs="宋体"/>
                <w:kern w:val="0"/>
                <w:szCs w:val="21"/>
              </w:rPr>
              <w:t>分；</w:t>
            </w:r>
          </w:p>
          <w:p w14:paraId="3EE51883">
            <w:pPr>
              <w:adjustRightInd/>
              <w:snapToGrid/>
              <w:spacing w:line="400" w:lineRule="exact"/>
              <w:ind w:left="211" w:leftChars="0" w:hanging="211" w:hangingChars="100"/>
              <w:jc w:val="left"/>
              <w:rPr>
                <w:rFonts w:ascii="宋体" w:hAnsi="宋体" w:cs="宋体"/>
                <w:kern w:val="0"/>
                <w:szCs w:val="21"/>
              </w:rPr>
            </w:pPr>
            <w:r>
              <w:rPr>
                <w:rFonts w:hint="eastAsia" w:ascii="宋体" w:hAnsi="宋体" w:cs="宋体"/>
                <w:b/>
                <w:bCs/>
                <w:szCs w:val="21"/>
              </w:rPr>
              <w:t>□</w:t>
            </w:r>
            <w:r>
              <w:rPr>
                <w:rFonts w:hint="eastAsia" w:ascii="宋体" w:hAnsi="宋体" w:cs="宋体"/>
                <w:szCs w:val="21"/>
              </w:rPr>
              <w:t>每增加</w:t>
            </w:r>
            <w:r>
              <w:rPr>
                <w:rFonts w:hint="eastAsia" w:ascii="宋体" w:hAnsi="宋体" w:cs="宋体"/>
                <w:szCs w:val="21"/>
                <w:u w:val="none"/>
              </w:rPr>
              <w:t xml:space="preserve"> 1 </w:t>
            </w:r>
            <w:r>
              <w:rPr>
                <w:rFonts w:hint="eastAsia" w:ascii="宋体" w:hAnsi="宋体" w:cs="宋体"/>
                <w:szCs w:val="21"/>
              </w:rPr>
              <w:t>个国内（□新建；□改扩建；□新建或改扩建）</w:t>
            </w:r>
            <w:r>
              <w:rPr>
                <w:rFonts w:hint="eastAsia" w:ascii="宋体" w:hAnsi="宋体" w:cs="宋体"/>
                <w:szCs w:val="21"/>
                <w:u w:val="none"/>
              </w:rPr>
              <w:t xml:space="preserve">   </w:t>
            </w:r>
            <w:r>
              <w:rPr>
                <w:rFonts w:ascii="宋体" w:hAnsi="宋体" w:cs="宋体"/>
                <w:szCs w:val="21"/>
              </w:rPr>
              <w:t>级及以上</w:t>
            </w:r>
            <w:r>
              <w:rPr>
                <w:rFonts w:hint="eastAsia" w:ascii="宋体" w:hAnsi="宋体" w:cs="宋体"/>
                <w:szCs w:val="21"/>
              </w:rPr>
              <w:t>公路隧道机电工程施工项目中担任</w:t>
            </w:r>
            <w:r>
              <w:rPr>
                <w:rFonts w:hint="eastAsia" w:ascii="宋体" w:hAnsi="宋体" w:cs="宋体"/>
                <w:kern w:val="0"/>
                <w:szCs w:val="21"/>
              </w:rPr>
              <w:t>资格审查要求职务业绩加</w:t>
            </w:r>
            <w:r>
              <w:rPr>
                <w:rFonts w:hint="eastAsia" w:ascii="宋体" w:hAnsi="宋体" w:cs="宋体"/>
                <w:kern w:val="2"/>
                <w:szCs w:val="21"/>
                <w:u w:val="none"/>
              </w:rPr>
              <w:t xml:space="preserve">   </w:t>
            </w:r>
            <w:r>
              <w:rPr>
                <w:rFonts w:hint="eastAsia" w:ascii="宋体" w:hAnsi="宋体" w:cs="宋体"/>
                <w:kern w:val="0"/>
                <w:szCs w:val="21"/>
              </w:rPr>
              <w:t>分，累计加</w:t>
            </w:r>
            <w:r>
              <w:rPr>
                <w:rFonts w:hint="eastAsia" w:ascii="宋体" w:hAnsi="宋体" w:cs="宋体"/>
                <w:kern w:val="2"/>
                <w:szCs w:val="21"/>
                <w:u w:val="none"/>
              </w:rPr>
              <w:t xml:space="preserve">    </w:t>
            </w:r>
            <w:r>
              <w:rPr>
                <w:rFonts w:hint="eastAsia" w:ascii="宋体" w:hAnsi="宋体" w:cs="宋体"/>
                <w:kern w:val="0"/>
                <w:szCs w:val="21"/>
              </w:rPr>
              <w:t>分；</w:t>
            </w:r>
          </w:p>
          <w:p w14:paraId="7D8C8ED2">
            <w:pPr>
              <w:widowControl/>
              <w:adjustRightInd/>
              <w:snapToGrid/>
              <w:spacing w:line="400" w:lineRule="exact"/>
              <w:ind w:left="211" w:hanging="211" w:hangingChars="100"/>
              <w:jc w:val="left"/>
              <w:rPr>
                <w:rFonts w:ascii="宋体" w:hAnsi="宋体" w:cs="宋体"/>
                <w:kern w:val="0"/>
                <w:szCs w:val="21"/>
              </w:rPr>
            </w:pPr>
            <w:r>
              <w:rPr>
                <w:rFonts w:hint="eastAsia" w:ascii="宋体" w:hAnsi="宋体" w:cs="宋体"/>
                <w:b/>
                <w:bCs/>
                <w:szCs w:val="21"/>
              </w:rPr>
              <w:sym w:font="Wingdings 2" w:char="00A3"/>
            </w:r>
            <w:r>
              <w:rPr>
                <w:rFonts w:hint="eastAsia" w:ascii="宋体" w:hAnsi="宋体" w:cs="宋体"/>
                <w:szCs w:val="21"/>
              </w:rPr>
              <w:t>每增加</w:t>
            </w:r>
            <w:r>
              <w:rPr>
                <w:rFonts w:hint="eastAsia" w:ascii="宋体" w:hAnsi="宋体" w:cs="宋体"/>
                <w:szCs w:val="21"/>
                <w:u w:val="none"/>
              </w:rPr>
              <w:t xml:space="preserve"> 1 </w:t>
            </w:r>
            <w:r>
              <w:rPr>
                <w:rFonts w:hint="eastAsia" w:ascii="宋体" w:hAnsi="宋体" w:cs="宋体"/>
                <w:szCs w:val="21"/>
              </w:rPr>
              <w:t>个国内房建工程施工项目中担任</w:t>
            </w:r>
            <w:r>
              <w:rPr>
                <w:rFonts w:hint="eastAsia" w:ascii="宋体" w:hAnsi="宋体" w:cs="宋体"/>
                <w:kern w:val="0"/>
                <w:szCs w:val="21"/>
              </w:rPr>
              <w:t>资格审查要求职务业绩加</w:t>
            </w:r>
            <w:r>
              <w:rPr>
                <w:rFonts w:hint="eastAsia" w:ascii="宋体" w:hAnsi="宋体" w:cs="宋体"/>
                <w:kern w:val="2"/>
                <w:szCs w:val="21"/>
                <w:u w:val="none"/>
              </w:rPr>
              <w:t xml:space="preserve">   </w:t>
            </w:r>
            <w:r>
              <w:rPr>
                <w:rFonts w:hint="eastAsia" w:ascii="宋体" w:hAnsi="宋体" w:cs="宋体"/>
                <w:kern w:val="0"/>
                <w:szCs w:val="21"/>
              </w:rPr>
              <w:t>分，累计加</w:t>
            </w:r>
            <w:r>
              <w:rPr>
                <w:rFonts w:hint="eastAsia" w:ascii="宋体" w:hAnsi="宋体" w:cs="宋体"/>
                <w:kern w:val="2"/>
                <w:szCs w:val="21"/>
                <w:u w:val="none"/>
              </w:rPr>
              <w:t xml:space="preserve">   </w:t>
            </w:r>
            <w:r>
              <w:rPr>
                <w:rFonts w:hint="eastAsia" w:ascii="宋体" w:hAnsi="宋体" w:cs="宋体"/>
                <w:kern w:val="0"/>
                <w:szCs w:val="21"/>
              </w:rPr>
              <w:t>分；</w:t>
            </w:r>
          </w:p>
          <w:p w14:paraId="16E40386">
            <w:pPr>
              <w:widowControl/>
              <w:adjustRightInd/>
              <w:snapToGrid/>
              <w:spacing w:line="400" w:lineRule="exact"/>
              <w:jc w:val="left"/>
              <w:rPr>
                <w:rFonts w:ascii="宋体" w:hAnsi="宋体" w:cs="宋体"/>
                <w:kern w:val="0"/>
                <w:szCs w:val="21"/>
              </w:rPr>
            </w:pPr>
            <w:r>
              <w:rPr>
                <w:rFonts w:hint="eastAsia" w:ascii="宋体" w:hAnsi="宋体" w:cs="宋体"/>
                <w:b/>
                <w:szCs w:val="21"/>
              </w:rPr>
              <w:t>□</w:t>
            </w:r>
            <w:r>
              <w:rPr>
                <w:rFonts w:hint="eastAsia" w:ascii="宋体" w:hAnsi="宋体" w:cs="宋体"/>
                <w:szCs w:val="21"/>
              </w:rPr>
              <w:t>其他：</w:t>
            </w:r>
            <w:r>
              <w:rPr>
                <w:rFonts w:ascii="宋体" w:hAnsi="宋体" w:cs="宋体"/>
                <w:szCs w:val="21"/>
                <w:u w:val="single"/>
              </w:rPr>
              <w:t xml:space="preserve">    </w:t>
            </w:r>
          </w:p>
          <w:p w14:paraId="4EE5ADB6">
            <w:pPr>
              <w:widowControl/>
              <w:adjustRightInd/>
              <w:snapToGrid/>
              <w:spacing w:line="240" w:lineRule="auto"/>
              <w:rPr>
                <w:rFonts w:cs="宋体" w:asciiTheme="minorEastAsia" w:hAnsiTheme="minorEastAsia" w:eastAsiaTheme="minorEastAsia"/>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w:t>
            </w:r>
            <w:r>
              <w:rPr>
                <w:rFonts w:ascii="宋体" w:hAnsi="宋体" w:cs="宋体"/>
                <w:kern w:val="0"/>
                <w:szCs w:val="21"/>
              </w:rPr>
              <w:t xml:space="preserve">2） </w:t>
            </w:r>
            <w:r>
              <w:rPr>
                <w:rFonts w:hint="eastAsia" w:ascii="宋体" w:hAnsi="宋体" w:cs="宋体"/>
                <w:kern w:val="0"/>
                <w:szCs w:val="21"/>
              </w:rPr>
              <w:t>、（</w:t>
            </w:r>
            <w:r>
              <w:rPr>
                <w:rFonts w:ascii="宋体" w:hAnsi="宋体" w:cs="宋体"/>
                <w:kern w:val="0"/>
                <w:szCs w:val="21"/>
              </w:rPr>
              <w:t>3）合计得分最多至满分为止。</w:t>
            </w:r>
          </w:p>
        </w:tc>
      </w:tr>
      <w:tr w14:paraId="5668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5" w:type="dxa"/>
            <w:vMerge w:val="restart"/>
            <w:vAlign w:val="center"/>
          </w:tcPr>
          <w:p w14:paraId="3516929E">
            <w:pPr>
              <w:pStyle w:val="299"/>
              <w:spacing w:line="400" w:lineRule="exact"/>
              <w:jc w:val="center"/>
              <w:rPr>
                <w:rFonts w:ascii="宋体" w:hAnsi="宋体" w:cs="宋体"/>
                <w:szCs w:val="21"/>
              </w:rPr>
            </w:pPr>
            <w:r>
              <w:rPr>
                <w:rFonts w:ascii="宋体" w:hAnsi="宋体" w:cs="宋体"/>
                <w:szCs w:val="21"/>
              </w:rPr>
              <w:t>2.2.4</w:t>
            </w:r>
            <w:r>
              <w:rPr>
                <w:rFonts w:hint="eastAsia" w:ascii="宋体" w:hAnsi="宋体" w:cs="宋体"/>
                <w:szCs w:val="21"/>
              </w:rPr>
              <w:t>（</w:t>
            </w:r>
            <w:r>
              <w:rPr>
                <w:rFonts w:ascii="宋体" w:hAnsi="宋体" w:cs="宋体"/>
                <w:szCs w:val="21"/>
              </w:rPr>
              <w:t>2）</w:t>
            </w:r>
          </w:p>
        </w:tc>
        <w:tc>
          <w:tcPr>
            <w:tcW w:w="1430" w:type="dxa"/>
            <w:gridSpan w:val="2"/>
            <w:vMerge w:val="restart"/>
            <w:vAlign w:val="center"/>
          </w:tcPr>
          <w:p w14:paraId="211C3052">
            <w:pPr>
              <w:pStyle w:val="299"/>
              <w:spacing w:line="400" w:lineRule="exact"/>
              <w:jc w:val="center"/>
              <w:rPr>
                <w:rFonts w:ascii="宋体" w:hAnsi="宋体" w:cs="宋体"/>
                <w:szCs w:val="21"/>
              </w:rPr>
            </w:pPr>
            <w:r>
              <w:rPr>
                <w:rFonts w:hint="eastAsia" w:cs="宋体" w:asciiTheme="minorEastAsia" w:hAnsiTheme="minorEastAsia" w:eastAsiaTheme="minorEastAsia"/>
                <w:b/>
                <w:szCs w:val="21"/>
              </w:rPr>
              <w:t xml:space="preserve">□ </w:t>
            </w:r>
            <w:r>
              <w:rPr>
                <w:rFonts w:hint="eastAsia" w:ascii="宋体" w:hAnsi="宋体" w:cs="宋体"/>
                <w:szCs w:val="21"/>
              </w:rPr>
              <w:t>主要人员</w:t>
            </w:r>
          </w:p>
          <w:p w14:paraId="4307E637">
            <w:pPr>
              <w:pStyle w:val="299"/>
              <w:spacing w:line="400" w:lineRule="exact"/>
              <w:jc w:val="center"/>
              <w:rPr>
                <w:rFonts w:ascii="宋体" w:hAnsi="宋体" w:cs="宋体"/>
                <w:szCs w:val="21"/>
              </w:rPr>
            </w:pPr>
            <w:r>
              <w:rPr>
                <w:rFonts w:ascii="宋体" w:hAnsi="宋体" w:cs="宋体"/>
                <w:szCs w:val="21"/>
              </w:rPr>
              <w:t>B</w:t>
            </w:r>
          </w:p>
        </w:tc>
        <w:tc>
          <w:tcPr>
            <w:tcW w:w="851" w:type="dxa"/>
            <w:vMerge w:val="restart"/>
            <w:vAlign w:val="center"/>
          </w:tcPr>
          <w:p w14:paraId="3575483E">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058DD29B">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项目总工任职资格与业绩</w:t>
            </w:r>
            <w:r>
              <w:rPr>
                <w:rFonts w:cs="宋体" w:asciiTheme="minorEastAsia" w:hAnsiTheme="minorEastAsia" w:eastAsiaTheme="minorEastAsia"/>
                <w:szCs w:val="21"/>
                <w:u w:val="none"/>
              </w:rPr>
              <w:t>B</w:t>
            </w:r>
            <w:r>
              <w:rPr>
                <w:rFonts w:cs="宋体" w:asciiTheme="minorEastAsia" w:hAnsiTheme="minorEastAsia" w:eastAsiaTheme="minorEastAsia"/>
                <w:szCs w:val="21"/>
                <w:u w:val="none"/>
                <w:vertAlign w:val="subscript"/>
              </w:rPr>
              <w:t>4</w:t>
            </w:r>
          </w:p>
        </w:tc>
        <w:tc>
          <w:tcPr>
            <w:tcW w:w="709" w:type="dxa"/>
            <w:gridSpan w:val="2"/>
            <w:vAlign w:val="center"/>
          </w:tcPr>
          <w:p w14:paraId="47ED9997">
            <w:pPr>
              <w:pStyle w:val="299"/>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623" w:type="dxa"/>
            <w:vAlign w:val="center"/>
          </w:tcPr>
          <w:p w14:paraId="104CD339">
            <w:pPr>
              <w:widowControl/>
              <w:adjustRightInd/>
              <w:snapToGrid/>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（1）满足资格审查条件最低要求得</w:t>
            </w:r>
          </w:p>
          <w:p w14:paraId="4E7E91EA">
            <w:pPr>
              <w:widowControl/>
              <w:adjustRightInd/>
              <w:snapToGrid/>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u w:val="single"/>
              </w:rPr>
              <w:t xml:space="preserve">  </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分；</w:t>
            </w:r>
          </w:p>
          <w:p w14:paraId="39AD774B">
            <w:pPr>
              <w:widowControl/>
              <w:numPr>
                <w:ilvl w:val="-1"/>
                <w:numId w:val="0"/>
              </w:numPr>
              <w:adjustRightInd/>
              <w:snapToGrid/>
              <w:spacing w:line="400" w:lineRule="exact"/>
              <w:ind w:firstLine="0" w:firstLineChars="0"/>
              <w:rPr>
                <w:rFonts w:ascii="宋体" w:hAnsi="宋体" w:cs="宋体"/>
                <w:kern w:val="0"/>
                <w:szCs w:val="21"/>
              </w:rPr>
            </w:pPr>
            <w:r>
              <w:rPr>
                <w:rFonts w:hint="eastAsia" w:ascii="宋体" w:hAnsi="宋体" w:cs="宋体"/>
                <w:kern w:val="0"/>
                <w:szCs w:val="21"/>
              </w:rPr>
              <w:t>（2）</w:t>
            </w:r>
            <w:r>
              <w:rPr>
                <w:rFonts w:ascii="宋体" w:hAnsi="宋体" w:cs="宋体"/>
                <w:kern w:val="0"/>
                <w:szCs w:val="21"/>
              </w:rPr>
              <w:t>技术职称每升高一级加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p>
          <w:p w14:paraId="7A1CF4BB">
            <w:pPr>
              <w:widowControl/>
              <w:numPr>
                <w:ilvl w:val="-1"/>
                <w:numId w:val="0"/>
              </w:numPr>
              <w:adjustRightInd/>
              <w:snapToGrid/>
              <w:spacing w:line="40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3）扣除满足资格条件最低要求的业绩</w:t>
            </w:r>
            <w:r>
              <w:rPr>
                <w:rFonts w:hint="eastAsia" w:ascii="宋体" w:hAnsi="宋体" w:cs="宋体"/>
                <w:kern w:val="0"/>
                <w:szCs w:val="21"/>
              </w:rPr>
              <w:t>数量后：</w:t>
            </w:r>
          </w:p>
          <w:p w14:paraId="5AC32083">
            <w:pPr>
              <w:widowControl/>
              <w:adjustRightInd/>
              <w:snapToGrid/>
              <w:spacing w:line="400" w:lineRule="exact"/>
              <w:ind w:left="211" w:hanging="211" w:hangingChars="100"/>
              <w:jc w:val="left"/>
              <w:rPr>
                <w:rFonts w:ascii="宋体" w:hAnsi="宋体" w:cs="宋体"/>
                <w:kern w:val="0"/>
                <w:szCs w:val="21"/>
              </w:rPr>
            </w:pPr>
            <w:r>
              <w:rPr>
                <w:rFonts w:hint="eastAsia" w:ascii="宋体" w:hAnsi="宋体" w:cs="宋体"/>
                <w:b/>
                <w:bCs/>
                <w:szCs w:val="21"/>
              </w:rPr>
              <w:t>□</w:t>
            </w:r>
            <w:r>
              <w:rPr>
                <w:rFonts w:hint="eastAsia" w:ascii="宋体" w:hAnsi="宋体" w:cs="宋体"/>
                <w:kern w:val="0"/>
                <w:szCs w:val="21"/>
              </w:rPr>
              <w:t>每增加</w:t>
            </w:r>
            <w:r>
              <w:rPr>
                <w:rFonts w:hint="eastAsia" w:ascii="宋体" w:hAnsi="宋体" w:cs="宋体"/>
                <w:kern w:val="2"/>
                <w:szCs w:val="21"/>
                <w:u w:val="none"/>
              </w:rPr>
              <w:t xml:space="preserve"> 1 </w:t>
            </w:r>
            <w:r>
              <w:rPr>
                <w:rFonts w:hint="eastAsia" w:ascii="宋体" w:hAnsi="宋体" w:cs="宋体"/>
                <w:kern w:val="0"/>
                <w:szCs w:val="21"/>
              </w:rPr>
              <w:t>个</w:t>
            </w:r>
            <w:r>
              <w:rPr>
                <w:rFonts w:hint="eastAsia" w:ascii="宋体" w:hAnsi="宋体" w:cs="宋体"/>
                <w:szCs w:val="21"/>
              </w:rPr>
              <w:t>（□新建；□改扩建；□新建或改扩建）</w:t>
            </w:r>
            <w:r>
              <w:rPr>
                <w:rFonts w:hint="eastAsia" w:ascii="宋体" w:hAnsi="宋体" w:cs="宋体"/>
                <w:szCs w:val="21"/>
                <w:u w:val="none"/>
              </w:rPr>
              <w:t xml:space="preserve">   </w:t>
            </w:r>
            <w:r>
              <w:rPr>
                <w:rFonts w:ascii="宋体" w:hAnsi="宋体" w:cs="宋体"/>
                <w:szCs w:val="21"/>
              </w:rPr>
              <w:t>级及以上</w:t>
            </w:r>
            <w:r>
              <w:rPr>
                <w:rFonts w:hint="eastAsia" w:ascii="宋体" w:hAnsi="宋体" w:cs="宋体"/>
                <w:kern w:val="0"/>
                <w:szCs w:val="21"/>
              </w:rPr>
              <w:t>公路路基土建工程施工资格审查要求职务业绩加</w:t>
            </w:r>
            <w:r>
              <w:rPr>
                <w:rFonts w:hint="eastAsia" w:ascii="宋体" w:hAnsi="宋体" w:cs="宋体"/>
                <w:kern w:val="2"/>
                <w:szCs w:val="21"/>
                <w:u w:val="none"/>
              </w:rPr>
              <w:t xml:space="preserve">   </w:t>
            </w:r>
            <w:r>
              <w:rPr>
                <w:rFonts w:hint="eastAsia" w:ascii="宋体" w:hAnsi="宋体" w:cs="宋体"/>
                <w:kern w:val="0"/>
                <w:szCs w:val="21"/>
              </w:rPr>
              <w:t>分，累计加</w:t>
            </w:r>
            <w:r>
              <w:rPr>
                <w:rFonts w:hint="eastAsia" w:ascii="宋体" w:hAnsi="宋体" w:cs="宋体"/>
                <w:kern w:val="2"/>
                <w:szCs w:val="21"/>
                <w:u w:val="none"/>
              </w:rPr>
              <w:t xml:space="preserve">   </w:t>
            </w:r>
            <w:r>
              <w:rPr>
                <w:rFonts w:hint="eastAsia" w:ascii="宋体" w:hAnsi="宋体" w:cs="宋体"/>
                <w:kern w:val="0"/>
                <w:szCs w:val="21"/>
              </w:rPr>
              <w:t>分；</w:t>
            </w:r>
          </w:p>
          <w:p w14:paraId="43F7E751">
            <w:pPr>
              <w:widowControl/>
              <w:adjustRightInd/>
              <w:snapToGrid/>
              <w:spacing w:line="400" w:lineRule="exact"/>
              <w:ind w:left="211" w:leftChars="0" w:hanging="211" w:hangingChars="100"/>
              <w:jc w:val="left"/>
              <w:rPr>
                <w:rFonts w:hint="eastAsia" w:ascii="宋体" w:hAnsi="宋体" w:cs="宋体"/>
                <w:kern w:val="0"/>
                <w:szCs w:val="21"/>
                <w:u w:val="none"/>
              </w:rPr>
            </w:pPr>
            <w:r>
              <w:rPr>
                <w:rFonts w:hint="eastAsia" w:ascii="宋体" w:hAnsi="宋体" w:cs="宋体"/>
                <w:b/>
                <w:bCs/>
                <w:kern w:val="0"/>
                <w:szCs w:val="21"/>
                <w:lang w:eastAsia="zh-CN"/>
              </w:rPr>
              <w:t>□</w:t>
            </w:r>
            <w:r>
              <w:rPr>
                <w:rFonts w:hint="eastAsia" w:ascii="宋体" w:hAnsi="宋体" w:cs="宋体"/>
                <w:szCs w:val="21"/>
              </w:rPr>
              <w:t>每增加</w:t>
            </w:r>
            <w:r>
              <w:rPr>
                <w:rFonts w:hint="eastAsia" w:ascii="宋体" w:hAnsi="宋体" w:cs="宋体"/>
                <w:kern w:val="0"/>
                <w:szCs w:val="21"/>
                <w:u w:val="none"/>
              </w:rPr>
              <w:t xml:space="preserve"> 1 </w:t>
            </w:r>
            <w:r>
              <w:rPr>
                <w:rFonts w:hint="eastAsia" w:ascii="宋体" w:hAnsi="宋体" w:cs="宋体"/>
                <w:szCs w:val="21"/>
              </w:rPr>
              <w:t>座国内（□新建；□改扩建；□新建或改扩建）</w:t>
            </w:r>
            <w:r>
              <w:rPr>
                <w:rFonts w:hint="eastAsia" w:ascii="宋体" w:hAnsi="宋体" w:cs="宋体"/>
                <w:kern w:val="0"/>
                <w:szCs w:val="21"/>
                <w:u w:val="none"/>
              </w:rPr>
              <w:t xml:space="preserve">   </w:t>
            </w:r>
            <w:r>
              <w:rPr>
                <w:rFonts w:ascii="宋体" w:hAnsi="宋体" w:cs="宋体"/>
                <w:szCs w:val="21"/>
              </w:rPr>
              <w:t>级及以上</w:t>
            </w:r>
            <w:r>
              <w:rPr>
                <w:rFonts w:hint="eastAsia" w:ascii="宋体" w:hAnsi="宋体" w:cs="宋体"/>
                <w:szCs w:val="21"/>
              </w:rPr>
              <w:t>公路特大桥</w:t>
            </w:r>
            <w:r>
              <w:rPr>
                <w:rFonts w:hint="eastAsia" w:ascii="宋体" w:hAnsi="宋体" w:cs="宋体"/>
                <w:kern w:val="0"/>
                <w:szCs w:val="21"/>
              </w:rPr>
              <w:t>施工资格审查要求职务业绩加</w:t>
            </w:r>
            <w:r>
              <w:rPr>
                <w:rFonts w:hint="eastAsia" w:ascii="宋体" w:hAnsi="宋体" w:cs="宋体"/>
                <w:kern w:val="0"/>
                <w:szCs w:val="21"/>
                <w:u w:val="none"/>
              </w:rPr>
              <w:t xml:space="preserve">   </w:t>
            </w:r>
            <w:r>
              <w:rPr>
                <w:rFonts w:hint="eastAsia" w:ascii="宋体" w:hAnsi="宋体" w:cs="宋体"/>
                <w:kern w:val="0"/>
                <w:szCs w:val="21"/>
              </w:rPr>
              <w:t>分，累计加</w:t>
            </w:r>
            <w:r>
              <w:rPr>
                <w:rFonts w:hint="eastAsia" w:ascii="宋体" w:hAnsi="宋体" w:cs="宋体"/>
                <w:kern w:val="0"/>
                <w:szCs w:val="21"/>
                <w:u w:val="none"/>
              </w:rPr>
              <w:t xml:space="preserve">   </w:t>
            </w:r>
            <w:r>
              <w:rPr>
                <w:rFonts w:hint="eastAsia" w:ascii="宋体" w:hAnsi="宋体" w:cs="宋体"/>
                <w:kern w:val="0"/>
                <w:szCs w:val="21"/>
              </w:rPr>
              <w:t>分；□每增加</w:t>
            </w:r>
            <w:r>
              <w:rPr>
                <w:rFonts w:hint="eastAsia" w:ascii="宋体" w:hAnsi="宋体" w:cs="宋体"/>
                <w:kern w:val="0"/>
                <w:szCs w:val="21"/>
                <w:u w:val="non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特大桥加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none"/>
              </w:rPr>
              <w:t xml:space="preserve">   </w:t>
            </w:r>
            <w:r>
              <w:rPr>
                <w:rFonts w:hint="eastAsia" w:ascii="宋体" w:hAnsi="宋体" w:cs="宋体"/>
                <w:kern w:val="0"/>
                <w:szCs w:val="21"/>
              </w:rPr>
              <w:t>分；□每增加</w:t>
            </w:r>
            <w:r>
              <w:rPr>
                <w:rFonts w:hint="eastAsia" w:ascii="宋体" w:hAnsi="宋体" w:cs="宋体"/>
                <w:kern w:val="0"/>
                <w:szCs w:val="21"/>
                <w:u w:val="none"/>
              </w:rPr>
              <w:t xml:space="preserve"> 1 </w:t>
            </w:r>
            <w:r>
              <w:rPr>
                <w:rFonts w:hint="eastAsia" w:ascii="宋体" w:hAnsi="宋体" w:cs="宋体"/>
                <w:kern w:val="0"/>
                <w:szCs w:val="21"/>
              </w:rPr>
              <w:t>座资格审查条件设置跨径的桥型</w:t>
            </w:r>
            <w:r>
              <w:rPr>
                <w:rFonts w:hint="eastAsia" w:ascii="宋体" w:hAnsi="宋体" w:cs="宋体"/>
                <w:kern w:val="0"/>
                <w:szCs w:val="21"/>
              </w:rPr>
              <w:fldChar w:fldCharType="begin"/>
            </w:r>
            <w:r>
              <w:rPr>
                <w:rFonts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特大桥加</w:t>
            </w:r>
            <w:r>
              <w:rPr>
                <w:rFonts w:hint="eastAsia" w:ascii="宋体" w:hAnsi="宋体" w:cs="宋体"/>
                <w:kern w:val="0"/>
                <w:szCs w:val="21"/>
                <w:u w:val="none"/>
              </w:rPr>
              <w:t xml:space="preserve">    </w:t>
            </w:r>
            <w:r>
              <w:rPr>
                <w:rFonts w:hint="eastAsia" w:ascii="宋体" w:hAnsi="宋体" w:cs="宋体"/>
                <w:kern w:val="0"/>
                <w:szCs w:val="21"/>
              </w:rPr>
              <w:t>分，累计加</w:t>
            </w:r>
            <w:r>
              <w:rPr>
                <w:rFonts w:hint="eastAsia" w:ascii="宋体" w:hAnsi="宋体" w:cs="宋体"/>
                <w:kern w:val="0"/>
                <w:szCs w:val="21"/>
                <w:u w:val="none"/>
              </w:rPr>
              <w:t xml:space="preserve">   </w:t>
            </w:r>
            <w:r>
              <w:rPr>
                <w:rFonts w:hint="eastAsia" w:ascii="宋体" w:hAnsi="宋体" w:cs="宋体"/>
                <w:kern w:val="0"/>
                <w:szCs w:val="21"/>
              </w:rPr>
              <w:t>分。</w:t>
            </w:r>
          </w:p>
          <w:p w14:paraId="6DEEC161">
            <w:pPr>
              <w:widowControl/>
              <w:adjustRightInd/>
              <w:snapToGrid/>
              <w:spacing w:line="400" w:lineRule="exact"/>
              <w:ind w:left="211" w:hanging="211" w:hangingChars="100"/>
              <w:jc w:val="left"/>
              <w:rPr>
                <w:rFonts w:ascii="宋体" w:hAnsi="宋体" w:cs="宋体"/>
                <w:kern w:val="0"/>
                <w:szCs w:val="21"/>
              </w:rPr>
            </w:pPr>
            <w:r>
              <w:rPr>
                <w:rFonts w:hint="eastAsia" w:ascii="宋体" w:hAnsi="宋体" w:cs="宋体"/>
                <w:b/>
                <w:bCs/>
                <w:kern w:val="0"/>
                <w:szCs w:val="21"/>
                <w:lang w:eastAsia="zh-CN"/>
              </w:rPr>
              <w:t>□</w:t>
            </w:r>
            <w:r>
              <w:rPr>
                <w:rFonts w:hint="eastAsia" w:ascii="宋体" w:hAnsi="宋体" w:cs="宋体"/>
                <w:szCs w:val="21"/>
              </w:rPr>
              <w:t>每增加</w:t>
            </w:r>
            <w:r>
              <w:rPr>
                <w:rFonts w:hint="eastAsia" w:ascii="宋体" w:hAnsi="宋体" w:cs="宋体"/>
                <w:kern w:val="0"/>
                <w:szCs w:val="21"/>
                <w:u w:val="none"/>
              </w:rPr>
              <w:t xml:space="preserve"> 1 </w:t>
            </w:r>
            <w:r>
              <w:rPr>
                <w:rFonts w:hint="eastAsia" w:ascii="宋体" w:hAnsi="宋体" w:cs="宋体"/>
                <w:szCs w:val="21"/>
              </w:rPr>
              <w:t>座国内（□新建；□改扩建；□新建或改扩建）</w:t>
            </w:r>
            <w:r>
              <w:rPr>
                <w:rFonts w:hint="eastAsia" w:ascii="宋体" w:hAnsi="宋体" w:cs="宋体"/>
                <w:kern w:val="0"/>
                <w:szCs w:val="21"/>
                <w:u w:val="none"/>
              </w:rPr>
              <w:t xml:space="preserve">    </w:t>
            </w:r>
            <w:r>
              <w:rPr>
                <w:rFonts w:ascii="宋体" w:hAnsi="宋体" w:cs="宋体"/>
                <w:szCs w:val="21"/>
              </w:rPr>
              <w:t>级及以上</w:t>
            </w:r>
            <w:r>
              <w:rPr>
                <w:rFonts w:hint="eastAsia" w:ascii="宋体" w:hAnsi="宋体" w:cs="宋体"/>
                <w:szCs w:val="21"/>
              </w:rPr>
              <w:t>公路（□中隧道及以上；□长隧道及以上；□特长隧道；□单洞长度</w:t>
            </w:r>
            <w:r>
              <w:rPr>
                <w:rFonts w:hint="eastAsia" w:ascii="宋体" w:hAnsi="宋体" w:cs="宋体"/>
                <w:kern w:val="0"/>
                <w:szCs w:val="21"/>
                <w:u w:val="none"/>
              </w:rPr>
              <w:t xml:space="preserve">    </w:t>
            </w:r>
            <w:r>
              <w:rPr>
                <w:rFonts w:hint="eastAsia" w:ascii="宋体" w:hAnsi="宋体" w:cs="宋体"/>
                <w:szCs w:val="21"/>
              </w:rPr>
              <w:t>米及以上特长隧道）施工项目</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r>
              <w:rPr>
                <w:rFonts w:hint="eastAsia" w:ascii="宋体" w:hAnsi="宋体" w:cs="宋体"/>
                <w:kern w:val="0"/>
                <w:szCs w:val="21"/>
              </w:rPr>
              <w:t>分，累计加</w:t>
            </w:r>
            <w:r>
              <w:rPr>
                <w:rFonts w:hint="eastAsia" w:ascii="宋体" w:hAnsi="宋体" w:cs="宋体"/>
                <w:kern w:val="0"/>
                <w:szCs w:val="21"/>
                <w:u w:val="none"/>
              </w:rPr>
              <w:t xml:space="preserve">   </w:t>
            </w:r>
            <w:r>
              <w:rPr>
                <w:rFonts w:hint="eastAsia" w:ascii="宋体" w:hAnsi="宋体" w:cs="宋体"/>
                <w:kern w:val="0"/>
                <w:szCs w:val="21"/>
              </w:rPr>
              <w:t>分；</w:t>
            </w:r>
            <w:r>
              <w:rPr>
                <w:rFonts w:ascii="宋体" w:hAnsi="宋体" w:cs="宋体"/>
                <w:kern w:val="0"/>
                <w:szCs w:val="21"/>
              </w:rPr>
              <w:t xml:space="preserve"> </w:t>
            </w:r>
          </w:p>
          <w:p w14:paraId="7A7268E9">
            <w:pPr>
              <w:widowControl/>
              <w:adjustRightInd/>
              <w:snapToGrid/>
              <w:spacing w:line="400" w:lineRule="exact"/>
              <w:ind w:left="211" w:hanging="211" w:hangingChars="100"/>
              <w:jc w:val="left"/>
              <w:rPr>
                <w:rFonts w:ascii="宋体" w:hAnsi="宋体" w:cs="宋体"/>
                <w:kern w:val="0"/>
                <w:szCs w:val="21"/>
              </w:rPr>
            </w:pPr>
            <w:r>
              <w:rPr>
                <w:rFonts w:hint="eastAsia" w:ascii="宋体" w:hAnsi="宋体" w:cs="宋体"/>
                <w:b/>
                <w:bCs/>
                <w:kern w:val="0"/>
                <w:szCs w:val="21"/>
              </w:rPr>
              <w:t>□</w:t>
            </w:r>
            <w:r>
              <w:rPr>
                <w:rFonts w:hint="eastAsia" w:ascii="宋体" w:hAnsi="宋体" w:cs="宋体"/>
                <w:szCs w:val="21"/>
              </w:rPr>
              <w:t>每增加</w:t>
            </w:r>
            <w:r>
              <w:rPr>
                <w:rFonts w:hint="eastAsia" w:ascii="宋体" w:hAnsi="宋体" w:cs="宋体"/>
                <w:kern w:val="0"/>
                <w:szCs w:val="21"/>
                <w:u w:val="none"/>
              </w:rPr>
              <w:t xml:space="preserve"> 1 </w:t>
            </w:r>
            <w:r>
              <w:rPr>
                <w:rFonts w:hint="eastAsia" w:ascii="宋体" w:hAnsi="宋体" w:cs="宋体"/>
                <w:szCs w:val="21"/>
              </w:rPr>
              <w:t>个国内（□新建；□改扩建；□新建或改扩建）</w:t>
            </w:r>
            <w:r>
              <w:rPr>
                <w:rFonts w:hint="eastAsia" w:ascii="宋体" w:hAnsi="宋体" w:cs="宋体"/>
                <w:kern w:val="0"/>
                <w:szCs w:val="21"/>
                <w:u w:val="none"/>
              </w:rPr>
              <w:t xml:space="preserve">    </w:t>
            </w:r>
            <w:r>
              <w:rPr>
                <w:rFonts w:ascii="宋体" w:hAnsi="宋体" w:cs="宋体"/>
                <w:szCs w:val="21"/>
              </w:rPr>
              <w:t>级及以上</w:t>
            </w:r>
            <w:r>
              <w:rPr>
                <w:rFonts w:hint="eastAsia" w:ascii="宋体" w:hAnsi="宋体" w:cs="宋体"/>
                <w:szCs w:val="21"/>
              </w:rPr>
              <w:t>公路路面工程施工项目中担任</w:t>
            </w:r>
            <w:r>
              <w:rPr>
                <w:rFonts w:hint="eastAsia" w:ascii="宋体" w:hAnsi="宋体" w:cs="宋体"/>
                <w:kern w:val="0"/>
                <w:szCs w:val="21"/>
              </w:rPr>
              <w:t>资格审查要求职务业绩加</w:t>
            </w:r>
            <w:r>
              <w:rPr>
                <w:rFonts w:hint="eastAsia" w:ascii="宋体" w:hAnsi="宋体" w:cs="宋体"/>
                <w:kern w:val="0"/>
                <w:szCs w:val="21"/>
                <w:u w:val="none"/>
              </w:rPr>
              <w:t xml:space="preserve">   </w:t>
            </w:r>
            <w:r>
              <w:rPr>
                <w:rFonts w:hint="eastAsia" w:ascii="宋体" w:hAnsi="宋体" w:cs="宋体"/>
                <w:kern w:val="0"/>
                <w:szCs w:val="21"/>
              </w:rPr>
              <w:t>分，累计加</w:t>
            </w:r>
            <w:r>
              <w:rPr>
                <w:rFonts w:hint="eastAsia" w:ascii="宋体" w:hAnsi="宋体" w:cs="宋体"/>
                <w:kern w:val="0"/>
                <w:szCs w:val="21"/>
                <w:u w:val="none"/>
              </w:rPr>
              <w:t xml:space="preserve">   </w:t>
            </w:r>
            <w:r>
              <w:rPr>
                <w:rFonts w:hint="eastAsia" w:ascii="宋体" w:hAnsi="宋体" w:cs="宋体"/>
                <w:kern w:val="0"/>
                <w:szCs w:val="21"/>
              </w:rPr>
              <w:t>分；</w:t>
            </w:r>
          </w:p>
          <w:p w14:paraId="489508E9">
            <w:pPr>
              <w:widowControl/>
              <w:adjustRightInd/>
              <w:snapToGrid/>
              <w:spacing w:line="400" w:lineRule="exact"/>
              <w:ind w:left="211" w:leftChars="0" w:hanging="211" w:hangingChars="100"/>
              <w:jc w:val="left"/>
              <w:rPr>
                <w:rFonts w:ascii="宋体" w:hAnsi="宋体" w:cs="宋体"/>
                <w:kern w:val="0"/>
                <w:szCs w:val="21"/>
              </w:rPr>
            </w:pPr>
            <w:r>
              <w:rPr>
                <w:rFonts w:hint="eastAsia" w:ascii="宋体" w:hAnsi="宋体" w:cs="宋体"/>
                <w:b/>
                <w:bCs/>
                <w:kern w:val="0"/>
                <w:szCs w:val="21"/>
                <w:lang w:eastAsia="zh-CN"/>
              </w:rPr>
              <w:t>□</w:t>
            </w:r>
            <w:r>
              <w:rPr>
                <w:rFonts w:hint="eastAsia" w:ascii="宋体" w:hAnsi="宋体" w:cs="宋体"/>
                <w:szCs w:val="21"/>
              </w:rPr>
              <w:t>每增加</w:t>
            </w:r>
            <w:r>
              <w:rPr>
                <w:rFonts w:hint="eastAsia" w:ascii="宋体" w:hAnsi="宋体" w:cs="宋体"/>
                <w:kern w:val="0"/>
                <w:szCs w:val="21"/>
                <w:u w:val="none"/>
              </w:rPr>
              <w:t xml:space="preserve"> 1 </w:t>
            </w:r>
            <w:r>
              <w:rPr>
                <w:rFonts w:hint="eastAsia" w:ascii="宋体" w:hAnsi="宋体" w:cs="宋体"/>
                <w:szCs w:val="21"/>
              </w:rPr>
              <w:t>个国内（□新建；□改扩建；□新建或改扩建）</w:t>
            </w:r>
            <w:r>
              <w:rPr>
                <w:rFonts w:hint="eastAsia" w:ascii="宋体" w:hAnsi="宋体" w:cs="宋体"/>
                <w:kern w:val="0"/>
                <w:szCs w:val="21"/>
                <w:u w:val="none"/>
              </w:rPr>
              <w:t xml:space="preserve">    </w:t>
            </w:r>
            <w:r>
              <w:rPr>
                <w:rFonts w:ascii="宋体" w:hAnsi="宋体" w:cs="宋体"/>
                <w:szCs w:val="21"/>
              </w:rPr>
              <w:t>级及以上</w:t>
            </w:r>
            <w:r>
              <w:rPr>
                <w:rFonts w:hint="eastAsia" w:ascii="宋体" w:hAnsi="宋体" w:cs="宋体"/>
                <w:szCs w:val="21"/>
              </w:rPr>
              <w:t>公路</w:t>
            </w:r>
            <w:r>
              <w:rPr>
                <w:rFonts w:hint="eastAsia" w:ascii="宋体" w:hAnsi="宋体" w:cs="宋体"/>
                <w:kern w:val="0"/>
                <w:szCs w:val="21"/>
              </w:rPr>
              <w:t>交通安全设施工程施工</w:t>
            </w:r>
            <w:r>
              <w:rPr>
                <w:rFonts w:hint="eastAsia" w:ascii="宋体" w:hAnsi="宋体" w:cs="宋体"/>
                <w:szCs w:val="21"/>
              </w:rPr>
              <w:t>项目中担任</w:t>
            </w:r>
            <w:r>
              <w:rPr>
                <w:rFonts w:hint="eastAsia" w:ascii="宋体" w:hAnsi="宋体" w:cs="宋体"/>
                <w:kern w:val="0"/>
                <w:szCs w:val="21"/>
              </w:rPr>
              <w:t>资格审查要求职务业绩加</w:t>
            </w:r>
            <w:r>
              <w:rPr>
                <w:rFonts w:hint="eastAsia" w:ascii="宋体" w:hAnsi="宋体" w:cs="宋体"/>
                <w:kern w:val="0"/>
                <w:szCs w:val="21"/>
                <w:u w:val="single"/>
              </w:rPr>
              <w:t xml:space="preserve">  </w:t>
            </w:r>
            <w:r>
              <w:rPr>
                <w:rFonts w:hint="eastAsia" w:ascii="宋体" w:hAnsi="宋体" w:cs="宋体"/>
                <w:kern w:val="0"/>
                <w:szCs w:val="21"/>
                <w:u w:val="none"/>
              </w:rPr>
              <w:t xml:space="preserve"> </w:t>
            </w:r>
            <w:r>
              <w:rPr>
                <w:rFonts w:hint="eastAsia" w:ascii="宋体" w:hAnsi="宋体" w:cs="宋体"/>
                <w:kern w:val="0"/>
                <w:szCs w:val="21"/>
              </w:rPr>
              <w:t>分，累计加</w:t>
            </w:r>
            <w:r>
              <w:rPr>
                <w:rFonts w:hint="eastAsia" w:ascii="宋体" w:hAnsi="宋体" w:cs="宋体"/>
                <w:kern w:val="0"/>
                <w:szCs w:val="21"/>
                <w:u w:val="none"/>
              </w:rPr>
              <w:t xml:space="preserve">   </w:t>
            </w:r>
            <w:r>
              <w:rPr>
                <w:rFonts w:hint="eastAsia" w:ascii="宋体" w:hAnsi="宋体" w:cs="宋体"/>
                <w:kern w:val="0"/>
                <w:szCs w:val="21"/>
              </w:rPr>
              <w:t>分；</w:t>
            </w:r>
          </w:p>
          <w:p w14:paraId="1CEDF934">
            <w:pPr>
              <w:widowControl/>
              <w:adjustRightInd/>
              <w:snapToGrid/>
              <w:spacing w:line="400" w:lineRule="exact"/>
              <w:ind w:left="211" w:hanging="211" w:hangingChars="100"/>
              <w:jc w:val="left"/>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szCs w:val="21"/>
              </w:rPr>
              <w:t>每增加</w:t>
            </w:r>
            <w:r>
              <w:rPr>
                <w:rFonts w:hint="eastAsia" w:ascii="宋体" w:hAnsi="宋体" w:cs="宋体"/>
                <w:kern w:val="0"/>
                <w:szCs w:val="21"/>
                <w:u w:val="none"/>
              </w:rPr>
              <w:t xml:space="preserve"> 1 </w:t>
            </w:r>
            <w:r>
              <w:rPr>
                <w:rFonts w:hint="eastAsia" w:ascii="宋体" w:hAnsi="宋体" w:cs="宋体"/>
                <w:szCs w:val="21"/>
              </w:rPr>
              <w:t>个国内（□新建；□改扩建；□新建或改扩建）</w:t>
            </w:r>
            <w:r>
              <w:rPr>
                <w:rFonts w:hint="eastAsia" w:ascii="宋体" w:hAnsi="宋体" w:cs="宋体"/>
                <w:kern w:val="0"/>
                <w:szCs w:val="21"/>
                <w:u w:val="none"/>
              </w:rPr>
              <w:t xml:space="preserve">   </w:t>
            </w:r>
            <w:r>
              <w:rPr>
                <w:rFonts w:ascii="宋体" w:hAnsi="宋体" w:cs="宋体"/>
                <w:szCs w:val="21"/>
              </w:rPr>
              <w:t>级及以上</w:t>
            </w:r>
            <w:r>
              <w:rPr>
                <w:rFonts w:hint="eastAsia" w:ascii="宋体" w:hAnsi="宋体" w:cs="宋体"/>
                <w:szCs w:val="21"/>
              </w:rPr>
              <w:t>公路隧道</w:t>
            </w:r>
            <w:r>
              <w:rPr>
                <w:rFonts w:hint="eastAsia" w:ascii="宋体" w:hAnsi="宋体" w:cs="宋体"/>
                <w:kern w:val="0"/>
                <w:szCs w:val="21"/>
              </w:rPr>
              <w:t>机电工程施工</w:t>
            </w:r>
            <w:r>
              <w:rPr>
                <w:rFonts w:hint="eastAsia" w:ascii="宋体" w:hAnsi="宋体" w:cs="宋体"/>
                <w:szCs w:val="21"/>
              </w:rPr>
              <w:t>项目中担任</w:t>
            </w:r>
            <w:r>
              <w:rPr>
                <w:rFonts w:hint="eastAsia" w:ascii="宋体" w:hAnsi="宋体" w:cs="宋体"/>
                <w:kern w:val="0"/>
                <w:szCs w:val="21"/>
              </w:rPr>
              <w:t>资格审查要求职务业绩加</w:t>
            </w:r>
            <w:r>
              <w:rPr>
                <w:rFonts w:hint="eastAsia" w:ascii="宋体" w:hAnsi="宋体" w:cs="宋体"/>
                <w:kern w:val="0"/>
                <w:szCs w:val="21"/>
                <w:u w:val="none"/>
              </w:rPr>
              <w:t xml:space="preserve">   </w:t>
            </w:r>
            <w:r>
              <w:rPr>
                <w:rFonts w:hint="eastAsia" w:ascii="宋体" w:hAnsi="宋体" w:cs="宋体"/>
                <w:kern w:val="0"/>
                <w:szCs w:val="21"/>
              </w:rPr>
              <w:t>分，累计加</w:t>
            </w:r>
            <w:r>
              <w:rPr>
                <w:rFonts w:hint="eastAsia" w:ascii="宋体" w:hAnsi="宋体" w:cs="宋体"/>
                <w:kern w:val="0"/>
                <w:szCs w:val="21"/>
                <w:u w:val="none"/>
              </w:rPr>
              <w:t xml:space="preserve">   </w:t>
            </w:r>
            <w:r>
              <w:rPr>
                <w:rFonts w:hint="eastAsia" w:ascii="宋体" w:hAnsi="宋体" w:cs="宋体"/>
                <w:kern w:val="0"/>
                <w:szCs w:val="21"/>
              </w:rPr>
              <w:t>分；</w:t>
            </w:r>
          </w:p>
          <w:p w14:paraId="607C97C4">
            <w:pPr>
              <w:widowControl/>
              <w:adjustRightInd/>
              <w:snapToGrid/>
              <w:spacing w:line="400" w:lineRule="exact"/>
              <w:ind w:left="211" w:leftChars="0" w:hanging="211" w:hangingChars="100"/>
              <w:jc w:val="left"/>
              <w:rPr>
                <w:rFonts w:hint="eastAsia" w:ascii="宋体" w:hAnsi="宋体" w:cs="宋体"/>
                <w:b w:val="0"/>
                <w:kern w:val="0"/>
                <w:szCs w:val="21"/>
              </w:rPr>
            </w:pPr>
            <w:r>
              <w:rPr>
                <w:rFonts w:hint="eastAsia" w:ascii="宋体" w:hAnsi="宋体" w:cs="宋体"/>
                <w:b/>
                <w:bCs/>
                <w:kern w:val="0"/>
                <w:szCs w:val="21"/>
              </w:rPr>
              <w:sym w:font="Wingdings 2" w:char="00A3"/>
            </w:r>
            <w:r>
              <w:rPr>
                <w:rFonts w:hint="eastAsia" w:ascii="宋体" w:hAnsi="宋体" w:cs="宋体"/>
                <w:szCs w:val="21"/>
              </w:rPr>
              <w:t>每增加</w:t>
            </w:r>
            <w:r>
              <w:rPr>
                <w:rFonts w:hint="eastAsia" w:ascii="宋体" w:hAnsi="宋体" w:cs="宋体"/>
                <w:kern w:val="0"/>
                <w:szCs w:val="21"/>
                <w:u w:val="none"/>
              </w:rPr>
              <w:t xml:space="preserve"> 1 </w:t>
            </w:r>
            <w:r>
              <w:rPr>
                <w:rFonts w:hint="eastAsia" w:ascii="宋体" w:hAnsi="宋体" w:cs="宋体"/>
                <w:szCs w:val="21"/>
              </w:rPr>
              <w:t>个</w:t>
            </w:r>
            <w:r>
              <w:rPr>
                <w:rFonts w:hint="eastAsia" w:ascii="宋体" w:hAnsi="宋体" w:cs="宋体"/>
                <w:kern w:val="0"/>
                <w:szCs w:val="21"/>
              </w:rPr>
              <w:t>国内房建工程施工项目中担任资格审查要求职务业绩加</w:t>
            </w:r>
            <w:r>
              <w:rPr>
                <w:rFonts w:hint="eastAsia" w:ascii="宋体" w:hAnsi="宋体" w:cs="宋体"/>
                <w:kern w:val="0"/>
                <w:szCs w:val="21"/>
                <w:u w:val="none"/>
              </w:rPr>
              <w:t xml:space="preserve">   </w:t>
            </w:r>
            <w:r>
              <w:rPr>
                <w:rFonts w:hint="eastAsia" w:ascii="宋体" w:hAnsi="宋体" w:cs="宋体"/>
                <w:kern w:val="0"/>
                <w:szCs w:val="21"/>
              </w:rPr>
              <w:t>分，累计加</w:t>
            </w:r>
            <w:r>
              <w:rPr>
                <w:rFonts w:hint="eastAsia" w:ascii="宋体" w:hAnsi="宋体" w:cs="宋体"/>
                <w:kern w:val="0"/>
                <w:szCs w:val="21"/>
                <w:u w:val="none"/>
              </w:rPr>
              <w:t xml:space="preserve">   </w:t>
            </w:r>
            <w:r>
              <w:rPr>
                <w:rFonts w:hint="eastAsia" w:ascii="宋体" w:hAnsi="宋体" w:cs="宋体"/>
                <w:kern w:val="0"/>
                <w:szCs w:val="21"/>
              </w:rPr>
              <w:t>分；</w:t>
            </w:r>
          </w:p>
          <w:p w14:paraId="06B9EFC3">
            <w:pPr>
              <w:widowControl/>
              <w:adjustRightInd/>
              <w:snapToGrid/>
              <w:spacing w:line="400" w:lineRule="exact"/>
              <w:jc w:val="left"/>
              <w:rPr>
                <w:rFonts w:ascii="宋体" w:hAnsi="宋体" w:cs="宋体"/>
                <w:kern w:val="0"/>
                <w:szCs w:val="21"/>
              </w:rPr>
            </w:pPr>
            <w:r>
              <w:rPr>
                <w:rFonts w:hint="eastAsia" w:ascii="宋体" w:hAnsi="宋体" w:cs="宋体"/>
                <w:b/>
                <w:szCs w:val="21"/>
              </w:rPr>
              <w:sym w:font="Wingdings 2" w:char="00A3"/>
            </w:r>
            <w:r>
              <w:rPr>
                <w:rFonts w:hint="eastAsia" w:ascii="宋体" w:hAnsi="宋体" w:cs="宋体"/>
                <w:szCs w:val="21"/>
              </w:rPr>
              <w:t>其他：</w:t>
            </w:r>
            <w:r>
              <w:rPr>
                <w:rFonts w:ascii="宋体" w:hAnsi="宋体" w:cs="宋体"/>
                <w:szCs w:val="21"/>
                <w:u w:val="single"/>
              </w:rPr>
              <w:t xml:space="preserve">    </w:t>
            </w:r>
          </w:p>
          <w:p w14:paraId="667B2EA8">
            <w:pPr>
              <w:widowControl/>
              <w:adjustRightInd/>
              <w:snapToGrid/>
              <w:spacing w:line="240" w:lineRule="auto"/>
              <w:rPr>
                <w:rFonts w:cs="宋体" w:asciiTheme="minorEastAsia" w:hAnsiTheme="minorEastAsia" w:eastAsiaTheme="minorEastAsia"/>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szCs w:val="21"/>
              </w:rPr>
              <w:t>、</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3）合计得分最多至满分为止。</w:t>
            </w:r>
          </w:p>
        </w:tc>
      </w:tr>
      <w:tr w14:paraId="4843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75" w:type="dxa"/>
            <w:vMerge w:val="continue"/>
            <w:vAlign w:val="center"/>
          </w:tcPr>
          <w:p w14:paraId="23DEB8A7">
            <w:pPr>
              <w:pStyle w:val="299"/>
              <w:spacing w:line="400" w:lineRule="exact"/>
              <w:jc w:val="center"/>
              <w:rPr>
                <w:rFonts w:ascii="宋体" w:hAnsi="宋体" w:cs="宋体"/>
                <w:szCs w:val="21"/>
              </w:rPr>
            </w:pPr>
          </w:p>
        </w:tc>
        <w:tc>
          <w:tcPr>
            <w:tcW w:w="1430" w:type="dxa"/>
            <w:gridSpan w:val="2"/>
            <w:vMerge w:val="continue"/>
            <w:vAlign w:val="center"/>
          </w:tcPr>
          <w:p w14:paraId="01CAF269">
            <w:pPr>
              <w:pStyle w:val="299"/>
              <w:spacing w:line="400" w:lineRule="exact"/>
              <w:jc w:val="center"/>
              <w:rPr>
                <w:rFonts w:ascii="宋体" w:hAnsi="宋体" w:cs="宋体"/>
                <w:szCs w:val="21"/>
              </w:rPr>
            </w:pPr>
          </w:p>
        </w:tc>
        <w:tc>
          <w:tcPr>
            <w:tcW w:w="851" w:type="dxa"/>
            <w:vMerge w:val="continue"/>
            <w:vAlign w:val="center"/>
          </w:tcPr>
          <w:p w14:paraId="3564788D">
            <w:pPr>
              <w:pStyle w:val="299"/>
              <w:spacing w:line="400" w:lineRule="exact"/>
              <w:rPr>
                <w:rFonts w:ascii="宋体" w:hAnsi="宋体" w:cs="宋体"/>
                <w:szCs w:val="21"/>
              </w:rPr>
            </w:pPr>
          </w:p>
        </w:tc>
        <w:tc>
          <w:tcPr>
            <w:tcW w:w="662" w:type="dxa"/>
            <w:vMerge w:val="restart"/>
            <w:vAlign w:val="center"/>
          </w:tcPr>
          <w:p w14:paraId="30F11B02">
            <w:pPr>
              <w:pStyle w:val="299"/>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其他管理和技术人员任职资格与业绩</w:t>
            </w:r>
            <w:r>
              <w:rPr>
                <w:rFonts w:cs="宋体" w:asciiTheme="minorEastAsia" w:hAnsiTheme="minorEastAsia" w:eastAsiaTheme="minorEastAsia"/>
                <w:szCs w:val="21"/>
              </w:rPr>
              <w:t xml:space="preserve"> B</w:t>
            </w:r>
            <w:r>
              <w:rPr>
                <w:rFonts w:hint="eastAsia" w:cs="宋体" w:asciiTheme="minorEastAsia" w:hAnsiTheme="minorEastAsia" w:eastAsiaTheme="minorEastAsia"/>
                <w:szCs w:val="21"/>
                <w:vertAlign w:val="subscript"/>
                <w:lang w:val="en-US" w:eastAsia="zh-CN"/>
              </w:rPr>
              <w:t>6</w:t>
            </w:r>
            <w:r>
              <w:rPr>
                <w:rStyle w:val="59"/>
                <w:rFonts w:cs="宋体" w:asciiTheme="minorEastAsia" w:hAnsiTheme="minorEastAsia" w:eastAsiaTheme="minorEastAsia"/>
                <w:szCs w:val="21"/>
              </w:rPr>
              <w:t xml:space="preserve"> </w:t>
            </w:r>
          </w:p>
        </w:tc>
        <w:tc>
          <w:tcPr>
            <w:tcW w:w="676" w:type="dxa"/>
            <w:vAlign w:val="center"/>
          </w:tcPr>
          <w:p w14:paraId="3306750A">
            <w:pPr>
              <w:pStyle w:val="299"/>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c>
          <w:tcPr>
            <w:tcW w:w="709" w:type="dxa"/>
            <w:gridSpan w:val="2"/>
            <w:vAlign w:val="center"/>
          </w:tcPr>
          <w:p w14:paraId="41B1082B">
            <w:pPr>
              <w:pStyle w:val="299"/>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623" w:type="dxa"/>
            <w:vAlign w:val="center"/>
          </w:tcPr>
          <w:p w14:paraId="1A8467C6">
            <w:pPr>
              <w:widowControl/>
              <w:adjustRightInd w:val="0"/>
              <w:snapToGrid w:val="0"/>
              <w:spacing w:line="380" w:lineRule="exact"/>
              <w:jc w:val="left"/>
              <w:rPr>
                <w:rFonts w:cs="宋体" w:asciiTheme="minorEastAsia" w:hAnsiTheme="minorEastAsia" w:eastAsiaTheme="minorEastAsia"/>
                <w:kern w:val="0"/>
                <w:szCs w:val="21"/>
              </w:rPr>
            </w:pPr>
            <w:r>
              <w:rPr>
                <w:rFonts w:cs="宋体" w:asciiTheme="minorEastAsia" w:hAnsiTheme="minorEastAsia" w:eastAsiaTheme="minorEastAsia"/>
                <w:szCs w:val="21"/>
                <w:u w:val="single"/>
              </w:rPr>
              <w:t xml:space="preserve">       </w:t>
            </w:r>
          </w:p>
        </w:tc>
      </w:tr>
      <w:tr w14:paraId="7D4B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975" w:type="dxa"/>
            <w:vMerge w:val="continue"/>
            <w:vAlign w:val="center"/>
          </w:tcPr>
          <w:p w14:paraId="210AB5A7">
            <w:pPr>
              <w:pStyle w:val="299"/>
              <w:spacing w:line="400" w:lineRule="exact"/>
              <w:jc w:val="center"/>
              <w:rPr>
                <w:rFonts w:ascii="宋体" w:hAnsi="宋体" w:cs="宋体"/>
                <w:szCs w:val="21"/>
              </w:rPr>
            </w:pPr>
          </w:p>
        </w:tc>
        <w:tc>
          <w:tcPr>
            <w:tcW w:w="1430" w:type="dxa"/>
            <w:gridSpan w:val="2"/>
            <w:vMerge w:val="continue"/>
            <w:vAlign w:val="center"/>
          </w:tcPr>
          <w:p w14:paraId="66FF44B0">
            <w:pPr>
              <w:pStyle w:val="299"/>
              <w:spacing w:line="400" w:lineRule="exact"/>
              <w:jc w:val="center"/>
              <w:rPr>
                <w:rFonts w:ascii="宋体" w:hAnsi="宋体" w:cs="宋体"/>
                <w:szCs w:val="21"/>
              </w:rPr>
            </w:pPr>
          </w:p>
        </w:tc>
        <w:tc>
          <w:tcPr>
            <w:tcW w:w="851" w:type="dxa"/>
            <w:vMerge w:val="continue"/>
            <w:vAlign w:val="center"/>
          </w:tcPr>
          <w:p w14:paraId="2809863B">
            <w:pPr>
              <w:pStyle w:val="299"/>
              <w:spacing w:line="400" w:lineRule="exact"/>
              <w:rPr>
                <w:rFonts w:ascii="宋体" w:hAnsi="宋体" w:cs="宋体"/>
                <w:szCs w:val="21"/>
              </w:rPr>
            </w:pPr>
          </w:p>
        </w:tc>
        <w:tc>
          <w:tcPr>
            <w:tcW w:w="662" w:type="dxa"/>
            <w:vMerge w:val="continue"/>
            <w:vAlign w:val="center"/>
          </w:tcPr>
          <w:p w14:paraId="2F0877F1">
            <w:pPr>
              <w:pStyle w:val="299"/>
              <w:adjustRightInd w:val="0"/>
              <w:snapToGrid w:val="0"/>
              <w:spacing w:line="400" w:lineRule="exact"/>
              <w:rPr>
                <w:rFonts w:cs="宋体" w:asciiTheme="minorEastAsia" w:hAnsiTheme="minorEastAsia" w:eastAsiaTheme="minorEastAsia"/>
                <w:szCs w:val="21"/>
              </w:rPr>
            </w:pPr>
          </w:p>
        </w:tc>
        <w:tc>
          <w:tcPr>
            <w:tcW w:w="676" w:type="dxa"/>
            <w:vAlign w:val="center"/>
          </w:tcPr>
          <w:p w14:paraId="3E4605C3">
            <w:pPr>
              <w:pStyle w:val="299"/>
              <w:adjustRightInd w:val="0"/>
              <w:snapToGrid w:val="0"/>
              <w:spacing w:line="400" w:lineRule="exact"/>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p>
        </w:tc>
        <w:tc>
          <w:tcPr>
            <w:tcW w:w="709" w:type="dxa"/>
            <w:gridSpan w:val="2"/>
            <w:vAlign w:val="center"/>
          </w:tcPr>
          <w:p w14:paraId="79BC87F7">
            <w:pPr>
              <w:pStyle w:val="299"/>
              <w:adjustRightInd w:val="0"/>
              <w:snapToGrid w:val="0"/>
              <w:spacing w:line="400" w:lineRule="exact"/>
              <w:rPr>
                <w:rFonts w:cs="宋体" w:asciiTheme="minorEastAsia" w:hAnsiTheme="minorEastAsia" w:eastAsiaTheme="minorEastAsia"/>
                <w:szCs w:val="21"/>
                <w:u w:val="single"/>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分</w:t>
            </w:r>
          </w:p>
        </w:tc>
        <w:tc>
          <w:tcPr>
            <w:tcW w:w="3623" w:type="dxa"/>
            <w:vAlign w:val="center"/>
          </w:tcPr>
          <w:p w14:paraId="564DB619">
            <w:pPr>
              <w:widowControl/>
              <w:adjustRightInd w:val="0"/>
              <w:snapToGrid w:val="0"/>
              <w:spacing w:line="380" w:lineRule="exact"/>
              <w:jc w:val="left"/>
              <w:rPr>
                <w:rFonts w:cs="宋体" w:asciiTheme="minorEastAsia" w:hAnsiTheme="minorEastAsia" w:eastAsiaTheme="minorEastAsia"/>
                <w:kern w:val="0"/>
                <w:szCs w:val="21"/>
              </w:rPr>
            </w:pPr>
            <w:r>
              <w:rPr>
                <w:rFonts w:cs="宋体" w:asciiTheme="minorEastAsia" w:hAnsiTheme="minorEastAsia" w:eastAsiaTheme="minorEastAsia"/>
                <w:szCs w:val="21"/>
                <w:u w:val="single"/>
              </w:rPr>
              <w:t xml:space="preserve">       </w:t>
            </w:r>
          </w:p>
        </w:tc>
      </w:tr>
      <w:tr w14:paraId="5AFE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3A31C690">
            <w:pPr>
              <w:pStyle w:val="299"/>
              <w:spacing w:line="400" w:lineRule="exact"/>
              <w:jc w:val="center"/>
              <w:rPr>
                <w:rFonts w:ascii="宋体" w:hAnsi="宋体" w:cs="宋体"/>
                <w:szCs w:val="21"/>
              </w:rPr>
            </w:pPr>
          </w:p>
        </w:tc>
        <w:tc>
          <w:tcPr>
            <w:tcW w:w="1430" w:type="dxa"/>
            <w:gridSpan w:val="2"/>
            <w:vMerge w:val="continue"/>
            <w:vAlign w:val="center"/>
          </w:tcPr>
          <w:p w14:paraId="0C75D7A9">
            <w:pPr>
              <w:pStyle w:val="299"/>
              <w:spacing w:line="400" w:lineRule="exact"/>
              <w:jc w:val="center"/>
              <w:rPr>
                <w:rFonts w:ascii="宋体" w:hAnsi="宋体" w:cs="宋体"/>
                <w:szCs w:val="21"/>
              </w:rPr>
            </w:pPr>
          </w:p>
        </w:tc>
        <w:tc>
          <w:tcPr>
            <w:tcW w:w="851" w:type="dxa"/>
            <w:vMerge w:val="continue"/>
            <w:vAlign w:val="center"/>
          </w:tcPr>
          <w:p w14:paraId="1DA73893">
            <w:pPr>
              <w:pStyle w:val="299"/>
              <w:spacing w:line="400" w:lineRule="exact"/>
              <w:rPr>
                <w:rFonts w:ascii="宋体" w:hAnsi="宋体" w:cs="宋体"/>
                <w:szCs w:val="21"/>
              </w:rPr>
            </w:pPr>
          </w:p>
        </w:tc>
        <w:tc>
          <w:tcPr>
            <w:tcW w:w="662" w:type="dxa"/>
            <w:vMerge w:val="continue"/>
            <w:vAlign w:val="center"/>
          </w:tcPr>
          <w:p w14:paraId="37BC45C9">
            <w:pPr>
              <w:pStyle w:val="299"/>
              <w:adjustRightInd w:val="0"/>
              <w:snapToGrid w:val="0"/>
              <w:spacing w:line="400" w:lineRule="exact"/>
              <w:rPr>
                <w:rFonts w:cs="宋体" w:asciiTheme="minorEastAsia" w:hAnsiTheme="minorEastAsia" w:eastAsiaTheme="minorEastAsia"/>
                <w:szCs w:val="21"/>
              </w:rPr>
            </w:pPr>
          </w:p>
        </w:tc>
        <w:tc>
          <w:tcPr>
            <w:tcW w:w="676" w:type="dxa"/>
            <w:vAlign w:val="center"/>
          </w:tcPr>
          <w:p w14:paraId="11987883">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709" w:type="dxa"/>
            <w:gridSpan w:val="2"/>
            <w:vAlign w:val="center"/>
          </w:tcPr>
          <w:p w14:paraId="20ECC497">
            <w:pPr>
              <w:pStyle w:val="299"/>
              <w:adjustRightInd w:val="0"/>
              <w:snapToGrid w:val="0"/>
              <w:spacing w:line="400" w:lineRule="exact"/>
              <w:rPr>
                <w:rFonts w:cs="宋体" w:asciiTheme="minorEastAsia" w:hAnsiTheme="minorEastAsia" w:eastAsiaTheme="minorEastAsia"/>
                <w:szCs w:val="21"/>
                <w:u w:val="single"/>
              </w:rPr>
            </w:pPr>
            <w:r>
              <w:rPr>
                <w:rFonts w:hint="eastAsia" w:cs="宋体" w:asciiTheme="minorEastAsia" w:hAnsiTheme="minorEastAsia" w:eastAsiaTheme="minorEastAsia"/>
                <w:szCs w:val="21"/>
              </w:rPr>
              <w:t>……</w:t>
            </w:r>
          </w:p>
        </w:tc>
        <w:tc>
          <w:tcPr>
            <w:tcW w:w="3623" w:type="dxa"/>
            <w:vAlign w:val="center"/>
          </w:tcPr>
          <w:p w14:paraId="0DD09D60">
            <w:pPr>
              <w:widowControl/>
              <w:adjustRightInd w:val="0"/>
              <w:snapToGrid w:val="0"/>
              <w:spacing w:line="3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p>
        </w:tc>
      </w:tr>
      <w:tr w14:paraId="4C90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vAlign w:val="center"/>
          </w:tcPr>
          <w:p w14:paraId="6235D43D">
            <w:pPr>
              <w:widowControl/>
              <w:adjustRightInd w:val="0"/>
              <w:snapToGrid w:val="0"/>
              <w:spacing w:line="380" w:lineRule="exact"/>
              <w:jc w:val="left"/>
              <w:rPr>
                <w:rFonts w:hint="eastAsia" w:ascii="宋体" w:hAnsi="宋体" w:cs="宋体"/>
                <w:szCs w:val="21"/>
              </w:rPr>
            </w:pPr>
            <w:r>
              <w:rPr>
                <w:rFonts w:hint="eastAsia" w:ascii="宋体" w:hAnsi="宋体" w:cs="宋体"/>
              </w:rPr>
              <w:t>注：主要人员得分为各人员得分合计，即：B=B</w:t>
            </w:r>
            <w:r>
              <w:rPr>
                <w:rFonts w:hint="eastAsia" w:ascii="宋体" w:hAnsi="宋体" w:cs="宋体"/>
                <w:vertAlign w:val="subscript"/>
              </w:rPr>
              <w:t>1</w:t>
            </w:r>
            <w:r>
              <w:rPr>
                <w:rFonts w:hint="eastAsia" w:ascii="宋体" w:hAnsi="宋体" w:cs="宋体"/>
              </w:rPr>
              <w:t>+B</w:t>
            </w:r>
            <w:r>
              <w:rPr>
                <w:rFonts w:hint="eastAsia" w:ascii="宋体" w:hAnsi="宋体" w:cs="宋体"/>
                <w:vertAlign w:val="subscript"/>
              </w:rPr>
              <w:t>2</w:t>
            </w:r>
            <w:r>
              <w:rPr>
                <w:rFonts w:hint="eastAsia" w:ascii="宋体" w:hAnsi="宋体" w:cs="宋体"/>
              </w:rPr>
              <w:t>+B</w:t>
            </w:r>
            <w:r>
              <w:rPr>
                <w:rFonts w:hint="eastAsia" w:ascii="宋体" w:hAnsi="宋体" w:cs="宋体"/>
                <w:vertAlign w:val="subscript"/>
              </w:rPr>
              <w:t>3</w:t>
            </w:r>
            <w:r>
              <w:rPr>
                <w:rFonts w:hint="eastAsia" w:ascii="宋体" w:hAnsi="宋体" w:cs="宋体"/>
              </w:rPr>
              <w:t>+…。</w:t>
            </w:r>
          </w:p>
        </w:tc>
      </w:tr>
      <w:tr w14:paraId="6E40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5CAE499C">
            <w:pPr>
              <w:pStyle w:val="299"/>
              <w:spacing w:line="400" w:lineRule="exact"/>
              <w:jc w:val="center"/>
              <w:rPr>
                <w:rFonts w:ascii="宋体" w:hAnsi="宋体" w:cs="宋体"/>
                <w:szCs w:val="21"/>
              </w:rPr>
            </w:pPr>
            <w:r>
              <w:rPr>
                <w:rFonts w:ascii="宋体" w:hAnsi="宋体" w:cs="宋体"/>
                <w:szCs w:val="21"/>
              </w:rPr>
              <w:t>2.2.4（3）</w:t>
            </w:r>
          </w:p>
        </w:tc>
        <w:tc>
          <w:tcPr>
            <w:tcW w:w="1430" w:type="dxa"/>
            <w:gridSpan w:val="2"/>
            <w:vAlign w:val="center"/>
          </w:tcPr>
          <w:p w14:paraId="0882DE3B">
            <w:pPr>
              <w:pStyle w:val="299"/>
              <w:spacing w:line="400" w:lineRule="exact"/>
              <w:jc w:val="center"/>
              <w:rPr>
                <w:rFonts w:ascii="宋体" w:hAnsi="宋体" w:cs="宋体"/>
                <w:szCs w:val="21"/>
              </w:rPr>
            </w:pPr>
            <w:r>
              <w:rPr>
                <w:rFonts w:hint="eastAsia" w:ascii="宋体" w:hAnsi="宋体" w:cs="宋体"/>
                <w:szCs w:val="21"/>
              </w:rPr>
              <w:t>评标价</w:t>
            </w:r>
            <w:r>
              <w:rPr>
                <w:rFonts w:ascii="宋体" w:hAnsi="宋体" w:cs="宋体"/>
                <w:szCs w:val="21"/>
              </w:rPr>
              <w:t>F</w:t>
            </w:r>
          </w:p>
        </w:tc>
        <w:tc>
          <w:tcPr>
            <w:tcW w:w="851" w:type="dxa"/>
            <w:vAlign w:val="center"/>
          </w:tcPr>
          <w:p w14:paraId="31D2D75A">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5670" w:type="dxa"/>
            <w:gridSpan w:val="5"/>
            <w:vAlign w:val="center"/>
          </w:tcPr>
          <w:p w14:paraId="7BED7BC3">
            <w:pPr>
              <w:pStyle w:val="299"/>
              <w:adjustRightInd w:val="0"/>
              <w:snapToGrid w:val="0"/>
              <w:spacing w:line="380" w:lineRule="exact"/>
              <w:rPr>
                <w:rFonts w:ascii="宋体" w:hAnsi="宋体" w:cs="宋体"/>
                <w:szCs w:val="21"/>
              </w:rPr>
            </w:pPr>
            <w:r>
              <w:rPr>
                <w:rFonts w:hint="eastAsia" w:ascii="宋体" w:hAnsi="宋体" w:cs="宋体"/>
                <w:szCs w:val="21"/>
              </w:rPr>
              <w:t>评标价得分</w:t>
            </w:r>
            <w:r>
              <w:rPr>
                <w:rFonts w:ascii="宋体" w:hAnsi="宋体" w:cs="宋体"/>
                <w:szCs w:val="21"/>
              </w:rPr>
              <w:t>F计算公式：</w:t>
            </w:r>
          </w:p>
          <w:p w14:paraId="2A03E0CD">
            <w:pPr>
              <w:pStyle w:val="299"/>
              <w:adjustRightInd w:val="0"/>
              <w:snapToGrid w:val="0"/>
              <w:spacing w:line="380" w:lineRule="exact"/>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方式一</w:t>
            </w:r>
            <w:r>
              <w:rPr>
                <w:rFonts w:hint="eastAsia" w:ascii="宋体" w:hAnsi="宋体" w:cs="宋体"/>
                <w:szCs w:val="21"/>
              </w:rPr>
              <w:t>：</w:t>
            </w:r>
          </w:p>
          <w:p w14:paraId="46C20D32">
            <w:pPr>
              <w:pStyle w:val="299"/>
              <w:adjustRightInd w:val="0"/>
              <w:snapToGrid w:val="0"/>
              <w:spacing w:line="380" w:lineRule="exact"/>
              <w:ind w:firstLine="105" w:firstLineChars="50"/>
              <w:rPr>
                <w:rFonts w:ascii="宋体" w:hAnsi="宋体" w:cs="宋体"/>
                <w:szCs w:val="21"/>
              </w:rPr>
            </w:pPr>
            <w:r>
              <w:rPr>
                <w:rFonts w:hint="eastAsia" w:ascii="宋体" w:hAnsi="宋体" w:cs="宋体"/>
                <w:szCs w:val="21"/>
              </w:rPr>
              <w:t>（</w:t>
            </w:r>
            <w:r>
              <w:rPr>
                <w:rFonts w:ascii="宋体" w:hAnsi="宋体" w:cs="宋体"/>
                <w:szCs w:val="21"/>
              </w:rPr>
              <w:t>1）如果投标人的评标价＞评标基准价，</w:t>
            </w:r>
            <w:r>
              <w:rPr>
                <w:rFonts w:hint="eastAsia" w:ascii="宋体" w:hAnsi="宋体" w:cs="宋体"/>
                <w:szCs w:val="21"/>
              </w:rPr>
              <w:t>则</w:t>
            </w:r>
          </w:p>
          <w:p w14:paraId="6440B5CA">
            <w:pPr>
              <w:pStyle w:val="299"/>
              <w:adjustRightInd w:val="0"/>
              <w:snapToGrid w:val="0"/>
              <w:spacing w:line="380" w:lineRule="exact"/>
              <w:ind w:firstLine="630" w:firstLineChars="300"/>
              <w:rPr>
                <w:rFonts w:ascii="宋体" w:hAnsi="宋体" w:cs="宋体"/>
                <w:szCs w:val="21"/>
              </w:rPr>
            </w:pPr>
            <w:r>
              <w:rPr>
                <w:rFonts w:hint="eastAsia" w:ascii="宋体" w:hAnsi="宋体" w:cs="宋体"/>
                <w:szCs w:val="21"/>
              </w:rPr>
              <w:t>评标价得分</w:t>
            </w:r>
            <w:r>
              <w:rPr>
                <w:rFonts w:ascii="宋体" w:hAnsi="宋体" w:cs="宋体"/>
                <w:szCs w:val="21"/>
              </w:rPr>
              <w:t>F</w:t>
            </w:r>
            <w:r>
              <w:rPr>
                <w:rFonts w:hint="eastAsia" w:ascii="宋体" w:hAnsi="宋体" w:cs="宋体"/>
                <w:szCs w:val="21"/>
              </w:rPr>
              <w:t>＝</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w:t>
            </w:r>
            <w:r>
              <w:rPr>
                <w:rFonts w:ascii="宋体" w:hAnsi="宋体" w:cs="宋体"/>
                <w:szCs w:val="21"/>
              </w:rPr>
              <w:t>100×E</w:t>
            </w:r>
            <w:r>
              <w:rPr>
                <w:rFonts w:ascii="宋体" w:hAnsi="宋体" w:cs="宋体"/>
                <w:szCs w:val="21"/>
                <w:vertAlign w:val="subscript"/>
              </w:rPr>
              <w:t>1</w:t>
            </w:r>
          </w:p>
          <w:p w14:paraId="43DDA04D">
            <w:pPr>
              <w:pStyle w:val="299"/>
              <w:adjustRightInd w:val="0"/>
              <w:snapToGrid w:val="0"/>
              <w:spacing w:line="380" w:lineRule="exact"/>
              <w:ind w:firstLine="105" w:firstLineChars="50"/>
              <w:rPr>
                <w:rFonts w:ascii="宋体" w:hAnsi="宋体" w:cs="宋体"/>
                <w:szCs w:val="21"/>
              </w:rPr>
            </w:pPr>
            <w:r>
              <w:rPr>
                <w:rFonts w:hint="eastAsia" w:ascii="宋体" w:hAnsi="宋体" w:cs="宋体"/>
                <w:szCs w:val="21"/>
              </w:rPr>
              <w:t>（</w:t>
            </w:r>
            <w:r>
              <w:rPr>
                <w:rFonts w:ascii="宋体" w:hAnsi="宋体" w:cs="宋体"/>
                <w:szCs w:val="21"/>
              </w:rPr>
              <w:t>2）如果投标人的评标价≤评标基准价，则</w:t>
            </w:r>
          </w:p>
          <w:p w14:paraId="496227AC">
            <w:pPr>
              <w:pStyle w:val="299"/>
              <w:adjustRightInd w:val="0"/>
              <w:snapToGrid w:val="0"/>
              <w:spacing w:line="380" w:lineRule="exact"/>
              <w:ind w:firstLine="630" w:firstLineChars="300"/>
              <w:rPr>
                <w:rFonts w:ascii="宋体" w:hAnsi="宋体" w:cs="宋体"/>
                <w:szCs w:val="21"/>
              </w:rPr>
            </w:pPr>
            <w:r>
              <w:rPr>
                <w:rFonts w:hint="eastAsia" w:ascii="宋体" w:hAnsi="宋体" w:cs="宋体"/>
                <w:szCs w:val="21"/>
              </w:rPr>
              <w:t>评标价得分</w:t>
            </w:r>
            <w:r>
              <w:rPr>
                <w:rFonts w:ascii="宋体" w:hAnsi="宋体" w:cs="宋体"/>
                <w:szCs w:val="21"/>
              </w:rPr>
              <w:t>F</w:t>
            </w:r>
            <w:r>
              <w:rPr>
                <w:rFonts w:hint="eastAsia" w:ascii="宋体" w:hAnsi="宋体" w:cs="宋体"/>
                <w:szCs w:val="21"/>
              </w:rPr>
              <w:t>＝</w:t>
            </w:r>
            <w:r>
              <w:rPr>
                <w:rFonts w:ascii="宋体" w:hAnsi="宋体" w:cs="宋体"/>
                <w:szCs w:val="21"/>
              </w:rPr>
              <w:t>F</w:t>
            </w:r>
            <w:r>
              <w:rPr>
                <w:rFonts w:ascii="宋体" w:hAnsi="宋体" w:cs="宋体"/>
                <w:szCs w:val="21"/>
                <w:vertAlign w:val="subscript"/>
              </w:rPr>
              <w:t>0</w:t>
            </w:r>
            <w:r>
              <w:rPr>
                <w:rFonts w:hint="eastAsia" w:ascii="宋体" w:hAnsi="宋体" w:cs="宋体"/>
                <w:szCs w:val="21"/>
              </w:rPr>
              <w:t>－偏差率×</w:t>
            </w:r>
            <w:r>
              <w:rPr>
                <w:rFonts w:ascii="宋体" w:hAnsi="宋体" w:cs="宋体"/>
                <w:szCs w:val="21"/>
              </w:rPr>
              <w:t>100×E</w:t>
            </w:r>
            <w:r>
              <w:rPr>
                <w:rFonts w:ascii="宋体" w:hAnsi="宋体" w:cs="宋体"/>
                <w:szCs w:val="21"/>
                <w:vertAlign w:val="subscript"/>
              </w:rPr>
              <w:t>2</w:t>
            </w:r>
          </w:p>
          <w:p w14:paraId="4F30EDCD">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其中：</w:t>
            </w:r>
            <w:r>
              <w:rPr>
                <w:rFonts w:ascii="宋体" w:hAnsi="宋体" w:cs="宋体"/>
                <w:szCs w:val="21"/>
              </w:rPr>
              <w:t>F</w:t>
            </w:r>
            <w:r>
              <w:rPr>
                <w:rFonts w:ascii="宋体" w:hAnsi="宋体" w:cs="宋体"/>
                <w:szCs w:val="21"/>
                <w:vertAlign w:val="subscript"/>
              </w:rPr>
              <w:t>0</w:t>
            </w:r>
            <w:r>
              <w:rPr>
                <w:rFonts w:hint="eastAsia" w:ascii="宋体" w:hAnsi="宋体" w:cs="宋体"/>
                <w:szCs w:val="21"/>
              </w:rPr>
              <w:t>是评标价所占的权重分值；</w:t>
            </w:r>
            <w:r>
              <w:rPr>
                <w:rFonts w:ascii="宋体" w:hAnsi="宋体" w:cs="宋体"/>
                <w:szCs w:val="21"/>
              </w:rPr>
              <w:t>E</w:t>
            </w:r>
            <w:r>
              <w:rPr>
                <w:rFonts w:ascii="宋体" w:hAnsi="宋体" w:cs="宋体"/>
                <w:szCs w:val="21"/>
                <w:vertAlign w:val="subscript"/>
              </w:rPr>
              <w:t>1</w:t>
            </w:r>
            <w:r>
              <w:rPr>
                <w:rFonts w:hint="eastAsia" w:ascii="宋体" w:hAnsi="宋体" w:cs="宋体"/>
                <w:szCs w:val="21"/>
              </w:rPr>
              <w:t>是评标价每高于评标基准价一个百分点的扣分值；</w:t>
            </w:r>
            <w:r>
              <w:rPr>
                <w:rFonts w:ascii="宋体" w:hAnsi="宋体" w:cs="宋体"/>
                <w:szCs w:val="21"/>
              </w:rPr>
              <w:t xml:space="preserve"> E</w:t>
            </w:r>
            <w:r>
              <w:rPr>
                <w:rFonts w:ascii="宋体" w:hAnsi="宋体" w:cs="宋体"/>
                <w:szCs w:val="21"/>
                <w:vertAlign w:val="subscript"/>
              </w:rPr>
              <w:t>2</w:t>
            </w:r>
            <w:r>
              <w:rPr>
                <w:rFonts w:hint="eastAsia" w:ascii="宋体" w:hAnsi="宋体" w:cs="宋体"/>
                <w:szCs w:val="21"/>
              </w:rPr>
              <w:t>是评标价每低于评标基准价一个百分点的扣分值。投标人评标价得分最低为</w:t>
            </w:r>
            <w:r>
              <w:rPr>
                <w:rFonts w:ascii="宋体" w:hAnsi="宋体" w:cs="宋体"/>
                <w:szCs w:val="21"/>
              </w:rPr>
              <w:t>0分。</w:t>
            </w:r>
          </w:p>
          <w:p w14:paraId="2C9B1D96">
            <w:pPr>
              <w:pStyle w:val="299"/>
              <w:adjustRightInd w:val="0"/>
              <w:snapToGrid w:val="0"/>
              <w:spacing w:line="380" w:lineRule="exact"/>
              <w:ind w:firstLine="420" w:firstLineChars="200"/>
              <w:rPr>
                <w:rFonts w:ascii="宋体" w:hAnsi="宋体" w:cs="宋体"/>
                <w:szCs w:val="21"/>
              </w:rPr>
            </w:pPr>
            <w:r>
              <w:rPr>
                <w:rFonts w:hint="eastAsia" w:ascii="宋体" w:hAnsi="宋体" w:cs="宋体"/>
                <w:szCs w:val="21"/>
              </w:rPr>
              <w:t>本次招标</w:t>
            </w:r>
            <w:r>
              <w:rPr>
                <w:rFonts w:ascii="宋体" w:hAnsi="宋体" w:cs="宋体"/>
                <w:szCs w:val="21"/>
              </w:rPr>
              <w:t xml:space="preserve"> E</w:t>
            </w:r>
            <w:r>
              <w:rPr>
                <w:rFonts w:ascii="宋体" w:hAnsi="宋体" w:cs="宋体"/>
                <w:szCs w:val="21"/>
                <w:vertAlign w:val="subscript"/>
              </w:rPr>
              <w:t>1</w:t>
            </w:r>
            <w:r>
              <w:rPr>
                <w:rFonts w:hint="eastAsia" w:ascii="宋体" w:hAnsi="宋体" w:cs="宋体"/>
                <w:szCs w:val="21"/>
              </w:rPr>
              <w:t>：</w:t>
            </w:r>
            <w:r>
              <w:rPr>
                <w:rFonts w:ascii="宋体" w:hAnsi="宋体" w:cs="宋体"/>
                <w:szCs w:val="21"/>
                <w:u w:val="single"/>
              </w:rPr>
              <w:t xml:space="preserve">       </w:t>
            </w:r>
          </w:p>
          <w:p w14:paraId="5DEF451F">
            <w:pPr>
              <w:pStyle w:val="299"/>
              <w:adjustRightInd w:val="0"/>
              <w:snapToGrid w:val="0"/>
              <w:spacing w:line="380" w:lineRule="exact"/>
              <w:ind w:firstLine="1365" w:firstLineChars="650"/>
              <w:rPr>
                <w:rFonts w:ascii="宋体" w:hAnsi="宋体" w:cs="宋体"/>
                <w:szCs w:val="21"/>
                <w:u w:val="single"/>
              </w:rPr>
            </w:pPr>
            <w:r>
              <w:rPr>
                <w:rFonts w:ascii="宋体" w:hAnsi="宋体" w:cs="宋体"/>
                <w:szCs w:val="21"/>
              </w:rPr>
              <w:t>E</w:t>
            </w:r>
            <w:r>
              <w:rPr>
                <w:rFonts w:ascii="宋体" w:hAnsi="宋体" w:cs="宋体"/>
                <w:szCs w:val="21"/>
                <w:vertAlign w:val="subscript"/>
              </w:rPr>
              <w:t>2</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p>
          <w:p w14:paraId="18A58B2E">
            <w:pPr>
              <w:pStyle w:val="299"/>
              <w:adjustRightInd w:val="0"/>
              <w:snapToGrid w:val="0"/>
              <w:spacing w:line="380" w:lineRule="exact"/>
              <w:ind w:firstLine="210" w:firstLineChars="100"/>
              <w:rPr>
                <w:rFonts w:hint="eastAsia" w:ascii="宋体" w:hAnsi="宋体" w:cs="宋体"/>
                <w:szCs w:val="21"/>
              </w:rPr>
            </w:pPr>
            <w:r>
              <w:rPr>
                <w:rFonts w:hint="eastAsia" w:ascii="宋体" w:hAnsi="宋体" w:cs="宋体"/>
                <w:szCs w:val="21"/>
              </w:rPr>
              <w:t>注：</w:t>
            </w:r>
            <w:r>
              <w:rPr>
                <w:rFonts w:hint="eastAsia" w:ascii="宋体" w:hAnsi="宋体" w:cs="宋体"/>
              </w:rPr>
              <w:t>招标人可以结合招标项目具体特点和实际需要设置E</w:t>
            </w:r>
            <w:r>
              <w:rPr>
                <w:rFonts w:hint="eastAsia" w:ascii="宋体" w:hAnsi="宋体" w:cs="宋体"/>
                <w:vertAlign w:val="subscript"/>
              </w:rPr>
              <w:t>1.</w:t>
            </w:r>
            <w:r>
              <w:rPr>
                <w:rFonts w:hint="eastAsia" w:ascii="宋体" w:hAnsi="宋体" w:cs="宋体"/>
              </w:rPr>
              <w:t>E</w:t>
            </w:r>
            <w:r>
              <w:rPr>
                <w:rFonts w:hint="eastAsia" w:ascii="宋体" w:hAnsi="宋体" w:cs="宋体"/>
                <w:vertAlign w:val="subscript"/>
              </w:rPr>
              <w:t>2</w:t>
            </w:r>
            <w:r>
              <w:rPr>
                <w:rFonts w:hint="eastAsia" w:ascii="宋体" w:hAnsi="宋体" w:cs="宋体"/>
              </w:rPr>
              <w:t>，E</w:t>
            </w:r>
            <w:r>
              <w:rPr>
                <w:rFonts w:hint="eastAsia" w:ascii="宋体" w:hAnsi="宋体" w:cs="宋体"/>
                <w:vertAlign w:val="subscript"/>
              </w:rPr>
              <w:t>2</w:t>
            </w:r>
            <w:r>
              <w:rPr>
                <w:rFonts w:hint="eastAsia" w:ascii="宋体" w:hAnsi="宋体" w:cs="宋体"/>
              </w:rPr>
              <w:t>值取值不宜低于1，E</w:t>
            </w:r>
            <w:r>
              <w:rPr>
                <w:rFonts w:hint="eastAsia" w:ascii="宋体" w:hAnsi="宋体" w:cs="宋体"/>
                <w:vertAlign w:val="subscript"/>
              </w:rPr>
              <w:t>1</w:t>
            </w:r>
            <w:r>
              <w:rPr>
                <w:rFonts w:hint="eastAsia" w:ascii="宋体" w:hAnsi="宋体" w:cs="宋体"/>
              </w:rPr>
              <w:t>值应大于E</w:t>
            </w:r>
            <w:r>
              <w:rPr>
                <w:rFonts w:hint="eastAsia" w:ascii="宋体" w:hAnsi="宋体" w:cs="宋体"/>
                <w:vertAlign w:val="subscript"/>
              </w:rPr>
              <w:t>2</w:t>
            </w:r>
            <w:r>
              <w:rPr>
                <w:rFonts w:hint="eastAsia" w:ascii="宋体" w:hAnsi="宋体" w:cs="宋体"/>
              </w:rPr>
              <w:t>值。</w:t>
            </w:r>
          </w:p>
          <w:p w14:paraId="3B64ED08">
            <w:pPr>
              <w:pStyle w:val="299"/>
              <w:adjustRightInd w:val="0"/>
              <w:snapToGrid w:val="0"/>
              <w:spacing w:line="380" w:lineRule="exact"/>
              <w:rPr>
                <w:rFonts w:ascii="宋体" w:hAnsi="宋体" w:cs="宋体"/>
                <w:b/>
                <w:bCs/>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方式二：</w:t>
            </w:r>
          </w:p>
          <w:p w14:paraId="75B7F437">
            <w:pPr>
              <w:pStyle w:val="299"/>
              <w:adjustRightInd w:val="0"/>
              <w:snapToGrid w:val="0"/>
              <w:spacing w:line="380" w:lineRule="exact"/>
              <w:ind w:firstLine="210" w:firstLineChars="100"/>
              <w:rPr>
                <w:rFonts w:ascii="宋体" w:hAnsi="宋体" w:cs="宋体"/>
                <w:szCs w:val="21"/>
              </w:rPr>
            </w:pPr>
            <w:r>
              <w:rPr>
                <w:rFonts w:hint="eastAsia" w:ascii="宋体" w:hAnsi="宋体" w:cs="宋体"/>
                <w:szCs w:val="21"/>
              </w:rPr>
              <w:t>评标价得分</w:t>
            </w:r>
            <w:r>
              <w:rPr>
                <w:rFonts w:ascii="宋体" w:hAnsi="宋体" w:cs="宋体"/>
                <w:szCs w:val="21"/>
              </w:rPr>
              <w:t>F=（评标基准价／投标人的评标价）×评标价权重分</w:t>
            </w:r>
          </w:p>
          <w:p w14:paraId="544E1654">
            <w:pPr>
              <w:widowControl/>
              <w:adjustRightInd w:val="0"/>
              <w:snapToGrid w:val="0"/>
              <w:spacing w:line="380" w:lineRule="exact"/>
              <w:ind w:firstLine="210" w:firstLineChars="100"/>
              <w:jc w:val="left"/>
              <w:rPr>
                <w:rFonts w:hint="eastAsia" w:eastAsia="宋体" w:cs="宋体" w:asciiTheme="minorEastAsia" w:hAnsiTheme="minorEastAsia"/>
                <w:szCs w:val="21"/>
                <w:lang w:val="en-US" w:eastAsia="zh-CN"/>
              </w:rPr>
            </w:pPr>
            <w:r>
              <w:rPr>
                <w:rFonts w:hint="eastAsia" w:ascii="宋体" w:hAnsi="宋体" w:cs="宋体"/>
                <w:szCs w:val="21"/>
              </w:rPr>
              <w:t>注：</w:t>
            </w:r>
            <w:r>
              <w:rPr>
                <w:rFonts w:hint="eastAsia"/>
              </w:rPr>
              <w:t>仅适用于以有效投标文件的最低投标报价为评标基准价的情形</w:t>
            </w:r>
            <w:r>
              <w:rPr>
                <w:rFonts w:hint="eastAsia" w:ascii="宋体" w:hAnsi="宋体" w:cs="宋体"/>
                <w:szCs w:val="21"/>
                <w:lang w:val="en-US" w:eastAsia="zh-CN"/>
              </w:rPr>
              <w:t xml:space="preserve"> </w:t>
            </w:r>
          </w:p>
        </w:tc>
      </w:tr>
      <w:tr w14:paraId="522C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75" w:type="dxa"/>
            <w:vMerge w:val="restart"/>
            <w:vAlign w:val="center"/>
          </w:tcPr>
          <w:p w14:paraId="1018DCAB">
            <w:pPr>
              <w:pStyle w:val="299"/>
              <w:spacing w:line="400" w:lineRule="exact"/>
              <w:jc w:val="center"/>
              <w:rPr>
                <w:rFonts w:ascii="宋体" w:hAnsi="宋体" w:cs="宋体"/>
                <w:szCs w:val="21"/>
              </w:rPr>
            </w:pPr>
            <w:r>
              <w:rPr>
                <w:rFonts w:ascii="宋体" w:hAnsi="宋体" w:cs="宋体"/>
                <w:szCs w:val="21"/>
              </w:rPr>
              <w:t>2.2.4</w:t>
            </w:r>
            <w:r>
              <w:rPr>
                <w:rFonts w:hint="eastAsia" w:ascii="宋体" w:hAnsi="宋体" w:cs="宋体"/>
                <w:szCs w:val="21"/>
              </w:rPr>
              <w:t>（</w:t>
            </w:r>
            <w:r>
              <w:rPr>
                <w:rFonts w:ascii="宋体" w:hAnsi="宋体" w:cs="宋体"/>
                <w:szCs w:val="21"/>
              </w:rPr>
              <w:t>4</w:t>
            </w:r>
            <w:r>
              <w:rPr>
                <w:rFonts w:hint="eastAsia" w:ascii="宋体" w:hAnsi="宋体" w:cs="宋体"/>
                <w:szCs w:val="21"/>
              </w:rPr>
              <w:t>）</w:t>
            </w:r>
          </w:p>
        </w:tc>
        <w:tc>
          <w:tcPr>
            <w:tcW w:w="535" w:type="dxa"/>
            <w:vMerge w:val="restart"/>
            <w:vAlign w:val="center"/>
          </w:tcPr>
          <w:p w14:paraId="27D23001">
            <w:pPr>
              <w:pStyle w:val="299"/>
              <w:spacing w:line="400" w:lineRule="exact"/>
              <w:jc w:val="center"/>
              <w:rPr>
                <w:rFonts w:ascii="宋体" w:hAnsi="宋体" w:cs="宋体"/>
                <w:szCs w:val="21"/>
              </w:rPr>
            </w:pPr>
            <w:r>
              <w:rPr>
                <w:rFonts w:hint="eastAsia" w:ascii="宋体" w:hAnsi="宋体" w:cs="宋体"/>
                <w:szCs w:val="21"/>
              </w:rPr>
              <w:t>其他因素</w:t>
            </w:r>
            <w:r>
              <w:rPr>
                <w:rFonts w:ascii="宋体" w:hAnsi="宋体" w:cs="宋体"/>
                <w:szCs w:val="21"/>
              </w:rPr>
              <w:t>D</w:t>
            </w:r>
          </w:p>
        </w:tc>
        <w:tc>
          <w:tcPr>
            <w:tcW w:w="895" w:type="dxa"/>
            <w:vMerge w:val="restart"/>
            <w:vAlign w:val="center"/>
          </w:tcPr>
          <w:p w14:paraId="6DD0AE8F">
            <w:pPr>
              <w:pStyle w:val="299"/>
              <w:spacing w:line="400" w:lineRule="exact"/>
              <w:jc w:val="center"/>
              <w:rPr>
                <w:rFonts w:ascii="宋体" w:hAnsi="宋体" w:cs="宋体"/>
                <w:szCs w:val="21"/>
              </w:rPr>
            </w:pPr>
            <w:r>
              <w:rPr>
                <w:rFonts w:hint="eastAsia" w:ascii="宋体" w:hAnsi="宋体" w:cs="宋体"/>
                <w:b/>
                <w:szCs w:val="21"/>
              </w:rPr>
              <w:t>□</w:t>
            </w:r>
            <w:r>
              <w:rPr>
                <w:rFonts w:hint="eastAsia" w:ascii="宋体" w:hAnsi="宋体" w:cs="宋体"/>
                <w:szCs w:val="21"/>
              </w:rPr>
              <w:t>技术</w:t>
            </w:r>
          </w:p>
          <w:p w14:paraId="0E45311D">
            <w:pPr>
              <w:pStyle w:val="299"/>
              <w:spacing w:line="400" w:lineRule="exact"/>
              <w:jc w:val="center"/>
              <w:rPr>
                <w:rFonts w:ascii="宋体" w:hAnsi="宋体" w:cs="宋体"/>
                <w:szCs w:val="21"/>
              </w:rPr>
            </w:pPr>
            <w:r>
              <w:rPr>
                <w:rFonts w:hint="eastAsia" w:ascii="宋体" w:hAnsi="宋体" w:cs="宋体"/>
                <w:szCs w:val="21"/>
              </w:rPr>
              <w:t>能力</w:t>
            </w:r>
            <w:r>
              <w:rPr>
                <w:rFonts w:ascii="宋体" w:hAnsi="宋体" w:cs="宋体"/>
                <w:szCs w:val="21"/>
              </w:rPr>
              <w:t xml:space="preserve"> G</w:t>
            </w:r>
          </w:p>
        </w:tc>
        <w:tc>
          <w:tcPr>
            <w:tcW w:w="851" w:type="dxa"/>
            <w:vMerge w:val="restart"/>
            <w:vAlign w:val="center"/>
          </w:tcPr>
          <w:p w14:paraId="2CC5236F">
            <w:pPr>
              <w:pStyle w:val="299"/>
              <w:spacing w:line="400" w:lineRule="exact"/>
              <w:ind w:left="105" w:hanging="105" w:hangingChars="50"/>
              <w:jc w:val="center"/>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0FA311AD">
            <w:pPr>
              <w:pStyle w:val="299"/>
              <w:spacing w:line="400" w:lineRule="exact"/>
              <w:jc w:val="left"/>
              <w:rPr>
                <w:rFonts w:ascii="宋体" w:hAnsi="宋体" w:cs="宋体"/>
                <w:szCs w:val="21"/>
              </w:rPr>
            </w:pPr>
            <w:r>
              <w:rPr>
                <w:rFonts w:ascii="宋体" w:hAnsi="宋体" w:cs="宋体"/>
                <w:szCs w:val="21"/>
                <w:u w:val="single"/>
              </w:rPr>
              <w:t xml:space="preserve">      </w:t>
            </w:r>
          </w:p>
        </w:tc>
        <w:tc>
          <w:tcPr>
            <w:tcW w:w="699" w:type="dxa"/>
            <w:vAlign w:val="center"/>
          </w:tcPr>
          <w:p w14:paraId="6F870701">
            <w:pPr>
              <w:pStyle w:val="299"/>
              <w:spacing w:line="400" w:lineRule="exact"/>
              <w:jc w:val="center"/>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28B11E58">
            <w:pPr>
              <w:pStyle w:val="299"/>
              <w:spacing w:line="400" w:lineRule="exact"/>
              <w:jc w:val="left"/>
              <w:rPr>
                <w:rFonts w:ascii="宋体" w:hAnsi="宋体" w:cs="宋体"/>
                <w:szCs w:val="21"/>
              </w:rPr>
            </w:pPr>
            <w:r>
              <w:rPr>
                <w:rFonts w:ascii="宋体" w:hAnsi="宋体" w:cs="宋体"/>
                <w:szCs w:val="21"/>
                <w:u w:val="single"/>
              </w:rPr>
              <w:t xml:space="preserve">       </w:t>
            </w:r>
          </w:p>
        </w:tc>
      </w:tr>
      <w:tr w14:paraId="56C9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Merge w:val="continue"/>
            <w:vAlign w:val="center"/>
          </w:tcPr>
          <w:p w14:paraId="56266EA9">
            <w:pPr>
              <w:pStyle w:val="299"/>
              <w:spacing w:line="400" w:lineRule="exact"/>
              <w:jc w:val="center"/>
              <w:rPr>
                <w:rFonts w:ascii="宋体" w:hAnsi="宋体" w:cs="宋体"/>
                <w:szCs w:val="21"/>
              </w:rPr>
            </w:pPr>
          </w:p>
        </w:tc>
        <w:tc>
          <w:tcPr>
            <w:tcW w:w="535" w:type="dxa"/>
            <w:vMerge w:val="continue"/>
            <w:vAlign w:val="center"/>
          </w:tcPr>
          <w:p w14:paraId="0DC12998">
            <w:pPr>
              <w:pStyle w:val="299"/>
              <w:spacing w:line="400" w:lineRule="exact"/>
              <w:jc w:val="center"/>
              <w:rPr>
                <w:rFonts w:ascii="宋体" w:hAnsi="宋体" w:cs="宋体"/>
                <w:szCs w:val="21"/>
              </w:rPr>
            </w:pPr>
          </w:p>
        </w:tc>
        <w:tc>
          <w:tcPr>
            <w:tcW w:w="895" w:type="dxa"/>
            <w:vMerge w:val="continue"/>
            <w:vAlign w:val="center"/>
          </w:tcPr>
          <w:p w14:paraId="7CCE999C">
            <w:pPr>
              <w:pStyle w:val="299"/>
              <w:spacing w:line="400" w:lineRule="exact"/>
              <w:jc w:val="center"/>
              <w:rPr>
                <w:rFonts w:ascii="宋体" w:hAnsi="宋体" w:cs="宋体"/>
                <w:szCs w:val="21"/>
              </w:rPr>
            </w:pPr>
          </w:p>
        </w:tc>
        <w:tc>
          <w:tcPr>
            <w:tcW w:w="851" w:type="dxa"/>
            <w:vMerge w:val="continue"/>
            <w:vAlign w:val="center"/>
          </w:tcPr>
          <w:p w14:paraId="1482C266">
            <w:pPr>
              <w:pStyle w:val="299"/>
              <w:spacing w:line="400" w:lineRule="exact"/>
              <w:rPr>
                <w:rFonts w:ascii="宋体" w:hAnsi="宋体" w:cs="宋体"/>
                <w:szCs w:val="21"/>
                <w:u w:val="single"/>
              </w:rPr>
            </w:pPr>
          </w:p>
        </w:tc>
        <w:tc>
          <w:tcPr>
            <w:tcW w:w="1338" w:type="dxa"/>
            <w:gridSpan w:val="2"/>
            <w:vAlign w:val="center"/>
          </w:tcPr>
          <w:p w14:paraId="77A80FED">
            <w:pPr>
              <w:pStyle w:val="299"/>
              <w:spacing w:line="400" w:lineRule="exact"/>
              <w:jc w:val="left"/>
              <w:rPr>
                <w:rFonts w:ascii="宋体" w:hAnsi="宋体" w:cs="宋体"/>
                <w:szCs w:val="21"/>
              </w:rPr>
            </w:pPr>
            <w:r>
              <w:rPr>
                <w:rFonts w:ascii="宋体" w:hAnsi="宋体" w:cs="宋体"/>
                <w:szCs w:val="21"/>
                <w:u w:val="single"/>
              </w:rPr>
              <w:t xml:space="preserve">      </w:t>
            </w:r>
          </w:p>
        </w:tc>
        <w:tc>
          <w:tcPr>
            <w:tcW w:w="699" w:type="dxa"/>
            <w:vAlign w:val="center"/>
          </w:tcPr>
          <w:p w14:paraId="13597F5C">
            <w:pPr>
              <w:pStyle w:val="299"/>
              <w:spacing w:line="400" w:lineRule="exact"/>
              <w:jc w:val="center"/>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73FE583F">
            <w:pPr>
              <w:pStyle w:val="299"/>
              <w:spacing w:line="400" w:lineRule="exact"/>
              <w:jc w:val="left"/>
              <w:rPr>
                <w:rFonts w:ascii="宋体" w:hAnsi="宋体" w:cs="宋体"/>
                <w:szCs w:val="21"/>
              </w:rPr>
            </w:pPr>
            <w:r>
              <w:rPr>
                <w:rFonts w:ascii="宋体" w:hAnsi="宋体" w:cs="宋体"/>
                <w:szCs w:val="21"/>
                <w:u w:val="single"/>
              </w:rPr>
              <w:t xml:space="preserve">       </w:t>
            </w:r>
          </w:p>
        </w:tc>
      </w:tr>
      <w:tr w14:paraId="2D1C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75" w:type="dxa"/>
            <w:vMerge w:val="continue"/>
            <w:vAlign w:val="center"/>
          </w:tcPr>
          <w:p w14:paraId="6E76698E">
            <w:pPr>
              <w:pStyle w:val="299"/>
              <w:spacing w:line="400" w:lineRule="exact"/>
              <w:jc w:val="center"/>
              <w:rPr>
                <w:rFonts w:ascii="宋体" w:hAnsi="宋体" w:cs="宋体"/>
                <w:szCs w:val="21"/>
              </w:rPr>
            </w:pPr>
          </w:p>
        </w:tc>
        <w:tc>
          <w:tcPr>
            <w:tcW w:w="535" w:type="dxa"/>
            <w:vMerge w:val="continue"/>
            <w:vAlign w:val="center"/>
          </w:tcPr>
          <w:p w14:paraId="4026346F">
            <w:pPr>
              <w:pStyle w:val="299"/>
              <w:spacing w:line="400" w:lineRule="exact"/>
              <w:jc w:val="center"/>
              <w:rPr>
                <w:rFonts w:ascii="宋体" w:hAnsi="宋体" w:cs="宋体"/>
                <w:szCs w:val="21"/>
              </w:rPr>
            </w:pPr>
          </w:p>
        </w:tc>
        <w:tc>
          <w:tcPr>
            <w:tcW w:w="895" w:type="dxa"/>
            <w:vMerge w:val="restart"/>
            <w:vAlign w:val="center"/>
          </w:tcPr>
          <w:p w14:paraId="2540C98C">
            <w:pPr>
              <w:pStyle w:val="299"/>
              <w:spacing w:line="400" w:lineRule="exact"/>
              <w:jc w:val="center"/>
              <w:rPr>
                <w:rFonts w:ascii="宋体" w:hAnsi="宋体" w:cs="宋体"/>
                <w:szCs w:val="21"/>
              </w:rPr>
            </w:pPr>
            <w:r>
              <w:rPr>
                <w:rFonts w:hint="eastAsia" w:ascii="宋体" w:hAnsi="宋体" w:cs="宋体"/>
                <w:b/>
                <w:szCs w:val="21"/>
              </w:rPr>
              <w:t>□</w:t>
            </w:r>
            <w:r>
              <w:rPr>
                <w:rFonts w:hint="eastAsia" w:ascii="宋体" w:hAnsi="宋体" w:cs="宋体"/>
                <w:szCs w:val="21"/>
              </w:rPr>
              <w:t>财务</w:t>
            </w:r>
          </w:p>
          <w:p w14:paraId="5D228005">
            <w:pPr>
              <w:pStyle w:val="299"/>
              <w:spacing w:line="400" w:lineRule="exact"/>
              <w:jc w:val="center"/>
              <w:rPr>
                <w:rFonts w:ascii="宋体" w:hAnsi="宋体" w:cs="宋体"/>
                <w:szCs w:val="21"/>
              </w:rPr>
            </w:pPr>
            <w:r>
              <w:rPr>
                <w:rFonts w:hint="eastAsia" w:ascii="宋体" w:hAnsi="宋体" w:cs="宋体"/>
                <w:szCs w:val="21"/>
              </w:rPr>
              <w:t>能力</w:t>
            </w:r>
            <w:r>
              <w:rPr>
                <w:rFonts w:ascii="宋体" w:hAnsi="宋体" w:cs="宋体"/>
                <w:szCs w:val="21"/>
              </w:rPr>
              <w:t>J</w:t>
            </w:r>
          </w:p>
        </w:tc>
        <w:tc>
          <w:tcPr>
            <w:tcW w:w="851" w:type="dxa"/>
            <w:vMerge w:val="restart"/>
            <w:vAlign w:val="center"/>
          </w:tcPr>
          <w:p w14:paraId="61811613">
            <w:pPr>
              <w:pStyle w:val="299"/>
              <w:spacing w:line="400" w:lineRule="exact"/>
              <w:jc w:val="center"/>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1822E60D">
            <w:pPr>
              <w:pStyle w:val="299"/>
              <w:spacing w:line="400" w:lineRule="exact"/>
              <w:jc w:val="left"/>
              <w:rPr>
                <w:rFonts w:ascii="宋体" w:hAnsi="宋体" w:cs="宋体"/>
                <w:szCs w:val="21"/>
              </w:rPr>
            </w:pPr>
            <w:r>
              <w:rPr>
                <w:rFonts w:ascii="宋体" w:hAnsi="宋体" w:cs="宋体"/>
                <w:szCs w:val="21"/>
                <w:u w:val="single"/>
              </w:rPr>
              <w:t xml:space="preserve">      </w:t>
            </w:r>
          </w:p>
        </w:tc>
        <w:tc>
          <w:tcPr>
            <w:tcW w:w="699" w:type="dxa"/>
            <w:vAlign w:val="center"/>
          </w:tcPr>
          <w:p w14:paraId="42D94CD7">
            <w:pPr>
              <w:pStyle w:val="299"/>
              <w:spacing w:line="400" w:lineRule="exact"/>
              <w:jc w:val="lef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56872E80">
            <w:pPr>
              <w:pStyle w:val="299"/>
              <w:spacing w:line="400" w:lineRule="exact"/>
              <w:jc w:val="left"/>
              <w:rPr>
                <w:rFonts w:ascii="宋体" w:hAnsi="宋体" w:cs="宋体"/>
                <w:szCs w:val="21"/>
                <w:u w:val="single"/>
              </w:rPr>
            </w:pPr>
            <w:r>
              <w:rPr>
                <w:rFonts w:ascii="宋体" w:hAnsi="宋体" w:cs="宋体"/>
                <w:szCs w:val="21"/>
                <w:u w:val="single"/>
              </w:rPr>
              <w:t xml:space="preserve">       </w:t>
            </w:r>
          </w:p>
        </w:tc>
      </w:tr>
      <w:tr w14:paraId="5318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5" w:type="dxa"/>
            <w:vMerge w:val="continue"/>
            <w:vAlign w:val="center"/>
          </w:tcPr>
          <w:p w14:paraId="7D2361E0">
            <w:pPr>
              <w:pStyle w:val="299"/>
              <w:spacing w:line="400" w:lineRule="exact"/>
              <w:jc w:val="center"/>
              <w:rPr>
                <w:rFonts w:ascii="宋体" w:hAnsi="宋体" w:cs="宋体"/>
                <w:szCs w:val="21"/>
              </w:rPr>
            </w:pPr>
          </w:p>
        </w:tc>
        <w:tc>
          <w:tcPr>
            <w:tcW w:w="535" w:type="dxa"/>
            <w:vMerge w:val="continue"/>
            <w:vAlign w:val="center"/>
          </w:tcPr>
          <w:p w14:paraId="7DADFC23">
            <w:pPr>
              <w:pStyle w:val="299"/>
              <w:spacing w:line="400" w:lineRule="exact"/>
              <w:jc w:val="center"/>
              <w:rPr>
                <w:rFonts w:ascii="宋体" w:hAnsi="宋体" w:cs="宋体"/>
                <w:szCs w:val="21"/>
              </w:rPr>
            </w:pPr>
          </w:p>
        </w:tc>
        <w:tc>
          <w:tcPr>
            <w:tcW w:w="895" w:type="dxa"/>
            <w:vMerge w:val="continue"/>
            <w:vAlign w:val="center"/>
          </w:tcPr>
          <w:p w14:paraId="79294D86">
            <w:pPr>
              <w:pStyle w:val="299"/>
              <w:spacing w:line="400" w:lineRule="exact"/>
              <w:jc w:val="center"/>
              <w:rPr>
                <w:rFonts w:ascii="宋体" w:hAnsi="宋体" w:cs="宋体"/>
                <w:szCs w:val="21"/>
              </w:rPr>
            </w:pPr>
          </w:p>
        </w:tc>
        <w:tc>
          <w:tcPr>
            <w:tcW w:w="851" w:type="dxa"/>
            <w:vMerge w:val="continue"/>
            <w:vAlign w:val="center"/>
          </w:tcPr>
          <w:p w14:paraId="22FDD09F">
            <w:pPr>
              <w:pStyle w:val="299"/>
              <w:spacing w:line="400" w:lineRule="exact"/>
              <w:rPr>
                <w:rFonts w:ascii="宋体" w:hAnsi="宋体" w:cs="宋体"/>
                <w:szCs w:val="21"/>
                <w:u w:val="single"/>
              </w:rPr>
            </w:pPr>
          </w:p>
        </w:tc>
        <w:tc>
          <w:tcPr>
            <w:tcW w:w="1338" w:type="dxa"/>
            <w:gridSpan w:val="2"/>
            <w:vAlign w:val="center"/>
          </w:tcPr>
          <w:p w14:paraId="5669329B">
            <w:pPr>
              <w:pStyle w:val="299"/>
              <w:spacing w:line="400" w:lineRule="exact"/>
              <w:jc w:val="left"/>
              <w:rPr>
                <w:rFonts w:ascii="宋体" w:hAnsi="宋体" w:cs="宋体"/>
                <w:szCs w:val="21"/>
              </w:rPr>
            </w:pPr>
            <w:r>
              <w:rPr>
                <w:rFonts w:ascii="宋体" w:hAnsi="宋体" w:cs="宋体"/>
                <w:szCs w:val="21"/>
                <w:u w:val="single"/>
              </w:rPr>
              <w:t xml:space="preserve">      </w:t>
            </w:r>
          </w:p>
        </w:tc>
        <w:tc>
          <w:tcPr>
            <w:tcW w:w="699" w:type="dxa"/>
            <w:vAlign w:val="center"/>
          </w:tcPr>
          <w:p w14:paraId="57BD7389">
            <w:pPr>
              <w:pStyle w:val="299"/>
              <w:spacing w:line="400" w:lineRule="exact"/>
              <w:jc w:val="left"/>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28E8372A">
            <w:pPr>
              <w:pStyle w:val="299"/>
              <w:spacing w:line="400" w:lineRule="exact"/>
              <w:jc w:val="left"/>
              <w:rPr>
                <w:rFonts w:ascii="宋体" w:hAnsi="宋体" w:cs="宋体"/>
                <w:szCs w:val="21"/>
                <w:u w:val="single"/>
              </w:rPr>
            </w:pPr>
            <w:r>
              <w:rPr>
                <w:rFonts w:ascii="宋体" w:hAnsi="宋体" w:cs="宋体"/>
                <w:szCs w:val="21"/>
                <w:u w:val="single"/>
              </w:rPr>
              <w:t xml:space="preserve">       </w:t>
            </w:r>
          </w:p>
        </w:tc>
      </w:tr>
      <w:tr w14:paraId="46F9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7FF8947F">
            <w:pPr>
              <w:pStyle w:val="299"/>
              <w:spacing w:line="400" w:lineRule="exact"/>
              <w:jc w:val="center"/>
              <w:rPr>
                <w:rFonts w:ascii="宋体" w:hAnsi="宋体" w:cs="宋体"/>
                <w:szCs w:val="21"/>
              </w:rPr>
            </w:pPr>
          </w:p>
        </w:tc>
        <w:tc>
          <w:tcPr>
            <w:tcW w:w="535" w:type="dxa"/>
            <w:vMerge w:val="continue"/>
            <w:vAlign w:val="center"/>
          </w:tcPr>
          <w:p w14:paraId="3B17B5BA">
            <w:pPr>
              <w:pStyle w:val="299"/>
              <w:spacing w:line="400" w:lineRule="exact"/>
              <w:jc w:val="center"/>
              <w:rPr>
                <w:rFonts w:ascii="宋体" w:hAnsi="宋体" w:cs="宋体"/>
                <w:szCs w:val="21"/>
              </w:rPr>
            </w:pPr>
          </w:p>
        </w:tc>
        <w:tc>
          <w:tcPr>
            <w:tcW w:w="895" w:type="dxa"/>
            <w:vMerge w:val="restart"/>
            <w:vAlign w:val="center"/>
          </w:tcPr>
          <w:p w14:paraId="27FF5436">
            <w:pPr>
              <w:pStyle w:val="299"/>
              <w:spacing w:line="480" w:lineRule="exact"/>
              <w:jc w:val="center"/>
              <w:rPr>
                <w:rFonts w:ascii="宋体" w:hAnsi="宋体" w:cs="宋体"/>
                <w:szCs w:val="21"/>
              </w:rPr>
            </w:pPr>
            <w:r>
              <w:rPr>
                <w:rFonts w:hint="eastAsia" w:ascii="宋体" w:hAnsi="宋体" w:cs="宋体"/>
                <w:szCs w:val="21"/>
              </w:rPr>
              <w:t>业绩</w:t>
            </w:r>
            <w:r>
              <w:rPr>
                <w:rFonts w:ascii="宋体" w:hAnsi="宋体" w:cs="宋体"/>
                <w:szCs w:val="21"/>
              </w:rPr>
              <w:t>C</w:t>
            </w:r>
          </w:p>
        </w:tc>
        <w:tc>
          <w:tcPr>
            <w:tcW w:w="851" w:type="dxa"/>
            <w:vMerge w:val="restart"/>
            <w:vAlign w:val="center"/>
          </w:tcPr>
          <w:p w14:paraId="7EDAD077">
            <w:pPr>
              <w:pStyle w:val="299"/>
              <w:spacing w:line="480" w:lineRule="exact"/>
              <w:ind w:left="315" w:hanging="315" w:hangingChars="150"/>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14017A92">
            <w:pPr>
              <w:pStyle w:val="299"/>
              <w:spacing w:line="400" w:lineRule="exact"/>
              <w:jc w:val="left"/>
              <w:rPr>
                <w:rFonts w:ascii="宋体" w:hAnsi="宋体" w:cs="宋体"/>
                <w:b/>
                <w:szCs w:val="21"/>
              </w:rPr>
            </w:pPr>
            <w:r>
              <w:rPr>
                <w:rFonts w:hint="eastAsia" w:ascii="宋体" w:hAnsi="宋体" w:cs="宋体"/>
                <w:b/>
                <w:szCs w:val="21"/>
              </w:rPr>
              <w:t>（</w:t>
            </w:r>
            <w:r>
              <w:rPr>
                <w:rFonts w:ascii="宋体" w:hAnsi="宋体" w:cs="宋体"/>
                <w:b/>
                <w:szCs w:val="21"/>
              </w:rPr>
              <w:t>1）业绩基本要求C</w:t>
            </w:r>
            <w:r>
              <w:rPr>
                <w:rFonts w:ascii="宋体" w:hAnsi="宋体" w:cs="宋体"/>
                <w:b/>
                <w:szCs w:val="21"/>
                <w:vertAlign w:val="subscript"/>
              </w:rPr>
              <w:t>0</w:t>
            </w:r>
          </w:p>
        </w:tc>
        <w:tc>
          <w:tcPr>
            <w:tcW w:w="699" w:type="dxa"/>
            <w:vAlign w:val="center"/>
          </w:tcPr>
          <w:p w14:paraId="4BE551F4">
            <w:pPr>
              <w:pStyle w:val="299"/>
              <w:spacing w:line="480" w:lineRule="exact"/>
              <w:ind w:left="105" w:hanging="105" w:hangingChars="50"/>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05D5C876">
            <w:pPr>
              <w:pStyle w:val="299"/>
              <w:spacing w:line="38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1）满足资格审查条件最低要求得</w:t>
            </w:r>
          </w:p>
          <w:p w14:paraId="09E8F7F9">
            <w:pPr>
              <w:pStyle w:val="299"/>
              <w:spacing w:line="380" w:lineRule="exact"/>
              <w:rPr>
                <w:rFonts w:ascii="宋体" w:hAnsi="宋体" w:cs="宋体"/>
                <w:kern w:val="0"/>
                <w:szCs w:val="21"/>
              </w:rPr>
            </w:pPr>
            <w:r>
              <w:rPr>
                <w:rFonts w:ascii="宋体" w:hAnsi="宋体" w:cs="宋体"/>
                <w:szCs w:val="21"/>
                <w:u w:val="single"/>
              </w:rPr>
              <w:t xml:space="preserve">    </w:t>
            </w:r>
            <w:r>
              <w:rPr>
                <w:rFonts w:hint="eastAsia" w:ascii="宋体" w:hAnsi="宋体" w:cs="宋体"/>
                <w:kern w:val="0"/>
                <w:szCs w:val="21"/>
              </w:rPr>
              <w:t>分；</w:t>
            </w:r>
          </w:p>
        </w:tc>
      </w:tr>
      <w:tr w14:paraId="11AD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75" w:type="dxa"/>
            <w:vMerge w:val="continue"/>
            <w:vAlign w:val="center"/>
          </w:tcPr>
          <w:p w14:paraId="1745F895">
            <w:pPr>
              <w:pStyle w:val="299"/>
              <w:spacing w:line="400" w:lineRule="exact"/>
              <w:jc w:val="center"/>
              <w:rPr>
                <w:rFonts w:ascii="宋体" w:hAnsi="宋体" w:cs="宋体"/>
                <w:szCs w:val="21"/>
              </w:rPr>
            </w:pPr>
          </w:p>
        </w:tc>
        <w:tc>
          <w:tcPr>
            <w:tcW w:w="535" w:type="dxa"/>
            <w:vMerge w:val="continue"/>
            <w:vAlign w:val="center"/>
          </w:tcPr>
          <w:p w14:paraId="0B0364DB">
            <w:pPr>
              <w:pStyle w:val="299"/>
              <w:spacing w:line="400" w:lineRule="exact"/>
              <w:jc w:val="center"/>
              <w:rPr>
                <w:rFonts w:ascii="宋体" w:hAnsi="宋体" w:cs="宋体"/>
                <w:szCs w:val="21"/>
              </w:rPr>
            </w:pPr>
          </w:p>
        </w:tc>
        <w:tc>
          <w:tcPr>
            <w:tcW w:w="895" w:type="dxa"/>
            <w:vMerge w:val="continue"/>
            <w:vAlign w:val="center"/>
          </w:tcPr>
          <w:p w14:paraId="0249386D">
            <w:pPr>
              <w:pStyle w:val="299"/>
              <w:spacing w:line="480" w:lineRule="exact"/>
              <w:jc w:val="center"/>
              <w:rPr>
                <w:rFonts w:ascii="宋体" w:hAnsi="宋体" w:cs="宋体"/>
                <w:szCs w:val="21"/>
              </w:rPr>
            </w:pPr>
          </w:p>
        </w:tc>
        <w:tc>
          <w:tcPr>
            <w:tcW w:w="851" w:type="dxa"/>
            <w:vMerge w:val="continue"/>
            <w:vAlign w:val="center"/>
          </w:tcPr>
          <w:p w14:paraId="3D309EB1">
            <w:pPr>
              <w:pStyle w:val="299"/>
              <w:spacing w:line="480" w:lineRule="exact"/>
              <w:ind w:left="315" w:hanging="315" w:hangingChars="150"/>
              <w:rPr>
                <w:rFonts w:ascii="宋体" w:hAnsi="宋体" w:cs="宋体"/>
                <w:szCs w:val="21"/>
                <w:u w:val="single"/>
              </w:rPr>
            </w:pPr>
          </w:p>
        </w:tc>
        <w:tc>
          <w:tcPr>
            <w:tcW w:w="1338" w:type="dxa"/>
            <w:gridSpan w:val="2"/>
            <w:vAlign w:val="center"/>
          </w:tcPr>
          <w:p w14:paraId="0C10FC39">
            <w:pPr>
              <w:pStyle w:val="299"/>
              <w:spacing w:line="380" w:lineRule="exact"/>
              <w:jc w:val="left"/>
              <w:rPr>
                <w:rFonts w:ascii="宋体" w:hAnsi="宋体" w:cs="宋体"/>
                <w:b/>
                <w:szCs w:val="21"/>
              </w:rPr>
            </w:pPr>
            <w:r>
              <w:rPr>
                <w:rFonts w:hint="eastAsia" w:ascii="宋体" w:hAnsi="宋体"/>
                <w:b/>
                <w:bCs/>
                <w:kern w:val="0"/>
                <w:szCs w:val="21"/>
              </w:rPr>
              <w:t>□</w:t>
            </w:r>
            <w:r>
              <w:rPr>
                <w:rFonts w:hint="eastAsia" w:ascii="宋体" w:hAnsi="宋体"/>
                <w:kern w:val="0"/>
                <w:szCs w:val="21"/>
              </w:rPr>
              <w:t>（2）勘察设计业绩</w:t>
            </w:r>
            <w:r>
              <w:rPr>
                <w:rFonts w:hint="eastAsia" w:ascii="宋体" w:hAnsi="宋体"/>
                <w:kern w:val="0"/>
                <w:szCs w:val="21"/>
                <w:u w:val="none"/>
              </w:rPr>
              <w:t>C</w:t>
            </w:r>
            <w:r>
              <w:rPr>
                <w:rFonts w:hint="eastAsia" w:ascii="宋体" w:hAnsi="宋体"/>
                <w:kern w:val="0"/>
                <w:szCs w:val="21"/>
                <w:u w:val="none"/>
                <w:vertAlign w:val="subscript"/>
              </w:rPr>
              <w:t>1</w:t>
            </w:r>
          </w:p>
        </w:tc>
        <w:tc>
          <w:tcPr>
            <w:tcW w:w="699" w:type="dxa"/>
            <w:vAlign w:val="center"/>
          </w:tcPr>
          <w:p w14:paraId="33F1F8BB">
            <w:pPr>
              <w:pStyle w:val="299"/>
              <w:spacing w:line="380" w:lineRule="exact"/>
              <w:ind w:left="105" w:hanging="105" w:hangingChars="50"/>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2EF5B371">
            <w:pPr>
              <w:widowControl/>
              <w:adjustRightInd w:val="0"/>
              <w:snapToGrid w:val="0"/>
              <w:spacing w:line="380" w:lineRule="exact"/>
              <w:rPr>
                <w:rFonts w:ascii="宋体" w:hAnsi="宋体" w:cs="宋体"/>
                <w:kern w:val="0"/>
                <w:szCs w:val="21"/>
              </w:rPr>
            </w:pPr>
            <w:r>
              <w:rPr>
                <w:rFonts w:hint="eastAsia" w:ascii="宋体" w:hAnsi="宋体"/>
                <w:kern w:val="0"/>
                <w:szCs w:val="21"/>
              </w:rPr>
              <w:t>（2）</w:t>
            </w:r>
            <w:r>
              <w:rPr>
                <w:rFonts w:ascii="宋体" w:hAnsi="宋体" w:cs="宋体"/>
                <w:kern w:val="0"/>
                <w:szCs w:val="21"/>
              </w:rPr>
              <w:t>扣除满足资格审查条件完成数量后：</w:t>
            </w:r>
          </w:p>
          <w:p w14:paraId="22D0A83F">
            <w:pPr>
              <w:widowControl/>
              <w:adjustRightInd w:val="0"/>
              <w:snapToGrid w:val="0"/>
              <w:spacing w:line="380" w:lineRule="exact"/>
              <w:ind w:firstLine="210" w:firstLineChars="100"/>
              <w:rPr>
                <w:rFonts w:ascii="宋体" w:hAnsi="宋体"/>
                <w:kern w:val="0"/>
                <w:szCs w:val="21"/>
              </w:rPr>
            </w:pPr>
            <w:r>
              <w:rPr>
                <w:rFonts w:hint="eastAsia" w:ascii="宋体" w:hAnsi="宋体"/>
                <w:kern w:val="0"/>
                <w:szCs w:val="21"/>
              </w:rPr>
              <w:t>每增加</w:t>
            </w:r>
            <w:r>
              <w:rPr>
                <w:rFonts w:ascii="宋体" w:hAnsi="宋体" w:cs="宋体"/>
                <w:kern w:val="0"/>
                <w:szCs w:val="21"/>
                <w:u w:val="single"/>
              </w:rPr>
              <w:t xml:space="preserve">   </w:t>
            </w:r>
            <w:r>
              <w:rPr>
                <w:rFonts w:hint="eastAsia" w:ascii="宋体" w:hAnsi="宋体" w:cs="宋体"/>
                <w:kern w:val="0"/>
                <w:szCs w:val="21"/>
              </w:rPr>
              <w:t>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7A08B5F0">
            <w:pPr>
              <w:widowControl/>
              <w:adjustRightInd w:val="0"/>
              <w:snapToGrid w:val="0"/>
              <w:spacing w:line="380" w:lineRule="exact"/>
              <w:rPr>
                <w:rFonts w:ascii="宋体" w:hAnsi="宋体" w:cs="宋体"/>
                <w:kern w:val="0"/>
                <w:szCs w:val="21"/>
              </w:rPr>
            </w:pPr>
            <w:r>
              <w:rPr>
                <w:rFonts w:hint="eastAsia" w:ascii="宋体" w:hAnsi="宋体"/>
                <w:b/>
                <w:bCs/>
                <w:kern w:val="0"/>
                <w:szCs w:val="21"/>
              </w:rPr>
              <w:t xml:space="preserve"> </w:t>
            </w:r>
            <w:r>
              <w:rPr>
                <w:rFonts w:hint="eastAsia" w:ascii="宋体" w:hAnsi="宋体"/>
                <w:kern w:val="0"/>
                <w:szCs w:val="21"/>
              </w:rPr>
              <w:t xml:space="preserve"> ……</w:t>
            </w:r>
          </w:p>
        </w:tc>
      </w:tr>
      <w:tr w14:paraId="0683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558D6D70">
            <w:pPr>
              <w:pStyle w:val="299"/>
              <w:spacing w:line="400" w:lineRule="exact"/>
              <w:jc w:val="center"/>
              <w:rPr>
                <w:rFonts w:ascii="宋体" w:hAnsi="宋体" w:cs="宋体"/>
                <w:szCs w:val="21"/>
              </w:rPr>
            </w:pPr>
          </w:p>
        </w:tc>
        <w:tc>
          <w:tcPr>
            <w:tcW w:w="535" w:type="dxa"/>
            <w:vMerge w:val="continue"/>
            <w:vAlign w:val="center"/>
          </w:tcPr>
          <w:p w14:paraId="43C80770">
            <w:pPr>
              <w:pStyle w:val="299"/>
              <w:spacing w:line="400" w:lineRule="exact"/>
              <w:jc w:val="center"/>
              <w:rPr>
                <w:rFonts w:ascii="宋体" w:hAnsi="宋体" w:cs="宋体"/>
                <w:szCs w:val="21"/>
              </w:rPr>
            </w:pPr>
          </w:p>
        </w:tc>
        <w:tc>
          <w:tcPr>
            <w:tcW w:w="895" w:type="dxa"/>
            <w:vMerge w:val="continue"/>
            <w:vAlign w:val="center"/>
          </w:tcPr>
          <w:p w14:paraId="05EFCE6E">
            <w:pPr>
              <w:pStyle w:val="299"/>
              <w:spacing w:line="400" w:lineRule="exact"/>
              <w:jc w:val="center"/>
              <w:rPr>
                <w:rFonts w:ascii="宋体" w:hAnsi="宋体" w:cs="宋体"/>
                <w:szCs w:val="21"/>
              </w:rPr>
            </w:pPr>
          </w:p>
        </w:tc>
        <w:tc>
          <w:tcPr>
            <w:tcW w:w="851" w:type="dxa"/>
            <w:vMerge w:val="continue"/>
            <w:vAlign w:val="center"/>
          </w:tcPr>
          <w:p w14:paraId="02DED930">
            <w:pPr>
              <w:pStyle w:val="299"/>
              <w:spacing w:line="400" w:lineRule="exact"/>
              <w:rPr>
                <w:rFonts w:ascii="宋体" w:hAnsi="宋体" w:cs="宋体"/>
                <w:szCs w:val="21"/>
                <w:u w:val="single"/>
              </w:rPr>
            </w:pPr>
          </w:p>
        </w:tc>
        <w:tc>
          <w:tcPr>
            <w:tcW w:w="1338" w:type="dxa"/>
            <w:gridSpan w:val="2"/>
            <w:vAlign w:val="center"/>
          </w:tcPr>
          <w:p w14:paraId="582CEF66">
            <w:pPr>
              <w:pStyle w:val="299"/>
              <w:spacing w:line="380" w:lineRule="exact"/>
              <w:jc w:val="left"/>
              <w:rPr>
                <w:rFonts w:ascii="宋体" w:hAnsi="宋体" w:cs="宋体"/>
                <w:b/>
                <w:szCs w:val="21"/>
              </w:rPr>
            </w:pPr>
            <w:r>
              <w:rPr>
                <w:rFonts w:hint="eastAsia" w:ascii="宋体" w:hAnsi="宋体"/>
                <w:b/>
                <w:bCs/>
                <w:kern w:val="0"/>
                <w:szCs w:val="21"/>
              </w:rPr>
              <w:t>□</w:t>
            </w:r>
            <w:r>
              <w:rPr>
                <w:rFonts w:hint="eastAsia" w:ascii="宋体" w:hAnsi="宋体"/>
                <w:kern w:val="0"/>
                <w:szCs w:val="21"/>
              </w:rPr>
              <w:t>（3）施工业绩</w:t>
            </w:r>
            <w:r>
              <w:rPr>
                <w:rFonts w:hint="eastAsia" w:ascii="宋体" w:hAnsi="宋体"/>
                <w:kern w:val="0"/>
                <w:szCs w:val="21"/>
                <w:u w:val="none"/>
              </w:rPr>
              <w:t>C</w:t>
            </w:r>
            <w:r>
              <w:rPr>
                <w:rFonts w:hint="eastAsia" w:ascii="宋体" w:hAnsi="宋体"/>
                <w:kern w:val="0"/>
                <w:szCs w:val="21"/>
                <w:u w:val="none"/>
                <w:vertAlign w:val="subscript"/>
              </w:rPr>
              <w:t>2</w:t>
            </w:r>
          </w:p>
        </w:tc>
        <w:tc>
          <w:tcPr>
            <w:tcW w:w="699" w:type="dxa"/>
            <w:vAlign w:val="center"/>
          </w:tcPr>
          <w:p w14:paraId="1038DA19">
            <w:pPr>
              <w:pStyle w:val="299"/>
              <w:spacing w:line="380" w:lineRule="exact"/>
              <w:ind w:left="105" w:hanging="105" w:hangingChars="50"/>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2A392163">
            <w:pPr>
              <w:widowControl/>
              <w:adjustRightInd w:val="0"/>
              <w:snapToGrid w:val="0"/>
              <w:spacing w:line="380" w:lineRule="exact"/>
              <w:rPr>
                <w:rFonts w:ascii="宋体" w:hAnsi="宋体" w:cs="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cs="宋体"/>
                <w:kern w:val="0"/>
                <w:szCs w:val="21"/>
              </w:rPr>
              <w:t>扣除满足资格审查条件完成数量后：</w:t>
            </w:r>
          </w:p>
          <w:p w14:paraId="1D444685">
            <w:pPr>
              <w:widowControl/>
              <w:adjustRightInd w:val="0"/>
              <w:snapToGrid w:val="0"/>
              <w:spacing w:line="380" w:lineRule="exact"/>
              <w:ind w:firstLine="210" w:firstLineChars="100"/>
              <w:rPr>
                <w:rFonts w:ascii="宋体" w:hAnsi="宋体"/>
                <w:kern w:val="0"/>
                <w:szCs w:val="21"/>
              </w:rPr>
            </w:pPr>
            <w:r>
              <w:rPr>
                <w:rFonts w:hint="eastAsia" w:ascii="宋体" w:hAnsi="宋体"/>
                <w:kern w:val="0"/>
                <w:szCs w:val="21"/>
              </w:rPr>
              <w:t>每增加</w:t>
            </w:r>
            <w:r>
              <w:rPr>
                <w:rFonts w:ascii="宋体" w:hAnsi="宋体" w:cs="宋体"/>
                <w:kern w:val="0"/>
                <w:szCs w:val="21"/>
                <w:u w:val="single"/>
              </w:rPr>
              <w:t xml:space="preserve">   </w:t>
            </w:r>
            <w:r>
              <w:rPr>
                <w:rFonts w:hint="eastAsia" w:ascii="宋体" w:hAnsi="宋体" w:cs="宋体"/>
                <w:kern w:val="0"/>
                <w:szCs w:val="21"/>
              </w:rPr>
              <w:t>加</w:t>
            </w:r>
            <w:r>
              <w:rPr>
                <w:rFonts w:ascii="宋体" w:hAnsi="宋体" w:cs="宋体"/>
                <w:kern w:val="0"/>
                <w:szCs w:val="21"/>
                <w:u w:val="single"/>
              </w:rPr>
              <w:t xml:space="preserve">  </w:t>
            </w:r>
            <w:r>
              <w:rPr>
                <w:rFonts w:hint="eastAsia" w:ascii="宋体" w:hAnsi="宋体" w:cs="宋体"/>
                <w:kern w:val="0"/>
                <w:szCs w:val="21"/>
              </w:rPr>
              <w:t>分，累计加</w:t>
            </w:r>
            <w:r>
              <w:rPr>
                <w:rFonts w:ascii="宋体" w:hAnsi="宋体" w:cs="宋体"/>
                <w:kern w:val="0"/>
                <w:szCs w:val="21"/>
                <w:u w:val="single"/>
              </w:rPr>
              <w:t xml:space="preserve">   </w:t>
            </w:r>
            <w:r>
              <w:rPr>
                <w:rFonts w:hint="eastAsia" w:ascii="宋体" w:hAnsi="宋体" w:cs="宋体"/>
                <w:kern w:val="0"/>
                <w:szCs w:val="21"/>
              </w:rPr>
              <w:t>分</w:t>
            </w:r>
            <w:r>
              <w:rPr>
                <w:rFonts w:hint="eastAsia" w:ascii="宋体" w:hAnsi="宋体"/>
                <w:kern w:val="0"/>
                <w:szCs w:val="21"/>
              </w:rPr>
              <w:t>。</w:t>
            </w:r>
          </w:p>
          <w:p w14:paraId="390242B0">
            <w:pPr>
              <w:pStyle w:val="299"/>
              <w:spacing w:line="380" w:lineRule="exact"/>
              <w:rPr>
                <w:rFonts w:ascii="宋体" w:hAnsi="宋体" w:cs="宋体"/>
                <w:kern w:val="0"/>
                <w:szCs w:val="21"/>
              </w:rPr>
            </w:pPr>
            <w:r>
              <w:rPr>
                <w:rFonts w:hint="eastAsia" w:ascii="宋体" w:hAnsi="宋体"/>
                <w:kern w:val="0"/>
                <w:szCs w:val="21"/>
              </w:rPr>
              <w:t xml:space="preserve">  ……</w:t>
            </w:r>
          </w:p>
        </w:tc>
      </w:tr>
      <w:tr w14:paraId="6FCC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75" w:type="dxa"/>
            <w:vMerge w:val="continue"/>
            <w:vAlign w:val="center"/>
          </w:tcPr>
          <w:p w14:paraId="180FF4B2">
            <w:pPr>
              <w:pStyle w:val="299"/>
              <w:spacing w:line="400" w:lineRule="exact"/>
              <w:jc w:val="center"/>
              <w:rPr>
                <w:rFonts w:ascii="宋体" w:hAnsi="宋体" w:cs="宋体"/>
                <w:szCs w:val="21"/>
              </w:rPr>
            </w:pPr>
          </w:p>
        </w:tc>
        <w:tc>
          <w:tcPr>
            <w:tcW w:w="535" w:type="dxa"/>
            <w:vMerge w:val="continue"/>
            <w:vAlign w:val="center"/>
          </w:tcPr>
          <w:p w14:paraId="1C965C0E">
            <w:pPr>
              <w:pStyle w:val="299"/>
              <w:spacing w:line="400" w:lineRule="exact"/>
              <w:jc w:val="center"/>
              <w:rPr>
                <w:rFonts w:ascii="宋体" w:hAnsi="宋体" w:cs="宋体"/>
                <w:szCs w:val="21"/>
              </w:rPr>
            </w:pPr>
          </w:p>
        </w:tc>
        <w:tc>
          <w:tcPr>
            <w:tcW w:w="895" w:type="dxa"/>
            <w:vMerge w:val="continue"/>
            <w:vAlign w:val="center"/>
          </w:tcPr>
          <w:p w14:paraId="21CBD687">
            <w:pPr>
              <w:pStyle w:val="299"/>
              <w:spacing w:line="400" w:lineRule="exact"/>
              <w:jc w:val="center"/>
              <w:rPr>
                <w:rFonts w:ascii="宋体" w:hAnsi="宋体" w:cs="宋体"/>
                <w:szCs w:val="21"/>
              </w:rPr>
            </w:pPr>
          </w:p>
        </w:tc>
        <w:tc>
          <w:tcPr>
            <w:tcW w:w="851" w:type="dxa"/>
            <w:vMerge w:val="continue"/>
            <w:vAlign w:val="center"/>
          </w:tcPr>
          <w:p w14:paraId="2D3155A5">
            <w:pPr>
              <w:pStyle w:val="299"/>
              <w:spacing w:line="400" w:lineRule="exact"/>
              <w:rPr>
                <w:rFonts w:ascii="宋体" w:hAnsi="宋体" w:cs="宋体"/>
                <w:szCs w:val="21"/>
                <w:u w:val="single"/>
              </w:rPr>
            </w:pPr>
          </w:p>
        </w:tc>
        <w:tc>
          <w:tcPr>
            <w:tcW w:w="1338" w:type="dxa"/>
            <w:gridSpan w:val="2"/>
            <w:vAlign w:val="center"/>
          </w:tcPr>
          <w:p w14:paraId="6BD09789">
            <w:pPr>
              <w:pStyle w:val="299"/>
              <w:spacing w:line="400" w:lineRule="exact"/>
              <w:rPr>
                <w:rFonts w:ascii="宋体" w:hAnsi="宋体" w:cs="宋体"/>
                <w:b/>
                <w:szCs w:val="21"/>
              </w:rPr>
            </w:pPr>
            <w:r>
              <w:rPr>
                <w:rFonts w:hint="eastAsia" w:ascii="宋体" w:hAnsi="宋体" w:cs="宋体"/>
                <w:b/>
                <w:szCs w:val="21"/>
              </w:rPr>
              <w:t>□</w:t>
            </w:r>
            <w:r>
              <w:rPr>
                <w:rFonts w:hint="eastAsia" w:ascii="宋体" w:hAnsi="宋体" w:cs="宋体"/>
                <w:szCs w:val="21"/>
              </w:rPr>
              <w:t>（</w:t>
            </w:r>
            <w:r>
              <w:rPr>
                <w:rFonts w:ascii="宋体" w:hAnsi="宋体" w:cs="宋体"/>
                <w:szCs w:val="21"/>
              </w:rPr>
              <w:t>4）其他</w:t>
            </w:r>
            <w:r>
              <w:rPr>
                <w:rFonts w:ascii="宋体" w:hAnsi="宋体" w:cs="宋体"/>
                <w:szCs w:val="21"/>
                <w:u w:val="none"/>
              </w:rPr>
              <w:t>C</w:t>
            </w:r>
            <w:r>
              <w:rPr>
                <w:rFonts w:ascii="宋体" w:hAnsi="宋体" w:cs="宋体"/>
                <w:szCs w:val="21"/>
                <w:u w:val="none"/>
                <w:vertAlign w:val="subscript"/>
              </w:rPr>
              <w:t>3</w:t>
            </w:r>
            <w:r>
              <w:rPr>
                <w:rFonts w:hint="eastAsia" w:ascii="宋体" w:hAnsi="宋体" w:cs="宋体"/>
                <w:szCs w:val="21"/>
              </w:rPr>
              <w:t>：</w:t>
            </w:r>
            <w:r>
              <w:rPr>
                <w:rFonts w:ascii="宋体" w:hAnsi="宋体" w:cs="宋体"/>
                <w:szCs w:val="21"/>
                <w:u w:val="single"/>
              </w:rPr>
              <w:t xml:space="preserve">      </w:t>
            </w:r>
          </w:p>
        </w:tc>
        <w:tc>
          <w:tcPr>
            <w:tcW w:w="699" w:type="dxa"/>
            <w:vAlign w:val="center"/>
          </w:tcPr>
          <w:p w14:paraId="4CDCDC69">
            <w:pPr>
              <w:pStyle w:val="299"/>
              <w:spacing w:line="480" w:lineRule="exact"/>
              <w:ind w:left="105" w:hanging="105" w:hangingChars="50"/>
              <w:rPr>
                <w:rFonts w:ascii="宋体" w:hAnsi="宋体" w:cs="宋体"/>
                <w:szCs w:val="21"/>
                <w:u w:val="single"/>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7EEB95DB">
            <w:pPr>
              <w:pStyle w:val="299"/>
              <w:spacing w:line="380" w:lineRule="exact"/>
              <w:rPr>
                <w:rFonts w:ascii="宋体" w:hAnsi="宋体" w:cs="宋体"/>
                <w:b/>
                <w:szCs w:val="21"/>
                <w:u w:val="single"/>
              </w:rPr>
            </w:pPr>
            <w:r>
              <w:rPr>
                <w:rFonts w:ascii="宋体" w:hAnsi="宋体" w:cs="宋体"/>
                <w:b/>
                <w:szCs w:val="21"/>
                <w:u w:val="single"/>
              </w:rPr>
              <w:t xml:space="preserve">       </w:t>
            </w:r>
            <w:r>
              <w:rPr>
                <w:rFonts w:ascii="宋体" w:hAnsi="宋体" w:cs="宋体"/>
                <w:b/>
                <w:szCs w:val="21"/>
              </w:rPr>
              <w:t xml:space="preserve"> </w:t>
            </w:r>
          </w:p>
        </w:tc>
      </w:tr>
      <w:tr w14:paraId="5EC6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75" w:type="dxa"/>
            <w:vMerge w:val="continue"/>
            <w:vAlign w:val="center"/>
          </w:tcPr>
          <w:p w14:paraId="081AA4AA">
            <w:pPr>
              <w:pStyle w:val="299"/>
              <w:spacing w:line="400" w:lineRule="exact"/>
              <w:jc w:val="center"/>
              <w:rPr>
                <w:rFonts w:ascii="宋体" w:hAnsi="宋体" w:cs="宋体"/>
                <w:szCs w:val="21"/>
              </w:rPr>
            </w:pPr>
          </w:p>
        </w:tc>
        <w:tc>
          <w:tcPr>
            <w:tcW w:w="535" w:type="dxa"/>
            <w:vMerge w:val="continue"/>
            <w:vAlign w:val="center"/>
          </w:tcPr>
          <w:p w14:paraId="7395F77C">
            <w:pPr>
              <w:pStyle w:val="299"/>
              <w:spacing w:line="400" w:lineRule="exact"/>
              <w:jc w:val="center"/>
              <w:rPr>
                <w:rFonts w:ascii="宋体" w:hAnsi="宋体" w:cs="宋体"/>
                <w:szCs w:val="21"/>
              </w:rPr>
            </w:pPr>
          </w:p>
        </w:tc>
        <w:tc>
          <w:tcPr>
            <w:tcW w:w="895" w:type="dxa"/>
            <w:vMerge w:val="continue"/>
            <w:vAlign w:val="center"/>
          </w:tcPr>
          <w:p w14:paraId="5C796FA9">
            <w:pPr>
              <w:pStyle w:val="299"/>
              <w:spacing w:line="400" w:lineRule="exact"/>
              <w:jc w:val="center"/>
              <w:rPr>
                <w:rFonts w:ascii="宋体" w:hAnsi="宋体" w:cs="宋体"/>
                <w:szCs w:val="21"/>
              </w:rPr>
            </w:pPr>
          </w:p>
        </w:tc>
        <w:tc>
          <w:tcPr>
            <w:tcW w:w="851" w:type="dxa"/>
            <w:vMerge w:val="continue"/>
            <w:vAlign w:val="center"/>
          </w:tcPr>
          <w:p w14:paraId="720304F7">
            <w:pPr>
              <w:pStyle w:val="299"/>
              <w:spacing w:line="400" w:lineRule="exact"/>
              <w:rPr>
                <w:rFonts w:ascii="宋体" w:hAnsi="宋体" w:cs="宋体"/>
                <w:szCs w:val="21"/>
                <w:u w:val="single"/>
              </w:rPr>
            </w:pPr>
          </w:p>
        </w:tc>
        <w:tc>
          <w:tcPr>
            <w:tcW w:w="5670" w:type="dxa"/>
            <w:gridSpan w:val="5"/>
            <w:vAlign w:val="center"/>
          </w:tcPr>
          <w:p w14:paraId="77629321">
            <w:pPr>
              <w:widowControl/>
              <w:adjustRightInd w:val="0"/>
              <w:snapToGrid w:val="0"/>
              <w:spacing w:line="380" w:lineRule="exact"/>
              <w:ind w:firstLine="210" w:firstLineChars="100"/>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注：</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满足资格审查条件</w:t>
            </w:r>
            <w:r>
              <w:rPr>
                <w:rFonts w:cs="宋体" w:asciiTheme="minorEastAsia" w:hAnsiTheme="minorEastAsia" w:eastAsiaTheme="minorEastAsia"/>
                <w:kern w:val="0"/>
                <w:szCs w:val="21"/>
              </w:rPr>
              <w:t>最低要求得分</w:t>
            </w:r>
            <w:r>
              <w:rPr>
                <w:rFonts w:hint="eastAsia" w:cs="宋体" w:asciiTheme="minorEastAsia" w:hAnsiTheme="minorEastAsia" w:eastAsiaTheme="minorEastAsia"/>
                <w:szCs w:val="21"/>
              </w:rPr>
              <w:t>与扣除</w:t>
            </w:r>
            <w:r>
              <w:rPr>
                <w:rFonts w:cs="宋体" w:asciiTheme="minorEastAsia" w:hAnsiTheme="minorEastAsia" w:eastAsiaTheme="minorEastAsia"/>
                <w:szCs w:val="21"/>
              </w:rPr>
              <w:t>满足资格审查条件完成数量后的</w:t>
            </w:r>
            <w:r>
              <w:rPr>
                <w:rFonts w:hint="eastAsia" w:cs="宋体" w:asciiTheme="minorEastAsia" w:hAnsiTheme="minorEastAsia" w:eastAsiaTheme="minorEastAsia"/>
                <w:szCs w:val="21"/>
              </w:rPr>
              <w:t>所有</w:t>
            </w:r>
            <w:r>
              <w:rPr>
                <w:rFonts w:cs="宋体" w:asciiTheme="minorEastAsia" w:hAnsiTheme="minorEastAsia" w:eastAsiaTheme="minorEastAsia"/>
                <w:szCs w:val="21"/>
              </w:rPr>
              <w:t>加分项</w:t>
            </w:r>
            <w:r>
              <w:rPr>
                <w:rFonts w:hint="eastAsia" w:cs="宋体" w:asciiTheme="minorEastAsia" w:hAnsiTheme="minorEastAsia" w:eastAsiaTheme="minorEastAsia"/>
                <w:szCs w:val="21"/>
              </w:rPr>
              <w:t>合计得分最多至满分</w:t>
            </w:r>
            <w:r>
              <w:rPr>
                <w:rFonts w:hint="eastAsia" w:cs="宋体" w:asciiTheme="minorEastAsia" w:hAnsiTheme="minorEastAsia" w:eastAsiaTheme="minorEastAsia"/>
                <w:kern w:val="0"/>
                <w:szCs w:val="21"/>
              </w:rPr>
              <w:t>为止。</w:t>
            </w:r>
          </w:p>
          <w:p w14:paraId="5465020C">
            <w:pPr>
              <w:widowControl/>
              <w:numPr>
                <w:ilvl w:val="0"/>
                <w:numId w:val="4"/>
              </w:numPr>
              <w:adjustRightInd w:val="0"/>
              <w:snapToGrid w:val="0"/>
              <w:spacing w:line="380" w:lineRule="exact"/>
              <w:ind w:firstLine="210" w:firstLineChars="100"/>
              <w:jc w:val="left"/>
              <w:rPr>
                <w:rFonts w:hint="eastAsia"/>
              </w:rPr>
            </w:pPr>
            <w:r>
              <w:rPr>
                <w:rFonts w:hint="eastAsia"/>
              </w:rPr>
              <w:t>业绩得分为各分项业绩得分合计，即：C=</w:t>
            </w:r>
            <w:r>
              <w:t>C</w:t>
            </w:r>
            <w:r>
              <w:rPr>
                <w:vertAlign w:val="subscript"/>
              </w:rPr>
              <w:t>0</w:t>
            </w:r>
            <w:r>
              <w:t>+</w:t>
            </w:r>
            <w:r>
              <w:rPr>
                <w:rFonts w:hint="eastAsia"/>
              </w:rPr>
              <w:t>C</w:t>
            </w:r>
            <w:r>
              <w:rPr>
                <w:rFonts w:hint="eastAsia"/>
                <w:vertAlign w:val="subscript"/>
              </w:rPr>
              <w:t>1</w:t>
            </w:r>
            <w:r>
              <w:rPr>
                <w:rFonts w:hint="eastAsia"/>
              </w:rPr>
              <w:t>+C</w:t>
            </w:r>
            <w:r>
              <w:rPr>
                <w:rFonts w:hint="eastAsia"/>
                <w:vertAlign w:val="subscript"/>
              </w:rPr>
              <w:t>2</w:t>
            </w:r>
            <w:r>
              <w:rPr>
                <w:rFonts w:hint="eastAsia"/>
              </w:rPr>
              <w:t>+C</w:t>
            </w:r>
            <w:r>
              <w:rPr>
                <w:rFonts w:hint="eastAsia"/>
                <w:vertAlign w:val="subscript"/>
              </w:rPr>
              <w:t>3</w:t>
            </w:r>
          </w:p>
          <w:p w14:paraId="60BAA9B3">
            <w:pPr>
              <w:widowControl/>
              <w:numPr>
                <w:ilvl w:val="-1"/>
                <w:numId w:val="0"/>
              </w:numPr>
              <w:adjustRightInd w:val="0"/>
              <w:snapToGrid w:val="0"/>
              <w:spacing w:line="380" w:lineRule="exact"/>
              <w:ind w:firstLine="0" w:firstLineChars="0"/>
              <w:jc w:val="left"/>
              <w:rPr>
                <w:rFonts w:hint="eastAsia" w:cs="宋体" w:asciiTheme="minorEastAsia" w:hAnsiTheme="minorEastAsia" w:eastAsiaTheme="minorEastAsia"/>
                <w:kern w:val="0"/>
                <w:szCs w:val="21"/>
              </w:rPr>
            </w:pPr>
            <w:r>
              <w:rPr>
                <w:rFonts w:hint="eastAsia"/>
              </w:rPr>
              <w:t>+C</w:t>
            </w:r>
            <w:r>
              <w:rPr>
                <w:rFonts w:hint="eastAsia"/>
                <w:vertAlign w:val="subscript"/>
              </w:rPr>
              <w:t>4</w:t>
            </w:r>
            <w:r>
              <w:rPr>
                <w:rFonts w:hint="eastAsia"/>
              </w:rPr>
              <w:t>+C</w:t>
            </w:r>
            <w:r>
              <w:rPr>
                <w:rFonts w:hint="eastAsia"/>
                <w:vertAlign w:val="subscript"/>
              </w:rPr>
              <w:t>5</w:t>
            </w:r>
            <w:r>
              <w:rPr>
                <w:rFonts w:hint="eastAsia"/>
              </w:rPr>
              <w:t>+C</w:t>
            </w:r>
            <w:r>
              <w:rPr>
                <w:rFonts w:hint="eastAsia"/>
                <w:vertAlign w:val="subscript"/>
              </w:rPr>
              <w:t>6</w:t>
            </w:r>
            <w:r>
              <w:rPr>
                <w:rFonts w:hint="eastAsia"/>
              </w:rPr>
              <w:t>+…。</w:t>
            </w:r>
          </w:p>
        </w:tc>
      </w:tr>
      <w:tr w14:paraId="4413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vAlign w:val="center"/>
          </w:tcPr>
          <w:p w14:paraId="614BC242">
            <w:pPr>
              <w:pStyle w:val="299"/>
              <w:spacing w:line="400" w:lineRule="exact"/>
              <w:jc w:val="center"/>
              <w:rPr>
                <w:rFonts w:ascii="宋体" w:hAnsi="宋体" w:cs="宋体"/>
                <w:szCs w:val="21"/>
              </w:rPr>
            </w:pPr>
          </w:p>
        </w:tc>
        <w:tc>
          <w:tcPr>
            <w:tcW w:w="535" w:type="dxa"/>
            <w:vMerge w:val="continue"/>
            <w:vAlign w:val="center"/>
          </w:tcPr>
          <w:p w14:paraId="12444BE3">
            <w:pPr>
              <w:pStyle w:val="299"/>
              <w:spacing w:line="400" w:lineRule="exact"/>
              <w:jc w:val="center"/>
              <w:rPr>
                <w:rFonts w:ascii="宋体" w:hAnsi="宋体" w:cs="宋体"/>
                <w:szCs w:val="21"/>
              </w:rPr>
            </w:pPr>
          </w:p>
        </w:tc>
        <w:tc>
          <w:tcPr>
            <w:tcW w:w="895" w:type="dxa"/>
            <w:vMerge w:val="restart"/>
            <w:vAlign w:val="center"/>
          </w:tcPr>
          <w:p w14:paraId="7BF81A64">
            <w:pPr>
              <w:pStyle w:val="299"/>
              <w:spacing w:line="400" w:lineRule="exact"/>
              <w:jc w:val="center"/>
              <w:rPr>
                <w:rFonts w:ascii="宋体" w:hAnsi="宋体" w:cs="宋体"/>
                <w:szCs w:val="21"/>
              </w:rPr>
            </w:pPr>
            <w:r>
              <w:rPr>
                <w:rFonts w:hint="eastAsia" w:ascii="宋体" w:hAnsi="宋体" w:cs="宋体"/>
                <w:szCs w:val="21"/>
              </w:rPr>
              <w:t>履约信誉</w:t>
            </w:r>
            <w:r>
              <w:rPr>
                <w:rFonts w:ascii="宋体" w:hAnsi="宋体" w:cs="宋体"/>
                <w:szCs w:val="21"/>
                <w:u w:val="none"/>
              </w:rPr>
              <w:t>H</w:t>
            </w:r>
          </w:p>
        </w:tc>
        <w:tc>
          <w:tcPr>
            <w:tcW w:w="851" w:type="dxa"/>
            <w:vMerge w:val="restart"/>
            <w:vAlign w:val="center"/>
          </w:tcPr>
          <w:p w14:paraId="1D0C3D95">
            <w:pPr>
              <w:pStyle w:val="299"/>
              <w:spacing w:line="400" w:lineRule="exact"/>
              <w:ind w:left="315" w:hanging="315" w:hangingChars="150"/>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41DA7FC2">
            <w:pPr>
              <w:pStyle w:val="299"/>
              <w:spacing w:line="400" w:lineRule="exact"/>
              <w:jc w:val="center"/>
              <w:rPr>
                <w:rFonts w:ascii="宋体" w:hAnsi="宋体" w:cs="宋体"/>
                <w:szCs w:val="21"/>
              </w:rPr>
            </w:pPr>
            <w:r>
              <w:rPr>
                <w:rFonts w:hint="eastAsia" w:cs="宋体" w:asciiTheme="minorEastAsia" w:hAnsiTheme="minorEastAsia" w:eastAsiaTheme="minorEastAsia"/>
                <w:szCs w:val="21"/>
              </w:rPr>
              <w:t>投标人在四川省</w:t>
            </w:r>
            <w:r>
              <w:rPr>
                <w:rFonts w:hint="eastAsia" w:ascii="宋体" w:hAnsi="宋体" w:cs="宋体" w:eastAsiaTheme="minorEastAsia"/>
                <w:bCs/>
                <w:kern w:val="0"/>
                <w:szCs w:val="21"/>
              </w:rPr>
              <w:t>交通运输厅公布的</w:t>
            </w:r>
            <w:r>
              <w:rPr>
                <w:rFonts w:hint="eastAsia" w:ascii="宋体" w:hAnsi="宋体" w:cs="宋体"/>
                <w:bCs/>
                <w:kern w:val="0"/>
                <w:szCs w:val="21"/>
              </w:rPr>
              <w:t>信用评价等级</w:t>
            </w:r>
            <w:r>
              <w:rPr>
                <w:rFonts w:ascii="宋体" w:hAnsi="宋体" w:cs="宋体"/>
                <w:szCs w:val="21"/>
                <w:u w:val="none"/>
              </w:rPr>
              <w:t>H</w:t>
            </w:r>
            <w:r>
              <w:rPr>
                <w:rFonts w:ascii="宋体" w:hAnsi="宋体" w:cs="宋体"/>
                <w:szCs w:val="21"/>
                <w:u w:val="none"/>
                <w:vertAlign w:val="subscript"/>
              </w:rPr>
              <w:t>1</w:t>
            </w:r>
          </w:p>
        </w:tc>
        <w:tc>
          <w:tcPr>
            <w:tcW w:w="699" w:type="dxa"/>
            <w:vAlign w:val="center"/>
          </w:tcPr>
          <w:p w14:paraId="420012D7">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361CE859">
            <w:pPr>
              <w:widowControl/>
              <w:spacing w:line="400" w:lineRule="exac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投标截止时间在四川省交通运输厅网站公布的：</w:t>
            </w:r>
            <w:r>
              <w:rPr>
                <w:rFonts w:hint="eastAsia" w:ascii="宋体" w:hAnsi="宋体" w:cs="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四川省重点公路建设从业单位信用评价等级；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t>；</w:t>
            </w:r>
            <w:r>
              <w:rPr>
                <w:rFonts w:hint="eastAsia" w:ascii="宋体" w:hAnsi="宋体"/>
                <w:bCs/>
                <w:szCs w:val="21"/>
                <w:u w:val="single"/>
              </w:rPr>
              <w:sym w:font="Wingdings 2" w:char="00A3"/>
            </w:r>
            <w:r>
              <w:rPr>
                <w:rFonts w:hint="eastAsia" w:ascii="宋体" w:hAnsi="宋体"/>
                <w:bCs/>
                <w:szCs w:val="21"/>
                <w:u w:val="single"/>
              </w:rPr>
              <w:t xml:space="preserve"> </w:t>
            </w:r>
            <w:r>
              <w:rPr>
                <w:rFonts w:hint="eastAsia" w:ascii="宋体" w:hAnsi="宋体"/>
                <w:szCs w:val="21"/>
                <w:u w:val="single"/>
              </w:rPr>
              <w:t>四川省农村公路建设从业单位信用评价等级；</w:t>
            </w:r>
            <w:r>
              <w:rPr>
                <w:rFonts w:hint="eastAsia" w:ascii="宋体" w:hAnsi="宋体" w:cs="宋体"/>
                <w:bCs/>
                <w:szCs w:val="21"/>
                <w:u w:val="single"/>
              </w:rPr>
              <w:sym w:font="Wingdings 2" w:char="00A3"/>
            </w:r>
            <w:r>
              <w:rPr>
                <w:rFonts w:hint="eastAsia" w:ascii="宋体" w:hAnsi="宋体" w:cs="宋体"/>
                <w:bCs/>
                <w:szCs w:val="21"/>
                <w:u w:val="single"/>
              </w:rPr>
              <w:t>或</w:t>
            </w:r>
            <w:r>
              <w:rPr>
                <w:rFonts w:hint="eastAsia" w:ascii="宋体" w:hAnsi="宋体"/>
                <w:bCs/>
                <w:szCs w:val="21"/>
                <w:u w:val="single"/>
              </w:rPr>
              <w:t>；</w:t>
            </w:r>
            <w:r>
              <w:rPr>
                <w:rFonts w:hint="eastAsia" w:ascii="宋体" w:hAnsi="宋体"/>
                <w:bCs/>
                <w:szCs w:val="21"/>
                <w:u w:val="single"/>
              </w:rPr>
              <w:sym w:font="Wingdings 2" w:char="00A3"/>
            </w:r>
            <w:r>
              <w:rPr>
                <w:rFonts w:hint="eastAsia"/>
                <w:szCs w:val="21"/>
                <w:u w:val="single"/>
              </w:rPr>
              <w:t>四川省重点公路养护工程从业单位信用</w:t>
            </w:r>
            <w:r>
              <w:rPr>
                <w:rFonts w:hint="eastAsia"/>
                <w:szCs w:val="21"/>
                <w:u w:val="single"/>
                <w:lang w:val="en-US" w:eastAsia="zh-CN"/>
              </w:rPr>
              <w:t>评价等级</w:t>
            </w:r>
            <w:r>
              <w:rPr>
                <w:rFonts w:hint="eastAsia" w:ascii="宋体" w:hAnsi="宋体"/>
                <w:szCs w:val="21"/>
              </w:rPr>
              <w:t>。</w:t>
            </w:r>
          </w:p>
          <w:p w14:paraId="58A5B9EC">
            <w:pPr>
              <w:widowControl/>
              <w:spacing w:line="400" w:lineRule="exact"/>
              <w:ind w:firstLine="210" w:firstLineChars="100"/>
              <w:rPr>
                <w:rFonts w:ascii="宋体" w:hAnsi="宋体" w:cs="宋体"/>
                <w:bCs/>
                <w:kern w:val="0"/>
                <w:szCs w:val="21"/>
              </w:rPr>
            </w:pPr>
            <w:r>
              <w:rPr>
                <w:rFonts w:ascii="宋体" w:hAnsi="宋体" w:cs="宋体"/>
                <w:bCs/>
                <w:kern w:val="0"/>
                <w:szCs w:val="21"/>
              </w:rPr>
              <w:t>AA</w:t>
            </w:r>
            <w:r>
              <w:rPr>
                <w:rFonts w:hint="eastAsia" w:ascii="宋体" w:hAnsi="宋体" w:cs="宋体"/>
                <w:bCs/>
                <w:kern w:val="0"/>
                <w:szCs w:val="21"/>
              </w:rPr>
              <w:t>级及以上得分：</w:t>
            </w:r>
            <w:r>
              <w:rPr>
                <w:rFonts w:hint="eastAsia" w:cs="宋体" w:asciiTheme="minorEastAsia" w:hAnsiTheme="minorEastAsia" w:eastAsiaTheme="minorEastAsia"/>
                <w:bCs/>
                <w:kern w:val="0"/>
                <w:szCs w:val="21"/>
                <w:u w:val="single"/>
              </w:rPr>
              <w:t>信用评价等级权重分值</w:t>
            </w:r>
            <w:r>
              <w:rPr>
                <w:rFonts w:hint="eastAsia" w:ascii="宋体" w:hAnsi="宋体" w:cs="宋体"/>
                <w:bCs/>
                <w:kern w:val="0"/>
                <w:szCs w:val="21"/>
                <w:u w:val="single"/>
              </w:rPr>
              <w:t>×</w:t>
            </w:r>
            <w:r>
              <w:rPr>
                <w:rFonts w:ascii="宋体" w:hAnsi="宋体" w:cs="宋体"/>
                <w:bCs/>
                <w:kern w:val="0"/>
                <w:szCs w:val="21"/>
                <w:u w:val="single"/>
              </w:rPr>
              <w:t>1.0</w:t>
            </w:r>
            <w:r>
              <w:rPr>
                <w:rFonts w:hint="eastAsia" w:ascii="宋体" w:hAnsi="宋体" w:cs="宋体"/>
                <w:bCs/>
                <w:kern w:val="0"/>
                <w:szCs w:val="21"/>
              </w:rPr>
              <w:t>；</w:t>
            </w:r>
          </w:p>
          <w:p w14:paraId="58E635FC">
            <w:pPr>
              <w:widowControl/>
              <w:spacing w:line="400" w:lineRule="exact"/>
              <w:ind w:firstLine="210" w:firstLineChars="100"/>
              <w:rPr>
                <w:rFonts w:ascii="宋体" w:hAnsi="宋体" w:cs="宋体"/>
                <w:bCs/>
                <w:kern w:val="0"/>
                <w:szCs w:val="21"/>
              </w:rPr>
            </w:pPr>
            <w:r>
              <w:rPr>
                <w:rFonts w:ascii="宋体" w:hAnsi="宋体" w:cs="宋体"/>
                <w:bCs/>
                <w:kern w:val="0"/>
                <w:szCs w:val="21"/>
              </w:rPr>
              <w:t>A</w:t>
            </w:r>
            <w:r>
              <w:rPr>
                <w:rFonts w:hint="eastAsia" w:ascii="宋体" w:hAnsi="宋体" w:cs="宋体"/>
                <w:bCs/>
                <w:kern w:val="0"/>
                <w:szCs w:val="21"/>
              </w:rPr>
              <w:t>级得分：</w:t>
            </w:r>
            <w:r>
              <w:rPr>
                <w:rFonts w:hint="eastAsia" w:cs="宋体" w:asciiTheme="minorEastAsia" w:hAnsiTheme="minorEastAsia" w:eastAsiaTheme="minorEastAsia"/>
                <w:bCs/>
                <w:kern w:val="0"/>
                <w:szCs w:val="21"/>
                <w:u w:val="single"/>
              </w:rPr>
              <w:t>信用评价等级权重分值</w:t>
            </w:r>
            <w:r>
              <w:rPr>
                <w:rFonts w:hint="eastAsia" w:ascii="宋体" w:hAnsi="宋体" w:cs="宋体"/>
                <w:bCs/>
                <w:kern w:val="0"/>
                <w:szCs w:val="21"/>
                <w:u w:val="single"/>
              </w:rPr>
              <w:t>×</w:t>
            </w:r>
            <w:r>
              <w:rPr>
                <w:rFonts w:hint="eastAsia" w:cs="宋体" w:asciiTheme="minorEastAsia" w:hAnsiTheme="minorEastAsia" w:eastAsiaTheme="minorEastAsia"/>
                <w:bCs/>
                <w:kern w:val="0"/>
                <w:szCs w:val="21"/>
                <w:u w:val="single"/>
                <w:lang w:val="en-US" w:eastAsia="zh-CN"/>
              </w:rPr>
              <w:t>项目对应信用管理办法设置比例</w:t>
            </w:r>
            <w:r>
              <w:rPr>
                <w:rFonts w:hint="eastAsia" w:ascii="宋体" w:hAnsi="宋体" w:cs="宋体"/>
                <w:bCs/>
                <w:kern w:val="0"/>
                <w:szCs w:val="21"/>
              </w:rPr>
              <w:t>；</w:t>
            </w:r>
          </w:p>
          <w:p w14:paraId="53C97CD8">
            <w:pPr>
              <w:widowControl/>
              <w:spacing w:line="400" w:lineRule="exact"/>
              <w:ind w:firstLine="210" w:firstLineChars="100"/>
              <w:rPr>
                <w:rFonts w:ascii="宋体" w:hAnsi="宋体" w:cs="宋体"/>
                <w:bCs/>
                <w:kern w:val="0"/>
                <w:szCs w:val="21"/>
              </w:rPr>
            </w:pPr>
            <w:r>
              <w:rPr>
                <w:rFonts w:ascii="宋体" w:hAnsi="宋体" w:cs="宋体"/>
                <w:bCs/>
                <w:kern w:val="0"/>
                <w:szCs w:val="21"/>
              </w:rPr>
              <w:t>B级</w:t>
            </w:r>
            <w:r>
              <w:rPr>
                <w:rFonts w:hint="eastAsia" w:ascii="宋体" w:hAnsi="宋体" w:cs="宋体"/>
                <w:bCs/>
                <w:kern w:val="0"/>
                <w:szCs w:val="21"/>
              </w:rPr>
              <w:t>得分：</w:t>
            </w:r>
            <w:r>
              <w:rPr>
                <w:rFonts w:hint="eastAsia" w:cs="宋体" w:asciiTheme="minorEastAsia" w:hAnsiTheme="minorEastAsia" w:eastAsiaTheme="minorEastAsia"/>
                <w:bCs/>
                <w:kern w:val="0"/>
                <w:szCs w:val="21"/>
                <w:u w:val="single"/>
              </w:rPr>
              <w:t>信用评价等级权重分值</w:t>
            </w:r>
            <w:r>
              <w:rPr>
                <w:rFonts w:hint="eastAsia" w:ascii="宋体" w:hAnsi="宋体" w:cs="宋体"/>
                <w:bCs/>
                <w:kern w:val="0"/>
                <w:szCs w:val="21"/>
                <w:u w:val="single"/>
              </w:rPr>
              <w:t>×</w:t>
            </w:r>
            <w:r>
              <w:rPr>
                <w:rFonts w:hint="eastAsia" w:cs="宋体" w:asciiTheme="minorEastAsia" w:hAnsiTheme="minorEastAsia" w:eastAsiaTheme="minorEastAsia"/>
                <w:bCs/>
                <w:kern w:val="0"/>
                <w:szCs w:val="21"/>
                <w:u w:val="single"/>
                <w:lang w:val="en-US" w:eastAsia="zh-CN"/>
              </w:rPr>
              <w:t>项目对应信用管理办法设置比例</w:t>
            </w:r>
            <w:r>
              <w:rPr>
                <w:rFonts w:hint="eastAsia" w:ascii="宋体" w:hAnsi="宋体" w:cs="宋体"/>
                <w:bCs/>
                <w:kern w:val="0"/>
                <w:szCs w:val="21"/>
              </w:rPr>
              <w:t>；</w:t>
            </w:r>
          </w:p>
          <w:p w14:paraId="4E793578">
            <w:pPr>
              <w:widowControl/>
              <w:spacing w:line="400" w:lineRule="exact"/>
              <w:ind w:firstLine="210" w:firstLineChars="100"/>
              <w:rPr>
                <w:rFonts w:ascii="宋体" w:hAnsi="宋体" w:cs="宋体"/>
                <w:bCs/>
                <w:kern w:val="0"/>
                <w:szCs w:val="21"/>
              </w:rPr>
            </w:pPr>
            <w:r>
              <w:rPr>
                <w:rFonts w:ascii="宋体" w:hAnsi="宋体" w:cs="宋体"/>
                <w:bCs/>
                <w:kern w:val="0"/>
                <w:szCs w:val="21"/>
              </w:rPr>
              <w:t>C级</w:t>
            </w:r>
            <w:r>
              <w:rPr>
                <w:rFonts w:hint="eastAsia" w:ascii="宋体" w:hAnsi="宋体" w:cs="宋体"/>
                <w:bCs/>
                <w:kern w:val="0"/>
                <w:szCs w:val="21"/>
              </w:rPr>
              <w:t>得分：</w:t>
            </w:r>
            <w:r>
              <w:rPr>
                <w:rFonts w:hint="eastAsia" w:ascii="宋体" w:hAnsi="宋体" w:cs="宋体"/>
                <w:bCs/>
                <w:kern w:val="0"/>
                <w:szCs w:val="21"/>
                <w:u w:val="single"/>
                <w:lang w:val="en-US" w:eastAsia="zh-CN"/>
              </w:rPr>
              <w:t xml:space="preserve"> </w:t>
            </w:r>
            <w:r>
              <w:rPr>
                <w:rFonts w:ascii="宋体" w:hAnsi="宋体" w:cs="宋体"/>
                <w:bCs/>
                <w:kern w:val="0"/>
                <w:szCs w:val="21"/>
                <w:u w:val="single"/>
              </w:rPr>
              <w:t>0</w:t>
            </w:r>
            <w:r>
              <w:rPr>
                <w:rFonts w:hint="eastAsia" w:ascii="宋体" w:hAnsi="宋体" w:cs="宋体"/>
                <w:bCs/>
                <w:kern w:val="0"/>
                <w:szCs w:val="21"/>
                <w:u w:val="single"/>
              </w:rPr>
              <w:t xml:space="preserve"> </w:t>
            </w:r>
            <w:r>
              <w:rPr>
                <w:rFonts w:ascii="宋体" w:hAnsi="宋体" w:cs="宋体"/>
                <w:bCs/>
                <w:kern w:val="0"/>
                <w:szCs w:val="21"/>
              </w:rPr>
              <w:t>。</w:t>
            </w:r>
          </w:p>
          <w:p w14:paraId="7C36ABAA">
            <w:pPr>
              <w:pStyle w:val="299"/>
              <w:adjustRightInd w:val="0"/>
              <w:snapToGrid w:val="0"/>
              <w:spacing w:line="360" w:lineRule="exact"/>
              <w:ind w:firstLine="210" w:firstLineChars="100"/>
              <w:rPr>
                <w:rFonts w:ascii="宋体" w:hAnsi="宋体" w:cs="宋体"/>
                <w:bCs/>
                <w:kern w:val="0"/>
                <w:szCs w:val="21"/>
              </w:rPr>
            </w:pPr>
            <w:r>
              <w:rPr>
                <w:rFonts w:hint="eastAsia" w:ascii="宋体" w:hAnsi="宋体" w:cs="宋体"/>
                <w:bCs/>
                <w:kern w:val="0"/>
                <w:szCs w:val="21"/>
              </w:rPr>
              <w:t>注：</w:t>
            </w:r>
            <w:r>
              <w:rPr>
                <w:rFonts w:hint="eastAsia" w:ascii="宋体" w:hAnsi="宋体" w:cs="宋体"/>
                <w:bCs/>
                <w:kern w:val="0"/>
                <w:szCs w:val="21"/>
                <w:lang w:val="en-US" w:eastAsia="zh-CN"/>
              </w:rPr>
              <w:t>1.</w:t>
            </w:r>
            <w:r>
              <w:rPr>
                <w:rFonts w:hint="eastAsia" w:ascii="宋体" w:hAnsi="宋体" w:cs="宋体"/>
                <w:szCs w:val="21"/>
              </w:rPr>
              <w:t>允许联合体投标时，以联合体形式投标的，投标人</w:t>
            </w:r>
            <w:r>
              <w:rPr>
                <w:rFonts w:ascii="宋体" w:hAnsi="宋体" w:cs="宋体"/>
                <w:szCs w:val="21"/>
              </w:rPr>
              <w:t>在</w:t>
            </w:r>
            <w:r>
              <w:rPr>
                <w:rFonts w:hint="eastAsia" w:ascii="宋体" w:hAnsi="宋体" w:cs="宋体"/>
                <w:szCs w:val="21"/>
              </w:rPr>
              <w:t>上述同一信用评价体系的信用</w:t>
            </w:r>
            <w:r>
              <w:rPr>
                <w:rFonts w:ascii="宋体" w:hAnsi="宋体" w:cs="宋体"/>
                <w:szCs w:val="21"/>
              </w:rPr>
              <w:t>评价等级</w:t>
            </w:r>
            <w:r>
              <w:rPr>
                <w:rFonts w:hint="eastAsia" w:ascii="宋体" w:hAnsi="宋体" w:cs="宋体"/>
                <w:szCs w:val="21"/>
              </w:rPr>
              <w:t>以联合体中信用评价等级低的为准</w:t>
            </w:r>
            <w:r>
              <w:rPr>
                <w:rFonts w:hint="eastAsia" w:ascii="宋体" w:hAnsi="宋体" w:cs="宋体"/>
                <w:bCs/>
                <w:kern w:val="0"/>
                <w:szCs w:val="21"/>
              </w:rPr>
              <w:t>。</w:t>
            </w:r>
          </w:p>
          <w:p w14:paraId="11F280E6">
            <w:pPr>
              <w:widowControl/>
              <w:numPr>
                <w:ilvl w:val="-1"/>
                <w:numId w:val="0"/>
              </w:numPr>
              <w:spacing w:line="400" w:lineRule="exact"/>
              <w:ind w:firstLine="210" w:firstLineChars="100"/>
              <w:rPr>
                <w:rFonts w:hint="eastAsia" w:ascii="宋体" w:hAnsi="宋体" w:cs="宋体"/>
                <w:szCs w:val="21"/>
              </w:rPr>
            </w:pPr>
            <w:r>
              <w:rPr>
                <w:rFonts w:hint="eastAsia" w:ascii="宋体" w:hAnsi="宋体"/>
                <w:lang w:val="en-US" w:eastAsia="zh-CN"/>
              </w:rPr>
              <w:t>2.</w:t>
            </w:r>
            <w:r>
              <w:rPr>
                <w:rFonts w:hint="eastAsia" w:ascii="宋体" w:hAnsi="宋体"/>
              </w:rPr>
              <w:t>招标人根据投标人在四川省交通运输厅网站公布的四川省重点公路</w:t>
            </w:r>
            <w:r>
              <w:rPr>
                <w:rFonts w:hint="eastAsia" w:ascii="宋体" w:hAnsi="宋体" w:cs="宋体"/>
                <w:bCs/>
                <w:kern w:val="0"/>
                <w:szCs w:val="21"/>
              </w:rPr>
              <w:t>建设从业单位信用评价等级或</w:t>
            </w:r>
            <w:r>
              <w:rPr>
                <w:rFonts w:hint="eastAsia" w:ascii="宋体" w:hAnsi="宋体"/>
              </w:rPr>
              <w:t>四川省农村公路</w:t>
            </w:r>
            <w:r>
              <w:rPr>
                <w:rFonts w:hint="eastAsia" w:ascii="宋体" w:hAnsi="宋体" w:cs="宋体"/>
                <w:bCs/>
                <w:kern w:val="0"/>
                <w:szCs w:val="21"/>
              </w:rPr>
              <w:t>建设从业单位信用评价等级</w:t>
            </w:r>
            <w:r>
              <w:rPr>
                <w:rFonts w:hint="eastAsia" w:ascii="宋体" w:hAnsi="宋体" w:cs="宋体"/>
                <w:bCs/>
                <w:kern w:val="0"/>
                <w:szCs w:val="21"/>
                <w:u w:val="none"/>
                <w:lang w:val="en-US" w:eastAsia="zh-CN"/>
              </w:rPr>
              <w:t>或</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cs="宋体"/>
                <w:bCs/>
                <w:kern w:val="0"/>
                <w:szCs w:val="21"/>
              </w:rPr>
              <w:t>对其履约信用进行评分。</w:t>
            </w:r>
          </w:p>
          <w:p w14:paraId="1A5C1767">
            <w:pPr>
              <w:widowControl/>
              <w:numPr>
                <w:ilvl w:val="-1"/>
                <w:numId w:val="0"/>
              </w:numPr>
              <w:spacing w:line="400" w:lineRule="exact"/>
              <w:ind w:firstLine="210" w:firstLineChars="100"/>
              <w:rPr>
                <w:rFonts w:ascii="宋体" w:hAnsi="宋体" w:cs="宋体"/>
                <w:szCs w:val="21"/>
              </w:rPr>
            </w:pPr>
            <w:r>
              <w:rPr>
                <w:rFonts w:hint="eastAsia" w:ascii="宋体" w:hAnsi="宋体" w:cs="宋体"/>
                <w:bCs/>
                <w:kern w:val="0"/>
                <w:szCs w:val="21"/>
                <w:lang w:val="en-US" w:eastAsia="zh-CN"/>
              </w:rPr>
              <w:t>3.</w:t>
            </w:r>
            <w:r>
              <w:rPr>
                <w:rFonts w:hint="eastAsia" w:ascii="宋体" w:hAnsi="宋体" w:cs="宋体"/>
                <w:bCs/>
                <w:kern w:val="0"/>
                <w:szCs w:val="21"/>
              </w:rPr>
              <w:t>独立投标人以勘察设计、施工中信用评价等级低的为准。</w:t>
            </w:r>
          </w:p>
        </w:tc>
      </w:tr>
      <w:tr w14:paraId="0D43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dxa"/>
            <w:vMerge w:val="continue"/>
            <w:vAlign w:val="center"/>
          </w:tcPr>
          <w:p w14:paraId="4ECB4005">
            <w:pPr>
              <w:pStyle w:val="299"/>
              <w:spacing w:line="400" w:lineRule="exact"/>
              <w:jc w:val="center"/>
              <w:rPr>
                <w:rFonts w:ascii="宋体" w:hAnsi="宋体" w:cs="宋体"/>
                <w:szCs w:val="21"/>
              </w:rPr>
            </w:pPr>
          </w:p>
        </w:tc>
        <w:tc>
          <w:tcPr>
            <w:tcW w:w="535" w:type="dxa"/>
            <w:vMerge w:val="continue"/>
            <w:vAlign w:val="center"/>
          </w:tcPr>
          <w:p w14:paraId="22F7FCCE">
            <w:pPr>
              <w:pStyle w:val="299"/>
              <w:spacing w:line="400" w:lineRule="exact"/>
              <w:jc w:val="center"/>
              <w:rPr>
                <w:rFonts w:ascii="宋体" w:hAnsi="宋体" w:cs="宋体"/>
                <w:szCs w:val="21"/>
              </w:rPr>
            </w:pPr>
          </w:p>
        </w:tc>
        <w:tc>
          <w:tcPr>
            <w:tcW w:w="895" w:type="dxa"/>
            <w:vMerge w:val="continue"/>
            <w:vAlign w:val="center"/>
          </w:tcPr>
          <w:p w14:paraId="7272B7CF">
            <w:pPr>
              <w:pStyle w:val="299"/>
              <w:spacing w:line="400" w:lineRule="exact"/>
              <w:rPr>
                <w:rFonts w:ascii="宋体" w:hAnsi="宋体" w:cs="宋体"/>
                <w:szCs w:val="21"/>
              </w:rPr>
            </w:pPr>
          </w:p>
        </w:tc>
        <w:tc>
          <w:tcPr>
            <w:tcW w:w="851" w:type="dxa"/>
            <w:vMerge w:val="continue"/>
            <w:vAlign w:val="center"/>
          </w:tcPr>
          <w:p w14:paraId="49E6E042">
            <w:pPr>
              <w:pStyle w:val="299"/>
              <w:spacing w:line="400" w:lineRule="exact"/>
              <w:rPr>
                <w:rFonts w:ascii="宋体" w:hAnsi="宋体" w:cs="宋体"/>
                <w:szCs w:val="21"/>
              </w:rPr>
            </w:pPr>
          </w:p>
        </w:tc>
        <w:tc>
          <w:tcPr>
            <w:tcW w:w="1338" w:type="dxa"/>
            <w:gridSpan w:val="2"/>
            <w:vAlign w:val="center"/>
          </w:tcPr>
          <w:p w14:paraId="758980F1">
            <w:pPr>
              <w:pStyle w:val="299"/>
              <w:spacing w:line="400" w:lineRule="exact"/>
              <w:rPr>
                <w:rFonts w:ascii="宋体" w:hAnsi="宋体" w:cs="宋体"/>
                <w:b/>
                <w:bCs/>
                <w:szCs w:val="21"/>
              </w:rPr>
            </w:pPr>
            <w:r>
              <w:rPr>
                <w:rFonts w:hint="eastAsia" w:ascii="宋体" w:hAnsi="宋体" w:cs="宋体"/>
                <w:b/>
                <w:bCs/>
                <w:szCs w:val="21"/>
              </w:rPr>
              <w:t>□</w:t>
            </w:r>
            <w:r>
              <w:rPr>
                <w:rFonts w:ascii="宋体" w:hAnsi="宋体" w:cs="宋体"/>
                <w:b/>
                <w:bCs/>
                <w:szCs w:val="21"/>
                <w:u w:val="single"/>
              </w:rPr>
              <w:t xml:space="preserve">         </w:t>
            </w:r>
          </w:p>
        </w:tc>
        <w:tc>
          <w:tcPr>
            <w:tcW w:w="699" w:type="dxa"/>
            <w:vAlign w:val="center"/>
          </w:tcPr>
          <w:p w14:paraId="344CA52D">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34BB7755">
            <w:pPr>
              <w:pStyle w:val="299"/>
              <w:spacing w:line="400" w:lineRule="exact"/>
              <w:rPr>
                <w:rFonts w:ascii="宋体" w:hAnsi="宋体" w:cs="宋体"/>
                <w:szCs w:val="21"/>
              </w:rPr>
            </w:pPr>
            <w:r>
              <w:rPr>
                <w:rFonts w:ascii="宋体" w:hAnsi="宋体" w:cs="宋体"/>
                <w:szCs w:val="21"/>
                <w:u w:val="single"/>
              </w:rPr>
              <w:t xml:space="preserve">        </w:t>
            </w:r>
          </w:p>
        </w:tc>
      </w:tr>
      <w:tr w14:paraId="40AA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75" w:type="dxa"/>
            <w:vMerge w:val="continue"/>
            <w:vAlign w:val="center"/>
          </w:tcPr>
          <w:p w14:paraId="74206FF9">
            <w:pPr>
              <w:pStyle w:val="299"/>
              <w:spacing w:line="400" w:lineRule="exact"/>
              <w:jc w:val="center"/>
              <w:rPr>
                <w:rFonts w:ascii="宋体" w:hAnsi="宋体" w:cs="宋体"/>
                <w:szCs w:val="21"/>
              </w:rPr>
            </w:pPr>
          </w:p>
        </w:tc>
        <w:tc>
          <w:tcPr>
            <w:tcW w:w="535" w:type="dxa"/>
            <w:vMerge w:val="continue"/>
            <w:vAlign w:val="center"/>
          </w:tcPr>
          <w:p w14:paraId="3D1067D3">
            <w:pPr>
              <w:pStyle w:val="299"/>
              <w:spacing w:line="400" w:lineRule="exact"/>
              <w:jc w:val="center"/>
              <w:rPr>
                <w:rFonts w:ascii="宋体" w:hAnsi="宋体" w:cs="宋体"/>
                <w:szCs w:val="21"/>
              </w:rPr>
            </w:pPr>
          </w:p>
        </w:tc>
        <w:tc>
          <w:tcPr>
            <w:tcW w:w="895" w:type="dxa"/>
            <w:vMerge w:val="restart"/>
            <w:vAlign w:val="center"/>
          </w:tcPr>
          <w:p w14:paraId="3E56D26B">
            <w:pPr>
              <w:pStyle w:val="299"/>
              <w:spacing w:line="400" w:lineRule="exact"/>
              <w:rPr>
                <w:rFonts w:ascii="宋体" w:hAnsi="宋体" w:cs="宋体"/>
                <w:szCs w:val="21"/>
              </w:rPr>
            </w:pPr>
            <w:r>
              <w:rPr>
                <w:rFonts w:hint="eastAsia" w:ascii="宋体" w:hAnsi="宋体" w:cs="宋体"/>
                <w:b/>
                <w:szCs w:val="21"/>
              </w:rPr>
              <w:t>□</w:t>
            </w:r>
            <w:r>
              <w:rPr>
                <w:rStyle w:val="58"/>
                <w:rFonts w:hint="eastAsia"/>
              </w:rPr>
              <w:t>其他</w:t>
            </w:r>
          </w:p>
        </w:tc>
        <w:tc>
          <w:tcPr>
            <w:tcW w:w="851" w:type="dxa"/>
            <w:vMerge w:val="restart"/>
            <w:vAlign w:val="center"/>
          </w:tcPr>
          <w:p w14:paraId="6D57FFDA">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1338" w:type="dxa"/>
            <w:gridSpan w:val="2"/>
            <w:vAlign w:val="center"/>
          </w:tcPr>
          <w:p w14:paraId="175A2EC7">
            <w:pPr>
              <w:pStyle w:val="299"/>
              <w:adjustRightInd w:val="0"/>
              <w:snapToGrid w:val="0"/>
              <w:spacing w:line="400" w:lineRule="exact"/>
              <w:rPr>
                <w:rFonts w:ascii="宋体" w:hAnsi="宋体" w:cs="宋体"/>
                <w:szCs w:val="21"/>
              </w:rPr>
            </w:pPr>
            <w:r>
              <w:rPr>
                <w:rFonts w:hint="eastAsia" w:ascii="宋体" w:hAnsi="宋体" w:cs="宋体"/>
                <w:color w:val="auto"/>
                <w:szCs w:val="21"/>
                <w:highlight w:val="none"/>
              </w:rPr>
              <w:t>……</w:t>
            </w:r>
          </w:p>
        </w:tc>
        <w:tc>
          <w:tcPr>
            <w:tcW w:w="699" w:type="dxa"/>
            <w:vAlign w:val="center"/>
          </w:tcPr>
          <w:p w14:paraId="72E5752B">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6C3E143A">
            <w:pPr>
              <w:pStyle w:val="299"/>
              <w:spacing w:line="400" w:lineRule="exact"/>
              <w:rPr>
                <w:rFonts w:ascii="宋体" w:hAnsi="宋体" w:cs="宋体"/>
                <w:szCs w:val="21"/>
              </w:rPr>
            </w:pPr>
            <w:r>
              <w:rPr>
                <w:rFonts w:ascii="宋体" w:hAnsi="宋体" w:cs="宋体"/>
                <w:szCs w:val="21"/>
                <w:u w:val="single"/>
              </w:rPr>
              <w:t xml:space="preserve">        </w:t>
            </w:r>
          </w:p>
        </w:tc>
      </w:tr>
      <w:tr w14:paraId="7A14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Merge w:val="continue"/>
            <w:vAlign w:val="center"/>
          </w:tcPr>
          <w:p w14:paraId="5CFF65E0">
            <w:pPr>
              <w:pStyle w:val="299"/>
              <w:spacing w:line="400" w:lineRule="exact"/>
              <w:jc w:val="center"/>
              <w:rPr>
                <w:rFonts w:ascii="宋体" w:hAnsi="宋体" w:cs="宋体"/>
                <w:szCs w:val="21"/>
              </w:rPr>
            </w:pPr>
          </w:p>
        </w:tc>
        <w:tc>
          <w:tcPr>
            <w:tcW w:w="535" w:type="dxa"/>
            <w:vMerge w:val="continue"/>
            <w:vAlign w:val="center"/>
          </w:tcPr>
          <w:p w14:paraId="14916D18">
            <w:pPr>
              <w:pStyle w:val="299"/>
              <w:spacing w:line="400" w:lineRule="exact"/>
              <w:jc w:val="center"/>
              <w:rPr>
                <w:rFonts w:ascii="宋体" w:hAnsi="宋体" w:cs="宋体"/>
                <w:szCs w:val="21"/>
              </w:rPr>
            </w:pPr>
          </w:p>
        </w:tc>
        <w:tc>
          <w:tcPr>
            <w:tcW w:w="895" w:type="dxa"/>
            <w:vMerge w:val="continue"/>
            <w:vAlign w:val="center"/>
          </w:tcPr>
          <w:p w14:paraId="6EF540A5">
            <w:pPr>
              <w:pStyle w:val="299"/>
              <w:spacing w:line="400" w:lineRule="exact"/>
              <w:jc w:val="center"/>
              <w:rPr>
                <w:rFonts w:ascii="宋体" w:hAnsi="宋体" w:cs="宋体"/>
                <w:szCs w:val="21"/>
              </w:rPr>
            </w:pPr>
          </w:p>
        </w:tc>
        <w:tc>
          <w:tcPr>
            <w:tcW w:w="851" w:type="dxa"/>
            <w:vMerge w:val="continue"/>
            <w:vAlign w:val="center"/>
          </w:tcPr>
          <w:p w14:paraId="3FEF8A92">
            <w:pPr>
              <w:pStyle w:val="299"/>
              <w:spacing w:line="400" w:lineRule="exact"/>
              <w:rPr>
                <w:rFonts w:ascii="宋体" w:hAnsi="宋体" w:cs="宋体"/>
                <w:szCs w:val="21"/>
                <w:u w:val="single"/>
              </w:rPr>
            </w:pPr>
          </w:p>
        </w:tc>
        <w:tc>
          <w:tcPr>
            <w:tcW w:w="1338" w:type="dxa"/>
            <w:gridSpan w:val="2"/>
            <w:vAlign w:val="center"/>
          </w:tcPr>
          <w:p w14:paraId="21D9CF8A">
            <w:pPr>
              <w:pStyle w:val="299"/>
              <w:adjustRightInd w:val="0"/>
              <w:snapToGrid w:val="0"/>
              <w:spacing w:line="400" w:lineRule="exact"/>
              <w:rPr>
                <w:rFonts w:ascii="宋体" w:hAnsi="宋体" w:cs="宋体"/>
                <w:szCs w:val="21"/>
              </w:rPr>
            </w:pPr>
            <w:r>
              <w:rPr>
                <w:rFonts w:hint="eastAsia" w:ascii="宋体" w:hAnsi="宋体" w:cs="宋体"/>
                <w:color w:val="auto"/>
                <w:szCs w:val="21"/>
                <w:highlight w:val="none"/>
              </w:rPr>
              <w:t>……</w:t>
            </w:r>
          </w:p>
        </w:tc>
        <w:tc>
          <w:tcPr>
            <w:tcW w:w="699" w:type="dxa"/>
            <w:vAlign w:val="center"/>
          </w:tcPr>
          <w:p w14:paraId="26563CD5">
            <w:pPr>
              <w:pStyle w:val="299"/>
              <w:spacing w:line="400" w:lineRule="exact"/>
              <w:rPr>
                <w:rFonts w:ascii="宋体" w:hAnsi="宋体" w:cs="宋体"/>
                <w:szCs w:val="21"/>
              </w:rPr>
            </w:pPr>
            <w:r>
              <w:rPr>
                <w:rFonts w:ascii="宋体" w:hAnsi="宋体" w:cs="宋体"/>
                <w:szCs w:val="21"/>
                <w:u w:val="single"/>
              </w:rPr>
              <w:t xml:space="preserve">  </w:t>
            </w:r>
            <w:r>
              <w:rPr>
                <w:rFonts w:hint="eastAsia" w:ascii="宋体" w:hAnsi="宋体" w:cs="宋体"/>
                <w:szCs w:val="21"/>
              </w:rPr>
              <w:t>分</w:t>
            </w:r>
          </w:p>
        </w:tc>
        <w:tc>
          <w:tcPr>
            <w:tcW w:w="3633" w:type="dxa"/>
            <w:gridSpan w:val="2"/>
            <w:vAlign w:val="center"/>
          </w:tcPr>
          <w:p w14:paraId="660943A8">
            <w:pPr>
              <w:pStyle w:val="299"/>
              <w:spacing w:line="400" w:lineRule="exact"/>
              <w:rPr>
                <w:rFonts w:ascii="宋体" w:hAnsi="宋体" w:cs="宋体"/>
                <w:szCs w:val="21"/>
              </w:rPr>
            </w:pPr>
            <w:r>
              <w:rPr>
                <w:rFonts w:ascii="宋体" w:hAnsi="宋体" w:cs="宋体"/>
                <w:szCs w:val="21"/>
                <w:u w:val="single"/>
              </w:rPr>
              <w:t xml:space="preserve">        </w:t>
            </w:r>
          </w:p>
        </w:tc>
      </w:tr>
      <w:tr w14:paraId="6486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vAlign w:val="center"/>
          </w:tcPr>
          <w:p w14:paraId="524F7F38">
            <w:pPr>
              <w:widowControl/>
              <w:adjustRightInd w:val="0"/>
              <w:snapToGrid w:val="0"/>
              <w:spacing w:line="380" w:lineRule="exact"/>
              <w:jc w:val="left"/>
              <w:rPr>
                <w:rFonts w:hint="eastAsia" w:ascii="宋体" w:hAnsi="宋体" w:cs="宋体"/>
                <w:szCs w:val="21"/>
              </w:rPr>
            </w:pPr>
            <w:r>
              <w:rPr>
                <w:rFonts w:hint="eastAsia" w:ascii="宋体" w:hAnsi="宋体"/>
                <w:lang w:val="en-US" w:eastAsia="zh-CN"/>
              </w:rPr>
              <w:t>注</w:t>
            </w:r>
            <w:r>
              <w:rPr>
                <w:rFonts w:hint="eastAsia" w:ascii="宋体" w:hAnsi="宋体"/>
                <w:lang w:eastAsia="zh-CN"/>
              </w:rPr>
              <w:t>：</w:t>
            </w:r>
            <w:r>
              <w:rPr>
                <w:rFonts w:hint="eastAsia" w:ascii="宋体" w:hAnsi="宋体"/>
              </w:rPr>
              <w:t>其他因素D得分为技术能力G、财务能力J、业绩C、履约信誉H、其他等得分合计，即：D=G+J+C+H+…。</w:t>
            </w:r>
          </w:p>
        </w:tc>
      </w:tr>
      <w:tr w14:paraId="52C9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9"/>
            <w:vAlign w:val="center"/>
          </w:tcPr>
          <w:p w14:paraId="5FD45924">
            <w:pPr>
              <w:adjustRightInd w:val="0"/>
              <w:snapToGrid w:val="0"/>
              <w:spacing w:line="400" w:lineRule="exact"/>
              <w:rPr>
                <w:rFonts w:ascii="宋体" w:hAnsi="宋体" w:cs="宋体"/>
                <w:szCs w:val="21"/>
              </w:rPr>
            </w:pPr>
            <w:r>
              <w:rPr>
                <w:rFonts w:hint="eastAsia" w:ascii="宋体" w:hAnsi="宋体" w:cs="宋体"/>
                <w:szCs w:val="21"/>
              </w:rPr>
              <w:t>需要</w:t>
            </w:r>
            <w:r>
              <w:rPr>
                <w:rFonts w:ascii="宋体" w:hAnsi="宋体" w:cs="宋体"/>
                <w:szCs w:val="21"/>
              </w:rPr>
              <w:t>补充的其他内容：</w:t>
            </w:r>
          </w:p>
          <w:p w14:paraId="0A409031">
            <w:pPr>
              <w:widowControl/>
              <w:adjustRightInd w:val="0"/>
              <w:snapToGrid w:val="0"/>
              <w:spacing w:line="380" w:lineRule="exact"/>
              <w:jc w:val="left"/>
              <w:rPr>
                <w:rFonts w:ascii="宋体" w:hAnsi="宋体" w:cs="宋体"/>
                <w:szCs w:val="21"/>
              </w:rPr>
            </w:pPr>
            <w:r>
              <w:rPr>
                <w:rFonts w:hint="eastAsia" w:ascii="宋体" w:hAnsi="宋体" w:cs="宋体"/>
                <w:szCs w:val="21"/>
              </w:rPr>
              <w:t>……</w:t>
            </w:r>
          </w:p>
        </w:tc>
      </w:tr>
    </w:tbl>
    <w:p w14:paraId="3D918216">
      <w:pPr>
        <w:widowControl/>
        <w:numPr>
          <w:ilvl w:val="255"/>
          <w:numId w:val="0"/>
        </w:numPr>
        <w:adjustRightInd w:val="0"/>
        <w:snapToGrid w:val="0"/>
        <w:spacing w:line="400" w:lineRule="exact"/>
        <w:rPr>
          <w:rFonts w:ascii="宋体" w:hAnsi="宋体"/>
        </w:rPr>
      </w:pPr>
      <w:r>
        <w:rPr>
          <w:rFonts w:hint="eastAsia" w:ascii="宋体" w:hAnsi="宋体"/>
          <w:lang w:val="en-US" w:eastAsia="zh-CN"/>
        </w:rPr>
        <w:t>注：</w:t>
      </w:r>
      <w:r>
        <w:rPr>
          <w:rFonts w:hint="eastAsia" w:ascii="宋体" w:hAnsi="宋体"/>
        </w:rPr>
        <w:t>招标人应根据项目具体情况确定各评分因素及评分因素权重分值，并对各评分因素进行细分（如有）、确定各评分因素细分项的分值，</w:t>
      </w:r>
      <w:r>
        <w:rPr>
          <w:rFonts w:hint="eastAsia" w:ascii="宋体" w:hAnsi="宋体" w:cs="Times New Roman"/>
        </w:rPr>
        <w:t>各评分因素细分项权重分值合计应为各项评分因素权重分值满分</w:t>
      </w:r>
      <w:r>
        <w:rPr>
          <w:rFonts w:hint="eastAsia" w:ascii="宋体" w:hAnsi="宋体"/>
        </w:rPr>
        <w:t>。各评分因素（评标价和履约信誉评分项除外）得分一般不得低于其权重分值的</w:t>
      </w:r>
      <w:r>
        <w:rPr>
          <w:rFonts w:ascii="宋体" w:hAnsi="宋体"/>
        </w:rPr>
        <w:t>60%</w:t>
      </w:r>
      <w:r>
        <w:rPr>
          <w:rFonts w:hint="eastAsia" w:ascii="宋体" w:hAnsi="宋体"/>
        </w:rPr>
        <w:t>。评标委员会成员对某一项评分因素的评分低于权重分值60%的，应在评标报告中作出说明。</w:t>
      </w:r>
    </w:p>
    <w:p w14:paraId="0D44F1B0">
      <w:pPr>
        <w:rPr>
          <w:rFonts w:ascii="黑体" w:hAnsi="黑体" w:eastAsia="黑体" w:cs="宋体"/>
          <w:sz w:val="28"/>
          <w:szCs w:val="28"/>
        </w:rPr>
      </w:pPr>
    </w:p>
    <w:p w14:paraId="23B205C3">
      <w:pPr>
        <w:rPr>
          <w:rFonts w:ascii="黑体" w:hAnsi="黑体" w:eastAsia="黑体" w:cs="宋体"/>
          <w:sz w:val="28"/>
          <w:szCs w:val="28"/>
        </w:rPr>
      </w:pPr>
    </w:p>
    <w:p w14:paraId="0F428F16">
      <w:pPr>
        <w:adjustRightInd w:val="0"/>
        <w:snapToGrid w:val="0"/>
        <w:spacing w:before="0" w:beforeLines="0" w:after="0" w:afterLines="0"/>
        <w:jc w:val="left"/>
        <w:rPr>
          <w:rStyle w:val="128"/>
          <w:rFonts w:ascii="黑体" w:hAnsi="黑体" w:cs="黑体"/>
          <w:b w:val="0"/>
          <w:bCs w:val="0"/>
          <w:sz w:val="30"/>
          <w:szCs w:val="30"/>
        </w:rPr>
      </w:pPr>
      <w:r>
        <w:rPr>
          <w:rStyle w:val="128"/>
          <w:rFonts w:ascii="黑体" w:hAnsi="黑体" w:cs="黑体"/>
          <w:b w:val="0"/>
          <w:bCs w:val="0"/>
          <w:sz w:val="30"/>
          <w:szCs w:val="30"/>
        </w:rPr>
        <w:br w:type="page"/>
      </w:r>
    </w:p>
    <w:p w14:paraId="402340AB">
      <w:pPr>
        <w:pStyle w:val="3"/>
        <w:adjustRightInd w:val="0"/>
        <w:snapToGrid w:val="0"/>
        <w:spacing w:before="0" w:beforeLines="0" w:after="0" w:afterLines="0" w:line="360" w:lineRule="auto"/>
        <w:jc w:val="left"/>
        <w:rPr>
          <w:rStyle w:val="128"/>
          <w:rFonts w:ascii="黑体" w:hAnsi="黑体" w:cs="黑体"/>
          <w:b/>
          <w:bCs w:val="0"/>
          <w:sz w:val="30"/>
          <w:szCs w:val="30"/>
        </w:rPr>
      </w:pPr>
      <w:bookmarkStart w:id="668" w:name="_Toc53685683"/>
      <w:r>
        <w:rPr>
          <w:rStyle w:val="128"/>
          <w:rFonts w:ascii="黑体" w:hAnsi="黑体" w:cs="黑体"/>
          <w:b/>
          <w:bCs w:val="0"/>
          <w:sz w:val="30"/>
          <w:szCs w:val="30"/>
        </w:rPr>
        <w:t>评标办法（</w:t>
      </w:r>
      <w:r>
        <w:rPr>
          <w:rFonts w:hint="eastAsia" w:ascii="黑体" w:hAnsi="黑体" w:cs="黑体"/>
          <w:szCs w:val="28"/>
        </w:rPr>
        <w:t>综合评分法</w:t>
      </w:r>
      <w:r>
        <w:rPr>
          <w:rStyle w:val="128"/>
          <w:rFonts w:hint="eastAsia" w:ascii="黑体" w:hAnsi="黑体" w:cs="黑体"/>
          <w:b/>
          <w:bCs w:val="0"/>
          <w:sz w:val="30"/>
          <w:szCs w:val="30"/>
        </w:rPr>
        <w:t>正文）</w:t>
      </w:r>
      <w:bookmarkEnd w:id="668"/>
    </w:p>
    <w:p w14:paraId="20ED147A">
      <w:pPr>
        <w:pStyle w:val="2"/>
        <w:spacing w:before="360" w:after="240" w:line="240" w:lineRule="atLeast"/>
        <w:rPr>
          <w:rFonts w:ascii="黑体"/>
          <w:b/>
          <w:bCs w:val="0"/>
          <w:sz w:val="28"/>
          <w:szCs w:val="28"/>
        </w:rPr>
      </w:pPr>
      <w:bookmarkStart w:id="669" w:name="_Toc53685684"/>
      <w:r>
        <w:rPr>
          <w:rFonts w:hint="eastAsia" w:ascii="黑体"/>
          <w:b/>
          <w:bCs w:val="0"/>
          <w:sz w:val="28"/>
          <w:szCs w:val="28"/>
        </w:rPr>
        <w:t>1.评标方法</w:t>
      </w:r>
      <w:bookmarkEnd w:id="669"/>
      <w:r>
        <w:rPr>
          <w:rFonts w:ascii="黑体"/>
          <w:b/>
          <w:bCs w:val="0"/>
          <w:sz w:val="28"/>
          <w:szCs w:val="28"/>
        </w:rPr>
        <w:t xml:space="preserve"> </w:t>
      </w:r>
    </w:p>
    <w:p w14:paraId="17A156A0">
      <w:pPr>
        <w:widowControl/>
        <w:spacing w:line="360" w:lineRule="auto"/>
        <w:ind w:firstLine="480" w:firstLineChars="200"/>
        <w:rPr>
          <w:rFonts w:ascii="宋体" w:hAnsi="宋体"/>
          <w:kern w:val="0"/>
          <w:sz w:val="24"/>
        </w:rPr>
      </w:pPr>
      <w:r>
        <w:rPr>
          <w:rFonts w:hint="eastAsia" w:ascii="宋体" w:hAnsi="宋体"/>
          <w:kern w:val="0"/>
          <w:sz w:val="24"/>
        </w:rPr>
        <w:t>本次评标采用综合评分法。评标委员会对满足招标文件实质性要求的投标文件，根据本章第</w:t>
      </w:r>
      <w:r>
        <w:rPr>
          <w:rFonts w:ascii="宋体" w:hAnsi="宋体"/>
          <w:kern w:val="0"/>
          <w:sz w:val="24"/>
        </w:rPr>
        <w:t>2.2</w:t>
      </w:r>
      <w:r>
        <w:rPr>
          <w:rFonts w:hint="eastAsia" w:ascii="宋体" w:hAnsi="宋体"/>
          <w:kern w:val="0"/>
          <w:sz w:val="24"/>
        </w:rPr>
        <w:t>款规定的评分标准进行打分，按照得分由高到低顺序推荐中标候选人，或根据招标人授权直接确定中标人，但投标报价低于其成本的除外。综合评分相等时，评标委员会应按照评标办法前附表规定的优先次序推荐中标候选人或确定中标人。</w:t>
      </w:r>
      <w:r>
        <w:rPr>
          <w:rFonts w:ascii="宋体" w:hAnsi="宋体"/>
          <w:kern w:val="0"/>
          <w:sz w:val="24"/>
        </w:rPr>
        <w:t xml:space="preserve"> </w:t>
      </w:r>
    </w:p>
    <w:p w14:paraId="5B62DD41">
      <w:pPr>
        <w:pStyle w:val="2"/>
        <w:spacing w:before="360" w:after="240" w:line="240" w:lineRule="atLeast"/>
        <w:rPr>
          <w:rFonts w:ascii="黑体"/>
          <w:b/>
          <w:bCs w:val="0"/>
          <w:sz w:val="28"/>
          <w:szCs w:val="28"/>
        </w:rPr>
      </w:pPr>
      <w:bookmarkStart w:id="670" w:name="_Toc53685685"/>
      <w:r>
        <w:rPr>
          <w:rFonts w:hint="eastAsia" w:ascii="黑体"/>
          <w:b/>
          <w:bCs w:val="0"/>
          <w:sz w:val="28"/>
          <w:szCs w:val="28"/>
        </w:rPr>
        <w:t>2.评审标准</w:t>
      </w:r>
      <w:bookmarkEnd w:id="670"/>
      <w:r>
        <w:rPr>
          <w:rFonts w:ascii="黑体"/>
          <w:b/>
          <w:bCs w:val="0"/>
          <w:sz w:val="28"/>
          <w:szCs w:val="28"/>
        </w:rPr>
        <w:t xml:space="preserve"> </w:t>
      </w:r>
    </w:p>
    <w:p w14:paraId="04916F82">
      <w:pPr>
        <w:pStyle w:val="2"/>
        <w:spacing w:before="0" w:after="0" w:line="360" w:lineRule="auto"/>
        <w:rPr>
          <w:rFonts w:hint="eastAsia" w:ascii="黑体"/>
          <w:b w:val="0"/>
          <w:sz w:val="28"/>
          <w:szCs w:val="28"/>
        </w:rPr>
      </w:pPr>
      <w:bookmarkStart w:id="671" w:name="_Toc53685686"/>
      <w:r>
        <w:rPr>
          <w:rFonts w:hint="eastAsia" w:ascii="黑体"/>
          <w:b w:val="0"/>
          <w:sz w:val="28"/>
          <w:szCs w:val="28"/>
        </w:rPr>
        <w:t>2.1 初步评审标准</w:t>
      </w:r>
      <w:bookmarkEnd w:id="671"/>
      <w:r>
        <w:rPr>
          <w:rFonts w:hint="eastAsia" w:ascii="黑体"/>
          <w:b w:val="0"/>
          <w:sz w:val="28"/>
          <w:szCs w:val="28"/>
        </w:rPr>
        <w:t xml:space="preserve"> </w:t>
      </w:r>
    </w:p>
    <w:p w14:paraId="37AE4AEE">
      <w:pPr>
        <w:widowControl/>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 xml:space="preserve">2.1.1 </w:t>
      </w:r>
      <w:r>
        <w:rPr>
          <w:rFonts w:hint="eastAsia" w:ascii="宋体" w:hAnsi="宋体" w:cs="宋体"/>
          <w:kern w:val="0"/>
          <w:sz w:val="24"/>
        </w:rPr>
        <w:t>形式评审标准：见评标办法前附表。</w:t>
      </w:r>
    </w:p>
    <w:p w14:paraId="06E484B7">
      <w:pPr>
        <w:widowControl/>
        <w:adjustRightInd w:val="0"/>
        <w:snapToGrid w:val="0"/>
        <w:spacing w:line="360" w:lineRule="auto"/>
        <w:ind w:firstLine="480" w:firstLineChars="200"/>
        <w:rPr>
          <w:rFonts w:ascii="宋体" w:hAnsi="宋体" w:cs="宋体"/>
          <w:kern w:val="0"/>
          <w:sz w:val="24"/>
        </w:rPr>
      </w:pPr>
      <w:r>
        <w:rPr>
          <w:rFonts w:ascii="宋体" w:hAnsi="宋体" w:cs="宋体"/>
          <w:bCs/>
          <w:kern w:val="0"/>
          <w:sz w:val="24"/>
        </w:rPr>
        <w:t>2.1.2</w:t>
      </w:r>
      <w:r>
        <w:rPr>
          <w:rFonts w:ascii="宋体" w:hAnsi="宋体" w:cs="宋体"/>
          <w:kern w:val="0"/>
          <w:sz w:val="24"/>
        </w:rPr>
        <w:t xml:space="preserve"> 资格评审标准：见评标办法前附表。</w:t>
      </w:r>
    </w:p>
    <w:p w14:paraId="715BD210">
      <w:pPr>
        <w:widowControl/>
        <w:adjustRightInd w:val="0"/>
        <w:snapToGrid w:val="0"/>
        <w:spacing w:line="360" w:lineRule="auto"/>
        <w:ind w:firstLine="480" w:firstLineChars="200"/>
        <w:rPr>
          <w:rFonts w:ascii="宋体" w:hAnsi="宋体"/>
          <w:kern w:val="0"/>
          <w:sz w:val="24"/>
        </w:rPr>
      </w:pPr>
      <w:r>
        <w:rPr>
          <w:rFonts w:ascii="宋体" w:hAnsi="宋体"/>
          <w:bCs/>
          <w:kern w:val="0"/>
          <w:sz w:val="24"/>
        </w:rPr>
        <w:t>2.1.3</w:t>
      </w:r>
      <w:r>
        <w:rPr>
          <w:rFonts w:ascii="宋体" w:hAnsi="宋体"/>
          <w:kern w:val="0"/>
          <w:sz w:val="24"/>
        </w:rPr>
        <w:t xml:space="preserve"> 响应性评审标准：见评标办法前附表。</w:t>
      </w:r>
    </w:p>
    <w:p w14:paraId="7ECD8120">
      <w:pPr>
        <w:pStyle w:val="2"/>
        <w:spacing w:before="0" w:after="0" w:line="360" w:lineRule="auto"/>
        <w:rPr>
          <w:rFonts w:hint="eastAsia" w:ascii="黑体"/>
          <w:b w:val="0"/>
          <w:sz w:val="28"/>
          <w:szCs w:val="28"/>
        </w:rPr>
      </w:pPr>
      <w:bookmarkStart w:id="672" w:name="_Toc53685687"/>
      <w:r>
        <w:rPr>
          <w:rFonts w:hint="eastAsia" w:ascii="黑体"/>
          <w:b w:val="0"/>
          <w:sz w:val="28"/>
          <w:szCs w:val="28"/>
        </w:rPr>
        <w:t>2.2</w:t>
      </w:r>
      <w:r>
        <w:rPr>
          <w:rFonts w:hint="eastAsia" w:ascii="黑体"/>
          <w:b w:val="0"/>
          <w:sz w:val="28"/>
          <w:szCs w:val="28"/>
          <w:lang w:val="en-US" w:eastAsia="zh-CN"/>
        </w:rPr>
        <w:t xml:space="preserve"> </w:t>
      </w:r>
      <w:r>
        <w:rPr>
          <w:rFonts w:hint="eastAsia" w:ascii="黑体"/>
          <w:b w:val="0"/>
          <w:sz w:val="28"/>
          <w:szCs w:val="28"/>
        </w:rPr>
        <w:t>分值构成与评分标准</w:t>
      </w:r>
      <w:bookmarkEnd w:id="672"/>
    </w:p>
    <w:p w14:paraId="1F50B780">
      <w:pPr>
        <w:widowControl/>
        <w:adjustRightInd w:val="0"/>
        <w:snapToGrid w:val="0"/>
        <w:spacing w:line="360" w:lineRule="auto"/>
        <w:ind w:firstLine="480" w:firstLineChars="200"/>
        <w:rPr>
          <w:rFonts w:ascii="宋体" w:hAnsi="宋体"/>
          <w:kern w:val="0"/>
          <w:sz w:val="24"/>
        </w:rPr>
      </w:pPr>
      <w:r>
        <w:rPr>
          <w:rFonts w:ascii="宋体" w:hAnsi="宋体" w:cs="宋体"/>
          <w:kern w:val="0"/>
          <w:sz w:val="24"/>
        </w:rPr>
        <w:t>2.2.1</w:t>
      </w:r>
      <w:r>
        <w:rPr>
          <w:rFonts w:hint="eastAsia" w:ascii="宋体" w:hAnsi="宋体" w:cs="宋体"/>
          <w:kern w:val="0"/>
          <w:sz w:val="24"/>
          <w:lang w:val="en-US" w:eastAsia="zh-CN"/>
        </w:rPr>
        <w:t xml:space="preserve"> </w:t>
      </w:r>
      <w:r>
        <w:rPr>
          <w:rFonts w:ascii="宋体" w:hAnsi="宋体" w:cs="宋体"/>
          <w:kern w:val="0"/>
          <w:sz w:val="24"/>
        </w:rPr>
        <w:t>分值构成</w:t>
      </w:r>
    </w:p>
    <w:p w14:paraId="2708778E">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1）设计施工</w:t>
      </w:r>
      <w:r>
        <w:rPr>
          <w:rFonts w:hint="eastAsia" w:ascii="宋体" w:hAnsi="宋体"/>
          <w:kern w:val="0"/>
          <w:sz w:val="24"/>
        </w:rPr>
        <w:t>总承包</w:t>
      </w:r>
      <w:r>
        <w:rPr>
          <w:rFonts w:ascii="宋体" w:hAnsi="宋体"/>
          <w:kern w:val="0"/>
          <w:sz w:val="24"/>
        </w:rPr>
        <w:t>方案：见评标办法前附表。</w:t>
      </w:r>
    </w:p>
    <w:p w14:paraId="2886269E">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2）主要人员：见评标办法前附表。</w:t>
      </w:r>
    </w:p>
    <w:p w14:paraId="384322AB">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3）评标价：见评标办法前附表。</w:t>
      </w:r>
    </w:p>
    <w:p w14:paraId="6736E9ED">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4）其他评分因素</w:t>
      </w:r>
      <w:r>
        <w:rPr>
          <w:rFonts w:hint="eastAsia" w:ascii="宋体" w:hAnsi="宋体"/>
          <w:kern w:val="0"/>
          <w:sz w:val="24"/>
        </w:rPr>
        <w:t>：见评标办法前附表。</w:t>
      </w:r>
    </w:p>
    <w:p w14:paraId="4C113D45">
      <w:pPr>
        <w:widowControl/>
        <w:adjustRightInd w:val="0"/>
        <w:snapToGrid w:val="0"/>
        <w:spacing w:line="360" w:lineRule="auto"/>
        <w:ind w:firstLine="480" w:firstLineChars="200"/>
        <w:rPr>
          <w:rFonts w:ascii="宋体" w:hAnsi="宋体"/>
          <w:kern w:val="0"/>
          <w:sz w:val="24"/>
        </w:rPr>
      </w:pPr>
      <w:r>
        <w:rPr>
          <w:rFonts w:ascii="宋体" w:hAnsi="宋体"/>
          <w:sz w:val="24"/>
        </w:rPr>
        <w:t>2.2.2</w:t>
      </w:r>
      <w:r>
        <w:rPr>
          <w:rFonts w:hint="eastAsia" w:ascii="宋体" w:hAnsi="宋体"/>
          <w:sz w:val="24"/>
          <w:lang w:val="en-US" w:eastAsia="zh-CN"/>
        </w:rPr>
        <w:t xml:space="preserve"> </w:t>
      </w:r>
      <w:r>
        <w:rPr>
          <w:rFonts w:hint="eastAsia" w:ascii="宋体" w:hAnsi="宋体"/>
          <w:sz w:val="24"/>
        </w:rPr>
        <w:t>评标基准价计算</w:t>
      </w:r>
    </w:p>
    <w:p w14:paraId="6256ACB5">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评标基准价计算方法：见评标办法前附表。</w:t>
      </w:r>
    </w:p>
    <w:p w14:paraId="701B7E10">
      <w:pPr>
        <w:widowControl/>
        <w:adjustRightInd w:val="0"/>
        <w:snapToGrid w:val="0"/>
        <w:spacing w:line="360" w:lineRule="auto"/>
        <w:ind w:firstLine="480" w:firstLineChars="200"/>
        <w:rPr>
          <w:rFonts w:ascii="宋体" w:hAnsi="宋体"/>
          <w:sz w:val="24"/>
        </w:rPr>
      </w:pPr>
      <w:r>
        <w:rPr>
          <w:rFonts w:ascii="宋体" w:hAnsi="宋体"/>
          <w:sz w:val="24"/>
        </w:rPr>
        <w:t>2.2.3</w:t>
      </w:r>
      <w:r>
        <w:rPr>
          <w:rFonts w:hint="eastAsia" w:ascii="宋体" w:hAnsi="宋体"/>
          <w:sz w:val="24"/>
          <w:lang w:val="en-US" w:eastAsia="zh-CN"/>
        </w:rPr>
        <w:t xml:space="preserve"> </w:t>
      </w:r>
      <w:r>
        <w:rPr>
          <w:rFonts w:hint="eastAsia" w:ascii="宋体" w:hAnsi="宋体"/>
          <w:sz w:val="24"/>
        </w:rPr>
        <w:t>评标价的偏差率计算</w:t>
      </w:r>
    </w:p>
    <w:p w14:paraId="12FC0E02">
      <w:pPr>
        <w:widowControl/>
        <w:adjustRightInd w:val="0"/>
        <w:snapToGrid w:val="0"/>
        <w:spacing w:line="360" w:lineRule="auto"/>
        <w:ind w:firstLine="480" w:firstLineChars="200"/>
        <w:rPr>
          <w:rFonts w:ascii="宋体" w:hAnsi="宋体"/>
          <w:kern w:val="0"/>
          <w:sz w:val="24"/>
        </w:rPr>
      </w:pPr>
      <w:r>
        <w:rPr>
          <w:rFonts w:hint="eastAsia" w:ascii="宋体" w:hAnsi="宋体"/>
          <w:sz w:val="24"/>
        </w:rPr>
        <w:t>评标价的偏差率计算公式：</w:t>
      </w:r>
      <w:r>
        <w:rPr>
          <w:rFonts w:hint="eastAsia" w:ascii="宋体" w:hAnsi="宋体"/>
          <w:kern w:val="0"/>
          <w:sz w:val="24"/>
        </w:rPr>
        <w:t>见评标办法前附表。</w:t>
      </w:r>
    </w:p>
    <w:p w14:paraId="1CE59239">
      <w:pPr>
        <w:widowControl/>
        <w:adjustRightInd w:val="0"/>
        <w:snapToGrid w:val="0"/>
        <w:spacing w:line="360" w:lineRule="auto"/>
        <w:ind w:firstLine="480" w:firstLineChars="200"/>
        <w:rPr>
          <w:rFonts w:ascii="宋体" w:hAnsi="宋体"/>
          <w:sz w:val="24"/>
        </w:rPr>
      </w:pPr>
      <w:r>
        <w:rPr>
          <w:rFonts w:ascii="宋体" w:hAnsi="宋体"/>
          <w:sz w:val="24"/>
        </w:rPr>
        <w:t>2.2.4</w:t>
      </w:r>
      <w:r>
        <w:rPr>
          <w:rFonts w:hint="eastAsia" w:ascii="宋体" w:hAnsi="宋体"/>
          <w:sz w:val="24"/>
          <w:lang w:val="en-US" w:eastAsia="zh-CN"/>
        </w:rPr>
        <w:t xml:space="preserve"> </w:t>
      </w:r>
      <w:r>
        <w:rPr>
          <w:rFonts w:hint="eastAsia" w:ascii="宋体" w:hAnsi="宋体"/>
          <w:sz w:val="24"/>
        </w:rPr>
        <w:t>评分标准</w:t>
      </w:r>
    </w:p>
    <w:p w14:paraId="5F49FEA1">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1）设计施工</w:t>
      </w:r>
      <w:r>
        <w:rPr>
          <w:rFonts w:hint="eastAsia" w:ascii="宋体" w:hAnsi="宋体"/>
          <w:kern w:val="0"/>
          <w:sz w:val="24"/>
        </w:rPr>
        <w:t>总承包</w:t>
      </w:r>
      <w:r>
        <w:rPr>
          <w:rFonts w:ascii="宋体" w:hAnsi="宋体"/>
          <w:kern w:val="0"/>
          <w:sz w:val="24"/>
        </w:rPr>
        <w:t>方案评分标准：见评标办法前附表。</w:t>
      </w:r>
    </w:p>
    <w:p w14:paraId="10C0D602">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2）主要人员评分标准：见评标办法前附表。</w:t>
      </w:r>
    </w:p>
    <w:p w14:paraId="50F5D03A">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3）评标价评分标准：见评标办法前附表。</w:t>
      </w:r>
    </w:p>
    <w:p w14:paraId="4713E7D2">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4）其他因素</w:t>
      </w:r>
      <w:r>
        <w:rPr>
          <w:rFonts w:hint="eastAsia" w:ascii="宋体" w:hAnsi="宋体"/>
          <w:kern w:val="0"/>
          <w:sz w:val="24"/>
        </w:rPr>
        <w:t>评分标准：见评标办法前附表。</w:t>
      </w:r>
    </w:p>
    <w:p w14:paraId="646621CF">
      <w:pPr>
        <w:pStyle w:val="2"/>
        <w:spacing w:before="360" w:after="240" w:line="240" w:lineRule="atLeast"/>
        <w:rPr>
          <w:rFonts w:ascii="黑体"/>
          <w:b/>
          <w:bCs w:val="0"/>
          <w:sz w:val="28"/>
          <w:szCs w:val="28"/>
        </w:rPr>
      </w:pPr>
      <w:bookmarkStart w:id="673" w:name="_Toc53685688"/>
      <w:r>
        <w:rPr>
          <w:rFonts w:hint="eastAsia" w:ascii="黑体"/>
          <w:b/>
          <w:bCs w:val="0"/>
          <w:sz w:val="28"/>
          <w:szCs w:val="28"/>
        </w:rPr>
        <w:t>3.评标程序</w:t>
      </w:r>
      <w:bookmarkEnd w:id="673"/>
      <w:r>
        <w:rPr>
          <w:rFonts w:ascii="黑体"/>
          <w:b/>
          <w:bCs w:val="0"/>
          <w:sz w:val="28"/>
          <w:szCs w:val="28"/>
        </w:rPr>
        <w:t xml:space="preserve"> </w:t>
      </w:r>
    </w:p>
    <w:p w14:paraId="378F82D1">
      <w:pPr>
        <w:pStyle w:val="2"/>
        <w:spacing w:before="0" w:after="0" w:line="360" w:lineRule="auto"/>
        <w:rPr>
          <w:rFonts w:hint="eastAsia" w:ascii="黑体"/>
          <w:b w:val="0"/>
          <w:sz w:val="28"/>
          <w:szCs w:val="28"/>
        </w:rPr>
      </w:pPr>
      <w:bookmarkStart w:id="674" w:name="_Toc53685689"/>
      <w:r>
        <w:rPr>
          <w:rFonts w:hint="eastAsia" w:ascii="黑体"/>
          <w:b w:val="0"/>
          <w:sz w:val="28"/>
          <w:szCs w:val="28"/>
        </w:rPr>
        <w:t>3.1 第一个信封初步评审</w:t>
      </w:r>
      <w:bookmarkEnd w:id="674"/>
      <w:r>
        <w:rPr>
          <w:rFonts w:hint="eastAsia" w:ascii="黑体"/>
          <w:b w:val="0"/>
          <w:sz w:val="28"/>
          <w:szCs w:val="28"/>
        </w:rPr>
        <w:t xml:space="preserve"> </w:t>
      </w:r>
    </w:p>
    <w:p w14:paraId="37748DF2">
      <w:pPr>
        <w:widowControl/>
        <w:snapToGrid w:val="0"/>
        <w:spacing w:line="360" w:lineRule="auto"/>
        <w:ind w:firstLine="480" w:firstLineChars="200"/>
        <w:rPr>
          <w:rFonts w:ascii="宋体" w:hAnsi="宋体"/>
          <w:kern w:val="0"/>
          <w:sz w:val="24"/>
        </w:rPr>
      </w:pPr>
      <w:r>
        <w:rPr>
          <w:rFonts w:ascii="宋体" w:hAnsi="宋体"/>
          <w:kern w:val="0"/>
          <w:sz w:val="24"/>
        </w:rPr>
        <w:t>3.1.1</w:t>
      </w:r>
      <w:r>
        <w:rPr>
          <w:rFonts w:hint="eastAsia" w:ascii="宋体" w:hAnsi="宋体"/>
          <w:kern w:val="0"/>
          <w:sz w:val="24"/>
          <w:lang w:val="en-US" w:eastAsia="zh-CN"/>
        </w:rPr>
        <w:t xml:space="preserve"> </w:t>
      </w:r>
      <w:r>
        <w:rPr>
          <w:rFonts w:hint="eastAsia" w:ascii="宋体" w:hAnsi="宋体"/>
          <w:kern w:val="0"/>
          <w:sz w:val="24"/>
        </w:rPr>
        <w:t>评标委员会依据本章第</w:t>
      </w:r>
      <w:r>
        <w:rPr>
          <w:rFonts w:ascii="宋体" w:hAnsi="宋体"/>
          <w:kern w:val="0"/>
          <w:sz w:val="24"/>
        </w:rPr>
        <w:t>2.1</w:t>
      </w:r>
      <w:r>
        <w:rPr>
          <w:rFonts w:hint="eastAsia" w:ascii="宋体" w:hAnsi="宋体"/>
          <w:kern w:val="0"/>
          <w:sz w:val="24"/>
        </w:rPr>
        <w:t>款规定的标准对投标文件第一个信封（商务及技术文件）进行初步评审。有一项不符合评审标准的，评标委员会应否决其投标。</w:t>
      </w:r>
      <w:r>
        <w:rPr>
          <w:rFonts w:ascii="宋体" w:hAnsi="宋体"/>
          <w:kern w:val="0"/>
          <w:sz w:val="24"/>
        </w:rPr>
        <w:t xml:space="preserve"> </w:t>
      </w:r>
    </w:p>
    <w:p w14:paraId="177DBAA7">
      <w:pPr>
        <w:pStyle w:val="2"/>
        <w:spacing w:before="0" w:after="0" w:line="360" w:lineRule="auto"/>
        <w:rPr>
          <w:rFonts w:hint="eastAsia" w:ascii="黑体"/>
          <w:b w:val="0"/>
          <w:sz w:val="28"/>
          <w:szCs w:val="28"/>
        </w:rPr>
      </w:pPr>
      <w:bookmarkStart w:id="675" w:name="_Toc53685690"/>
      <w:r>
        <w:rPr>
          <w:rFonts w:hint="eastAsia" w:ascii="黑体"/>
          <w:b w:val="0"/>
          <w:sz w:val="28"/>
          <w:szCs w:val="28"/>
        </w:rPr>
        <w:t>3.2第一个信封详细评审</w:t>
      </w:r>
      <w:bookmarkEnd w:id="675"/>
    </w:p>
    <w:p w14:paraId="3F6943EF">
      <w:pPr>
        <w:spacing w:line="360" w:lineRule="auto"/>
        <w:ind w:firstLine="480" w:firstLineChars="200"/>
        <w:rPr>
          <w:rFonts w:ascii="宋体" w:hAnsi="宋体" w:cs="宋体"/>
          <w:sz w:val="24"/>
        </w:rPr>
      </w:pPr>
      <w:r>
        <w:rPr>
          <w:rFonts w:ascii="宋体" w:hAnsi="宋体" w:cs="宋体"/>
          <w:sz w:val="24"/>
        </w:rPr>
        <w:t xml:space="preserve">3.2.1 </w:t>
      </w:r>
      <w:r>
        <w:rPr>
          <w:rFonts w:hint="eastAsia" w:ascii="宋体" w:hAnsi="宋体" w:cs="宋体"/>
          <w:sz w:val="24"/>
        </w:rPr>
        <w:t>评标委员会按本章第</w:t>
      </w:r>
      <w:r>
        <w:rPr>
          <w:rFonts w:ascii="宋体" w:hAnsi="宋体" w:cs="宋体"/>
          <w:sz w:val="24"/>
        </w:rPr>
        <w:t>2.2款规定的量化因素和分值进行打分，并计算出各投标人的商务和技术得分。</w:t>
      </w:r>
    </w:p>
    <w:p w14:paraId="5F652A6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1）按本章第2.2.4项（1）目规定的评审因素和分值对</w:t>
      </w:r>
      <w:r>
        <w:rPr>
          <w:rFonts w:ascii="宋体" w:hAnsi="宋体"/>
          <w:kern w:val="0"/>
          <w:sz w:val="24"/>
        </w:rPr>
        <w:t>设计施工</w:t>
      </w:r>
      <w:r>
        <w:rPr>
          <w:rFonts w:hint="eastAsia" w:ascii="宋体" w:hAnsi="宋体"/>
          <w:kern w:val="0"/>
          <w:sz w:val="24"/>
        </w:rPr>
        <w:t>总承包</w:t>
      </w:r>
      <w:r>
        <w:rPr>
          <w:rFonts w:ascii="宋体" w:hAnsi="宋体"/>
          <w:kern w:val="0"/>
          <w:sz w:val="24"/>
        </w:rPr>
        <w:t>方案</w:t>
      </w:r>
      <w:r>
        <w:rPr>
          <w:rFonts w:ascii="宋体" w:hAnsi="宋体" w:cs="宋体"/>
          <w:sz w:val="24"/>
        </w:rPr>
        <w:t>计算出得分A；</w:t>
      </w:r>
    </w:p>
    <w:p w14:paraId="3E8C58C1">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2）按本章第2.2.4项（2）目规定的评审因素和分值对主要人员部分计算出得分B；</w:t>
      </w:r>
    </w:p>
    <w:p w14:paraId="0536431E">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w:t>
      </w:r>
      <w:r>
        <w:rPr>
          <w:rFonts w:ascii="宋体" w:hAnsi="宋体" w:cs="宋体"/>
          <w:sz w:val="24"/>
        </w:rPr>
        <w:t>3）按本章第2.2.4项（4）目规定的评审因素和分值对其他部分计算出得分D</w:t>
      </w:r>
      <w:r>
        <w:rPr>
          <w:rFonts w:hint="eastAsia" w:ascii="宋体" w:hAnsi="宋体" w:cs="宋体"/>
          <w:sz w:val="24"/>
          <w:lang w:eastAsia="zh-CN"/>
        </w:rPr>
        <w:t>。</w:t>
      </w:r>
    </w:p>
    <w:p w14:paraId="7C1A819A">
      <w:pPr>
        <w:spacing w:line="360" w:lineRule="auto"/>
        <w:ind w:firstLine="480" w:firstLineChars="200"/>
        <w:rPr>
          <w:rFonts w:ascii="宋体" w:hAnsi="宋体" w:cs="宋体"/>
          <w:sz w:val="24"/>
        </w:rPr>
      </w:pPr>
      <w:r>
        <w:rPr>
          <w:rFonts w:ascii="宋体" w:hAnsi="宋体" w:cs="宋体"/>
          <w:sz w:val="24"/>
        </w:rPr>
        <w:t xml:space="preserve">3.2.2 </w:t>
      </w:r>
      <w:r>
        <w:rPr>
          <w:rFonts w:hint="eastAsia" w:ascii="宋体" w:hAnsi="宋体" w:cs="宋体"/>
          <w:sz w:val="24"/>
        </w:rPr>
        <w:t>投标人的商务和技术得分分值计算保留小数点后位数：见评标办法前附表。</w:t>
      </w:r>
    </w:p>
    <w:p w14:paraId="79AB7394">
      <w:pPr>
        <w:spacing w:line="360" w:lineRule="auto"/>
        <w:ind w:firstLine="480" w:firstLineChars="200"/>
        <w:rPr>
          <w:rFonts w:ascii="宋体" w:hAnsi="宋体" w:cs="宋体"/>
          <w:sz w:val="24"/>
        </w:rPr>
      </w:pPr>
      <w:r>
        <w:rPr>
          <w:rFonts w:ascii="宋体" w:hAnsi="宋体" w:cs="宋体"/>
          <w:sz w:val="24"/>
        </w:rPr>
        <w:t xml:space="preserve">3.2.3 </w:t>
      </w:r>
      <w:r>
        <w:rPr>
          <w:rFonts w:hint="eastAsia" w:ascii="宋体" w:hAnsi="宋体" w:cs="宋体"/>
          <w:sz w:val="24"/>
        </w:rPr>
        <w:t>投标人的商务和技术得分＝</w:t>
      </w:r>
      <w:r>
        <w:rPr>
          <w:rFonts w:ascii="宋体" w:hAnsi="宋体" w:cs="宋体"/>
          <w:sz w:val="24"/>
        </w:rPr>
        <w:t>A＋B＋D。</w:t>
      </w:r>
    </w:p>
    <w:p w14:paraId="59958C4A">
      <w:pPr>
        <w:spacing w:line="360"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lang w:val="en-US" w:eastAsia="zh-CN"/>
        </w:rPr>
        <w:t xml:space="preserve"> </w:t>
      </w:r>
      <w:r>
        <w:rPr>
          <w:rFonts w:ascii="宋体" w:hAnsi="宋体" w:cs="宋体"/>
          <w:sz w:val="24"/>
        </w:rPr>
        <w:t>投标人投标文件第一个信封（商务及技术文件）通过初步评审、详细评审的均进入第二个信封（报价文件）评审。</w:t>
      </w:r>
    </w:p>
    <w:p w14:paraId="1AA66DC9">
      <w:pPr>
        <w:pStyle w:val="2"/>
        <w:spacing w:before="0" w:after="0" w:line="360" w:lineRule="auto"/>
        <w:rPr>
          <w:rFonts w:hint="eastAsia" w:ascii="黑体"/>
          <w:b w:val="0"/>
          <w:sz w:val="28"/>
          <w:szCs w:val="28"/>
        </w:rPr>
      </w:pPr>
      <w:bookmarkStart w:id="676" w:name="_Toc53685691"/>
      <w:r>
        <w:rPr>
          <w:rFonts w:hint="eastAsia" w:ascii="黑体"/>
          <w:b w:val="0"/>
          <w:sz w:val="28"/>
          <w:szCs w:val="28"/>
        </w:rPr>
        <w:t>3.3第二个信封开标</w:t>
      </w:r>
      <w:bookmarkEnd w:id="676"/>
      <w:r>
        <w:rPr>
          <w:rFonts w:hint="eastAsia" w:ascii="黑体"/>
          <w:b w:val="0"/>
          <w:sz w:val="28"/>
          <w:szCs w:val="28"/>
        </w:rPr>
        <w:t xml:space="preserve"> </w:t>
      </w:r>
    </w:p>
    <w:p w14:paraId="36BAE85B">
      <w:pPr>
        <w:widowControl/>
        <w:snapToGrid w:val="0"/>
        <w:spacing w:line="360" w:lineRule="auto"/>
        <w:ind w:firstLine="420"/>
        <w:rPr>
          <w:rFonts w:ascii="宋体" w:hAnsi="宋体" w:cs="宋体"/>
          <w:kern w:val="0"/>
          <w:sz w:val="24"/>
        </w:rPr>
      </w:pPr>
      <w:r>
        <w:rPr>
          <w:rFonts w:hint="eastAsia" w:ascii="宋体" w:hAnsi="宋体" w:cs="宋体"/>
          <w:kern w:val="0"/>
          <w:sz w:val="24"/>
        </w:rPr>
        <w:t>第一个信封（商务及技术文件）评审结束后，招标人将按照第二章“投标人须知”</w:t>
      </w:r>
      <w:r>
        <w:rPr>
          <w:rFonts w:ascii="宋体" w:hAnsi="宋体" w:cs="宋体"/>
          <w:kern w:val="0"/>
          <w:sz w:val="24"/>
        </w:rPr>
        <w:t xml:space="preserve"> </w:t>
      </w:r>
      <w:r>
        <w:rPr>
          <w:rFonts w:hint="eastAsia" w:ascii="宋体" w:hAnsi="宋体" w:cs="宋体"/>
          <w:kern w:val="0"/>
          <w:sz w:val="24"/>
        </w:rPr>
        <w:t>第</w:t>
      </w:r>
      <w:r>
        <w:rPr>
          <w:rFonts w:ascii="宋体" w:hAnsi="宋体"/>
          <w:kern w:val="0"/>
          <w:sz w:val="24"/>
        </w:rPr>
        <w:t>5.1</w:t>
      </w:r>
      <w:r>
        <w:rPr>
          <w:rFonts w:hint="eastAsia" w:ascii="宋体" w:hAnsi="宋体" w:cs="宋体"/>
          <w:kern w:val="0"/>
          <w:sz w:val="24"/>
        </w:rPr>
        <w:t>款规定的时间和地点对通过投标文件第一个信封（商务及技术文件）评审的投标文件第二个信封（报价文件）进行开标。</w:t>
      </w:r>
      <w:r>
        <w:rPr>
          <w:rFonts w:ascii="宋体" w:hAnsi="宋体" w:cs="宋体"/>
          <w:kern w:val="0"/>
          <w:sz w:val="24"/>
        </w:rPr>
        <w:t xml:space="preserve"> </w:t>
      </w:r>
    </w:p>
    <w:p w14:paraId="7852EA24">
      <w:pPr>
        <w:pStyle w:val="2"/>
        <w:spacing w:before="0" w:after="0" w:line="360" w:lineRule="auto"/>
        <w:rPr>
          <w:rFonts w:hint="eastAsia" w:ascii="黑体"/>
          <w:b w:val="0"/>
          <w:sz w:val="28"/>
          <w:szCs w:val="28"/>
        </w:rPr>
      </w:pPr>
      <w:bookmarkStart w:id="677" w:name="_Toc53685692"/>
      <w:r>
        <w:rPr>
          <w:rFonts w:hint="eastAsia" w:ascii="黑体"/>
          <w:b w:val="0"/>
          <w:sz w:val="28"/>
          <w:szCs w:val="28"/>
        </w:rPr>
        <w:t>3.4 第二个信封初步评审</w:t>
      </w:r>
      <w:bookmarkEnd w:id="677"/>
      <w:r>
        <w:rPr>
          <w:rFonts w:hint="eastAsia" w:ascii="黑体"/>
          <w:b w:val="0"/>
          <w:sz w:val="28"/>
          <w:szCs w:val="28"/>
        </w:rPr>
        <w:t xml:space="preserve"> </w:t>
      </w:r>
    </w:p>
    <w:p w14:paraId="117FCBBD">
      <w:pPr>
        <w:widowControl/>
        <w:snapToGrid w:val="0"/>
        <w:spacing w:line="360" w:lineRule="auto"/>
        <w:ind w:firstLine="420"/>
        <w:rPr>
          <w:rFonts w:ascii="宋体" w:hAnsi="宋体" w:cs="宋体"/>
          <w:kern w:val="0"/>
          <w:sz w:val="24"/>
        </w:rPr>
      </w:pPr>
      <w:r>
        <w:rPr>
          <w:rFonts w:ascii="宋体" w:hAnsi="宋体"/>
          <w:kern w:val="0"/>
          <w:sz w:val="24"/>
        </w:rPr>
        <w:t xml:space="preserve">3.4.1 </w:t>
      </w:r>
      <w:r>
        <w:rPr>
          <w:rFonts w:hint="eastAsia" w:ascii="宋体" w:hAnsi="宋体" w:cs="宋体"/>
          <w:kern w:val="0"/>
          <w:sz w:val="24"/>
        </w:rPr>
        <w:t>评标委员会依据本章第</w:t>
      </w:r>
      <w:r>
        <w:rPr>
          <w:rFonts w:ascii="宋体" w:hAnsi="宋体"/>
          <w:kern w:val="0"/>
          <w:sz w:val="24"/>
        </w:rPr>
        <w:t>2.1.1</w:t>
      </w:r>
      <w:r>
        <w:rPr>
          <w:rFonts w:hint="eastAsia" w:ascii="宋体" w:hAnsi="宋体" w:cs="宋体"/>
          <w:kern w:val="0"/>
          <w:sz w:val="24"/>
        </w:rPr>
        <w:t>项、第</w:t>
      </w:r>
      <w:r>
        <w:rPr>
          <w:rFonts w:ascii="宋体" w:hAnsi="宋体"/>
          <w:kern w:val="0"/>
          <w:sz w:val="24"/>
        </w:rPr>
        <w:t>2.1.3</w:t>
      </w:r>
      <w:r>
        <w:rPr>
          <w:rFonts w:hint="eastAsia" w:ascii="宋体" w:hAnsi="宋体" w:cs="宋体"/>
          <w:kern w:val="0"/>
          <w:sz w:val="24"/>
        </w:rPr>
        <w:t>项规定的评审标准对投标文件第二个信封（报价文件）进行初步评审。有一项不符合评审标准的，评标委员会应否决其投标。</w:t>
      </w:r>
      <w:r>
        <w:rPr>
          <w:rFonts w:ascii="宋体" w:hAnsi="宋体" w:cs="宋体"/>
          <w:kern w:val="0"/>
          <w:sz w:val="24"/>
        </w:rPr>
        <w:t xml:space="preserve"> </w:t>
      </w:r>
    </w:p>
    <w:p w14:paraId="2C1784D5">
      <w:pPr>
        <w:widowControl/>
        <w:snapToGrid w:val="0"/>
        <w:spacing w:line="360" w:lineRule="auto"/>
        <w:ind w:firstLine="420"/>
        <w:rPr>
          <w:rFonts w:ascii="宋体" w:hAnsi="宋体" w:cs="宋体"/>
          <w:kern w:val="0"/>
          <w:sz w:val="24"/>
        </w:rPr>
      </w:pPr>
      <w:r>
        <w:rPr>
          <w:rFonts w:ascii="宋体" w:hAnsi="宋体"/>
          <w:kern w:val="0"/>
          <w:sz w:val="24"/>
        </w:rPr>
        <w:t xml:space="preserve">3.4.2 </w:t>
      </w:r>
      <w:r>
        <w:rPr>
          <w:rFonts w:hint="eastAsia" w:ascii="宋体" w:hAnsi="宋体" w:cs="宋体"/>
          <w:kern w:val="0"/>
          <w:sz w:val="24"/>
        </w:rPr>
        <w:t>投标报价有算术错误的，评标委员会按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41841D78">
      <w:pPr>
        <w:widowControl/>
        <w:spacing w:line="360" w:lineRule="auto"/>
        <w:ind w:firstLine="480"/>
        <w:rPr>
          <w:rFonts w:ascii="宋体" w:hAnsi="宋体"/>
          <w:kern w:val="0"/>
          <w:sz w:val="24"/>
        </w:rPr>
      </w:pPr>
      <w:r>
        <w:rPr>
          <w:rFonts w:ascii="宋体" w:hAnsi="宋体"/>
          <w:kern w:val="0"/>
          <w:sz w:val="24"/>
        </w:rPr>
        <w:t xml:space="preserve">3.4.3 </w:t>
      </w:r>
      <w:r>
        <w:rPr>
          <w:rFonts w:hint="eastAsia" w:ascii="宋体" w:hAnsi="宋体" w:cs="宋体"/>
          <w:kern w:val="0"/>
          <w:sz w:val="24"/>
        </w:rPr>
        <w:t>价格清单中的投标报价有其他错误的，评标委员会按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51DB758D">
      <w:pPr>
        <w:widowControl/>
        <w:snapToGrid w:val="0"/>
        <w:spacing w:line="360" w:lineRule="auto"/>
        <w:ind w:firstLine="480"/>
        <w:rPr>
          <w:rFonts w:ascii="宋体" w:hAnsi="宋体"/>
          <w:kern w:val="0"/>
          <w:sz w:val="24"/>
        </w:rPr>
      </w:pPr>
      <w:r>
        <w:rPr>
          <w:rFonts w:ascii="宋体" w:hAnsi="宋体"/>
          <w:kern w:val="0"/>
          <w:sz w:val="24"/>
        </w:rPr>
        <w:t xml:space="preserve">3.4.4 </w:t>
      </w:r>
      <w:r>
        <w:rPr>
          <w:rFonts w:hint="eastAsia" w:ascii="宋体" w:hAnsi="宋体"/>
          <w:kern w:val="0"/>
          <w:sz w:val="24"/>
        </w:rPr>
        <w:t>修正后的最终投标报价若超过最高投标限价（如有），评标委员会应否决其投标。</w:t>
      </w:r>
      <w:r>
        <w:rPr>
          <w:rFonts w:ascii="宋体" w:hAnsi="宋体"/>
          <w:kern w:val="0"/>
          <w:sz w:val="24"/>
        </w:rPr>
        <w:t xml:space="preserve"> </w:t>
      </w:r>
    </w:p>
    <w:p w14:paraId="21021A2F">
      <w:pPr>
        <w:pStyle w:val="2"/>
        <w:spacing w:before="0" w:after="0" w:line="360" w:lineRule="auto"/>
        <w:rPr>
          <w:rFonts w:hint="eastAsia" w:ascii="黑体"/>
          <w:b w:val="0"/>
          <w:sz w:val="28"/>
          <w:szCs w:val="28"/>
        </w:rPr>
      </w:pPr>
      <w:bookmarkStart w:id="678" w:name="_Toc53685693"/>
      <w:r>
        <w:rPr>
          <w:rFonts w:hint="eastAsia" w:ascii="黑体"/>
          <w:b w:val="0"/>
          <w:sz w:val="28"/>
          <w:szCs w:val="28"/>
        </w:rPr>
        <w:t>3.5 第二个信封详细评审</w:t>
      </w:r>
      <w:bookmarkEnd w:id="678"/>
      <w:r>
        <w:rPr>
          <w:rFonts w:hint="eastAsia" w:ascii="黑体"/>
          <w:b w:val="0"/>
          <w:sz w:val="28"/>
          <w:szCs w:val="28"/>
        </w:rPr>
        <w:t xml:space="preserve"> </w:t>
      </w:r>
    </w:p>
    <w:p w14:paraId="20B77028">
      <w:pPr>
        <w:spacing w:line="360" w:lineRule="auto"/>
        <w:ind w:firstLine="480" w:firstLineChars="200"/>
        <w:rPr>
          <w:rFonts w:ascii="宋体" w:hAnsi="宋体" w:cs="宋体"/>
          <w:sz w:val="24"/>
        </w:rPr>
      </w:pPr>
      <w:r>
        <w:rPr>
          <w:rFonts w:ascii="宋体" w:hAnsi="宋体" w:cs="宋体"/>
          <w:sz w:val="24"/>
        </w:rPr>
        <w:t xml:space="preserve">3.5.1 </w:t>
      </w:r>
      <w:r>
        <w:rPr>
          <w:rFonts w:hint="eastAsia" w:ascii="宋体" w:hAnsi="宋体" w:cs="宋体"/>
          <w:sz w:val="24"/>
        </w:rPr>
        <w:t>评标委员会按本章</w:t>
      </w:r>
      <w:r>
        <w:rPr>
          <w:rFonts w:ascii="宋体" w:hAnsi="宋体" w:cs="宋体"/>
          <w:sz w:val="24"/>
        </w:rPr>
        <w:t>第2.2.4项（3）目规定的评审因素和分值对评标价计算出得分F，评标价得分分值计算保留</w:t>
      </w:r>
      <w:r>
        <w:rPr>
          <w:rFonts w:hint="eastAsia" w:ascii="宋体" w:hAnsi="宋体" w:cs="宋体"/>
          <w:sz w:val="24"/>
        </w:rPr>
        <w:t>小数点后位数：见评标办法前附表。</w:t>
      </w:r>
      <w:r>
        <w:rPr>
          <w:rFonts w:ascii="宋体" w:hAnsi="宋体" w:cs="宋体"/>
          <w:sz w:val="24"/>
        </w:rPr>
        <w:t xml:space="preserve"> </w:t>
      </w:r>
    </w:p>
    <w:p w14:paraId="13E8A2C6">
      <w:pPr>
        <w:widowControl/>
        <w:snapToGrid w:val="0"/>
        <w:spacing w:line="360" w:lineRule="auto"/>
        <w:ind w:firstLine="480"/>
        <w:rPr>
          <w:rFonts w:ascii="宋体" w:hAnsi="宋体"/>
          <w:kern w:val="0"/>
          <w:sz w:val="24"/>
        </w:rPr>
      </w:pPr>
      <w:r>
        <w:rPr>
          <w:rFonts w:ascii="宋体" w:hAnsi="宋体" w:cs="宋体"/>
          <w:sz w:val="24"/>
        </w:rPr>
        <w:t xml:space="preserve">3.5.2 </w:t>
      </w:r>
      <w:r>
        <w:rPr>
          <w:rFonts w:hint="eastAsia" w:ascii="宋体" w:hAnsi="宋体" w:cs="宋体"/>
          <w:sz w:val="24"/>
        </w:rPr>
        <w:t>投标人综合得分＝投标人的商务和技术得分</w:t>
      </w:r>
      <w:r>
        <w:rPr>
          <w:rFonts w:ascii="宋体" w:hAnsi="宋体" w:cs="宋体"/>
          <w:sz w:val="24"/>
        </w:rPr>
        <w:t>+F。</w:t>
      </w:r>
      <w:r>
        <w:rPr>
          <w:rFonts w:ascii="宋体" w:hAnsi="宋体"/>
          <w:kern w:val="0"/>
          <w:sz w:val="24"/>
        </w:rPr>
        <w:t xml:space="preserve"> </w:t>
      </w:r>
    </w:p>
    <w:p w14:paraId="7CD03385">
      <w:pPr>
        <w:widowControl/>
        <w:snapToGrid w:val="0"/>
        <w:spacing w:line="360" w:lineRule="auto"/>
        <w:ind w:firstLine="480"/>
        <w:rPr>
          <w:rFonts w:ascii="宋体" w:hAnsi="宋体"/>
          <w:kern w:val="0"/>
          <w:sz w:val="24"/>
        </w:rPr>
      </w:pPr>
      <w:r>
        <w:rPr>
          <w:rFonts w:ascii="宋体" w:hAnsi="宋体"/>
          <w:kern w:val="0"/>
          <w:sz w:val="24"/>
        </w:rPr>
        <w:t xml:space="preserve">3.5.3 </w:t>
      </w:r>
      <w:r>
        <w:rPr>
          <w:rFonts w:hint="eastAsia" w:ascii="宋体" w:hAnsi="宋体"/>
          <w:kern w:val="0"/>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rPr>
        <w:t xml:space="preserve"> </w:t>
      </w:r>
    </w:p>
    <w:p w14:paraId="3D477411">
      <w:pPr>
        <w:pStyle w:val="2"/>
        <w:spacing w:before="0" w:after="0" w:line="360" w:lineRule="auto"/>
        <w:rPr>
          <w:rFonts w:hint="eastAsia" w:ascii="黑体"/>
          <w:b w:val="0"/>
          <w:sz w:val="28"/>
          <w:szCs w:val="28"/>
        </w:rPr>
      </w:pPr>
      <w:bookmarkStart w:id="679" w:name="_Toc53685694"/>
      <w:r>
        <w:rPr>
          <w:rFonts w:hint="eastAsia" w:ascii="黑体"/>
          <w:b w:val="0"/>
          <w:sz w:val="28"/>
          <w:szCs w:val="28"/>
        </w:rPr>
        <w:t>3.6 投标文件相关信息的核查</w:t>
      </w:r>
      <w:bookmarkEnd w:id="679"/>
      <w:r>
        <w:rPr>
          <w:rFonts w:hint="eastAsia" w:ascii="黑体"/>
          <w:b w:val="0"/>
          <w:sz w:val="28"/>
          <w:szCs w:val="28"/>
        </w:rPr>
        <w:t xml:space="preserve"> </w:t>
      </w:r>
    </w:p>
    <w:p w14:paraId="141E01D4">
      <w:pPr>
        <w:widowControl/>
        <w:snapToGrid w:val="0"/>
        <w:spacing w:line="360" w:lineRule="auto"/>
        <w:ind w:firstLine="480"/>
        <w:rPr>
          <w:rFonts w:ascii="宋体" w:hAnsi="宋体"/>
          <w:kern w:val="0"/>
          <w:sz w:val="24"/>
        </w:rPr>
      </w:pPr>
      <w:r>
        <w:rPr>
          <w:rFonts w:ascii="宋体" w:hAnsi="宋体"/>
          <w:kern w:val="0"/>
          <w:sz w:val="24"/>
        </w:rPr>
        <w:t xml:space="preserve">3.6.1 </w:t>
      </w:r>
      <w:bookmarkStart w:id="680" w:name="_Hlk100771028"/>
      <w:r>
        <w:rPr>
          <w:rFonts w:hint="eastAsia" w:ascii="宋体" w:hAnsi="宋体"/>
          <w:kern w:val="0"/>
          <w:sz w:val="24"/>
        </w:rPr>
        <w:t>在评标过程中，评标委员会应查询交通运输主管部门“全国公路建设市场监督管理系统”，对投标人的资质、业绩、主要人员资历等信息进行核实，信用等级</w:t>
      </w:r>
      <w:r>
        <w:rPr>
          <w:rFonts w:hint="eastAsia" w:ascii="宋体" w:hAnsi="宋体"/>
          <w:sz w:val="24"/>
        </w:rPr>
        <w:t>信息应以“信用交通·四川”上查询结果为准</w:t>
      </w:r>
      <w:r>
        <w:rPr>
          <w:rFonts w:hint="eastAsia" w:ascii="宋体" w:hAnsi="宋体" w:cs="宋体"/>
          <w:sz w:val="24"/>
        </w:rPr>
        <w:t>。</w:t>
      </w:r>
      <w:r>
        <w:rPr>
          <w:rFonts w:hint="eastAsia" w:ascii="宋体" w:hAnsi="宋体"/>
          <w:kern w:val="0"/>
          <w:sz w:val="24"/>
        </w:rPr>
        <w:t>若投标文件载明的信息与上述</w:t>
      </w:r>
      <w:r>
        <w:rPr>
          <w:rFonts w:ascii="宋体" w:hAnsi="宋体"/>
          <w:kern w:val="0"/>
          <w:sz w:val="24"/>
        </w:rPr>
        <w:t>信息发布平台</w:t>
      </w:r>
      <w:r>
        <w:rPr>
          <w:rFonts w:hint="eastAsia" w:ascii="宋体" w:hAnsi="宋体"/>
          <w:kern w:val="0"/>
          <w:sz w:val="24"/>
        </w:rPr>
        <w:t>发布的信息不符，使得投标人的资格条件不符合招标文件规定的，评标委员会应否决其投标</w:t>
      </w:r>
      <w:bookmarkEnd w:id="680"/>
      <w:r>
        <w:rPr>
          <w:rFonts w:hint="eastAsia" w:ascii="宋体" w:hAnsi="宋体"/>
          <w:kern w:val="0"/>
          <w:sz w:val="24"/>
        </w:rPr>
        <w:t>。</w:t>
      </w:r>
      <w:r>
        <w:rPr>
          <w:rFonts w:ascii="宋体" w:hAnsi="宋体"/>
          <w:kern w:val="0"/>
          <w:sz w:val="24"/>
        </w:rPr>
        <w:t xml:space="preserve"> </w:t>
      </w:r>
    </w:p>
    <w:p w14:paraId="2CD03A31">
      <w:pPr>
        <w:widowControl/>
        <w:snapToGrid w:val="0"/>
        <w:spacing w:line="360" w:lineRule="auto"/>
        <w:ind w:firstLine="480"/>
        <w:rPr>
          <w:rFonts w:ascii="宋体" w:hAnsi="宋体"/>
          <w:kern w:val="0"/>
          <w:sz w:val="24"/>
        </w:rPr>
      </w:pPr>
      <w:r>
        <w:rPr>
          <w:rFonts w:ascii="宋体" w:hAnsi="宋体"/>
          <w:kern w:val="0"/>
          <w:sz w:val="24"/>
        </w:rPr>
        <w:t xml:space="preserve">3.6.2 </w:t>
      </w:r>
      <w:r>
        <w:rPr>
          <w:rFonts w:hint="eastAsia" w:ascii="宋体" w:hAnsi="宋体"/>
          <w:kern w:val="0"/>
          <w:sz w:val="24"/>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rPr>
        <w:t xml:space="preserve"> </w:t>
      </w:r>
    </w:p>
    <w:p w14:paraId="43F7459E">
      <w:pPr>
        <w:widowControl/>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）有下列情形之一的，属于投标人相互串通投标：</w:t>
      </w:r>
      <w:r>
        <w:rPr>
          <w:rFonts w:ascii="宋体" w:hAnsi="宋体"/>
          <w:kern w:val="0"/>
          <w:sz w:val="24"/>
        </w:rPr>
        <w:t xml:space="preserve"> </w:t>
      </w:r>
    </w:p>
    <w:p w14:paraId="6C48AA2A">
      <w:pPr>
        <w:widowControl/>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投标人之间协商投标报价等投标文件的实质性内容；</w:t>
      </w:r>
      <w:r>
        <w:rPr>
          <w:rFonts w:ascii="宋体" w:hAnsi="宋体"/>
          <w:kern w:val="0"/>
          <w:sz w:val="24"/>
        </w:rPr>
        <w:t xml:space="preserve"> </w:t>
      </w:r>
    </w:p>
    <w:p w14:paraId="29CA4C3E">
      <w:pPr>
        <w:widowControl/>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投标人之间约定中标人；</w:t>
      </w:r>
      <w:r>
        <w:rPr>
          <w:rFonts w:ascii="宋体" w:hAnsi="宋体"/>
          <w:kern w:val="0"/>
          <w:sz w:val="24"/>
        </w:rPr>
        <w:t xml:space="preserve"> </w:t>
      </w:r>
    </w:p>
    <w:p w14:paraId="14AC7559">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投标人之间约定部分投标人放弃投标或中标；</w:t>
      </w:r>
      <w:r>
        <w:rPr>
          <w:rFonts w:ascii="宋体" w:hAnsi="宋体"/>
          <w:kern w:val="0"/>
          <w:sz w:val="24"/>
        </w:rPr>
        <w:t xml:space="preserve"> </w:t>
      </w:r>
    </w:p>
    <w:p w14:paraId="0E09BCF6">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属于同一集团、协会、商会等组织成员的投标人按照该组织要求协同投标；</w:t>
      </w:r>
      <w:r>
        <w:rPr>
          <w:rFonts w:ascii="宋体" w:hAnsi="宋体"/>
          <w:kern w:val="0"/>
          <w:sz w:val="24"/>
        </w:rPr>
        <w:t xml:space="preserve"> </w:t>
      </w:r>
    </w:p>
    <w:p w14:paraId="65663C82">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投标人之间为谋取中标或排斥特定投标人而采取的其他联合行动。</w:t>
      </w:r>
      <w:r>
        <w:rPr>
          <w:rFonts w:ascii="宋体" w:hAnsi="宋体"/>
          <w:kern w:val="0"/>
          <w:sz w:val="24"/>
        </w:rPr>
        <w:t xml:space="preserve"> </w:t>
      </w:r>
    </w:p>
    <w:p w14:paraId="41661933">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）有下列情形之一的，视为投标人相互串通投标：</w:t>
      </w:r>
      <w:r>
        <w:rPr>
          <w:rFonts w:ascii="宋体" w:hAnsi="宋体"/>
          <w:kern w:val="0"/>
          <w:sz w:val="24"/>
        </w:rPr>
        <w:t xml:space="preserve"> </w:t>
      </w:r>
    </w:p>
    <w:p w14:paraId="61B0DE78">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不同投标人的投标文件由同一单位或个人编制；</w:t>
      </w:r>
      <w:r>
        <w:rPr>
          <w:rFonts w:ascii="宋体" w:hAnsi="宋体"/>
          <w:kern w:val="0"/>
          <w:sz w:val="24"/>
        </w:rPr>
        <w:t xml:space="preserve"> </w:t>
      </w:r>
    </w:p>
    <w:p w14:paraId="60578CC5">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不同投标人委托同一单位或个人办理投标事宜；</w:t>
      </w:r>
      <w:r>
        <w:rPr>
          <w:rFonts w:ascii="宋体" w:hAnsi="宋体"/>
          <w:kern w:val="0"/>
          <w:sz w:val="24"/>
        </w:rPr>
        <w:t xml:space="preserve"> </w:t>
      </w:r>
    </w:p>
    <w:p w14:paraId="4DDA97F1">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不同投标人的投标文件载明的项目管理成员为同一人；</w:t>
      </w:r>
      <w:r>
        <w:rPr>
          <w:rFonts w:ascii="宋体" w:hAnsi="宋体"/>
          <w:kern w:val="0"/>
          <w:sz w:val="24"/>
        </w:rPr>
        <w:t xml:space="preserve"> </w:t>
      </w:r>
    </w:p>
    <w:p w14:paraId="49E9D9E0">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不同投标人的投标文件异常一致或投标报价呈规律性差异；</w:t>
      </w:r>
      <w:r>
        <w:rPr>
          <w:rFonts w:ascii="宋体" w:hAnsi="宋体"/>
          <w:kern w:val="0"/>
          <w:sz w:val="24"/>
        </w:rPr>
        <w:t xml:space="preserve"> </w:t>
      </w:r>
    </w:p>
    <w:p w14:paraId="342E1EC5">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不同投标人的投标文件相互混装；</w:t>
      </w:r>
      <w:r>
        <w:rPr>
          <w:rFonts w:ascii="宋体" w:hAnsi="宋体"/>
          <w:kern w:val="0"/>
          <w:sz w:val="24"/>
        </w:rPr>
        <w:t xml:space="preserve"> </w:t>
      </w:r>
    </w:p>
    <w:p w14:paraId="710EE814">
      <w:pPr>
        <w:widowControl/>
        <w:snapToGrid w:val="0"/>
        <w:spacing w:line="360" w:lineRule="auto"/>
        <w:ind w:left="420"/>
        <w:jc w:val="left"/>
        <w:rPr>
          <w:rFonts w:hint="eastAsia" w:ascii="宋体" w:hAnsi="宋体"/>
          <w:kern w:val="0"/>
          <w:sz w:val="24"/>
        </w:rPr>
      </w:pPr>
      <w:r>
        <w:rPr>
          <w:rFonts w:ascii="宋体" w:hAnsi="宋体"/>
          <w:kern w:val="0"/>
          <w:sz w:val="24"/>
        </w:rPr>
        <w:t>f.</w:t>
      </w:r>
      <w:r>
        <w:rPr>
          <w:rFonts w:hint="eastAsia" w:ascii="宋体" w:hAnsi="宋体"/>
          <w:kern w:val="0"/>
          <w:sz w:val="24"/>
        </w:rPr>
        <w:t>不同投标人的投标保证金从同一单位或个人的账户转出。</w:t>
      </w:r>
    </w:p>
    <w:p w14:paraId="60935967">
      <w:pPr>
        <w:widowControl/>
        <w:snapToGrid w:val="0"/>
        <w:spacing w:line="360" w:lineRule="auto"/>
        <w:ind w:left="0" w:firstLine="480" w:firstLineChars="200"/>
        <w:jc w:val="left"/>
        <w:rPr>
          <w:rFonts w:ascii="宋体" w:hAnsi="宋体"/>
          <w:kern w:val="0"/>
          <w:sz w:val="24"/>
        </w:rPr>
      </w:pPr>
      <w:r>
        <w:rPr>
          <w:rFonts w:ascii="宋体" w:hAnsi="宋体"/>
          <w:kern w:val="0"/>
          <w:sz w:val="24"/>
        </w:rPr>
        <w:t>g.对同一标段不同投标人电子投标文件的文件制作机器码或文件创建标识码相同；</w:t>
      </w:r>
    </w:p>
    <w:p w14:paraId="41A3690E">
      <w:pPr>
        <w:widowControl/>
        <w:snapToGrid w:val="0"/>
        <w:spacing w:line="360" w:lineRule="auto"/>
        <w:ind w:firstLine="480"/>
        <w:jc w:val="left"/>
        <w:rPr>
          <w:rFonts w:ascii="宋体" w:hAnsi="宋体"/>
          <w:kern w:val="0"/>
          <w:sz w:val="24"/>
        </w:rPr>
      </w:pPr>
      <w:r>
        <w:rPr>
          <w:rFonts w:ascii="宋体" w:hAnsi="宋体"/>
          <w:kern w:val="0"/>
          <w:sz w:val="24"/>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rPr>
        <w:t>；</w:t>
      </w:r>
    </w:p>
    <w:p w14:paraId="0081719F">
      <w:pPr>
        <w:widowControl/>
        <w:snapToGrid w:val="0"/>
        <w:spacing w:line="360" w:lineRule="auto"/>
        <w:ind w:firstLine="480"/>
        <w:jc w:val="left"/>
        <w:rPr>
          <w:rFonts w:ascii="宋体" w:hAnsi="宋体"/>
          <w:kern w:val="0"/>
          <w:sz w:val="24"/>
        </w:rPr>
      </w:pPr>
      <w:r>
        <w:rPr>
          <w:rFonts w:hint="eastAsia" w:ascii="宋体" w:hAnsi="宋体"/>
          <w:kern w:val="0"/>
          <w:sz w:val="24"/>
        </w:rPr>
        <w:t>j.</w:t>
      </w:r>
      <w:r>
        <w:rPr>
          <w:rFonts w:ascii="宋体" w:hAnsi="宋体"/>
          <w:kern w:val="0"/>
          <w:sz w:val="24"/>
        </w:rPr>
        <w:t>不同投标人通过同一单位或者个人账户购买电子保函的。</w:t>
      </w:r>
    </w:p>
    <w:p w14:paraId="112D079E">
      <w:pPr>
        <w:widowControl/>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）有下列情形之一的，属于招标人与投标人串通投标：</w:t>
      </w:r>
    </w:p>
    <w:p w14:paraId="59D56415">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招标人在开标前开启投标文件并将有关信息泄露给其他投标人；</w:t>
      </w:r>
      <w:r>
        <w:rPr>
          <w:rFonts w:ascii="宋体" w:hAnsi="宋体"/>
          <w:kern w:val="0"/>
          <w:sz w:val="24"/>
        </w:rPr>
        <w:t xml:space="preserve"> </w:t>
      </w:r>
    </w:p>
    <w:p w14:paraId="15851630">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招标人直接或间接向投标人泄露标底、评标委员会成员等信息；</w:t>
      </w:r>
      <w:r>
        <w:rPr>
          <w:rFonts w:ascii="宋体" w:hAnsi="宋体"/>
          <w:kern w:val="0"/>
          <w:sz w:val="24"/>
        </w:rPr>
        <w:t xml:space="preserve"> </w:t>
      </w:r>
    </w:p>
    <w:p w14:paraId="431A8A66">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招标人明示或暗示投标人压低或抬高投标报价；</w:t>
      </w:r>
      <w:r>
        <w:rPr>
          <w:rFonts w:ascii="宋体" w:hAnsi="宋体"/>
          <w:kern w:val="0"/>
          <w:sz w:val="24"/>
        </w:rPr>
        <w:t xml:space="preserve"> </w:t>
      </w:r>
    </w:p>
    <w:p w14:paraId="2DF1D6AE">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招标人授意投标人撤换、修改投标文件；</w:t>
      </w:r>
      <w:r>
        <w:rPr>
          <w:rFonts w:ascii="宋体" w:hAnsi="宋体"/>
          <w:kern w:val="0"/>
          <w:sz w:val="24"/>
        </w:rPr>
        <w:t xml:space="preserve"> </w:t>
      </w:r>
    </w:p>
    <w:p w14:paraId="7705904F">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招标人明示或暗示投标人为特定投标人中标提供方便；</w:t>
      </w:r>
      <w:r>
        <w:rPr>
          <w:rFonts w:ascii="宋体" w:hAnsi="宋体"/>
          <w:kern w:val="0"/>
          <w:sz w:val="24"/>
        </w:rPr>
        <w:t xml:space="preserve"> </w:t>
      </w:r>
    </w:p>
    <w:p w14:paraId="230EC9E4">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招标人与投标人为谋求特定投标人中标而采取的其他串通行为。</w:t>
      </w:r>
    </w:p>
    <w:p w14:paraId="1F7E2957">
      <w:pPr>
        <w:widowControl/>
        <w:spacing w:line="360" w:lineRule="auto"/>
        <w:ind w:firstLine="48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有下列情形之一的，属于电子招标投标交易平台运营机构或其人员与投标人串通投标：</w:t>
      </w:r>
    </w:p>
    <w:p w14:paraId="50848D26">
      <w:pPr>
        <w:widowControl/>
        <w:spacing w:line="360" w:lineRule="auto"/>
        <w:ind w:firstLine="480"/>
        <w:rPr>
          <w:rFonts w:ascii="宋体" w:hAnsi="宋体"/>
          <w:kern w:val="0"/>
          <w:sz w:val="24"/>
        </w:rPr>
      </w:pPr>
      <w:r>
        <w:rPr>
          <w:rFonts w:ascii="宋体" w:hAnsi="宋体"/>
          <w:kern w:val="0"/>
          <w:sz w:val="24"/>
        </w:rPr>
        <w:t>a.电子招标投标交易平台运营机构电子招标投标交易平台运营机构或其人员在开标前开启投标文件并将有关信息泄露给其他投标人</w:t>
      </w:r>
      <w:r>
        <w:rPr>
          <w:rFonts w:hint="eastAsia" w:ascii="宋体" w:hAnsi="宋体"/>
          <w:kern w:val="0"/>
          <w:sz w:val="24"/>
        </w:rPr>
        <w:t>；</w:t>
      </w:r>
    </w:p>
    <w:p w14:paraId="0E9AC4BB">
      <w:pPr>
        <w:widowControl/>
        <w:spacing w:line="360" w:lineRule="auto"/>
        <w:ind w:firstLine="480"/>
        <w:rPr>
          <w:rFonts w:ascii="宋体" w:hAnsi="宋体"/>
          <w:kern w:val="0"/>
          <w:sz w:val="24"/>
        </w:rPr>
      </w:pPr>
      <w:r>
        <w:rPr>
          <w:rFonts w:ascii="宋体" w:hAnsi="宋体"/>
          <w:kern w:val="0"/>
          <w:sz w:val="24"/>
        </w:rPr>
        <w:t>b.电子招标投标交易平台运营机构或其人员直接或者间接向投标人泄露标底、评标委员会成员等信息；</w:t>
      </w:r>
    </w:p>
    <w:p w14:paraId="5246446F">
      <w:pPr>
        <w:widowControl/>
        <w:spacing w:line="360" w:lineRule="auto"/>
        <w:ind w:firstLine="480"/>
        <w:rPr>
          <w:rFonts w:ascii="宋体" w:hAnsi="宋体"/>
          <w:kern w:val="0"/>
          <w:sz w:val="24"/>
        </w:rPr>
      </w:pPr>
      <w:r>
        <w:rPr>
          <w:rFonts w:ascii="宋体" w:hAnsi="宋体"/>
          <w:kern w:val="0"/>
          <w:sz w:val="24"/>
        </w:rPr>
        <w:t>c.电子招标投标交易平台运营机构或其人员明示或者暗示投标人压低或者抬高投标报价；</w:t>
      </w:r>
    </w:p>
    <w:p w14:paraId="54E64886">
      <w:pPr>
        <w:widowControl/>
        <w:spacing w:line="360" w:lineRule="auto"/>
        <w:ind w:firstLine="480"/>
        <w:rPr>
          <w:rFonts w:ascii="宋体" w:hAnsi="宋体"/>
          <w:kern w:val="0"/>
          <w:sz w:val="24"/>
        </w:rPr>
      </w:pPr>
      <w:r>
        <w:rPr>
          <w:rFonts w:ascii="宋体" w:hAnsi="宋体"/>
          <w:kern w:val="0"/>
          <w:sz w:val="24"/>
        </w:rPr>
        <w:t>d.电子招标投标交易平台运营机构或其人员授意投标人撤换、修改投标文件；</w:t>
      </w:r>
    </w:p>
    <w:p w14:paraId="3051770D">
      <w:pPr>
        <w:widowControl/>
        <w:spacing w:line="360" w:lineRule="auto"/>
        <w:ind w:firstLine="480"/>
        <w:rPr>
          <w:rFonts w:ascii="宋体" w:hAnsi="宋体"/>
          <w:kern w:val="0"/>
          <w:sz w:val="24"/>
        </w:rPr>
      </w:pPr>
      <w:r>
        <w:rPr>
          <w:rFonts w:ascii="宋体" w:hAnsi="宋体"/>
          <w:kern w:val="0"/>
          <w:sz w:val="24"/>
        </w:rPr>
        <w:t>e.电子招标投标交易平台运营机构或其人员明示或者暗示投标人为特定投标人中标提供方便；</w:t>
      </w:r>
    </w:p>
    <w:p w14:paraId="69D14B61">
      <w:pPr>
        <w:widowControl/>
        <w:snapToGrid w:val="0"/>
        <w:spacing w:line="360" w:lineRule="auto"/>
        <w:ind w:left="0" w:firstLine="480" w:firstLineChars="200"/>
        <w:rPr>
          <w:rFonts w:ascii="宋体" w:hAnsi="宋体"/>
          <w:kern w:val="0"/>
          <w:sz w:val="24"/>
        </w:rPr>
      </w:pPr>
      <w:r>
        <w:rPr>
          <w:rFonts w:ascii="宋体" w:hAnsi="宋体"/>
          <w:kern w:val="0"/>
          <w:sz w:val="24"/>
        </w:rPr>
        <w:t>f.电子招标投标交易平台运营机构或其人员与投标人为谋求特定投标人中标而采取的其他串通行为。</w:t>
      </w:r>
    </w:p>
    <w:p w14:paraId="06720068">
      <w:pPr>
        <w:widowControl/>
        <w:snapToGrid w:val="0"/>
        <w:spacing w:line="360" w:lineRule="auto"/>
        <w:ind w:left="420"/>
        <w:jc w:val="left"/>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投标人有下列情形之一的，属于弄虚作假的行为：</w:t>
      </w:r>
      <w:r>
        <w:rPr>
          <w:rFonts w:ascii="宋体" w:hAnsi="宋体"/>
          <w:kern w:val="0"/>
          <w:sz w:val="24"/>
        </w:rPr>
        <w:t xml:space="preserve"> </w:t>
      </w:r>
    </w:p>
    <w:p w14:paraId="5F8A6AB6">
      <w:pPr>
        <w:widowControl/>
        <w:snapToGrid w:val="0"/>
        <w:spacing w:line="360" w:lineRule="auto"/>
        <w:ind w:left="420"/>
        <w:jc w:val="left"/>
        <w:rPr>
          <w:rFonts w:ascii="宋体" w:hAnsi="宋体"/>
          <w:kern w:val="0"/>
          <w:sz w:val="24"/>
        </w:rPr>
      </w:pPr>
      <w:r>
        <w:rPr>
          <w:rFonts w:ascii="宋体" w:hAnsi="宋体"/>
          <w:kern w:val="0"/>
          <w:sz w:val="24"/>
        </w:rPr>
        <w:t>a.</w:t>
      </w:r>
      <w:r>
        <w:rPr>
          <w:rFonts w:hint="eastAsia" w:ascii="宋体" w:hAnsi="宋体"/>
          <w:kern w:val="0"/>
          <w:sz w:val="24"/>
        </w:rPr>
        <w:t>使用通过受让或租借等方式获取的资格、资质证书投标；</w:t>
      </w:r>
      <w:r>
        <w:rPr>
          <w:rFonts w:ascii="宋体" w:hAnsi="宋体"/>
          <w:kern w:val="0"/>
          <w:sz w:val="24"/>
        </w:rPr>
        <w:t xml:space="preserve"> </w:t>
      </w:r>
    </w:p>
    <w:p w14:paraId="43DFBA3B">
      <w:pPr>
        <w:widowControl/>
        <w:snapToGrid w:val="0"/>
        <w:spacing w:line="360" w:lineRule="auto"/>
        <w:ind w:left="420"/>
        <w:jc w:val="left"/>
        <w:rPr>
          <w:rFonts w:ascii="宋体" w:hAnsi="宋体"/>
          <w:kern w:val="0"/>
          <w:sz w:val="24"/>
        </w:rPr>
      </w:pPr>
      <w:r>
        <w:rPr>
          <w:rFonts w:ascii="宋体" w:hAnsi="宋体"/>
          <w:kern w:val="0"/>
          <w:sz w:val="24"/>
        </w:rPr>
        <w:t>b.</w:t>
      </w:r>
      <w:r>
        <w:rPr>
          <w:rFonts w:hint="eastAsia" w:ascii="宋体" w:hAnsi="宋体"/>
          <w:kern w:val="0"/>
          <w:sz w:val="24"/>
        </w:rPr>
        <w:t>使用伪造、变造的许可证件；</w:t>
      </w:r>
      <w:r>
        <w:rPr>
          <w:rFonts w:ascii="宋体" w:hAnsi="宋体"/>
          <w:kern w:val="0"/>
          <w:sz w:val="24"/>
        </w:rPr>
        <w:t xml:space="preserve"> </w:t>
      </w:r>
    </w:p>
    <w:p w14:paraId="3EE42DDE">
      <w:pPr>
        <w:widowControl/>
        <w:snapToGrid w:val="0"/>
        <w:spacing w:line="360" w:lineRule="auto"/>
        <w:ind w:left="420"/>
        <w:jc w:val="left"/>
        <w:rPr>
          <w:rFonts w:ascii="宋体" w:hAnsi="宋体"/>
          <w:kern w:val="0"/>
          <w:sz w:val="24"/>
        </w:rPr>
      </w:pPr>
      <w:r>
        <w:rPr>
          <w:rFonts w:ascii="宋体" w:hAnsi="宋体"/>
          <w:kern w:val="0"/>
          <w:sz w:val="24"/>
        </w:rPr>
        <w:t>c.</w:t>
      </w:r>
      <w:r>
        <w:rPr>
          <w:rFonts w:hint="eastAsia" w:ascii="宋体" w:hAnsi="宋体"/>
          <w:kern w:val="0"/>
          <w:sz w:val="24"/>
        </w:rPr>
        <w:t>提供虚假的财务状况或业绩；</w:t>
      </w:r>
      <w:r>
        <w:rPr>
          <w:rFonts w:ascii="宋体" w:hAnsi="宋体"/>
          <w:kern w:val="0"/>
          <w:sz w:val="24"/>
        </w:rPr>
        <w:t xml:space="preserve"> </w:t>
      </w:r>
    </w:p>
    <w:p w14:paraId="7446AD6B">
      <w:pPr>
        <w:widowControl/>
        <w:snapToGrid w:val="0"/>
        <w:spacing w:line="360" w:lineRule="auto"/>
        <w:ind w:left="420"/>
        <w:jc w:val="left"/>
        <w:rPr>
          <w:rFonts w:ascii="宋体" w:hAnsi="宋体"/>
          <w:kern w:val="0"/>
          <w:sz w:val="24"/>
        </w:rPr>
      </w:pPr>
      <w:r>
        <w:rPr>
          <w:rFonts w:ascii="宋体" w:hAnsi="宋体"/>
          <w:kern w:val="0"/>
          <w:sz w:val="24"/>
        </w:rPr>
        <w:t>d.</w:t>
      </w:r>
      <w:r>
        <w:rPr>
          <w:rFonts w:hint="eastAsia" w:ascii="宋体" w:hAnsi="宋体"/>
          <w:kern w:val="0"/>
          <w:sz w:val="24"/>
        </w:rPr>
        <w:t>提供虚假的项目负责人或主要技术人员简历、劳动关系证明；</w:t>
      </w:r>
      <w:r>
        <w:rPr>
          <w:rFonts w:ascii="宋体" w:hAnsi="宋体"/>
          <w:kern w:val="0"/>
          <w:sz w:val="24"/>
        </w:rPr>
        <w:t xml:space="preserve"> </w:t>
      </w:r>
    </w:p>
    <w:p w14:paraId="09788B2D">
      <w:pPr>
        <w:widowControl/>
        <w:snapToGrid w:val="0"/>
        <w:spacing w:line="360" w:lineRule="auto"/>
        <w:ind w:left="420"/>
        <w:jc w:val="left"/>
        <w:rPr>
          <w:rFonts w:ascii="宋体" w:hAnsi="宋体"/>
          <w:kern w:val="0"/>
          <w:sz w:val="24"/>
        </w:rPr>
      </w:pPr>
      <w:r>
        <w:rPr>
          <w:rFonts w:ascii="宋体" w:hAnsi="宋体"/>
          <w:kern w:val="0"/>
          <w:sz w:val="24"/>
        </w:rPr>
        <w:t>e.</w:t>
      </w:r>
      <w:r>
        <w:rPr>
          <w:rFonts w:hint="eastAsia" w:ascii="宋体" w:hAnsi="宋体"/>
          <w:kern w:val="0"/>
          <w:sz w:val="24"/>
        </w:rPr>
        <w:t>提供虚假的信用状况；</w:t>
      </w:r>
      <w:r>
        <w:rPr>
          <w:rFonts w:ascii="宋体" w:hAnsi="宋体"/>
          <w:kern w:val="0"/>
          <w:sz w:val="24"/>
        </w:rPr>
        <w:t xml:space="preserve"> </w:t>
      </w:r>
    </w:p>
    <w:p w14:paraId="2FA69A90">
      <w:pPr>
        <w:widowControl/>
        <w:snapToGrid w:val="0"/>
        <w:spacing w:line="360" w:lineRule="auto"/>
        <w:ind w:left="420"/>
        <w:jc w:val="left"/>
        <w:rPr>
          <w:rFonts w:ascii="宋体" w:hAnsi="宋体"/>
          <w:kern w:val="0"/>
          <w:sz w:val="24"/>
        </w:rPr>
      </w:pPr>
      <w:r>
        <w:rPr>
          <w:rFonts w:ascii="宋体" w:hAnsi="宋体"/>
          <w:kern w:val="0"/>
          <w:sz w:val="24"/>
        </w:rPr>
        <w:t>f.</w:t>
      </w:r>
      <w:r>
        <w:rPr>
          <w:rFonts w:hint="eastAsia" w:ascii="宋体" w:hAnsi="宋体"/>
          <w:kern w:val="0"/>
          <w:sz w:val="24"/>
        </w:rPr>
        <w:t>其他弄虚作假的行为。</w:t>
      </w:r>
    </w:p>
    <w:p w14:paraId="5DE15241">
      <w:pPr>
        <w:pStyle w:val="2"/>
        <w:spacing w:before="0" w:after="0" w:line="360" w:lineRule="auto"/>
        <w:rPr>
          <w:rFonts w:hint="eastAsia" w:ascii="黑体"/>
          <w:b w:val="0"/>
          <w:sz w:val="28"/>
          <w:szCs w:val="28"/>
        </w:rPr>
      </w:pPr>
      <w:bookmarkStart w:id="681" w:name="_Toc53685695"/>
      <w:r>
        <w:rPr>
          <w:rFonts w:hint="eastAsia" w:ascii="黑体"/>
          <w:b w:val="0"/>
          <w:sz w:val="28"/>
          <w:szCs w:val="28"/>
        </w:rPr>
        <w:t>3.7 投标文件的澄清和说明</w:t>
      </w:r>
      <w:bookmarkEnd w:id="681"/>
      <w:r>
        <w:rPr>
          <w:rFonts w:hint="eastAsia" w:ascii="黑体"/>
          <w:b w:val="0"/>
          <w:sz w:val="28"/>
          <w:szCs w:val="28"/>
        </w:rPr>
        <w:t xml:space="preserve"> </w:t>
      </w:r>
    </w:p>
    <w:p w14:paraId="27F0BD6D">
      <w:pPr>
        <w:widowControl/>
        <w:snapToGrid w:val="0"/>
        <w:spacing w:line="360" w:lineRule="auto"/>
        <w:ind w:firstLine="480"/>
        <w:jc w:val="left"/>
        <w:rPr>
          <w:rFonts w:ascii="宋体" w:hAnsi="宋体"/>
          <w:kern w:val="0"/>
          <w:sz w:val="24"/>
        </w:rPr>
      </w:pPr>
      <w:r>
        <w:rPr>
          <w:rFonts w:ascii="宋体" w:hAnsi="宋体"/>
          <w:kern w:val="0"/>
          <w:sz w:val="24"/>
        </w:rPr>
        <w:t xml:space="preserve">3.7.1 </w:t>
      </w:r>
      <w:r>
        <w:rPr>
          <w:rFonts w:hint="eastAsia" w:ascii="宋体" w:hAnsi="宋体"/>
          <w:kern w:val="0"/>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rPr>
        <w:t xml:space="preserve"> </w:t>
      </w:r>
    </w:p>
    <w:p w14:paraId="3D879A39">
      <w:pPr>
        <w:widowControl/>
        <w:snapToGrid w:val="0"/>
        <w:spacing w:line="360" w:lineRule="auto"/>
        <w:ind w:firstLine="480"/>
        <w:jc w:val="left"/>
        <w:rPr>
          <w:rFonts w:ascii="宋体" w:hAnsi="宋体"/>
          <w:kern w:val="0"/>
          <w:sz w:val="24"/>
        </w:rPr>
      </w:pPr>
      <w:r>
        <w:rPr>
          <w:rFonts w:ascii="宋体" w:hAnsi="宋体"/>
          <w:kern w:val="0"/>
          <w:sz w:val="24"/>
        </w:rPr>
        <w:t xml:space="preserve">3.7.2 </w:t>
      </w:r>
      <w:r>
        <w:rPr>
          <w:rFonts w:hint="eastAsia" w:ascii="宋体" w:hAnsi="宋体"/>
          <w:kern w:val="0"/>
          <w:sz w:val="24"/>
        </w:rPr>
        <w:t>澄清和说明不得超出投标文件的范围或改变投标文件的实质性内容（算术性错误的修正除外）。投标人的书面澄清、说明属于投标文件的组成部分。</w:t>
      </w:r>
      <w:r>
        <w:rPr>
          <w:rFonts w:ascii="宋体" w:hAnsi="宋体"/>
          <w:kern w:val="0"/>
          <w:sz w:val="24"/>
        </w:rPr>
        <w:t xml:space="preserve"> </w:t>
      </w:r>
    </w:p>
    <w:p w14:paraId="0A8A6A2B">
      <w:pPr>
        <w:widowControl/>
        <w:snapToGrid w:val="0"/>
        <w:spacing w:line="360" w:lineRule="auto"/>
        <w:ind w:firstLine="480"/>
        <w:jc w:val="left"/>
        <w:rPr>
          <w:rFonts w:ascii="宋体" w:hAnsi="宋体"/>
          <w:kern w:val="0"/>
          <w:sz w:val="24"/>
        </w:rPr>
      </w:pPr>
      <w:r>
        <w:rPr>
          <w:rFonts w:ascii="宋体" w:hAnsi="宋体"/>
          <w:kern w:val="0"/>
          <w:sz w:val="24"/>
        </w:rPr>
        <w:t xml:space="preserve">3.7.3 </w:t>
      </w:r>
      <w:r>
        <w:rPr>
          <w:rFonts w:hint="eastAsia" w:ascii="宋体" w:hAnsi="宋体"/>
          <w:kern w:val="0"/>
          <w:sz w:val="24"/>
        </w:rPr>
        <w:t>评标委员会不得暗示或诱导投标人作出澄清、说明，对投标人提交的澄清、说明有疑问的，可以要求投标人进一步澄清或说明，直至满足评标委员会的要求。</w:t>
      </w:r>
      <w:r>
        <w:rPr>
          <w:rFonts w:ascii="宋体" w:hAnsi="宋体"/>
          <w:kern w:val="0"/>
          <w:sz w:val="24"/>
        </w:rPr>
        <w:t xml:space="preserve"> </w:t>
      </w:r>
    </w:p>
    <w:p w14:paraId="6E9C0A55">
      <w:pPr>
        <w:widowControl/>
        <w:snapToGrid w:val="0"/>
        <w:spacing w:line="360" w:lineRule="auto"/>
        <w:ind w:firstLine="480"/>
        <w:jc w:val="left"/>
        <w:rPr>
          <w:rFonts w:ascii="宋体" w:hAnsi="宋体"/>
          <w:kern w:val="0"/>
          <w:sz w:val="24"/>
        </w:rPr>
      </w:pPr>
      <w:r>
        <w:rPr>
          <w:rFonts w:ascii="宋体" w:hAnsi="宋体"/>
          <w:kern w:val="0"/>
          <w:sz w:val="24"/>
        </w:rPr>
        <w:t>3.</w:t>
      </w:r>
      <w:r>
        <w:rPr>
          <w:rFonts w:hint="eastAsia" w:ascii="宋体" w:hAnsi="宋体"/>
          <w:kern w:val="0"/>
          <w:sz w:val="24"/>
          <w:lang w:val="en-US" w:eastAsia="zh-CN"/>
        </w:rPr>
        <w:t>7</w:t>
      </w:r>
      <w:r>
        <w:rPr>
          <w:rFonts w:ascii="宋体" w:hAnsi="宋体"/>
          <w:kern w:val="0"/>
          <w:sz w:val="24"/>
        </w:rPr>
        <w:t xml:space="preserve">.4 </w:t>
      </w:r>
      <w:r>
        <w:rPr>
          <w:rFonts w:hint="eastAsia" w:ascii="宋体" w:hAnsi="宋体"/>
          <w:kern w:val="0"/>
          <w:sz w:val="24"/>
        </w:rPr>
        <w:t>凡超出招标文件规定的或给发包人带来未曾要求的利益的变化、偏差或其他因素在评标时不予考虑。</w:t>
      </w:r>
      <w:r>
        <w:rPr>
          <w:rFonts w:ascii="宋体" w:hAnsi="宋体"/>
          <w:kern w:val="0"/>
          <w:sz w:val="24"/>
        </w:rPr>
        <w:t xml:space="preserve"> </w:t>
      </w:r>
    </w:p>
    <w:p w14:paraId="318F648D">
      <w:pPr>
        <w:pStyle w:val="2"/>
        <w:spacing w:before="0" w:after="0" w:line="360" w:lineRule="auto"/>
        <w:rPr>
          <w:rFonts w:hint="eastAsia" w:ascii="黑体"/>
          <w:b w:val="0"/>
          <w:sz w:val="28"/>
          <w:szCs w:val="28"/>
        </w:rPr>
      </w:pPr>
      <w:bookmarkStart w:id="682" w:name="_Toc53685696"/>
      <w:r>
        <w:rPr>
          <w:rFonts w:hint="eastAsia" w:ascii="黑体"/>
          <w:b w:val="0"/>
          <w:sz w:val="28"/>
          <w:szCs w:val="28"/>
        </w:rPr>
        <w:t>3.8 不得否决投标的情形</w:t>
      </w:r>
      <w:bookmarkEnd w:id="682"/>
      <w:r>
        <w:rPr>
          <w:rFonts w:hint="eastAsia" w:ascii="黑体"/>
          <w:b w:val="0"/>
          <w:sz w:val="28"/>
          <w:szCs w:val="28"/>
        </w:rPr>
        <w:t xml:space="preserve"> </w:t>
      </w:r>
    </w:p>
    <w:p w14:paraId="2CD4F5F5">
      <w:pPr>
        <w:widowControl/>
        <w:snapToGrid w:val="0"/>
        <w:spacing w:line="360" w:lineRule="auto"/>
        <w:ind w:firstLine="480"/>
        <w:rPr>
          <w:rFonts w:ascii="宋体" w:hAnsi="宋体"/>
          <w:kern w:val="0"/>
          <w:sz w:val="24"/>
        </w:rPr>
      </w:pPr>
      <w:r>
        <w:rPr>
          <w:rFonts w:hint="eastAsia" w:ascii="宋体" w:hAnsi="宋体" w:cs="宋体"/>
          <w:sz w:val="24"/>
        </w:rPr>
        <w:t>投标文件存在第三章“评标办法”前附表中所列任一否决投标情形以外的情况均视为细微偏差，评标委员会不得否决投标人的投标，细微偏差的处理可以按照澄清规定处理</w:t>
      </w:r>
      <w:r>
        <w:rPr>
          <w:rFonts w:hint="eastAsia" w:ascii="宋体" w:hAnsi="宋体"/>
          <w:kern w:val="0"/>
          <w:sz w:val="24"/>
        </w:rPr>
        <w:t>。</w:t>
      </w:r>
      <w:r>
        <w:rPr>
          <w:rFonts w:ascii="宋体" w:hAnsi="宋体"/>
          <w:kern w:val="0"/>
          <w:sz w:val="24"/>
        </w:rPr>
        <w:t xml:space="preserve"> </w:t>
      </w:r>
    </w:p>
    <w:p w14:paraId="4D93C0D6">
      <w:pPr>
        <w:pStyle w:val="2"/>
        <w:spacing w:before="0" w:after="0" w:line="360" w:lineRule="auto"/>
        <w:rPr>
          <w:rFonts w:hint="eastAsia" w:ascii="黑体"/>
          <w:b w:val="0"/>
          <w:sz w:val="28"/>
          <w:szCs w:val="28"/>
        </w:rPr>
      </w:pPr>
      <w:bookmarkStart w:id="683" w:name="_Toc53685697"/>
      <w:r>
        <w:rPr>
          <w:rFonts w:hint="eastAsia" w:ascii="黑体"/>
          <w:b w:val="0"/>
          <w:sz w:val="28"/>
          <w:szCs w:val="28"/>
        </w:rPr>
        <w:t>3.9 评标结果</w:t>
      </w:r>
      <w:bookmarkEnd w:id="683"/>
      <w:r>
        <w:rPr>
          <w:rFonts w:hint="eastAsia" w:ascii="黑体"/>
          <w:b w:val="0"/>
          <w:sz w:val="28"/>
          <w:szCs w:val="28"/>
        </w:rPr>
        <w:t xml:space="preserve"> </w:t>
      </w:r>
    </w:p>
    <w:p w14:paraId="2CE9FE5E">
      <w:pPr>
        <w:spacing w:line="360" w:lineRule="auto"/>
        <w:ind w:firstLine="480" w:firstLineChars="200"/>
        <w:rPr>
          <w:rFonts w:ascii="宋体" w:hAnsi="宋体"/>
          <w:kern w:val="0"/>
          <w:sz w:val="24"/>
        </w:rPr>
      </w:pPr>
      <w:r>
        <w:rPr>
          <w:rFonts w:ascii="宋体" w:hAnsi="宋体"/>
          <w:kern w:val="0"/>
          <w:sz w:val="24"/>
        </w:rPr>
        <w:t xml:space="preserve">3.9.1 </w:t>
      </w:r>
      <w:r>
        <w:rPr>
          <w:rFonts w:hint="eastAsia" w:ascii="宋体" w:hAnsi="宋体"/>
          <w:kern w:val="0"/>
          <w:sz w:val="24"/>
        </w:rPr>
        <w:t>除第二章</w:t>
      </w:r>
      <w:r>
        <w:rPr>
          <w:rFonts w:ascii="宋体" w:hAnsi="宋体"/>
          <w:kern w:val="0"/>
          <w:sz w:val="24"/>
        </w:rPr>
        <w:t>“</w:t>
      </w:r>
      <w:r>
        <w:rPr>
          <w:rFonts w:hint="eastAsia" w:ascii="宋体" w:hAnsi="宋体"/>
          <w:kern w:val="0"/>
          <w:sz w:val="24"/>
        </w:rPr>
        <w:t>投标人须知</w:t>
      </w:r>
      <w:r>
        <w:rPr>
          <w:rFonts w:ascii="宋体" w:hAnsi="宋体"/>
          <w:kern w:val="0"/>
          <w:sz w:val="24"/>
        </w:rPr>
        <w:t>”</w:t>
      </w:r>
      <w:r>
        <w:rPr>
          <w:rFonts w:hint="eastAsia" w:ascii="宋体" w:hAnsi="宋体"/>
          <w:kern w:val="0"/>
          <w:sz w:val="24"/>
        </w:rPr>
        <w:t>前附表授权直接确定中标人外，评标委员会按照综合得分由高到低的顺序推荐中标候选人，并标明排序。</w:t>
      </w:r>
    </w:p>
    <w:p w14:paraId="1DB084AF">
      <w:pPr>
        <w:spacing w:line="360" w:lineRule="auto"/>
        <w:ind w:firstLine="480" w:firstLineChars="200"/>
        <w:rPr>
          <w:rFonts w:ascii="宋体" w:hAnsi="宋体"/>
          <w:kern w:val="0"/>
          <w:sz w:val="24"/>
        </w:rPr>
      </w:pPr>
      <w:r>
        <w:rPr>
          <w:rFonts w:ascii="宋体" w:hAnsi="宋体"/>
          <w:kern w:val="0"/>
          <w:sz w:val="24"/>
        </w:rPr>
        <w:t>3.9.2</w:t>
      </w:r>
      <w:r>
        <w:rPr>
          <w:rFonts w:hint="eastAsia" w:ascii="宋体" w:hAnsi="宋体"/>
          <w:kern w:val="0"/>
          <w:sz w:val="24"/>
          <w:lang w:val="en-US" w:eastAsia="zh-CN"/>
        </w:rPr>
        <w:t xml:space="preserve"> </w:t>
      </w:r>
      <w:r>
        <w:rPr>
          <w:rFonts w:ascii="宋体" w:hAnsi="宋体"/>
          <w:kern w:val="0"/>
          <w:sz w:val="24"/>
        </w:rPr>
        <w:t>评标委员会完成评标后，应向招标人提交评标报告。</w:t>
      </w:r>
      <w:r>
        <w:rPr>
          <w:rFonts w:ascii="宋体" w:hAnsi="宋体"/>
          <w:kern w:val="0"/>
          <w:sz w:val="24"/>
        </w:rPr>
        <w:br w:type="page"/>
      </w:r>
    </w:p>
    <w:p w14:paraId="29967C58">
      <w:pPr>
        <w:spacing w:line="360" w:lineRule="auto"/>
        <w:jc w:val="center"/>
        <w:rPr>
          <w:rStyle w:val="175"/>
          <w:b w:val="0"/>
          <w:bCs w:val="0"/>
          <w:sz w:val="36"/>
          <w:szCs w:val="36"/>
        </w:rPr>
      </w:pPr>
      <w:r>
        <w:rPr>
          <w:rStyle w:val="175"/>
          <w:rFonts w:hint="eastAsia"/>
          <w:b w:val="0"/>
          <w:bCs w:val="0"/>
          <w:sz w:val="36"/>
          <w:szCs w:val="36"/>
        </w:rPr>
        <w:t>第三章</w:t>
      </w:r>
      <w:r>
        <w:rPr>
          <w:rStyle w:val="175"/>
          <w:b w:val="0"/>
          <w:bCs w:val="0"/>
          <w:sz w:val="36"/>
          <w:szCs w:val="36"/>
        </w:rPr>
        <w:t xml:space="preserve">  </w:t>
      </w:r>
      <w:r>
        <w:rPr>
          <w:rStyle w:val="175"/>
          <w:rFonts w:hint="eastAsia"/>
          <w:b w:val="0"/>
          <w:bCs w:val="0"/>
          <w:sz w:val="36"/>
          <w:szCs w:val="36"/>
        </w:rPr>
        <w:t>评标办法（经评审的最低投标价法）</w:t>
      </w:r>
    </w:p>
    <w:p w14:paraId="14CFF6A1">
      <w:pPr>
        <w:spacing w:line="360" w:lineRule="auto"/>
        <w:rPr>
          <w:rFonts w:ascii="黑体" w:hAnsi="黑体" w:eastAsia="黑体" w:cs="宋体"/>
          <w:bCs/>
          <w:kern w:val="0"/>
          <w:sz w:val="28"/>
          <w:szCs w:val="28"/>
        </w:rPr>
      </w:pPr>
      <w:r>
        <w:rPr>
          <w:rFonts w:ascii="黑体" w:hAnsi="黑体" w:eastAsia="黑体" w:cs="宋体"/>
          <w:b/>
          <w:bCs/>
          <w:kern w:val="0"/>
          <w:sz w:val="28"/>
          <w:szCs w:val="28"/>
        </w:rPr>
        <w:t>评标办法前附表</w:t>
      </w:r>
    </w:p>
    <w:p w14:paraId="5BDD6119">
      <w:pPr>
        <w:widowControl/>
        <w:spacing w:line="360" w:lineRule="auto"/>
        <w:ind w:firstLine="360"/>
        <w:rPr>
          <w:rFonts w:ascii="宋体" w:hAnsi="宋体"/>
          <w:kern w:val="0"/>
          <w:sz w:val="24"/>
        </w:rPr>
      </w:pPr>
      <w:r>
        <w:rPr>
          <w:rFonts w:hint="eastAsia"/>
          <w:sz w:val="24"/>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9"/>
        <w:tblW w:w="8818" w:type="dxa"/>
        <w:tblInd w:w="-34" w:type="dxa"/>
        <w:tblLayout w:type="fixed"/>
        <w:tblCellMar>
          <w:top w:w="0" w:type="dxa"/>
          <w:left w:w="108" w:type="dxa"/>
          <w:bottom w:w="0" w:type="dxa"/>
          <w:right w:w="108" w:type="dxa"/>
        </w:tblCellMar>
      </w:tblPr>
      <w:tblGrid>
        <w:gridCol w:w="709"/>
        <w:gridCol w:w="773"/>
        <w:gridCol w:w="2446"/>
        <w:gridCol w:w="4856"/>
        <w:gridCol w:w="34"/>
      </w:tblGrid>
      <w:tr w14:paraId="4923AAD1">
        <w:tblPrEx>
          <w:tblCellMar>
            <w:top w:w="0" w:type="dxa"/>
            <w:left w:w="108" w:type="dxa"/>
            <w:bottom w:w="0" w:type="dxa"/>
            <w:right w:w="108" w:type="dxa"/>
          </w:tblCellMar>
        </w:tblPrEx>
        <w:trPr>
          <w:trHeight w:val="472" w:hRule="atLeast"/>
          <w:tblHeader/>
        </w:trPr>
        <w:tc>
          <w:tcPr>
            <w:tcW w:w="1482" w:type="dxa"/>
            <w:gridSpan w:val="2"/>
            <w:tcBorders>
              <w:top w:val="single" w:color="000000" w:sz="4" w:space="0"/>
              <w:left w:val="single" w:color="000000" w:sz="4" w:space="0"/>
              <w:bottom w:val="single" w:color="000000" w:sz="4" w:space="0"/>
              <w:right w:val="single" w:color="000000" w:sz="4" w:space="0"/>
            </w:tcBorders>
            <w:vAlign w:val="center"/>
          </w:tcPr>
          <w:p w14:paraId="2ACE6C18">
            <w:pPr>
              <w:widowControl/>
              <w:adjustRightInd w:val="0"/>
              <w:snapToGrid w:val="0"/>
              <w:spacing w:line="40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条款号</w:t>
            </w:r>
          </w:p>
        </w:tc>
        <w:tc>
          <w:tcPr>
            <w:tcW w:w="7336" w:type="dxa"/>
            <w:gridSpan w:val="3"/>
            <w:tcBorders>
              <w:top w:val="single" w:color="000000" w:sz="4" w:space="0"/>
              <w:left w:val="nil"/>
              <w:bottom w:val="single" w:color="000000" w:sz="4" w:space="0"/>
              <w:right w:val="single" w:color="000000" w:sz="4" w:space="0"/>
            </w:tcBorders>
            <w:vAlign w:val="center"/>
          </w:tcPr>
          <w:p w14:paraId="27F24705">
            <w:pPr>
              <w:widowControl/>
              <w:adjustRightInd w:val="0"/>
              <w:snapToGrid w:val="0"/>
              <w:spacing w:line="40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评审因素与评审标准</w:t>
            </w:r>
          </w:p>
        </w:tc>
      </w:tr>
      <w:tr w14:paraId="68BD918D">
        <w:tblPrEx>
          <w:tblCellMar>
            <w:top w:w="0" w:type="dxa"/>
            <w:left w:w="108" w:type="dxa"/>
            <w:bottom w:w="0" w:type="dxa"/>
            <w:right w:w="108" w:type="dxa"/>
          </w:tblCellMar>
        </w:tblPrEx>
        <w:trPr>
          <w:trHeight w:val="785" w:hRule="atLeast"/>
        </w:trPr>
        <w:tc>
          <w:tcPr>
            <w:tcW w:w="709" w:type="dxa"/>
            <w:tcBorders>
              <w:top w:val="nil"/>
              <w:left w:val="single" w:color="000000" w:sz="4" w:space="0"/>
              <w:bottom w:val="single" w:color="000000" w:sz="4" w:space="0"/>
              <w:right w:val="single" w:color="000000" w:sz="4" w:space="0"/>
            </w:tcBorders>
            <w:vAlign w:val="center"/>
          </w:tcPr>
          <w:p w14:paraId="1D5ABB2E">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73" w:type="dxa"/>
            <w:tcBorders>
              <w:top w:val="single" w:color="000000" w:sz="4" w:space="0"/>
              <w:left w:val="nil"/>
              <w:bottom w:val="single" w:color="000000" w:sz="4" w:space="0"/>
              <w:right w:val="single" w:color="000000" w:sz="4" w:space="0"/>
            </w:tcBorders>
            <w:vAlign w:val="center"/>
          </w:tcPr>
          <w:p w14:paraId="5190FBDF">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评标方法</w:t>
            </w:r>
          </w:p>
        </w:tc>
        <w:tc>
          <w:tcPr>
            <w:tcW w:w="7336" w:type="dxa"/>
            <w:gridSpan w:val="3"/>
            <w:tcBorders>
              <w:top w:val="single" w:color="000000" w:sz="4" w:space="0"/>
              <w:left w:val="nil"/>
              <w:bottom w:val="single" w:color="000000" w:sz="4" w:space="0"/>
              <w:right w:val="single" w:color="000000" w:sz="4" w:space="0"/>
            </w:tcBorders>
            <w:vAlign w:val="center"/>
          </w:tcPr>
          <w:p w14:paraId="3A435302">
            <w:pPr>
              <w:widowControl/>
              <w:adjustRightInd w:val="0"/>
              <w:snapToGrid w:val="0"/>
              <w:spacing w:line="400" w:lineRule="exact"/>
              <w:rPr>
                <w:rFonts w:asciiTheme="minorEastAsia" w:hAnsiTheme="minorEastAsia" w:eastAsiaTheme="minorEastAsia"/>
                <w:b/>
                <w:kern w:val="0"/>
                <w:szCs w:val="21"/>
              </w:rPr>
            </w:pPr>
            <w:r>
              <w:rPr>
                <w:rFonts w:hint="eastAsia" w:asciiTheme="minorEastAsia" w:hAnsiTheme="minorEastAsia" w:eastAsiaTheme="minorEastAsia"/>
                <w:b/>
                <w:kern w:val="0"/>
                <w:szCs w:val="21"/>
              </w:rPr>
              <w:t>1</w:t>
            </w:r>
            <w:r>
              <w:rPr>
                <w:rFonts w:asciiTheme="minorEastAsia" w:hAnsiTheme="minorEastAsia" w:eastAsiaTheme="minorEastAsia"/>
                <w:b/>
                <w:kern w:val="0"/>
                <w:szCs w:val="21"/>
              </w:rPr>
              <w:t>.</w:t>
            </w:r>
            <w:r>
              <w:rPr>
                <w:rFonts w:hint="eastAsia" w:asciiTheme="minorEastAsia" w:hAnsiTheme="minorEastAsia" w:eastAsiaTheme="minorEastAsia"/>
                <w:b/>
                <w:kern w:val="0"/>
                <w:szCs w:val="21"/>
              </w:rPr>
              <w:t>本次评标采用经评审的最低投标价法，推荐中标候选人具体原则为：</w:t>
            </w:r>
          </w:p>
          <w:p w14:paraId="49D94872">
            <w:pPr>
              <w:widowControl/>
              <w:adjustRightInd w:val="0"/>
              <w:snapToGrid w:val="0"/>
              <w:spacing w:line="400" w:lineRule="exac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rPr>
              <w:t>允许中</w:t>
            </w:r>
            <w:r>
              <w:rPr>
                <w:rFonts w:cs="宋体" w:asciiTheme="minorEastAsia" w:hAnsiTheme="minorEastAsia" w:eastAsiaTheme="minorEastAsia"/>
                <w:b/>
                <w:kern w:val="0"/>
                <w:szCs w:val="21"/>
              </w:rPr>
              <w:t>1个标段时适用</w:t>
            </w:r>
          </w:p>
          <w:p w14:paraId="18AC5B37">
            <w:pPr>
              <w:widowControl/>
              <w:adjustRightInd w:val="0"/>
              <w:snapToGrid w:val="0"/>
              <w:spacing w:line="400" w:lineRule="exact"/>
              <w:ind w:firstLine="210" w:firstLineChars="100"/>
              <w:rPr>
                <w:rFonts w:ascii="宋体" w:hAnsi="宋体"/>
                <w:kern w:val="0"/>
                <w:szCs w:val="21"/>
              </w:rPr>
            </w:pPr>
            <w:r>
              <w:rPr>
                <w:rFonts w:hint="eastAsia" w:ascii="宋体" w:hAnsi="宋体"/>
                <w:kern w:val="0"/>
                <w:szCs w:val="21"/>
              </w:rPr>
              <w:t>（1）评标委员会对通过第一个信封（商务及技术文件）和第二个信封（报价文件）评审的所有投标人，按照评标价由低到高进行排序。若多个投标人评标价相同时，评标委员会依次按照以下原则排序：</w:t>
            </w:r>
          </w:p>
          <w:p w14:paraId="0F42ED58">
            <w:pPr>
              <w:pStyle w:val="299"/>
              <w:adjustRightInd w:val="0"/>
              <w:snapToGrid w:val="0"/>
              <w:spacing w:line="400" w:lineRule="exact"/>
              <w:ind w:firstLine="420" w:firstLineChars="200"/>
              <w:rPr>
                <w:rFonts w:ascii="宋体" w:hAnsi="宋体"/>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1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cs="宋体"/>
                <w:bCs/>
                <w:szCs w:val="21"/>
              </w:rPr>
              <w:sym w:font="Wingdings 2" w:char="00A3"/>
            </w:r>
            <w:r>
              <w:rPr>
                <w:rFonts w:hint="eastAsia" w:ascii="宋体" w:hAnsi="宋体"/>
                <w:bCs/>
                <w:szCs w:val="21"/>
              </w:rPr>
              <w:t xml:space="preserve"> </w:t>
            </w:r>
            <w:r>
              <w:rPr>
                <w:rFonts w:hint="eastAsia" w:ascii="宋体" w:hAnsi="宋体"/>
                <w:szCs w:val="21"/>
              </w:rPr>
              <w:t>四川省重点公路建设从业单位信用评价等级</w:t>
            </w:r>
            <w:r>
              <w:rPr>
                <w:rFonts w:hint="eastAsia" w:ascii="宋体" w:hAnsi="宋体"/>
                <w:kern w:val="0"/>
                <w:szCs w:val="21"/>
              </w:rPr>
              <w:t>高的优先</w:t>
            </w:r>
            <w:r>
              <w:rPr>
                <w:rFonts w:hint="eastAsia" w:ascii="宋体" w:hAnsi="宋体"/>
                <w:szCs w:val="21"/>
              </w:rPr>
              <w:t>；</w:t>
            </w:r>
            <w:r>
              <w:rPr>
                <w:rFonts w:hint="eastAsia" w:ascii="宋体" w:hAnsi="宋体"/>
                <w:bCs/>
                <w:szCs w:val="21"/>
              </w:rPr>
              <w:t xml:space="preserve"> </w:t>
            </w:r>
          </w:p>
          <w:p w14:paraId="34A5EA74">
            <w:pPr>
              <w:pStyle w:val="299"/>
              <w:adjustRightInd w:val="0"/>
              <w:snapToGrid w:val="0"/>
              <w:spacing w:line="400" w:lineRule="exact"/>
              <w:ind w:firstLine="630" w:firstLineChars="300"/>
              <w:rPr>
                <w:rFonts w:hint="eastAsia" w:ascii="宋体" w:hAnsi="宋体"/>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kern w:val="0"/>
                <w:szCs w:val="21"/>
              </w:rPr>
              <w:t>高的优先；</w:t>
            </w:r>
          </w:p>
          <w:p w14:paraId="4A76A39C">
            <w:pPr>
              <w:widowControl/>
              <w:adjustRightInd w:val="0"/>
              <w:snapToGrid w:val="0"/>
              <w:spacing w:line="400" w:lineRule="exact"/>
              <w:ind w:firstLine="638" w:firstLineChars="304"/>
              <w:rPr>
                <w:rFonts w:hint="eastAsia" w:ascii="宋体" w:hAnsi="宋体"/>
                <w:kern w:val="0"/>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r>
              <w:rPr>
                <w:rFonts w:hint="eastAsia" w:ascii="宋体" w:hAnsi="宋体"/>
                <w:kern w:val="0"/>
                <w:szCs w:val="21"/>
              </w:rPr>
              <w:t>高的优先</w:t>
            </w:r>
            <w:r>
              <w:rPr>
                <w:rFonts w:hint="eastAsia"/>
                <w:szCs w:val="21"/>
                <w:u w:val="none"/>
                <w:lang w:val="en-US" w:eastAsia="zh-CN"/>
              </w:rPr>
              <w:t>；</w:t>
            </w:r>
          </w:p>
          <w:p w14:paraId="115D7F0B">
            <w:pPr>
              <w:widowControl/>
              <w:adjustRightInd w:val="0"/>
              <w:snapToGrid w:val="0"/>
              <w:spacing w:line="400" w:lineRule="exact"/>
              <w:ind w:left="0" w:leftChars="0" w:firstLine="210" w:firstLineChars="1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kern w:val="0"/>
                <w:szCs w:val="21"/>
              </w:rPr>
              <w:t>投标人财务评审中近一年度净资产高的优先</w:t>
            </w:r>
            <w:r>
              <w:rPr>
                <w:rFonts w:hint="eastAsia" w:ascii="宋体" w:hAnsi="宋体"/>
                <w:szCs w:val="21"/>
              </w:rPr>
              <w:t>；</w:t>
            </w:r>
          </w:p>
          <w:p w14:paraId="5EF7C8E1">
            <w:pPr>
              <w:widowControl/>
              <w:adjustRightInd w:val="0"/>
              <w:snapToGrid w:val="0"/>
              <w:spacing w:line="400" w:lineRule="exact"/>
              <w:ind w:left="0" w:leftChars="0" w:firstLine="210" w:firstLineChars="100"/>
              <w:rPr>
                <w:rFonts w:hint="eastAsia"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 3 \* GB3</w:instrText>
            </w:r>
            <w:r>
              <w:rPr>
                <w:rFonts w:ascii="宋体" w:hAnsi="宋体"/>
                <w:kern w:val="0"/>
                <w:szCs w:val="21"/>
              </w:rPr>
              <w:instrText xml:space="preserve"> </w:instrText>
            </w:r>
            <w:r>
              <w:rPr>
                <w:rFonts w:ascii="宋体" w:hAnsi="宋体"/>
                <w:kern w:val="0"/>
                <w:szCs w:val="21"/>
              </w:rPr>
              <w:fldChar w:fldCharType="separate"/>
            </w:r>
            <w:r>
              <w:rPr>
                <w:rFonts w:hint="eastAsia" w:ascii="宋体" w:hAnsi="宋体"/>
                <w:kern w:val="0"/>
                <w:szCs w:val="21"/>
              </w:rPr>
              <w:t>③</w:t>
            </w:r>
            <w:r>
              <w:rPr>
                <w:rFonts w:ascii="宋体" w:hAnsi="宋体"/>
                <w:kern w:val="0"/>
                <w:szCs w:val="21"/>
              </w:rPr>
              <w:fldChar w:fldCharType="end"/>
            </w:r>
            <w:r>
              <w:rPr>
                <w:rFonts w:hint="eastAsia" w:ascii="宋体" w:hAnsi="宋体"/>
                <w:szCs w:val="21"/>
              </w:rPr>
              <w:t>若上述情况都相同时，</w:t>
            </w:r>
            <w:r>
              <w:rPr>
                <w:rFonts w:hint="eastAsia" w:ascii="宋体" w:hAnsi="宋体"/>
                <w:kern w:val="0"/>
                <w:szCs w:val="21"/>
              </w:rPr>
              <w:t>则排序按照：</w:t>
            </w:r>
            <w:r>
              <w:rPr>
                <w:rFonts w:ascii="宋体" w:hAnsi="宋体"/>
                <w:kern w:val="0"/>
                <w:szCs w:val="21"/>
                <w:u w:val="single"/>
              </w:rPr>
              <w:t xml:space="preserve">           </w:t>
            </w:r>
            <w:r>
              <w:rPr>
                <w:rFonts w:hint="eastAsia" w:ascii="宋体" w:hAnsi="宋体"/>
                <w:kern w:val="0"/>
                <w:szCs w:val="21"/>
              </w:rPr>
              <w:t>。</w:t>
            </w:r>
          </w:p>
          <w:p w14:paraId="57521E17">
            <w:pPr>
              <w:widowControl/>
              <w:adjustRightInd w:val="0"/>
              <w:snapToGrid w:val="0"/>
              <w:spacing w:line="400" w:lineRule="exact"/>
              <w:ind w:left="0" w:leftChars="0" w:firstLine="210" w:firstLineChars="100"/>
              <w:rPr>
                <w:rFonts w:hint="eastAsia" w:ascii="宋体" w:hAnsi="宋体" w:eastAsia="宋体"/>
                <w:kern w:val="0"/>
                <w:szCs w:val="21"/>
                <w:lang w:val="en-US" w:eastAsia="zh-CN"/>
              </w:rPr>
            </w:pPr>
            <w:r>
              <w:rPr>
                <w:rFonts w:hint="eastAsia" w:ascii="宋体" w:hAnsi="宋体"/>
                <w:kern w:val="0"/>
                <w:szCs w:val="21"/>
                <w:lang w:val="en-US" w:eastAsia="zh-CN"/>
              </w:rPr>
              <w:t>注：</w:t>
            </w:r>
            <w:r>
              <w:rPr>
                <w:rFonts w:hint="eastAsia" w:ascii="宋体" w:hAnsi="宋体"/>
                <w:kern w:val="0"/>
                <w:szCs w:val="21"/>
              </w:rPr>
              <w:t>联合体投标的，以牵头人为准</w:t>
            </w:r>
            <w:r>
              <w:rPr>
                <w:rFonts w:hint="eastAsia" w:ascii="宋体" w:hAnsi="宋体"/>
                <w:kern w:val="0"/>
                <w:szCs w:val="21"/>
                <w:lang w:eastAsia="zh-CN"/>
              </w:rPr>
              <w:t>。</w:t>
            </w:r>
          </w:p>
          <w:p w14:paraId="0B3AF84A">
            <w:pPr>
              <w:pStyle w:val="299"/>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bCs/>
                <w:kern w:val="0"/>
                <w:szCs w:val="21"/>
              </w:rPr>
              <w:sym w:font="Wingdings 2" w:char="00A3"/>
            </w:r>
            <w:r>
              <w:rPr>
                <w:rFonts w:hint="eastAsia" w:ascii="宋体" w:hAnsi="宋体"/>
                <w:kern w:val="0"/>
                <w:szCs w:val="21"/>
              </w:rPr>
              <w:t>（</w:t>
            </w:r>
            <w:r>
              <w:rPr>
                <w:rFonts w:ascii="宋体" w:hAnsi="宋体"/>
                <w:kern w:val="0"/>
                <w:szCs w:val="21"/>
              </w:rPr>
              <w:t>2）</w:t>
            </w:r>
            <w:r>
              <w:t>若同一投标人在</w:t>
            </w:r>
            <w:r>
              <w:rPr>
                <w:rFonts w:hint="eastAsia"/>
              </w:rPr>
              <w:t>2</w:t>
            </w:r>
            <w:r>
              <w:t>个</w:t>
            </w:r>
            <w:r>
              <w:rPr>
                <w:rFonts w:hint="eastAsia"/>
              </w:rPr>
              <w:t>及以上</w:t>
            </w:r>
            <w:r>
              <w:t>标段排序均第一</w:t>
            </w:r>
            <w:r>
              <w:rPr>
                <w:rFonts w:hint="eastAsia"/>
              </w:rPr>
              <w:t>，</w:t>
            </w:r>
            <w:r>
              <w:t>按以下原则依次排序</w:t>
            </w:r>
            <w:r>
              <w:rPr>
                <w:rFonts w:ascii="宋体" w:hAnsi="宋体" w:cs="宋体"/>
                <w:szCs w:val="21"/>
              </w:rPr>
              <w:t>：</w:t>
            </w:r>
          </w:p>
          <w:p w14:paraId="65B683A5">
            <w:pPr>
              <w:pStyle w:val="299"/>
              <w:adjustRightInd w:val="0"/>
              <w:snapToGrid w:val="0"/>
              <w:spacing w:line="400" w:lineRule="exact"/>
              <w:ind w:left="420" w:leftChars="200" w:firstLine="0" w:firstLineChars="0"/>
              <w:rPr>
                <w:rFonts w:ascii="宋体" w:hAnsi="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w:t>
            </w:r>
            <w:r>
              <w:rPr>
                <w:rFonts w:hint="eastAsia" w:ascii="宋体" w:hAnsi="宋体" w:cs="宋体"/>
                <w:szCs w:val="21"/>
              </w:rPr>
              <w:t>保留该投标人评标价高的标段的第一排名，取消其在评标价低的标段的排名，其余投标人按评标价由低到高重新排序。</w:t>
            </w:r>
            <w:r>
              <w:rPr>
                <w:rFonts w:hint="eastAsia" w:ascii="宋体" w:hAnsi="宋体"/>
                <w:kern w:val="0"/>
                <w:szCs w:val="21"/>
              </w:rPr>
              <w:t>评标价也相同时，则排序按照：</w:t>
            </w:r>
            <w:r>
              <w:rPr>
                <w:rFonts w:ascii="宋体" w:hAnsi="宋体"/>
                <w:kern w:val="0"/>
                <w:szCs w:val="21"/>
                <w:u w:val="single"/>
              </w:rPr>
              <w:t xml:space="preserve">           </w:t>
            </w:r>
            <w:r>
              <w:rPr>
                <w:rFonts w:hint="eastAsia" w:ascii="宋体" w:hAnsi="宋体"/>
                <w:kern w:val="0"/>
                <w:szCs w:val="21"/>
              </w:rPr>
              <w:t>。</w:t>
            </w:r>
          </w:p>
          <w:p w14:paraId="015DD5AA">
            <w:pPr>
              <w:pStyle w:val="299"/>
              <w:adjustRightInd w:val="0"/>
              <w:snapToGrid w:val="0"/>
              <w:spacing w:line="400" w:lineRule="exact"/>
              <w:ind w:left="420"/>
              <w:rPr>
                <w:rFonts w:ascii="宋体" w:hAnsi="宋体"/>
                <w:kern w:val="0"/>
                <w:szCs w:val="21"/>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ascii="宋体" w:hAnsi="宋体"/>
                <w:kern w:val="0"/>
                <w:szCs w:val="21"/>
                <w:u w:val="single"/>
              </w:rPr>
              <w:t xml:space="preserve">          </w:t>
            </w:r>
            <w:r>
              <w:rPr>
                <w:rFonts w:hint="eastAsia" w:ascii="宋体" w:hAnsi="宋体"/>
                <w:kern w:val="0"/>
                <w:szCs w:val="21"/>
              </w:rPr>
              <w:t>。</w:t>
            </w:r>
          </w:p>
          <w:p w14:paraId="6051BC6B">
            <w:pPr>
              <w:pStyle w:val="299"/>
              <w:adjustRightInd w:val="0"/>
              <w:snapToGrid w:val="0"/>
              <w:spacing w:line="400" w:lineRule="exact"/>
              <w:ind w:firstLine="210" w:firstLineChars="100"/>
            </w:pPr>
            <w:r>
              <w:rPr>
                <w:rFonts w:hint="eastAsia" w:ascii="宋体" w:hAnsi="宋体" w:cs="宋体"/>
                <w:bCs/>
                <w:kern w:val="0"/>
                <w:szCs w:val="21"/>
              </w:rPr>
              <w:sym w:font="Wingdings 2" w:char="00A3"/>
            </w:r>
            <w:r>
              <w:rPr>
                <w:rFonts w:hint="eastAsia" w:ascii="宋体" w:hAnsi="宋体"/>
                <w:kern w:val="0"/>
                <w:szCs w:val="21"/>
              </w:rPr>
              <w:t>（3）</w:t>
            </w:r>
            <w:r>
              <w:t>若同一投标人</w:t>
            </w:r>
            <w:r>
              <w:rPr>
                <w:rFonts w:hint="eastAsia"/>
              </w:rPr>
              <w:t>参与2</w:t>
            </w:r>
            <w:r>
              <w:t>个</w:t>
            </w:r>
            <w:r>
              <w:rPr>
                <w:rFonts w:hint="eastAsia"/>
              </w:rPr>
              <w:t>及以上</w:t>
            </w:r>
            <w:r>
              <w:t>标段</w:t>
            </w:r>
            <w:r>
              <w:rPr>
                <w:rFonts w:hint="eastAsia"/>
              </w:rPr>
              <w:t>的投标，</w:t>
            </w:r>
            <w:r>
              <w:rPr>
                <w:rFonts w:hint="eastAsia" w:ascii="宋体" w:hAnsi="宋体"/>
                <w:kern w:val="0"/>
                <w:szCs w:val="21"/>
              </w:rPr>
              <w:t>在其中一个标段已经推荐为第一中标候选人，则在其他标段不再作为中标候选人推荐，其余投标人按</w:t>
            </w:r>
            <w:r>
              <w:rPr>
                <w:rFonts w:hint="eastAsia" w:ascii="宋体" w:hAnsi="宋体"/>
                <w:szCs w:val="21"/>
              </w:rPr>
              <w:t>评标价</w:t>
            </w:r>
            <w:r>
              <w:rPr>
                <w:rFonts w:hint="eastAsia" w:ascii="宋体" w:hAnsi="宋体"/>
                <w:kern w:val="0"/>
                <w:szCs w:val="21"/>
              </w:rPr>
              <w:t>由低到高重新排序。</w:t>
            </w:r>
          </w:p>
          <w:p w14:paraId="3393ABEF">
            <w:pPr>
              <w:widowControl/>
              <w:adjustRightInd w:val="0"/>
              <w:snapToGrid w:val="0"/>
              <w:spacing w:line="400" w:lineRule="exact"/>
              <w:ind w:firstLine="210" w:firstLineChars="100"/>
              <w:rPr>
                <w:rFonts w:cs="宋体" w:asciiTheme="minorEastAsia" w:hAnsiTheme="minorEastAsia" w:eastAsiaTheme="minorEastAsia"/>
                <w:b/>
                <w:kern w:val="0"/>
                <w:szCs w:val="21"/>
              </w:rPr>
            </w:pPr>
            <w:r>
              <w:rPr>
                <w:rFonts w:hint="eastAsia" w:ascii="宋体" w:hAnsi="宋体" w:cs="宋体"/>
                <w:szCs w:val="21"/>
              </w:rPr>
              <w:t>（4）评标委员会按最终排序推荐前</w:t>
            </w:r>
            <w:r>
              <w:rPr>
                <w:rFonts w:ascii="宋体" w:hAnsi="宋体" w:cs="宋体"/>
                <w:szCs w:val="21"/>
              </w:rPr>
              <w:t>3名中标候选人（若不足3名，则按相应数量推荐）。</w:t>
            </w:r>
          </w:p>
          <w:p w14:paraId="323669D0">
            <w:pPr>
              <w:widowControl/>
              <w:adjustRightInd w:val="0"/>
              <w:snapToGrid w:val="0"/>
              <w:spacing w:line="400" w:lineRule="exac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w:t>
            </w:r>
            <w:r>
              <w:rPr>
                <w:rFonts w:cs="宋体" w:asciiTheme="minorEastAsia" w:hAnsiTheme="minorEastAsia" w:eastAsiaTheme="minorEastAsia"/>
                <w:b/>
                <w:kern w:val="0"/>
                <w:szCs w:val="21"/>
              </w:rPr>
              <w:t xml:space="preserve"> </w:t>
            </w:r>
            <w:r>
              <w:rPr>
                <w:rFonts w:hint="eastAsia" w:cs="宋体" w:asciiTheme="minorEastAsia" w:hAnsiTheme="minorEastAsia" w:eastAsiaTheme="minorEastAsia"/>
                <w:b/>
                <w:kern w:val="0"/>
                <w:szCs w:val="21"/>
              </w:rPr>
              <w:t>允许中</w:t>
            </w:r>
            <w:r>
              <w:rPr>
                <w:rFonts w:cs="宋体" w:asciiTheme="minorEastAsia" w:hAnsiTheme="minorEastAsia" w:eastAsiaTheme="minorEastAsia"/>
                <w:b/>
                <w:kern w:val="0"/>
                <w:szCs w:val="21"/>
              </w:rPr>
              <w:t>2个及以上标段适用</w:t>
            </w:r>
          </w:p>
          <w:p w14:paraId="496A9A99">
            <w:pPr>
              <w:widowControl/>
              <w:adjustRightInd w:val="0"/>
              <w:snapToGrid w:val="0"/>
              <w:spacing w:line="400" w:lineRule="exact"/>
              <w:ind w:firstLine="210" w:firstLineChars="100"/>
              <w:rPr>
                <w:rFonts w:asciiTheme="minorEastAsia" w:hAnsiTheme="minorEastAsia" w:eastAsiaTheme="minorEastAsia"/>
                <w:kern w:val="0"/>
                <w:szCs w:val="21"/>
              </w:rPr>
            </w:pPr>
            <w:r>
              <w:rPr>
                <w:rFonts w:hint="eastAsia" w:asciiTheme="minorEastAsia" w:hAnsiTheme="minorEastAsia" w:eastAsiaTheme="minorEastAsia"/>
                <w:kern w:val="0"/>
                <w:szCs w:val="21"/>
                <w:u w:val="single"/>
                <w:lang w:val="en-US" w:eastAsia="zh-CN"/>
              </w:rPr>
              <w:t xml:space="preserve">                        </w:t>
            </w:r>
            <w:r>
              <w:rPr>
                <w:rFonts w:hint="eastAsia" w:asciiTheme="minorEastAsia" w:hAnsiTheme="minorEastAsia" w:eastAsiaTheme="minorEastAsia"/>
                <w:kern w:val="0"/>
                <w:szCs w:val="21"/>
                <w:lang w:val="en-US" w:eastAsia="zh-CN"/>
              </w:rPr>
              <w:t xml:space="preserve">   </w:t>
            </w:r>
            <w:r>
              <w:rPr>
                <w:rFonts w:asciiTheme="minorEastAsia" w:hAnsiTheme="minorEastAsia" w:eastAsiaTheme="minorEastAsia"/>
                <w:kern w:val="0"/>
                <w:szCs w:val="21"/>
              </w:rPr>
              <w:t xml:space="preserve">      </w:t>
            </w:r>
          </w:p>
          <w:p w14:paraId="64FAB804">
            <w:pPr>
              <w:widowControl/>
              <w:adjustRightInd w:val="0"/>
              <w:snapToGrid w:val="0"/>
              <w:spacing w:line="400" w:lineRule="exact"/>
              <w:rPr>
                <w:rFonts w:asciiTheme="minorEastAsia" w:hAnsiTheme="minorEastAsia" w:eastAsiaTheme="minorEastAsia"/>
                <w:kern w:val="0"/>
                <w:szCs w:val="21"/>
                <w:u w:val="single"/>
              </w:rPr>
            </w:pPr>
            <w:r>
              <w:rPr>
                <w:rFonts w:ascii="宋体" w:hAnsi="宋体"/>
                <w:b/>
                <w:szCs w:val="21"/>
              </w:rPr>
              <w:t>2.</w:t>
            </w:r>
            <w:r>
              <w:rPr>
                <w:rFonts w:hint="eastAsia"/>
                <w:szCs w:val="21"/>
              </w:rPr>
              <w:t>在评标过程中，如有效投标不足</w:t>
            </w:r>
            <w:r>
              <w:rPr>
                <w:szCs w:val="21"/>
              </w:rPr>
              <w:t>3</w:t>
            </w:r>
            <w:r>
              <w:rPr>
                <w:rFonts w:hint="eastAsia"/>
                <w:szCs w:val="21"/>
              </w:rPr>
              <w:t>个，评标委员会应当对有效投标是否仍具有竞争性进行评审。评标委员会一致认为有效投标仍具有竞争性的，应当继续</w:t>
            </w:r>
          </w:p>
        </w:tc>
      </w:tr>
      <w:tr w14:paraId="0BF0578F">
        <w:tblPrEx>
          <w:tblCellMar>
            <w:top w:w="0" w:type="dxa"/>
            <w:left w:w="108" w:type="dxa"/>
            <w:bottom w:w="0" w:type="dxa"/>
            <w:right w:w="108" w:type="dxa"/>
          </w:tblCellMar>
        </w:tblPrEx>
        <w:trPr>
          <w:trHeight w:val="1269" w:hRule="atLeast"/>
        </w:trPr>
        <w:tc>
          <w:tcPr>
            <w:tcW w:w="709" w:type="dxa"/>
            <w:tcBorders>
              <w:top w:val="nil"/>
              <w:left w:val="single" w:color="000000" w:sz="4" w:space="0"/>
              <w:bottom w:val="single" w:color="auto" w:sz="4" w:space="0"/>
              <w:right w:val="single" w:color="000000" w:sz="4" w:space="0"/>
            </w:tcBorders>
            <w:vAlign w:val="center"/>
          </w:tcPr>
          <w:p w14:paraId="0C987962">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73" w:type="dxa"/>
            <w:tcBorders>
              <w:top w:val="single" w:color="000000" w:sz="4" w:space="0"/>
              <w:left w:val="nil"/>
              <w:bottom w:val="single" w:color="auto" w:sz="4" w:space="0"/>
              <w:right w:val="single" w:color="000000" w:sz="4" w:space="0"/>
            </w:tcBorders>
            <w:vAlign w:val="center"/>
          </w:tcPr>
          <w:p w14:paraId="208022B9">
            <w:pPr>
              <w:pStyle w:val="299"/>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7336" w:type="dxa"/>
            <w:gridSpan w:val="3"/>
            <w:tcBorders>
              <w:top w:val="single" w:color="000000" w:sz="4" w:space="0"/>
              <w:left w:val="nil"/>
              <w:bottom w:val="single" w:color="auto" w:sz="4" w:space="0"/>
              <w:right w:val="single" w:color="000000" w:sz="4" w:space="0"/>
            </w:tcBorders>
            <w:vAlign w:val="center"/>
          </w:tcPr>
          <w:p w14:paraId="0B2B76EC">
            <w:pPr>
              <w:pStyle w:val="299"/>
              <w:adjustRightInd w:val="0"/>
              <w:snapToGrid w:val="0"/>
              <w:spacing w:line="400" w:lineRule="exact"/>
              <w:rPr>
                <w:szCs w:val="21"/>
              </w:rPr>
            </w:pPr>
            <w:r>
              <w:rPr>
                <w:rFonts w:hint="eastAsia"/>
                <w:szCs w:val="21"/>
              </w:rPr>
              <w:t>推荐中标候选人，并在评标报告中予以说明。评标委员会对有效投标是否仍具有竞争性无法达成一致意见的，应当否诀全部投标，并在评标报告中</w:t>
            </w:r>
            <w:r>
              <w:rPr>
                <w:rFonts w:hint="eastAsia"/>
                <w:szCs w:val="21"/>
                <w:lang w:val="en-US" w:eastAsia="zh-CN"/>
              </w:rPr>
              <w:t>作</w:t>
            </w:r>
            <w:r>
              <w:rPr>
                <w:rFonts w:hint="eastAsia"/>
                <w:szCs w:val="21"/>
              </w:rPr>
              <w:t>出说明。</w:t>
            </w:r>
          </w:p>
          <w:p w14:paraId="6094032A">
            <w:pPr>
              <w:pStyle w:val="299"/>
              <w:adjustRightInd w:val="0"/>
              <w:snapToGrid w:val="0"/>
              <w:spacing w:line="400" w:lineRule="exact"/>
              <w:rPr>
                <w:rFonts w:ascii="宋体" w:hAnsi="宋体" w:cs="宋体"/>
                <w:b/>
                <w:bCs/>
                <w:szCs w:val="21"/>
              </w:rPr>
            </w:pPr>
            <w:r>
              <w:rPr>
                <w:rFonts w:hint="eastAsia" w:ascii="宋体" w:hAnsi="宋体" w:cs="宋体"/>
                <w:b/>
                <w:bCs/>
                <w:szCs w:val="21"/>
              </w:rPr>
              <w:t>□ 3.协助评标</w:t>
            </w:r>
          </w:p>
          <w:p w14:paraId="0BA3E47A">
            <w:pPr>
              <w:pStyle w:val="299"/>
              <w:adjustRightInd w:val="0"/>
              <w:snapToGrid w:val="0"/>
              <w:spacing w:line="40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招标人按照</w:t>
            </w:r>
            <w:r>
              <w:rPr>
                <w:rFonts w:hint="eastAsia" w:cs="宋体" w:asciiTheme="minorEastAsia" w:hAnsiTheme="minorEastAsia" w:eastAsiaTheme="minorEastAsia"/>
                <w:szCs w:val="21"/>
                <w:u w:val="single"/>
              </w:rPr>
              <w:t>《公路工程建设项目招标投标管理办法》（交通运输部令</w:t>
            </w:r>
            <w:r>
              <w:rPr>
                <w:rFonts w:cs="宋体" w:asciiTheme="minorEastAsia" w:hAnsiTheme="minorEastAsia" w:eastAsiaTheme="minorEastAsia"/>
                <w:szCs w:val="21"/>
                <w:u w:val="single"/>
              </w:rPr>
              <w:t>2015年第24号）、《公路工程建设项目评标工作细则》（交公路</w:t>
            </w:r>
            <w:r>
              <w:rPr>
                <w:rFonts w:hint="eastAsia" w:cs="宋体" w:asciiTheme="minorEastAsia" w:hAnsiTheme="minorEastAsia" w:eastAsiaTheme="minorEastAsia"/>
                <w:szCs w:val="21"/>
                <w:u w:val="single"/>
              </w:rPr>
              <w:t>规</w:t>
            </w:r>
            <w:r>
              <w:rPr>
                <w:rFonts w:cs="宋体" w:asciiTheme="minorEastAsia" w:hAnsiTheme="minorEastAsia" w:eastAsiaTheme="minorEastAsia"/>
                <w:szCs w:val="21"/>
                <w:u w:val="single"/>
              </w:rPr>
              <w:t>〔20</w:t>
            </w:r>
            <w:r>
              <w:rPr>
                <w:rFonts w:hint="eastAsia" w:cs="宋体" w:asciiTheme="minorEastAsia" w:hAnsiTheme="minorEastAsia" w:eastAsiaTheme="minorEastAsia"/>
                <w:szCs w:val="21"/>
                <w:u w:val="single"/>
              </w:rPr>
              <w:t>22</w:t>
            </w:r>
            <w:r>
              <w:rPr>
                <w:rFonts w:cs="宋体" w:asciiTheme="minorEastAsia" w:hAnsiTheme="minorEastAsia" w:eastAsiaTheme="minorEastAsia"/>
                <w:szCs w:val="21"/>
                <w:u w:val="single"/>
              </w:rPr>
              <w:t>〕</w:t>
            </w:r>
            <w:r>
              <w:rPr>
                <w:rFonts w:hint="eastAsia" w:cs="宋体" w:asciiTheme="minorEastAsia" w:hAnsiTheme="minorEastAsia" w:eastAsiaTheme="minorEastAsia"/>
                <w:szCs w:val="21"/>
                <w:u w:val="single"/>
              </w:rPr>
              <w:t>8</w:t>
            </w:r>
            <w:r>
              <w:rPr>
                <w:rFonts w:cs="宋体" w:asciiTheme="minorEastAsia" w:hAnsiTheme="minorEastAsia" w:eastAsiaTheme="minorEastAsia"/>
                <w:szCs w:val="21"/>
                <w:u w:val="single"/>
              </w:rPr>
              <w:t>号）、</w:t>
            </w:r>
            <w:r>
              <w:rPr>
                <w:rFonts w:ascii="宋体" w:hAnsi="宋体" w:cs="宋体"/>
                <w:szCs w:val="21"/>
                <w:u w:val="single"/>
              </w:rPr>
              <w:t>《四川省公路工程建设项目招标投标管理实施细则》（</w:t>
            </w:r>
            <w:r>
              <w:rPr>
                <w:rFonts w:hint="eastAsia" w:ascii="宋体" w:hAnsi="宋体" w:cs="宋体"/>
                <w:szCs w:val="21"/>
                <w:u w:val="single"/>
                <w:lang w:eastAsia="zh-CN"/>
              </w:rPr>
              <w:t>川交规〔2024〕7号</w:t>
            </w:r>
            <w:r>
              <w:rPr>
                <w:rFonts w:ascii="宋体" w:hAnsi="宋体" w:cs="宋体"/>
                <w:szCs w:val="21"/>
                <w:u w:val="single"/>
              </w:rPr>
              <w:t>）</w:t>
            </w:r>
            <w:r>
              <w:rPr>
                <w:rFonts w:hint="eastAsia" w:cs="宋体" w:asciiTheme="minorEastAsia" w:hAnsiTheme="minorEastAsia" w:eastAsiaTheme="minorEastAsia"/>
                <w:szCs w:val="21"/>
              </w:rPr>
              <w:t>规定，协助评标委员会工作并提供相关信息：</w:t>
            </w:r>
            <w:r>
              <w:rPr>
                <w:rFonts w:cs="宋体" w:asciiTheme="minorEastAsia" w:hAnsiTheme="minorEastAsia" w:eastAsiaTheme="minorEastAsia"/>
                <w:szCs w:val="21"/>
              </w:rPr>
              <w:t xml:space="preserve"> </w:t>
            </w:r>
          </w:p>
          <w:p w14:paraId="25AA48F2">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1）根据招标文件，编制评标使用的相应表格； </w:t>
            </w:r>
          </w:p>
          <w:p w14:paraId="0B2F7A9C">
            <w:pPr>
              <w:pStyle w:val="299"/>
              <w:adjustRightInd w:val="0"/>
              <w:snapToGrid w:val="0"/>
              <w:spacing w:line="400" w:lineRule="exact"/>
              <w:ind w:firstLine="0" w:firstLineChars="0"/>
              <w:rPr>
                <w:rFonts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ascii="宋体" w:hAnsi="宋体" w:cs="宋体"/>
                <w:szCs w:val="21"/>
              </w:rPr>
              <w:t>对投标人的</w:t>
            </w:r>
            <w:r>
              <w:rPr>
                <w:rFonts w:hint="eastAsia" w:ascii="宋体" w:hAnsi="宋体" w:cs="宋体"/>
                <w:szCs w:val="21"/>
                <w:u w:val="single"/>
              </w:rPr>
              <w:t>资质、业绩、信誉和从业人员各类注册资格证书</w:t>
            </w:r>
            <w:r>
              <w:rPr>
                <w:rFonts w:hint="eastAsia" w:ascii="宋体" w:hAnsi="宋体" w:cs="宋体"/>
                <w:szCs w:val="21"/>
              </w:rPr>
              <w:t>等信息按招标文件中约定的网站进行核实</w:t>
            </w:r>
            <w:r>
              <w:rPr>
                <w:rFonts w:hint="eastAsia" w:cs="宋体" w:asciiTheme="minorEastAsia" w:hAnsiTheme="minorEastAsia" w:eastAsiaTheme="minorEastAsia"/>
                <w:szCs w:val="21"/>
              </w:rPr>
              <w:t>；</w:t>
            </w:r>
          </w:p>
        </w:tc>
      </w:tr>
      <w:tr w14:paraId="77252290">
        <w:tblPrEx>
          <w:tblCellMar>
            <w:top w:w="0" w:type="dxa"/>
            <w:left w:w="108" w:type="dxa"/>
            <w:bottom w:w="0" w:type="dxa"/>
            <w:right w:w="108" w:type="dxa"/>
          </w:tblCellMar>
        </w:tblPrEx>
        <w:trPr>
          <w:trHeight w:val="1269" w:hRule="atLeast"/>
        </w:trPr>
        <w:tc>
          <w:tcPr>
            <w:tcW w:w="709" w:type="dxa"/>
            <w:vMerge w:val="restart"/>
            <w:tcBorders>
              <w:top w:val="single" w:color="auto" w:sz="4" w:space="0"/>
              <w:left w:val="single" w:color="auto" w:sz="4" w:space="0"/>
              <w:right w:val="single" w:color="auto" w:sz="4" w:space="0"/>
            </w:tcBorders>
            <w:vAlign w:val="center"/>
          </w:tcPr>
          <w:p w14:paraId="1873C000">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w:t>
            </w:r>
          </w:p>
          <w:p w14:paraId="0ECCF400">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初步评审标准</w:t>
            </w:r>
            <w:r>
              <w:rPr>
                <w:rFonts w:cs="Courier New" w:asciiTheme="minorEastAsia" w:hAnsiTheme="minorEastAsia" w:eastAsiaTheme="minorEastAsia"/>
              </w:rPr>
              <w:t xml:space="preserve">      </w:t>
            </w:r>
            <w:r>
              <w:rPr>
                <w:rFonts w:hint="eastAsia" w:cs="Courier New" w:asciiTheme="minorEastAsia" w:hAnsiTheme="minorEastAsia" w:eastAsiaTheme="minorEastAsia"/>
              </w:rPr>
              <w:t>（第一个信封）</w:t>
            </w:r>
          </w:p>
        </w:tc>
        <w:tc>
          <w:tcPr>
            <w:tcW w:w="773" w:type="dxa"/>
            <w:vMerge w:val="restart"/>
            <w:tcBorders>
              <w:top w:val="single" w:color="auto" w:sz="4" w:space="0"/>
              <w:left w:val="single" w:color="auto" w:sz="4" w:space="0"/>
              <w:right w:val="single" w:color="auto" w:sz="4" w:space="0"/>
            </w:tcBorders>
            <w:vAlign w:val="center"/>
          </w:tcPr>
          <w:p w14:paraId="37712117">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w:t>
            </w:r>
            <w:r>
              <w:rPr>
                <w:rFonts w:hint="eastAsia" w:cs="Courier New" w:asciiTheme="minorEastAsia" w:hAnsiTheme="minorEastAsia" w:eastAsiaTheme="minorEastAsia"/>
                <w:lang w:val="en-US" w:eastAsia="zh-CN"/>
              </w:rPr>
              <w:t>.</w:t>
            </w:r>
            <w:r>
              <w:rPr>
                <w:rFonts w:cs="Courier New" w:asciiTheme="minorEastAsia" w:hAnsiTheme="minorEastAsia" w:eastAsiaTheme="minorEastAsia"/>
              </w:rPr>
              <w:t>1</w:t>
            </w:r>
          </w:p>
          <w:p w14:paraId="7BB62E42">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形式评审标准</w:t>
            </w:r>
          </w:p>
        </w:tc>
        <w:tc>
          <w:tcPr>
            <w:tcW w:w="2446" w:type="dxa"/>
            <w:tcBorders>
              <w:top w:val="single" w:color="auto" w:sz="4" w:space="0"/>
              <w:bottom w:val="single" w:color="auto" w:sz="4" w:space="0"/>
              <w:right w:val="single" w:color="auto" w:sz="4" w:space="0"/>
            </w:tcBorders>
            <w:vAlign w:val="center"/>
          </w:tcPr>
          <w:p w14:paraId="1318C8D7">
            <w:pPr>
              <w:adjustRightInd w:val="0"/>
              <w:snapToGrid w:val="0"/>
              <w:spacing w:line="400" w:lineRule="exact"/>
              <w:rPr>
                <w:rFonts w:asciiTheme="minorEastAsia" w:hAnsiTheme="minorEastAsia" w:eastAsiaTheme="minorEastAsia"/>
                <w:kern w:val="0"/>
                <w:szCs w:val="21"/>
              </w:rPr>
            </w:pPr>
            <w:r>
              <w:rPr>
                <w:rFonts w:hint="eastAsia" w:ascii="宋体" w:hAnsi="宋体" w:eastAsia="宋体" w:cs="宋体"/>
                <w:szCs w:val="21"/>
              </w:rPr>
              <w:t>1.</w:t>
            </w:r>
            <w:r>
              <w:rPr>
                <w:rFonts w:cs="宋体" w:asciiTheme="minorEastAsia" w:hAnsiTheme="minorEastAsia" w:eastAsiaTheme="minorEastAsia"/>
                <w:szCs w:val="21"/>
              </w:rPr>
              <w:t>投标文件格式按照招标文件规定</w:t>
            </w:r>
            <w:r>
              <w:rPr>
                <w:rFonts w:hint="eastAsia" w:cs="宋体" w:asciiTheme="minorEastAsia" w:hAnsiTheme="minorEastAsia" w:eastAsiaTheme="minorEastAsia"/>
                <w:szCs w:val="21"/>
              </w:rPr>
              <w:t>的格式</w:t>
            </w:r>
            <w:r>
              <w:rPr>
                <w:rFonts w:cs="宋体" w:asciiTheme="minorEastAsia" w:hAnsiTheme="minorEastAsia" w:eastAsiaTheme="minorEastAsia"/>
                <w:szCs w:val="21"/>
              </w:rPr>
              <w:t>、内容填写</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1378A261">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1）投标函按照招标文件的规定</w:t>
            </w:r>
            <w:r>
              <w:rPr>
                <w:rFonts w:hint="eastAsia" w:cs="宋体" w:asciiTheme="minorEastAsia" w:hAnsiTheme="minorEastAsia" w:eastAsiaTheme="minorEastAsia"/>
                <w:szCs w:val="21"/>
              </w:rPr>
              <w:t>填报</w:t>
            </w:r>
            <w:r>
              <w:rPr>
                <w:rFonts w:cs="宋体" w:asciiTheme="minorEastAsia" w:hAnsiTheme="minorEastAsia" w:eastAsiaTheme="minorEastAsia"/>
                <w:szCs w:val="21"/>
              </w:rPr>
              <w:t>了</w:t>
            </w:r>
            <w:r>
              <w:rPr>
                <w:rFonts w:hint="eastAsia" w:cs="宋体" w:asciiTheme="minorEastAsia" w:hAnsiTheme="minorEastAsia" w:eastAsiaTheme="minorEastAsia"/>
                <w:szCs w:val="21"/>
              </w:rPr>
              <w:t>招标</w:t>
            </w:r>
            <w:r>
              <w:rPr>
                <w:rFonts w:cs="宋体" w:asciiTheme="minorEastAsia" w:hAnsiTheme="minorEastAsia" w:eastAsiaTheme="minorEastAsia"/>
                <w:szCs w:val="21"/>
              </w:rPr>
              <w:t>项目名称、标段号、</w:t>
            </w:r>
            <w:r>
              <w:rPr>
                <w:rFonts w:hint="eastAsia" w:cs="宋体" w:asciiTheme="minorEastAsia" w:hAnsiTheme="minorEastAsia" w:eastAsiaTheme="minorEastAsia"/>
                <w:szCs w:val="21"/>
              </w:rPr>
              <w:t>工期。</w:t>
            </w:r>
          </w:p>
          <w:p w14:paraId="343C50D9">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2）投标函附录的所有数据</w:t>
            </w:r>
            <w:r>
              <w:rPr>
                <w:rFonts w:hint="eastAsia" w:cs="宋体" w:asciiTheme="minorEastAsia" w:hAnsiTheme="minorEastAsia" w:eastAsiaTheme="minorEastAsia"/>
                <w:szCs w:val="21"/>
              </w:rPr>
              <w:t>均</w:t>
            </w:r>
            <w:r>
              <w:rPr>
                <w:rFonts w:cs="宋体" w:asciiTheme="minorEastAsia" w:hAnsiTheme="minorEastAsia" w:eastAsiaTheme="minorEastAsia"/>
                <w:szCs w:val="21"/>
              </w:rPr>
              <w:t>符合招标文件的规定</w:t>
            </w:r>
            <w:r>
              <w:rPr>
                <w:rFonts w:hint="eastAsia" w:cs="宋体" w:asciiTheme="minorEastAsia" w:hAnsiTheme="minorEastAsia" w:eastAsiaTheme="minorEastAsia"/>
                <w:szCs w:val="21"/>
              </w:rPr>
              <w:t>。</w:t>
            </w:r>
          </w:p>
          <w:p w14:paraId="41858BB2">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）投标文件组成</w:t>
            </w:r>
            <w:r>
              <w:rPr>
                <w:rFonts w:cs="宋体" w:asciiTheme="minorEastAsia" w:hAnsiTheme="minorEastAsia" w:eastAsiaTheme="minorEastAsia"/>
                <w:szCs w:val="21"/>
              </w:rPr>
              <w:t>齐全完整、内容均按规定填写。</w:t>
            </w:r>
          </w:p>
        </w:tc>
      </w:tr>
      <w:tr w14:paraId="08A30FE2">
        <w:tblPrEx>
          <w:tblCellMar>
            <w:top w:w="0" w:type="dxa"/>
            <w:left w:w="108" w:type="dxa"/>
            <w:bottom w:w="0" w:type="dxa"/>
            <w:right w:w="108" w:type="dxa"/>
          </w:tblCellMar>
        </w:tblPrEx>
        <w:trPr>
          <w:trHeight w:val="1269" w:hRule="atLeast"/>
        </w:trPr>
        <w:tc>
          <w:tcPr>
            <w:tcW w:w="709" w:type="dxa"/>
            <w:vMerge w:val="continue"/>
            <w:tcBorders>
              <w:left w:val="single" w:color="auto" w:sz="4" w:space="0"/>
              <w:bottom w:val="single" w:color="auto" w:sz="4" w:space="0"/>
              <w:right w:val="single" w:color="auto" w:sz="4" w:space="0"/>
            </w:tcBorders>
            <w:vAlign w:val="center"/>
          </w:tcPr>
          <w:p w14:paraId="48E0D0AE">
            <w:pPr>
              <w:pStyle w:val="26"/>
              <w:adjustRightInd w:val="0"/>
              <w:snapToGrid w:val="0"/>
              <w:spacing w:line="400" w:lineRule="exact"/>
              <w:jc w:val="center"/>
              <w:rPr>
                <w:rFonts w:cs="Courier New" w:asciiTheme="minorEastAsia" w:hAnsiTheme="minorEastAsia" w:eastAsiaTheme="minorEastAsia"/>
              </w:rPr>
            </w:pPr>
          </w:p>
        </w:tc>
        <w:tc>
          <w:tcPr>
            <w:tcW w:w="773" w:type="dxa"/>
            <w:vMerge w:val="continue"/>
            <w:tcBorders>
              <w:left w:val="single" w:color="auto" w:sz="4" w:space="0"/>
              <w:bottom w:val="single" w:color="auto" w:sz="4" w:space="0"/>
              <w:right w:val="single" w:color="auto" w:sz="4" w:space="0"/>
            </w:tcBorders>
            <w:vAlign w:val="center"/>
          </w:tcPr>
          <w:p w14:paraId="63C3701D">
            <w:pPr>
              <w:pStyle w:val="26"/>
              <w:adjustRightInd w:val="0"/>
              <w:snapToGrid w:val="0"/>
              <w:spacing w:line="400" w:lineRule="exact"/>
              <w:jc w:val="center"/>
              <w:rPr>
                <w:rFonts w:cs="Courier New" w:asciiTheme="minorEastAsia" w:hAnsiTheme="minorEastAsia" w:eastAsiaTheme="minorEastAsia"/>
              </w:rPr>
            </w:pPr>
          </w:p>
        </w:tc>
        <w:tc>
          <w:tcPr>
            <w:tcW w:w="2446" w:type="dxa"/>
            <w:tcBorders>
              <w:bottom w:val="single" w:color="auto" w:sz="4" w:space="0"/>
            </w:tcBorders>
            <w:vAlign w:val="center"/>
          </w:tcPr>
          <w:p w14:paraId="3306CABA">
            <w:pPr>
              <w:adjustRightInd w:val="0"/>
              <w:snapToGrid w:val="0"/>
              <w:spacing w:line="400" w:lineRule="exact"/>
              <w:rPr>
                <w:rFonts w:asciiTheme="minorEastAsia" w:hAnsiTheme="minorEastAsia" w:eastAsiaTheme="minorEastAsia"/>
                <w:kern w:val="0"/>
                <w:szCs w:val="21"/>
              </w:rPr>
            </w:pPr>
            <w:r>
              <w:rPr>
                <w:rFonts w:ascii="宋体" w:hAnsi="宋体" w:cs="宋体"/>
                <w:szCs w:val="21"/>
              </w:rPr>
              <w:t>2</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69E2041C">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1）投标函</w:t>
            </w:r>
            <w:r>
              <w:rPr>
                <w:rFonts w:hint="eastAsia" w:ascii="宋体" w:hAnsi="宋体"/>
                <w:szCs w:val="21"/>
              </w:rPr>
              <w:t>及投标文件格式</w:t>
            </w:r>
            <w:r>
              <w:rPr>
                <w:rFonts w:cs="宋体" w:asciiTheme="minorEastAsia" w:hAnsiTheme="minorEastAsia" w:eastAsiaTheme="minorEastAsia"/>
                <w:szCs w:val="21"/>
              </w:rPr>
              <w:t>中要求盖单位电子印章</w:t>
            </w:r>
            <w:r>
              <w:rPr>
                <w:rFonts w:hint="eastAsia" w:cs="宋体" w:asciiTheme="minorEastAsia" w:hAnsiTheme="minorEastAsia" w:eastAsiaTheme="minorEastAsia"/>
                <w:szCs w:val="21"/>
              </w:rPr>
              <w:t>之处</w:t>
            </w:r>
            <w:r>
              <w:rPr>
                <w:rFonts w:cs="宋体" w:asciiTheme="minorEastAsia" w:hAnsiTheme="minorEastAsia" w:eastAsiaTheme="minorEastAsia"/>
                <w:szCs w:val="21"/>
              </w:rPr>
              <w:t>，投标人均应使用单位CA数字证书加盖投标人的单位电子印章；投标函</w:t>
            </w:r>
            <w:r>
              <w:rPr>
                <w:rFonts w:hint="eastAsia" w:ascii="宋体" w:hAnsi="宋体"/>
                <w:szCs w:val="21"/>
              </w:rPr>
              <w:t>及投标文件格式</w:t>
            </w:r>
            <w:r>
              <w:rPr>
                <w:rFonts w:cs="宋体" w:asciiTheme="minorEastAsia" w:hAnsiTheme="minorEastAsia" w:eastAsiaTheme="minorEastAsia"/>
                <w:szCs w:val="21"/>
              </w:rPr>
              <w:t>中要求签字</w:t>
            </w:r>
            <w:r>
              <w:rPr>
                <w:rFonts w:hint="eastAsia" w:cs="宋体" w:asciiTheme="minorEastAsia" w:hAnsiTheme="minorEastAsia" w:eastAsiaTheme="minorEastAsia"/>
                <w:szCs w:val="21"/>
              </w:rPr>
              <w:t>之处</w:t>
            </w:r>
            <w:r>
              <w:rPr>
                <w:rFonts w:cs="宋体" w:asciiTheme="minorEastAsia" w:hAnsiTheme="minorEastAsia" w:eastAsiaTheme="minorEastAsia"/>
                <w:szCs w:val="21"/>
              </w:rPr>
              <w:t>，投标人均应使用个人CA数字证书加盖法定代表人或其委托代理人的个人电子签名章或个人电子印章。</w:t>
            </w:r>
          </w:p>
          <w:p w14:paraId="2783312F">
            <w:pPr>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以</w:t>
            </w:r>
            <w:r>
              <w:rPr>
                <w:rFonts w:cs="宋体" w:asciiTheme="minorEastAsia" w:hAnsiTheme="minorEastAsia" w:eastAsiaTheme="minorEastAsia"/>
                <w:szCs w:val="21"/>
              </w:rPr>
              <w:t>联合体</w:t>
            </w:r>
            <w:r>
              <w:rPr>
                <w:rFonts w:hint="eastAsia" w:cs="宋体" w:asciiTheme="minorEastAsia" w:hAnsiTheme="minorEastAsia" w:eastAsiaTheme="minorEastAsia"/>
                <w:szCs w:val="21"/>
              </w:rPr>
              <w:t>形式</w:t>
            </w:r>
            <w:r>
              <w:rPr>
                <w:rFonts w:cs="宋体" w:asciiTheme="minorEastAsia" w:hAnsiTheme="minorEastAsia" w:eastAsiaTheme="minorEastAsia"/>
                <w:szCs w:val="21"/>
              </w:rPr>
              <w:t>投标的，投标函由联合体牵头人按</w:t>
            </w:r>
            <w:r>
              <w:rPr>
                <w:rFonts w:hint="eastAsia" w:cs="宋体" w:asciiTheme="minorEastAsia" w:hAnsiTheme="minorEastAsia" w:eastAsiaTheme="minorEastAsia"/>
                <w:szCs w:val="21"/>
              </w:rPr>
              <w:t>上述</w:t>
            </w:r>
            <w:r>
              <w:rPr>
                <w:rFonts w:cs="宋体" w:asciiTheme="minorEastAsia" w:hAnsiTheme="minorEastAsia" w:eastAsiaTheme="minorEastAsia"/>
                <w:szCs w:val="21"/>
              </w:rPr>
              <w:t>要求完成签字、</w:t>
            </w:r>
            <w:r>
              <w:rPr>
                <w:rFonts w:hint="eastAsia" w:cs="宋体" w:asciiTheme="minorEastAsia" w:hAnsiTheme="minorEastAsia" w:eastAsiaTheme="minorEastAsia"/>
                <w:szCs w:val="21"/>
              </w:rPr>
              <w:t>盖章。</w:t>
            </w:r>
          </w:p>
        </w:tc>
      </w:tr>
      <w:tr w14:paraId="45F80E8F">
        <w:tblPrEx>
          <w:tblCellMar>
            <w:top w:w="0" w:type="dxa"/>
            <w:left w:w="108" w:type="dxa"/>
            <w:bottom w:w="0" w:type="dxa"/>
            <w:right w:w="108" w:type="dxa"/>
          </w:tblCellMar>
        </w:tblPrEx>
        <w:trPr>
          <w:trHeight w:val="78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9C44DA9">
            <w:pPr>
              <w:pStyle w:val="26"/>
              <w:adjustRightInd w:val="0"/>
              <w:snapToGrid w:val="0"/>
              <w:spacing w:line="400" w:lineRule="exact"/>
              <w:jc w:val="center"/>
              <w:rPr>
                <w:rFonts w:cs="Courier New" w:asciiTheme="minorEastAsia" w:hAnsiTheme="minorEastAsia" w:eastAsiaTheme="minorEastAsia"/>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45E67E71">
            <w:pPr>
              <w:pStyle w:val="26"/>
              <w:adjustRightInd w:val="0"/>
              <w:snapToGrid w:val="0"/>
              <w:spacing w:line="400" w:lineRule="exact"/>
              <w:jc w:val="center"/>
              <w:rPr>
                <w:rFonts w:cs="Courier New" w:asciiTheme="minorEastAsia" w:hAnsiTheme="minorEastAsia" w:eastAsiaTheme="minorEastAsia"/>
              </w:rPr>
            </w:pPr>
          </w:p>
        </w:tc>
        <w:tc>
          <w:tcPr>
            <w:tcW w:w="2446" w:type="dxa"/>
            <w:tcBorders>
              <w:top w:val="single" w:color="auto" w:sz="4" w:space="0"/>
              <w:left w:val="nil"/>
              <w:bottom w:val="single" w:color="auto" w:sz="4" w:space="0"/>
              <w:right w:val="single" w:color="auto" w:sz="4" w:space="0"/>
            </w:tcBorders>
            <w:vAlign w:val="center"/>
          </w:tcPr>
          <w:p w14:paraId="26043FC6">
            <w:pPr>
              <w:adjustRightInd w:val="0"/>
              <w:snapToGrid w:val="0"/>
              <w:spacing w:line="400" w:lineRule="exact"/>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．投标人按照招标文件规定的金额、形式、时效、内容提供了投标保证金</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6DC919C0">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1）投标保证金金额符合第二章</w:t>
            </w:r>
            <w:r>
              <w:rPr>
                <w:rFonts w:hint="eastAsia" w:asciiTheme="minorEastAsia" w:hAnsiTheme="minorEastAsia" w:eastAsiaTheme="minorEastAsia"/>
                <w:kern w:val="0"/>
                <w:szCs w:val="21"/>
              </w:rPr>
              <w:t>“</w:t>
            </w:r>
            <w:r>
              <w:rPr>
                <w:rFonts w:asciiTheme="minorEastAsia" w:hAnsiTheme="minorEastAsia" w:eastAsiaTheme="minorEastAsia"/>
                <w:kern w:val="0"/>
                <w:szCs w:val="21"/>
              </w:rPr>
              <w:t>投标人须知</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val="en-US" w:eastAsia="zh-CN"/>
              </w:rPr>
              <w:t>前附表</w:t>
            </w:r>
            <w:r>
              <w:rPr>
                <w:rFonts w:asciiTheme="minorEastAsia" w:hAnsiTheme="minorEastAsia" w:eastAsiaTheme="minorEastAsia"/>
                <w:kern w:val="0"/>
                <w:szCs w:val="21"/>
              </w:rPr>
              <w:t>第3.4.1</w:t>
            </w:r>
            <w:r>
              <w:rPr>
                <w:rFonts w:hint="eastAsia" w:asciiTheme="minorEastAsia" w:hAnsiTheme="minorEastAsia" w:eastAsiaTheme="minorEastAsia"/>
                <w:kern w:val="0"/>
                <w:szCs w:val="21"/>
              </w:rPr>
              <w:t>项</w:t>
            </w:r>
            <w:r>
              <w:rPr>
                <w:rFonts w:asciiTheme="minorEastAsia" w:hAnsiTheme="minorEastAsia" w:eastAsiaTheme="minorEastAsia"/>
                <w:kern w:val="0"/>
                <w:szCs w:val="21"/>
              </w:rPr>
              <w:t>要求</w:t>
            </w:r>
            <w:r>
              <w:rPr>
                <w:rFonts w:hint="eastAsia" w:asciiTheme="minorEastAsia" w:hAnsiTheme="minorEastAsia" w:eastAsiaTheme="minorEastAsia"/>
                <w:szCs w:val="21"/>
              </w:rPr>
              <w:t>，且投标保证金有效期不少于投标有效期</w:t>
            </w:r>
            <w:r>
              <w:rPr>
                <w:rFonts w:hint="eastAsia" w:asciiTheme="minorEastAsia" w:hAnsiTheme="minorEastAsia" w:eastAsiaTheme="minorEastAsia"/>
                <w:kern w:val="0"/>
                <w:szCs w:val="21"/>
              </w:rPr>
              <w:t>。 </w:t>
            </w:r>
          </w:p>
          <w:p w14:paraId="2AA6F1D0">
            <w:pPr>
              <w:pStyle w:val="299"/>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hint="eastAsia" w:asciiTheme="minorEastAsia" w:hAnsiTheme="minorEastAsia" w:eastAsiaTheme="minorEastAsia"/>
                <w:kern w:val="0"/>
                <w:szCs w:val="21"/>
              </w:rPr>
              <w:t>（</w:t>
            </w:r>
            <w:r>
              <w:rPr>
                <w:rFonts w:asciiTheme="minorEastAsia" w:hAnsiTheme="minorEastAsia" w:eastAsiaTheme="minorEastAsia"/>
                <w:kern w:val="0"/>
                <w:szCs w:val="21"/>
              </w:rPr>
              <w:t>2）采用现金或支票形式担保，投标保证金由投标人基本账户</w:t>
            </w:r>
            <w:r>
              <w:rPr>
                <w:rFonts w:hint="eastAsia" w:asciiTheme="minorEastAsia" w:hAnsiTheme="minorEastAsia" w:eastAsiaTheme="minorEastAsia"/>
                <w:kern w:val="0"/>
                <w:szCs w:val="21"/>
              </w:rPr>
              <w:t>（或基本存款账户）</w:t>
            </w:r>
            <w:r>
              <w:rPr>
                <w:rFonts w:asciiTheme="minorEastAsia" w:hAnsiTheme="minorEastAsia" w:eastAsiaTheme="minorEastAsia"/>
                <w:kern w:val="0"/>
                <w:szCs w:val="21"/>
              </w:rPr>
              <w:t>汇出，并在规定时间到达招标人指定账</w:t>
            </w:r>
            <w:r>
              <w:rPr>
                <w:rFonts w:hint="eastAsia" w:asciiTheme="minorEastAsia" w:hAnsiTheme="minorEastAsia" w:eastAsiaTheme="minorEastAsia"/>
                <w:kern w:val="0"/>
                <w:szCs w:val="21"/>
              </w:rPr>
              <w:t>户。</w:t>
            </w:r>
          </w:p>
          <w:p w14:paraId="2C86E630">
            <w:pPr>
              <w:pStyle w:val="299"/>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hint="eastAsia" w:asciiTheme="minorEastAsia" w:hAnsiTheme="minorEastAsia" w:eastAsiaTheme="minorEastAsia"/>
                <w:kern w:val="0"/>
                <w:szCs w:val="21"/>
              </w:rPr>
              <w:t>（</w:t>
            </w:r>
            <w:r>
              <w:rPr>
                <w:rFonts w:asciiTheme="minorEastAsia" w:hAnsiTheme="minorEastAsia" w:eastAsiaTheme="minorEastAsia"/>
                <w:kern w:val="0"/>
                <w:szCs w:val="21"/>
              </w:rPr>
              <w:t>3）采用</w:t>
            </w:r>
            <w:r>
              <w:rPr>
                <w:rFonts w:hint="eastAsia" w:cs="Courier New" w:asciiTheme="minorEastAsia" w:hAnsiTheme="minorEastAsia" w:eastAsiaTheme="minorEastAsia"/>
                <w:szCs w:val="21"/>
              </w:rPr>
              <w:t>保险保单</w:t>
            </w:r>
            <w:r>
              <w:rPr>
                <w:rFonts w:hint="eastAsia" w:cs="Courier New" w:asciiTheme="minorEastAsia" w:hAnsiTheme="minorEastAsia" w:eastAsiaTheme="minorEastAsia"/>
                <w:szCs w:val="21"/>
                <w:lang w:eastAsia="zh-CN"/>
              </w:rPr>
              <w:t>、</w:t>
            </w:r>
            <w:r>
              <w:rPr>
                <w:rFonts w:ascii="宋体" w:hAnsi="宋体"/>
                <w:kern w:val="0"/>
                <w:szCs w:val="21"/>
              </w:rPr>
              <w:t>银行保函</w:t>
            </w:r>
            <w:r>
              <w:rPr>
                <w:rFonts w:hint="eastAsia" w:ascii="宋体" w:hAnsi="宋体"/>
                <w:kern w:val="0"/>
                <w:szCs w:val="21"/>
                <w:lang w:eastAsia="zh-CN"/>
              </w:rPr>
              <w:t>、</w:t>
            </w:r>
            <w:r>
              <w:rPr>
                <w:rFonts w:hint="eastAsia" w:ascii="宋体" w:hAnsi="宋体"/>
                <w:kern w:val="0"/>
                <w:szCs w:val="21"/>
                <w:lang w:val="en-US" w:eastAsia="zh-CN"/>
              </w:rPr>
              <w:t>第三方担保保函形式担保的</w:t>
            </w:r>
            <w:r>
              <w:rPr>
                <w:rFonts w:ascii="宋体" w:hAnsi="宋体"/>
                <w:kern w:val="0"/>
                <w:szCs w:val="21"/>
              </w:rPr>
              <w:t>，</w:t>
            </w:r>
            <w:r>
              <w:rPr>
                <w:rFonts w:asciiTheme="minorEastAsia" w:hAnsiTheme="minorEastAsia" w:eastAsiaTheme="minorEastAsia"/>
                <w:kern w:val="0"/>
                <w:szCs w:val="21"/>
              </w:rPr>
              <w:t>均满足第二章</w:t>
            </w:r>
            <w:r>
              <w:rPr>
                <w:rFonts w:hint="eastAsia" w:asciiTheme="minorEastAsia" w:hAnsiTheme="minorEastAsia" w:eastAsiaTheme="minorEastAsia"/>
                <w:kern w:val="0"/>
                <w:szCs w:val="21"/>
              </w:rPr>
              <w:t>“</w:t>
            </w:r>
            <w:r>
              <w:rPr>
                <w:rFonts w:asciiTheme="minorEastAsia" w:hAnsiTheme="minorEastAsia" w:eastAsiaTheme="minorEastAsia"/>
                <w:kern w:val="0"/>
                <w:szCs w:val="21"/>
              </w:rPr>
              <w:t>投标人须知</w:t>
            </w:r>
            <w:r>
              <w:rPr>
                <w:rFonts w:hint="eastAsia" w:asciiTheme="minorEastAsia" w:hAnsiTheme="minorEastAsia" w:eastAsiaTheme="minorEastAsia"/>
                <w:kern w:val="0"/>
                <w:szCs w:val="21"/>
              </w:rPr>
              <w:t>”前附表</w:t>
            </w:r>
            <w:r>
              <w:rPr>
                <w:rFonts w:asciiTheme="minorEastAsia" w:hAnsiTheme="minorEastAsia" w:eastAsiaTheme="minorEastAsia"/>
                <w:kern w:val="0"/>
                <w:szCs w:val="21"/>
              </w:rPr>
              <w:t>第3.4.1</w:t>
            </w:r>
            <w:r>
              <w:rPr>
                <w:rFonts w:hint="eastAsia" w:asciiTheme="minorEastAsia" w:hAnsiTheme="minorEastAsia" w:eastAsiaTheme="minorEastAsia"/>
                <w:kern w:val="0"/>
                <w:szCs w:val="21"/>
              </w:rPr>
              <w:t>项</w:t>
            </w:r>
            <w:r>
              <w:rPr>
                <w:rFonts w:asciiTheme="minorEastAsia" w:hAnsiTheme="minorEastAsia" w:eastAsiaTheme="minorEastAsia"/>
                <w:kern w:val="0"/>
                <w:szCs w:val="21"/>
              </w:rPr>
              <w:t>要求，</w:t>
            </w:r>
            <w:r>
              <w:rPr>
                <w:rFonts w:hint="eastAsia" w:asciiTheme="minorEastAsia" w:hAnsiTheme="minorEastAsia" w:eastAsiaTheme="minorEastAsia"/>
                <w:szCs w:val="21"/>
              </w:rPr>
              <w:t>且</w:t>
            </w:r>
            <w:r>
              <w:rPr>
                <w:rFonts w:asciiTheme="minorEastAsia" w:hAnsiTheme="minorEastAsia" w:eastAsiaTheme="minorEastAsia"/>
                <w:szCs w:val="21"/>
              </w:rPr>
              <w:t>其提交的内容</w:t>
            </w:r>
            <w:r>
              <w:rPr>
                <w:rFonts w:hint="eastAsia" w:asciiTheme="minorEastAsia" w:hAnsiTheme="minorEastAsia" w:eastAsiaTheme="minorEastAsia"/>
                <w:szCs w:val="21"/>
              </w:rPr>
              <w:t>不得作出降低担保效力的实质性修改</w:t>
            </w:r>
            <w:r>
              <w:rPr>
                <w:rFonts w:hint="eastAsia" w:asciiTheme="minorEastAsia" w:hAnsiTheme="minorEastAsia" w:eastAsiaTheme="minorEastAsia"/>
                <w:kern w:val="0"/>
                <w:szCs w:val="21"/>
              </w:rPr>
              <w:t>。</w:t>
            </w:r>
          </w:p>
          <w:p w14:paraId="488AC511">
            <w:pPr>
              <w:pStyle w:val="299"/>
              <w:adjustRightInd w:val="0"/>
              <w:snapToGrid w:val="0"/>
              <w:spacing w:line="400" w:lineRule="exact"/>
              <w:rPr>
                <w:rFonts w:asciiTheme="minorEastAsia" w:hAnsiTheme="minorEastAsia" w:eastAsiaTheme="minorEastAsia"/>
                <w:szCs w:val="21"/>
                <w:u w:val="single"/>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4）若采用上述情形以外的形式提交投标保证金的，应符合的要求：</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14:paraId="3873DCDB">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以</w:t>
            </w:r>
            <w:r>
              <w:rPr>
                <w:rFonts w:hint="eastAsia" w:asciiTheme="minorEastAsia" w:hAnsiTheme="minorEastAsia" w:eastAsiaTheme="minorEastAsia"/>
                <w:kern w:val="0"/>
                <w:szCs w:val="21"/>
              </w:rPr>
              <w:t>联合体形式投标的，投标保证金应由联合体牵头人提交。</w:t>
            </w:r>
          </w:p>
        </w:tc>
      </w:tr>
      <w:tr w14:paraId="650F1DC1">
        <w:tblPrEx>
          <w:tblCellMar>
            <w:top w:w="0" w:type="dxa"/>
            <w:left w:w="108" w:type="dxa"/>
            <w:bottom w:w="0" w:type="dxa"/>
            <w:right w:w="108" w:type="dxa"/>
          </w:tblCellMar>
        </w:tblPrEx>
        <w:trPr>
          <w:trHeight w:val="502"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7ED96ACE">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w:t>
            </w:r>
          </w:p>
          <w:p w14:paraId="0EA8FAB5">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初步评</w:t>
            </w:r>
          </w:p>
          <w:p w14:paraId="7823AE4F">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审标准</w:t>
            </w:r>
            <w:r>
              <w:rPr>
                <w:rFonts w:cs="Courier New" w:asciiTheme="minorEastAsia" w:hAnsiTheme="minorEastAsia" w:eastAsiaTheme="minorEastAsia"/>
              </w:rPr>
              <w:t xml:space="preserve">      </w:t>
            </w:r>
            <w:r>
              <w:rPr>
                <w:rFonts w:hint="eastAsia" w:cs="Courier New" w:asciiTheme="minorEastAsia" w:hAnsiTheme="minorEastAsia" w:eastAsiaTheme="minorEastAsia"/>
              </w:rPr>
              <w:t>（第一个信封）</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14:paraId="700E9E76">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2.1.1</w:t>
            </w:r>
          </w:p>
          <w:p w14:paraId="4B068D55">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形式评</w:t>
            </w:r>
          </w:p>
          <w:p w14:paraId="0CE4870E">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审标准</w:t>
            </w:r>
          </w:p>
        </w:tc>
        <w:tc>
          <w:tcPr>
            <w:tcW w:w="2446" w:type="dxa"/>
            <w:tcBorders>
              <w:top w:val="single" w:color="auto" w:sz="4" w:space="0"/>
              <w:left w:val="nil"/>
              <w:bottom w:val="single" w:color="auto" w:sz="4" w:space="0"/>
              <w:right w:val="single" w:color="auto" w:sz="4" w:space="0"/>
            </w:tcBorders>
            <w:vAlign w:val="center"/>
          </w:tcPr>
          <w:p w14:paraId="6F48618A">
            <w:pPr>
              <w:adjustRightInd w:val="0"/>
              <w:snapToGrid w:val="0"/>
              <w:spacing w:line="400" w:lineRule="exact"/>
              <w:rPr>
                <w:rFonts w:asciiTheme="minorEastAsia" w:hAnsiTheme="minorEastAsia" w:eastAsiaTheme="minorEastAsia"/>
                <w:kern w:val="0"/>
                <w:szCs w:val="21"/>
              </w:rPr>
            </w:pPr>
            <w:r>
              <w:rPr>
                <w:rFonts w:asciiTheme="minorEastAsia" w:hAnsiTheme="minorEastAsia" w:eastAsiaTheme="minorEastAsia"/>
                <w:szCs w:val="21"/>
              </w:rPr>
              <w:t>4</w:t>
            </w:r>
            <w:r>
              <w:rPr>
                <w:rFonts w:hint="eastAsia" w:asciiTheme="minorEastAsia" w:hAnsiTheme="minorEastAsia" w:eastAsiaTheme="minorEastAsia"/>
                <w:szCs w:val="21"/>
              </w:rPr>
              <w:t>．如由投标人法定代表人的委托代理人签署投标文件的，提供的相关证明材料符合招标文件要求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本目适用于如果</w:t>
            </w:r>
            <w:r>
              <w:rPr>
                <w:rFonts w:asciiTheme="minorEastAsia" w:hAnsiTheme="minorEastAsia" w:eastAsiaTheme="minorEastAsia"/>
                <w:szCs w:val="21"/>
              </w:rPr>
              <w:t>投标文件</w:t>
            </w:r>
            <w:r>
              <w:rPr>
                <w:rFonts w:hint="eastAsia" w:asciiTheme="minorEastAsia" w:hAnsiTheme="minorEastAsia" w:eastAsiaTheme="minorEastAsia"/>
                <w:szCs w:val="21"/>
              </w:rPr>
              <w:t>由</w:t>
            </w:r>
            <w:r>
              <w:rPr>
                <w:rFonts w:asciiTheme="minorEastAsia" w:hAnsiTheme="minorEastAsia" w:eastAsiaTheme="minorEastAsia"/>
                <w:szCs w:val="21"/>
              </w:rPr>
              <w:t>投标人</w:t>
            </w:r>
            <w:r>
              <w:rPr>
                <w:rFonts w:hint="eastAsia" w:asciiTheme="minorEastAsia" w:hAnsiTheme="minorEastAsia" w:eastAsiaTheme="minorEastAsia"/>
                <w:szCs w:val="21"/>
              </w:rPr>
              <w:t>法定代表人的</w:t>
            </w:r>
            <w:r>
              <w:rPr>
                <w:rFonts w:asciiTheme="minorEastAsia" w:hAnsiTheme="minorEastAsia" w:eastAsiaTheme="minorEastAsia"/>
                <w:szCs w:val="21"/>
              </w:rPr>
              <w:t>委托</w:t>
            </w:r>
            <w:r>
              <w:rPr>
                <w:rFonts w:hint="eastAsia" w:asciiTheme="minorEastAsia" w:hAnsiTheme="minorEastAsia" w:eastAsiaTheme="minorEastAsia"/>
                <w:szCs w:val="21"/>
              </w:rPr>
              <w:t>代理人</w:t>
            </w:r>
            <w:r>
              <w:rPr>
                <w:rFonts w:asciiTheme="minorEastAsia" w:hAnsiTheme="minorEastAsia" w:eastAsiaTheme="minorEastAsia"/>
                <w:szCs w:val="21"/>
              </w:rPr>
              <w:t>签署的</w:t>
            </w:r>
            <w:r>
              <w:rPr>
                <w:rFonts w:hint="eastAsia" w:asciiTheme="minorEastAsia" w:hAnsiTheme="minorEastAsia" w:eastAsiaTheme="minorEastAsia"/>
                <w:szCs w:val="21"/>
              </w:rPr>
              <w:t>情形</w:t>
            </w:r>
            <w:r>
              <w:rPr>
                <w:rFonts w:hint="eastAsia" w:cs="宋体" w:asciiTheme="minorEastAsia" w:hAnsiTheme="minorEastAsia" w:eastAsiaTheme="minorEastAsia"/>
                <w:szCs w:val="21"/>
              </w:rPr>
              <w:t>）</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589D7655">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1）提交了授权委托书</w:t>
            </w:r>
            <w:r>
              <w:rPr>
                <w:rFonts w:hint="eastAsia" w:asciiTheme="minorEastAsia" w:hAnsiTheme="minorEastAsia" w:eastAsiaTheme="minorEastAsia"/>
                <w:szCs w:val="21"/>
              </w:rPr>
              <w:t>。</w:t>
            </w:r>
          </w:p>
          <w:p w14:paraId="777EDC77">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2）授权委托书上要求盖单位电子印章</w:t>
            </w:r>
            <w:r>
              <w:rPr>
                <w:rFonts w:hint="eastAsia" w:asciiTheme="minorEastAsia" w:hAnsiTheme="minorEastAsia" w:eastAsiaTheme="minorEastAsia"/>
                <w:szCs w:val="21"/>
              </w:rPr>
              <w:t>之处</w:t>
            </w:r>
            <w:r>
              <w:rPr>
                <w:rFonts w:asciiTheme="minorEastAsia" w:hAnsiTheme="minorEastAsia" w:eastAsiaTheme="minorEastAsia"/>
                <w:szCs w:val="21"/>
              </w:rPr>
              <w:t>，投标人均应使用单位CA数字证书加盖投标人的单位电子印章；要求法定代表人签字</w:t>
            </w:r>
            <w:r>
              <w:rPr>
                <w:rFonts w:hint="eastAsia" w:asciiTheme="minorEastAsia" w:hAnsiTheme="minorEastAsia" w:eastAsiaTheme="minorEastAsia"/>
                <w:szCs w:val="21"/>
              </w:rPr>
              <w:t>之处</w:t>
            </w:r>
            <w:r>
              <w:rPr>
                <w:rFonts w:asciiTheme="minorEastAsia" w:hAnsiTheme="minorEastAsia" w:eastAsiaTheme="minorEastAsia"/>
                <w:szCs w:val="21"/>
              </w:rPr>
              <w:t>，投标人均应使用个人CA数字证书加盖投标人法定代表人的个人电子签名章或个人电子印章；要求委托代理人签字</w:t>
            </w:r>
            <w:r>
              <w:rPr>
                <w:rFonts w:hint="eastAsia" w:asciiTheme="minorEastAsia" w:hAnsiTheme="minorEastAsia" w:eastAsiaTheme="minorEastAsia"/>
                <w:szCs w:val="21"/>
              </w:rPr>
              <w:t>之处</w:t>
            </w:r>
            <w:r>
              <w:rPr>
                <w:rFonts w:asciiTheme="minorEastAsia" w:hAnsiTheme="minorEastAsia" w:eastAsiaTheme="minorEastAsia"/>
                <w:szCs w:val="21"/>
              </w:rPr>
              <w:t>，投标人均应使用单位CA</w:t>
            </w:r>
            <w:r>
              <w:rPr>
                <w:rFonts w:hint="eastAsia" w:asciiTheme="minorEastAsia" w:hAnsiTheme="minorEastAsia" w:eastAsiaTheme="minorEastAsia"/>
                <w:szCs w:val="21"/>
              </w:rPr>
              <w:t>数字证书加盖委托代理人个人电子签名章或个人电子印章。</w:t>
            </w:r>
          </w:p>
          <w:p w14:paraId="53AC684E">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3）授权委托书中委托代理人只能是一个人，且不能再授予他人</w:t>
            </w:r>
            <w:r>
              <w:rPr>
                <w:rFonts w:hint="eastAsia" w:asciiTheme="minorEastAsia" w:hAnsiTheme="minorEastAsia" w:eastAsiaTheme="minorEastAsia"/>
                <w:szCs w:val="21"/>
              </w:rPr>
              <w:t>。</w:t>
            </w:r>
          </w:p>
          <w:p w14:paraId="2B72AC66">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4）授权委托书后应附法定代表人和委托代理人身份证</w:t>
            </w:r>
            <w:r>
              <w:rPr>
                <w:rFonts w:hint="eastAsia" w:cs="宋体" w:asciiTheme="minorEastAsia" w:hAnsiTheme="minorEastAsia" w:eastAsiaTheme="minorEastAsia"/>
                <w:szCs w:val="21"/>
              </w:rPr>
              <w:t>原件原色扫描件</w:t>
            </w:r>
            <w:r>
              <w:rPr>
                <w:rFonts w:hint="eastAsia" w:asciiTheme="minorEastAsia" w:hAnsiTheme="minorEastAsia" w:eastAsiaTheme="minorEastAsia"/>
                <w:szCs w:val="21"/>
              </w:rPr>
              <w:t>，且身份证原件原色扫描件应清晰、有效。</w:t>
            </w:r>
          </w:p>
          <w:p w14:paraId="72DC89F3">
            <w:pPr>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）以联合体形式投标的，其授权委托书应由联合体牵头人按上述规定出具。</w:t>
            </w:r>
          </w:p>
        </w:tc>
      </w:tr>
      <w:tr w14:paraId="3F26A305">
        <w:tblPrEx>
          <w:tblCellMar>
            <w:top w:w="0" w:type="dxa"/>
            <w:left w:w="108" w:type="dxa"/>
            <w:bottom w:w="0" w:type="dxa"/>
            <w:right w:w="108"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14:paraId="235ECAAE">
            <w:pPr>
              <w:pStyle w:val="26"/>
              <w:adjustRightInd w:val="0"/>
              <w:snapToGrid w:val="0"/>
              <w:spacing w:line="400" w:lineRule="exact"/>
              <w:jc w:val="center"/>
              <w:rPr>
                <w:rFonts w:cs="Courier New" w:asciiTheme="minorEastAsia" w:hAnsiTheme="minorEastAsia" w:eastAsiaTheme="minorEastAsia"/>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5B5BB949">
            <w:pPr>
              <w:pStyle w:val="26"/>
              <w:adjustRightInd w:val="0"/>
              <w:snapToGrid w:val="0"/>
              <w:spacing w:line="400" w:lineRule="exact"/>
              <w:jc w:val="center"/>
              <w:rPr>
                <w:rFonts w:cs="Courier New" w:asciiTheme="minorEastAsia" w:hAnsiTheme="minorEastAsia" w:eastAsiaTheme="minorEastAsia"/>
              </w:rPr>
            </w:pPr>
          </w:p>
        </w:tc>
        <w:tc>
          <w:tcPr>
            <w:tcW w:w="2446" w:type="dxa"/>
            <w:tcBorders>
              <w:top w:val="single" w:color="auto" w:sz="4" w:space="0"/>
              <w:left w:val="single" w:color="auto" w:sz="4" w:space="0"/>
              <w:bottom w:val="single" w:color="auto" w:sz="4" w:space="0"/>
              <w:right w:val="single" w:color="auto" w:sz="4" w:space="0"/>
            </w:tcBorders>
            <w:vAlign w:val="center"/>
          </w:tcPr>
          <w:p w14:paraId="72CDD986">
            <w:pPr>
              <w:widowControl/>
              <w:adjustRightInd w:val="0"/>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kern w:val="0"/>
                <w:szCs w:val="21"/>
              </w:rPr>
              <w:t>．投标人法定代表人若亲自签署投标文件的，提供的相关证明材料符合招标文件要求</w:t>
            </w:r>
            <w:r>
              <w:rPr>
                <w:rFonts w:hint="eastAsia" w:cs="宋体" w:asciiTheme="minorEastAsia" w:hAnsiTheme="minorEastAsia" w:eastAsiaTheme="minorEastAsia"/>
                <w:szCs w:val="21"/>
              </w:rPr>
              <w:t>（</w:t>
            </w:r>
            <w:r>
              <w:rPr>
                <w:rFonts w:hint="eastAsia" w:asciiTheme="minorEastAsia" w:hAnsiTheme="minorEastAsia" w:eastAsiaTheme="minorEastAsia"/>
                <w:szCs w:val="21"/>
              </w:rPr>
              <w:t>本目适用于如果</w:t>
            </w:r>
            <w:r>
              <w:rPr>
                <w:rFonts w:asciiTheme="minorEastAsia" w:hAnsiTheme="minorEastAsia" w:eastAsiaTheme="minorEastAsia"/>
                <w:szCs w:val="21"/>
              </w:rPr>
              <w:t>投标文件</w:t>
            </w:r>
            <w:r>
              <w:rPr>
                <w:rFonts w:hint="eastAsia" w:asciiTheme="minorEastAsia" w:hAnsiTheme="minorEastAsia" w:eastAsiaTheme="minorEastAsia"/>
                <w:szCs w:val="21"/>
              </w:rPr>
              <w:t>由</w:t>
            </w:r>
            <w:r>
              <w:rPr>
                <w:rFonts w:asciiTheme="minorEastAsia" w:hAnsiTheme="minorEastAsia" w:eastAsiaTheme="minorEastAsia"/>
                <w:szCs w:val="21"/>
              </w:rPr>
              <w:t>投标人</w:t>
            </w:r>
            <w:r>
              <w:rPr>
                <w:rFonts w:hint="eastAsia" w:asciiTheme="minorEastAsia" w:hAnsiTheme="minorEastAsia" w:eastAsiaTheme="minorEastAsia"/>
                <w:szCs w:val="21"/>
              </w:rPr>
              <w:t>法定代表人</w:t>
            </w:r>
            <w:r>
              <w:rPr>
                <w:rFonts w:asciiTheme="minorEastAsia" w:hAnsiTheme="minorEastAsia" w:eastAsiaTheme="minorEastAsia"/>
                <w:szCs w:val="21"/>
              </w:rPr>
              <w:t>签署的</w:t>
            </w:r>
            <w:r>
              <w:rPr>
                <w:rFonts w:hint="eastAsia" w:asciiTheme="minorEastAsia" w:hAnsiTheme="minorEastAsia" w:eastAsiaTheme="minorEastAsia"/>
                <w:szCs w:val="21"/>
              </w:rPr>
              <w:t>情形</w:t>
            </w:r>
            <w:r>
              <w:rPr>
                <w:rFonts w:hint="eastAsia" w:cs="宋体" w:asciiTheme="minorEastAsia" w:hAnsiTheme="minorEastAsia" w:eastAsiaTheme="minorEastAsia"/>
                <w:szCs w:val="21"/>
              </w:rPr>
              <w:t>）</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6A70708B">
            <w:pPr>
              <w:adjustRightInd w:val="0"/>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w:t>
            </w:r>
            <w:r>
              <w:rPr>
                <w:rFonts w:asciiTheme="minorEastAsia" w:hAnsiTheme="minorEastAsia" w:eastAsiaTheme="minorEastAsia"/>
                <w:bCs/>
                <w:szCs w:val="21"/>
              </w:rPr>
              <w:t>1）提供法定代表人身份证明</w:t>
            </w:r>
            <w:r>
              <w:rPr>
                <w:rFonts w:hint="eastAsia" w:asciiTheme="minorEastAsia" w:hAnsiTheme="minorEastAsia" w:eastAsiaTheme="minorEastAsia"/>
                <w:bCs/>
                <w:szCs w:val="21"/>
              </w:rPr>
              <w:t>。</w:t>
            </w:r>
            <w:r>
              <w:rPr>
                <w:rFonts w:asciiTheme="minorEastAsia" w:hAnsiTheme="minorEastAsia" w:eastAsiaTheme="minorEastAsia"/>
                <w:bCs/>
                <w:szCs w:val="21"/>
              </w:rPr>
              <w:t xml:space="preserve"> </w:t>
            </w:r>
          </w:p>
          <w:p w14:paraId="00CE07D7">
            <w:pPr>
              <w:adjustRightInd w:val="0"/>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w:t>
            </w:r>
            <w:r>
              <w:rPr>
                <w:rFonts w:asciiTheme="minorEastAsia" w:hAnsiTheme="minorEastAsia" w:eastAsiaTheme="minorEastAsia"/>
                <w:bCs/>
                <w:szCs w:val="21"/>
              </w:rPr>
              <w:t>2）</w:t>
            </w:r>
            <w:r>
              <w:rPr>
                <w:rFonts w:hint="eastAsia" w:asciiTheme="minorEastAsia" w:hAnsiTheme="minorEastAsia" w:eastAsiaTheme="minorEastAsia"/>
                <w:szCs w:val="21"/>
              </w:rPr>
              <w:t>法定代表人身份证明上要求盖单位电子印章之处，投标人均应使用单位</w:t>
            </w:r>
            <w:r>
              <w:rPr>
                <w:rFonts w:asciiTheme="minorEastAsia" w:hAnsiTheme="minorEastAsia" w:eastAsiaTheme="minorEastAsia"/>
                <w:szCs w:val="21"/>
              </w:rPr>
              <w:t>CA数字证书加盖投标人的单位电子印章；要求法定代表人签字</w:t>
            </w:r>
            <w:r>
              <w:rPr>
                <w:rFonts w:hint="eastAsia" w:asciiTheme="minorEastAsia" w:hAnsiTheme="minorEastAsia" w:eastAsiaTheme="minorEastAsia"/>
                <w:szCs w:val="21"/>
              </w:rPr>
              <w:t>之处</w:t>
            </w:r>
            <w:r>
              <w:rPr>
                <w:rFonts w:asciiTheme="minorEastAsia" w:hAnsiTheme="minorEastAsia" w:eastAsiaTheme="minorEastAsia"/>
                <w:szCs w:val="21"/>
              </w:rPr>
              <w:t>，投标人均应使用个人CA数字证书加盖投标人法定代表人的个人电子签名章或个人电子印章</w:t>
            </w:r>
            <w:r>
              <w:rPr>
                <w:rFonts w:hint="eastAsia" w:asciiTheme="minorEastAsia" w:hAnsiTheme="minorEastAsia" w:eastAsiaTheme="minorEastAsia"/>
                <w:szCs w:val="21"/>
              </w:rPr>
              <w:t>。</w:t>
            </w:r>
            <w:r>
              <w:rPr>
                <w:rFonts w:asciiTheme="minorEastAsia" w:hAnsiTheme="minorEastAsia" w:eastAsiaTheme="minorEastAsia"/>
                <w:bCs/>
                <w:szCs w:val="21"/>
              </w:rPr>
              <w:t xml:space="preserve"> </w:t>
            </w:r>
          </w:p>
          <w:p w14:paraId="74D2CAD4">
            <w:pPr>
              <w:pStyle w:val="299"/>
              <w:adjustRightInd w:val="0"/>
              <w:snapToGrid w:val="0"/>
              <w:spacing w:line="400" w:lineRule="exact"/>
              <w:rPr>
                <w:rFonts w:asciiTheme="minorEastAsia" w:hAnsiTheme="minorEastAsia" w:eastAsiaTheme="minorEastAsia"/>
                <w:bCs/>
                <w:szCs w:val="21"/>
              </w:rPr>
            </w:pPr>
            <w:r>
              <w:rPr>
                <w:rFonts w:hint="eastAsia" w:asciiTheme="minorEastAsia" w:hAnsiTheme="minorEastAsia" w:eastAsiaTheme="minorEastAsia"/>
                <w:bCs/>
                <w:szCs w:val="21"/>
              </w:rPr>
              <w:t>（</w:t>
            </w:r>
            <w:r>
              <w:rPr>
                <w:rFonts w:asciiTheme="minorEastAsia" w:hAnsiTheme="minorEastAsia" w:eastAsiaTheme="minorEastAsia"/>
                <w:bCs/>
                <w:szCs w:val="21"/>
              </w:rPr>
              <w:t>3）法定代表人身份证明后应附法定代表人身份证</w:t>
            </w:r>
            <w:r>
              <w:rPr>
                <w:rFonts w:hint="eastAsia" w:cs="宋体" w:asciiTheme="minorEastAsia" w:hAnsiTheme="minorEastAsia" w:eastAsiaTheme="minorEastAsia"/>
                <w:szCs w:val="21"/>
              </w:rPr>
              <w:t>原件原色扫描件</w:t>
            </w:r>
            <w:r>
              <w:rPr>
                <w:rFonts w:hint="eastAsia" w:asciiTheme="minorEastAsia" w:hAnsiTheme="minorEastAsia" w:eastAsiaTheme="minorEastAsia"/>
                <w:bCs/>
                <w:szCs w:val="21"/>
              </w:rPr>
              <w:t>，且身份证原件原色扫描件应清晰有效。</w:t>
            </w:r>
          </w:p>
          <w:p w14:paraId="7E466E93">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）以</w:t>
            </w:r>
            <w:r>
              <w:rPr>
                <w:rFonts w:hint="eastAsia" w:asciiTheme="minorEastAsia" w:hAnsiTheme="minorEastAsia" w:eastAsiaTheme="minorEastAsia"/>
                <w:bCs/>
                <w:szCs w:val="21"/>
              </w:rPr>
              <w:t>联合体形式投标的，应由联合体牵头人按上述规定出具。</w:t>
            </w:r>
          </w:p>
        </w:tc>
      </w:tr>
      <w:tr w14:paraId="4505D90C">
        <w:tblPrEx>
          <w:tblCellMar>
            <w:top w:w="0" w:type="dxa"/>
            <w:left w:w="108" w:type="dxa"/>
            <w:bottom w:w="0" w:type="dxa"/>
            <w:right w:w="108" w:type="dxa"/>
          </w:tblCellMar>
        </w:tblPrEx>
        <w:tc>
          <w:tcPr>
            <w:tcW w:w="709" w:type="dxa"/>
            <w:vMerge w:val="restart"/>
            <w:tcBorders>
              <w:top w:val="single" w:color="auto" w:sz="4" w:space="0"/>
              <w:left w:val="single" w:color="auto" w:sz="4" w:space="0"/>
              <w:bottom w:val="single" w:color="auto" w:sz="4" w:space="0"/>
              <w:right w:val="single" w:color="auto" w:sz="4" w:space="0"/>
            </w:tcBorders>
            <w:vAlign w:val="center"/>
          </w:tcPr>
          <w:p w14:paraId="781AD1BF">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w:t>
            </w:r>
          </w:p>
          <w:p w14:paraId="5876069B">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初步评</w:t>
            </w:r>
          </w:p>
          <w:p w14:paraId="6EE0F29E">
            <w:pPr>
              <w:adjustRightInd w:val="0"/>
              <w:snapToGrid w:val="0"/>
              <w:spacing w:line="400" w:lineRule="exact"/>
              <w:ind w:left="105" w:right="-105"/>
              <w:jc w:val="center"/>
              <w:rPr>
                <w:rFonts w:cs="Courier New" w:asciiTheme="minorEastAsia" w:hAnsiTheme="minorEastAsia" w:eastAsiaTheme="minorEastAsia"/>
                <w:szCs w:val="21"/>
              </w:rPr>
            </w:pPr>
            <w:r>
              <w:rPr>
                <w:rFonts w:hint="eastAsia" w:cs="Courier New" w:asciiTheme="minorEastAsia" w:hAnsiTheme="minorEastAsia" w:eastAsiaTheme="minorEastAsia"/>
                <w:szCs w:val="21"/>
              </w:rPr>
              <w:t>审标准</w:t>
            </w:r>
            <w:r>
              <w:rPr>
                <w:rFonts w:cs="Courier New" w:asciiTheme="minorEastAsia" w:hAnsiTheme="minorEastAsia" w:eastAsiaTheme="minorEastAsia"/>
                <w:szCs w:val="21"/>
              </w:rPr>
              <w:t xml:space="preserve">      </w:t>
            </w:r>
            <w:r>
              <w:rPr>
                <w:rFonts w:hint="eastAsia" w:cs="Courier New" w:asciiTheme="minorEastAsia" w:hAnsiTheme="minorEastAsia" w:eastAsiaTheme="minorEastAsia"/>
                <w:szCs w:val="21"/>
              </w:rPr>
              <w:t>（第一个信封）</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14:paraId="6260BE9B">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2.1.1</w:t>
            </w:r>
          </w:p>
          <w:p w14:paraId="36FB68B3">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形式评</w:t>
            </w:r>
          </w:p>
          <w:p w14:paraId="5C42929C">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审标准</w:t>
            </w:r>
          </w:p>
        </w:tc>
        <w:tc>
          <w:tcPr>
            <w:tcW w:w="2446" w:type="dxa"/>
            <w:tcBorders>
              <w:top w:val="single" w:color="auto" w:sz="4" w:space="0"/>
              <w:left w:val="single" w:color="auto" w:sz="4" w:space="0"/>
              <w:bottom w:val="single" w:color="auto" w:sz="4" w:space="0"/>
              <w:right w:val="single" w:color="auto" w:sz="4" w:space="0"/>
            </w:tcBorders>
            <w:vAlign w:val="center"/>
          </w:tcPr>
          <w:p w14:paraId="51C0B391">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asciiTheme="minorEastAsia" w:hAnsiTheme="minorEastAsia" w:eastAsiaTheme="minorEastAsia"/>
                <w:kern w:val="0"/>
                <w:szCs w:val="21"/>
              </w:rPr>
              <w:t>6</w:t>
            </w:r>
            <w:r>
              <w:rPr>
                <w:rFonts w:hint="eastAsia" w:asciiTheme="minorEastAsia" w:hAnsiTheme="minorEastAsia" w:eastAsiaTheme="minorEastAsia"/>
                <w:kern w:val="0"/>
                <w:szCs w:val="21"/>
              </w:rPr>
              <w:t>．投标人以联合体形式投标时，联合体协议书满足招标文件的要求</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6C8E1B2D">
            <w:pPr>
              <w:adjustRightInd w:val="0"/>
              <w:snapToGrid w:val="0"/>
              <w:spacing w:line="400" w:lineRule="exact"/>
              <w:rPr>
                <w:rFonts w:asciiTheme="minorEastAsia" w:hAnsiTheme="minorEastAsia" w:eastAsiaTheme="minorEastAsia"/>
                <w:bCs/>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按招标文件提供的格式和要求签订联合体协议书，且</w:t>
            </w:r>
            <w:r>
              <w:rPr>
                <w:rFonts w:hint="eastAsia" w:ascii="宋体" w:hAnsi="宋体" w:cs="宋体"/>
                <w:szCs w:val="21"/>
              </w:rPr>
              <w:t>联合体协议书中的</w:t>
            </w:r>
            <w:r>
              <w:rPr>
                <w:rFonts w:hint="eastAsia" w:cs="宋体" w:asciiTheme="minorEastAsia" w:hAnsiTheme="minorEastAsia" w:eastAsiaTheme="minorEastAsia"/>
                <w:szCs w:val="21"/>
              </w:rPr>
              <w:t>签字、盖章符合第八章“投标文件格式”要求。</w:t>
            </w:r>
          </w:p>
        </w:tc>
      </w:tr>
      <w:tr w14:paraId="60856A20">
        <w:tblPrEx>
          <w:tblCellMar>
            <w:top w:w="0" w:type="dxa"/>
            <w:left w:w="108" w:type="dxa"/>
            <w:bottom w:w="0" w:type="dxa"/>
            <w:right w:w="108" w:type="dxa"/>
          </w:tblCellMar>
        </w:tblPrEx>
        <w:trPr>
          <w:trHeight w:val="1181"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7BEF3B4">
            <w:pPr>
              <w:adjustRightInd w:val="0"/>
              <w:snapToGrid w:val="0"/>
              <w:spacing w:line="400" w:lineRule="exact"/>
              <w:ind w:left="105" w:right="-105"/>
              <w:jc w:val="center"/>
              <w:rPr>
                <w:rFonts w:cs="Courier New" w:asciiTheme="minorEastAsia" w:hAnsiTheme="minorEastAsia" w:eastAsiaTheme="minorEastAsia"/>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5D520FB3">
            <w:pPr>
              <w:pStyle w:val="26"/>
              <w:adjustRightInd w:val="0"/>
              <w:snapToGrid w:val="0"/>
              <w:spacing w:line="400" w:lineRule="exact"/>
              <w:jc w:val="center"/>
              <w:rPr>
                <w:rFonts w:cs="Courier New" w:asciiTheme="minorEastAsia" w:hAnsiTheme="minorEastAsia" w:eastAsiaTheme="minorEastAsia"/>
              </w:rPr>
            </w:pPr>
          </w:p>
        </w:tc>
        <w:tc>
          <w:tcPr>
            <w:tcW w:w="2446" w:type="dxa"/>
            <w:tcBorders>
              <w:top w:val="single" w:color="auto" w:sz="4" w:space="0"/>
              <w:left w:val="single" w:color="auto" w:sz="4" w:space="0"/>
              <w:bottom w:val="single" w:color="auto" w:sz="4" w:space="0"/>
              <w:right w:val="single" w:color="auto" w:sz="4" w:space="0"/>
            </w:tcBorders>
            <w:vAlign w:val="center"/>
          </w:tcPr>
          <w:p w14:paraId="0842EB2D">
            <w:pPr>
              <w:widowControl/>
              <w:adjustRightInd w:val="0"/>
              <w:snapToGrid w:val="0"/>
              <w:spacing w:line="400" w:lineRule="exact"/>
              <w:rPr>
                <w:rFonts w:asciiTheme="minorEastAsia" w:hAnsiTheme="minorEastAsia" w:eastAsiaTheme="minorEastAsia"/>
                <w:kern w:val="0"/>
                <w:szCs w:val="21"/>
              </w:rPr>
            </w:pPr>
            <w:r>
              <w:rPr>
                <w:rFonts w:asciiTheme="minorEastAsia" w:hAnsiTheme="minorEastAsia" w:eastAsiaTheme="minorEastAsia"/>
                <w:kern w:val="0"/>
                <w:szCs w:val="21"/>
              </w:rPr>
              <w:t>7.投标文件应符合的其他规定</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246E3D06">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1）投标人如有分包计划，</w:t>
            </w:r>
            <w:r>
              <w:rPr>
                <w:rFonts w:hint="eastAsia" w:hAnsi="宋体"/>
                <w:lang w:val="en-US" w:eastAsia="zh-CN"/>
              </w:rPr>
              <w:t>应</w:t>
            </w:r>
            <w:r>
              <w:rPr>
                <w:rFonts w:asciiTheme="minorEastAsia" w:hAnsiTheme="minorEastAsia" w:eastAsiaTheme="minorEastAsia"/>
                <w:kern w:val="0"/>
                <w:szCs w:val="21"/>
              </w:rPr>
              <w:t>按第八章“投标文件格式”的要求填写“拟分包</w:t>
            </w:r>
            <w:r>
              <w:rPr>
                <w:rFonts w:hint="eastAsia" w:asciiTheme="minorEastAsia" w:hAnsiTheme="minorEastAsia" w:eastAsiaTheme="minorEastAsia"/>
                <w:kern w:val="0"/>
                <w:szCs w:val="21"/>
                <w:lang w:val="en-US" w:eastAsia="zh-CN"/>
              </w:rPr>
              <w:t>项目</w:t>
            </w:r>
            <w:r>
              <w:rPr>
                <w:rFonts w:asciiTheme="minorEastAsia" w:hAnsiTheme="minorEastAsia" w:eastAsiaTheme="minorEastAsia"/>
                <w:kern w:val="0"/>
                <w:szCs w:val="21"/>
              </w:rPr>
              <w:t>情况表”</w:t>
            </w:r>
            <w:r>
              <w:rPr>
                <w:rFonts w:hint="eastAsia" w:asciiTheme="minorEastAsia" w:hAnsiTheme="minorEastAsia" w:eastAsiaTheme="minorEastAsia"/>
                <w:kern w:val="0"/>
                <w:szCs w:val="21"/>
              </w:rPr>
              <w:t>。</w:t>
            </w:r>
          </w:p>
          <w:p w14:paraId="7286A55E">
            <w:pPr>
              <w:adjustRightInd w:val="0"/>
              <w:snapToGrid w:val="0"/>
              <w:spacing w:line="400" w:lineRule="exact"/>
              <w:rPr>
                <w:rFonts w:ascii="宋体" w:hAnsi="宋体"/>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宋体" w:hAnsi="宋体"/>
                <w:kern w:val="0"/>
                <w:szCs w:val="21"/>
              </w:rPr>
              <w:t>第一个信封（商务及技术文件）投标文件中未出现有关投标报价的内容。</w:t>
            </w:r>
          </w:p>
          <w:p w14:paraId="49744AA6">
            <w:pPr>
              <w:adjustRightInd w:val="0"/>
              <w:snapToGrid w:val="0"/>
              <w:spacing w:line="400" w:lineRule="exact"/>
              <w:rPr>
                <w:rFonts w:ascii="宋体" w:hAnsi="宋体"/>
                <w:kern w:val="0"/>
                <w:szCs w:val="21"/>
              </w:rPr>
            </w:pPr>
            <w:r>
              <w:rPr>
                <w:rFonts w:hint="eastAsia" w:ascii="宋体" w:hAnsi="宋体"/>
                <w:kern w:val="0"/>
                <w:szCs w:val="21"/>
              </w:rPr>
              <w:t>（3）同一投标人对同一标段未提交两个以上不同的投标文件</w:t>
            </w:r>
            <w:r>
              <w:rPr>
                <w:rFonts w:hint="eastAsia"/>
              </w:rPr>
              <w:t>，但招标文件要求提交备选投标</w:t>
            </w:r>
            <w:r>
              <w:rPr>
                <w:rFonts w:hint="eastAsia"/>
                <w:lang w:val="en-US" w:eastAsia="zh-CN"/>
              </w:rPr>
              <w:t>方案</w:t>
            </w:r>
            <w:r>
              <w:rPr>
                <w:rFonts w:hint="eastAsia"/>
              </w:rPr>
              <w:t>的除外</w:t>
            </w:r>
            <w:r>
              <w:rPr>
                <w:rFonts w:hint="eastAsia" w:ascii="宋体" w:hAnsi="宋体"/>
                <w:kern w:val="0"/>
                <w:szCs w:val="21"/>
              </w:rPr>
              <w:t>。</w:t>
            </w:r>
          </w:p>
          <w:p w14:paraId="64BAB454">
            <w:pPr>
              <w:adjustRightInd w:val="0"/>
              <w:snapToGrid w:val="0"/>
              <w:spacing w:line="400" w:lineRule="exact"/>
              <w:rPr>
                <w:rFonts w:ascii="宋体" w:hAnsi="宋体"/>
                <w:kern w:val="0"/>
                <w:szCs w:val="21"/>
              </w:rPr>
            </w:pPr>
            <w:r>
              <w:rPr>
                <w:rFonts w:hint="eastAsia" w:ascii="宋体" w:hAnsi="宋体"/>
                <w:kern w:val="0"/>
                <w:szCs w:val="21"/>
              </w:rPr>
              <w:t>（4）</w:t>
            </w:r>
            <w:r>
              <w:rPr>
                <w:rFonts w:hint="eastAsia" w:ascii="宋体" w:hAnsi="宋体" w:cs="宋体"/>
                <w:szCs w:val="21"/>
              </w:rPr>
              <w:t>投标人投标标段数量超过允许投标人投标标段数量时，相关投标均无效。</w:t>
            </w:r>
          </w:p>
          <w:p w14:paraId="7FDF869E">
            <w:pPr>
              <w:adjustRightInd w:val="0"/>
              <w:snapToGrid w:val="0"/>
              <w:spacing w:line="400" w:lineRule="exact"/>
              <w:ind w:firstLine="0" w:firstLineChars="0"/>
              <w:rPr>
                <w:rFonts w:asciiTheme="minorEastAsia" w:hAnsiTheme="minorEastAsia" w:eastAsiaTheme="minorEastAsia"/>
                <w:bCs/>
                <w:szCs w:val="21"/>
              </w:rPr>
            </w:pPr>
            <w:r>
              <w:rPr>
                <w:rFonts w:asciiTheme="minorEastAsia" w:hAnsiTheme="minorEastAsia" w:eastAsiaTheme="minorEastAsia"/>
                <w:kern w:val="0"/>
                <w:szCs w:val="21"/>
                <w:u w:val="none"/>
              </w:rPr>
              <w:t xml:space="preserve">……  </w:t>
            </w:r>
          </w:p>
        </w:tc>
      </w:tr>
      <w:tr w14:paraId="6F6746E0">
        <w:tblPrEx>
          <w:tblCellMar>
            <w:top w:w="0" w:type="dxa"/>
            <w:left w:w="108" w:type="dxa"/>
            <w:bottom w:w="0" w:type="dxa"/>
            <w:right w:w="108"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14:paraId="2719A3E6">
            <w:pPr>
              <w:adjustRightInd w:val="0"/>
              <w:snapToGrid w:val="0"/>
              <w:spacing w:line="400" w:lineRule="exact"/>
              <w:ind w:left="105" w:right="-105"/>
              <w:jc w:val="center"/>
              <w:rPr>
                <w:rFonts w:cs="宋体" w:asciiTheme="minorEastAsia" w:hAnsiTheme="minorEastAsia" w:eastAsiaTheme="minorEastAsia"/>
                <w:kern w:val="0"/>
                <w:szCs w:val="21"/>
              </w:rPr>
            </w:pPr>
          </w:p>
        </w:tc>
        <w:tc>
          <w:tcPr>
            <w:tcW w:w="773" w:type="dxa"/>
            <w:vMerge w:val="restart"/>
            <w:tcBorders>
              <w:top w:val="single" w:color="auto" w:sz="4" w:space="0"/>
              <w:left w:val="single" w:color="auto" w:sz="4" w:space="0"/>
              <w:bottom w:val="single" w:color="auto" w:sz="4" w:space="0"/>
              <w:right w:val="single" w:color="auto" w:sz="4" w:space="0"/>
            </w:tcBorders>
            <w:vAlign w:val="center"/>
          </w:tcPr>
          <w:p w14:paraId="35B59654">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2.1.2</w:t>
            </w:r>
          </w:p>
          <w:p w14:paraId="16654056">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资格评</w:t>
            </w:r>
          </w:p>
          <w:p w14:paraId="65154022">
            <w:pPr>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审标准</w:t>
            </w:r>
          </w:p>
        </w:tc>
        <w:tc>
          <w:tcPr>
            <w:tcW w:w="2446" w:type="dxa"/>
            <w:tcBorders>
              <w:top w:val="single" w:color="auto" w:sz="4" w:space="0"/>
              <w:left w:val="single" w:color="auto" w:sz="4" w:space="0"/>
              <w:bottom w:val="single" w:color="auto" w:sz="4" w:space="0"/>
              <w:right w:val="single" w:color="auto" w:sz="4" w:space="0"/>
            </w:tcBorders>
            <w:vAlign w:val="center"/>
          </w:tcPr>
          <w:p w14:paraId="55D4F555">
            <w:pPr>
              <w:widowControl/>
              <w:adjustRightInd w:val="0"/>
              <w:snapToGrid w:val="0"/>
              <w:spacing w:line="400" w:lineRule="exact"/>
              <w:rPr>
                <w:rFonts w:asciiTheme="minorEastAsia" w:hAnsiTheme="minorEastAsia" w:eastAsiaTheme="minorEastAsia"/>
                <w:kern w:val="0"/>
                <w:szCs w:val="21"/>
              </w:rPr>
            </w:pPr>
            <w:r>
              <w:rPr>
                <w:rFonts w:asciiTheme="minorEastAsia" w:hAnsiTheme="minorEastAsia" w:eastAsiaTheme="minorEastAsia"/>
                <w:kern w:val="0"/>
                <w:szCs w:val="21"/>
              </w:rPr>
              <w:t>1．具备有效的营业执照、资质证书、安全生产许可证</w:t>
            </w:r>
            <w:r>
              <w:rPr>
                <w:rFonts w:hint="eastAsia" w:asciiTheme="minorEastAsia" w:hAnsiTheme="minorEastAsia" w:eastAsiaTheme="minorEastAsia"/>
                <w:kern w:val="0"/>
                <w:szCs w:val="21"/>
              </w:rPr>
              <w:t>（仅限施工企业）</w:t>
            </w:r>
            <w:r>
              <w:rPr>
                <w:rFonts w:asciiTheme="minorEastAsia" w:hAnsiTheme="minorEastAsia" w:eastAsiaTheme="minorEastAsia"/>
                <w:kern w:val="0"/>
                <w:szCs w:val="21"/>
              </w:rPr>
              <w:t>、开户许可证</w:t>
            </w:r>
            <w:r>
              <w:rPr>
                <w:rFonts w:hint="eastAsia" w:asciiTheme="minorEastAsia" w:hAnsiTheme="minorEastAsia" w:eastAsiaTheme="minorEastAsia"/>
                <w:kern w:val="0"/>
                <w:szCs w:val="21"/>
              </w:rPr>
              <w:t>（</w:t>
            </w:r>
            <w:r>
              <w:rPr>
                <w:rFonts w:asciiTheme="minorEastAsia" w:hAnsiTheme="minorEastAsia" w:eastAsiaTheme="minorEastAsia"/>
                <w:kern w:val="0"/>
                <w:szCs w:val="21"/>
              </w:rPr>
              <w:t>基本账户</w:t>
            </w:r>
            <w:r>
              <w:rPr>
                <w:rFonts w:hint="eastAsia" w:asciiTheme="minorEastAsia" w:hAnsiTheme="minorEastAsia" w:eastAsiaTheme="minorEastAsia"/>
                <w:kern w:val="0"/>
                <w:szCs w:val="21"/>
              </w:rPr>
              <w:t>或基本存款账户）</w:t>
            </w:r>
            <w:r>
              <w:rPr>
                <w:rFonts w:hint="eastAsia" w:cs="宋体" w:asciiTheme="minorEastAsia" w:hAnsiTheme="minorEastAsia" w:eastAsiaTheme="minorEastAsia"/>
                <w:szCs w:val="21"/>
              </w:rPr>
              <w:t>或基本存款账户信息表</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0B9C145D">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的营业执照、资质证书、安全生产许可证、开户许可证</w:t>
            </w:r>
            <w:r>
              <w:rPr>
                <w:rFonts w:hint="eastAsia" w:asciiTheme="minorEastAsia" w:hAnsiTheme="minorEastAsia" w:eastAsiaTheme="minorEastAsia"/>
                <w:kern w:val="0"/>
                <w:szCs w:val="21"/>
              </w:rPr>
              <w:t>（</w:t>
            </w:r>
            <w:r>
              <w:rPr>
                <w:rFonts w:asciiTheme="minorEastAsia" w:hAnsiTheme="minorEastAsia" w:eastAsiaTheme="minorEastAsia"/>
                <w:kern w:val="0"/>
                <w:szCs w:val="21"/>
              </w:rPr>
              <w:t>基本账户</w:t>
            </w:r>
            <w:r>
              <w:rPr>
                <w:rFonts w:hint="eastAsia" w:asciiTheme="minorEastAsia" w:hAnsiTheme="minorEastAsia" w:eastAsiaTheme="minorEastAsia"/>
                <w:kern w:val="0"/>
                <w:szCs w:val="21"/>
              </w:rPr>
              <w:t>或基本存款账户）</w:t>
            </w:r>
            <w:r>
              <w:rPr>
                <w:rFonts w:hint="eastAsia" w:cs="宋体" w:asciiTheme="minorEastAsia" w:hAnsiTheme="minorEastAsia" w:eastAsiaTheme="minorEastAsia"/>
                <w:szCs w:val="21"/>
              </w:rPr>
              <w:t>或基本存款账户信息表</w:t>
            </w:r>
            <w:r>
              <w:rPr>
                <w:rFonts w:asciiTheme="minorEastAsia" w:hAnsiTheme="minorEastAsia" w:eastAsiaTheme="minorEastAsia"/>
                <w:kern w:val="0"/>
                <w:szCs w:val="21"/>
              </w:rPr>
              <w:t>有效</w:t>
            </w:r>
            <w:r>
              <w:rPr>
                <w:rFonts w:hint="eastAsia" w:asciiTheme="minorEastAsia" w:hAnsiTheme="minorEastAsia" w:eastAsiaTheme="minorEastAsia"/>
                <w:kern w:val="0"/>
                <w:szCs w:val="21"/>
              </w:rPr>
              <w:t>。</w:t>
            </w:r>
          </w:p>
          <w:p w14:paraId="22B2DD25">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kern w:val="0"/>
                <w:szCs w:val="21"/>
              </w:rPr>
              <w:t>（2）提供的证明材料符合第九章“</w:t>
            </w:r>
            <w:r>
              <w:rPr>
                <w:rFonts w:asciiTheme="minorEastAsia" w:hAnsiTheme="minorEastAsia" w:eastAsiaTheme="minorEastAsia"/>
                <w:kern w:val="0"/>
                <w:szCs w:val="21"/>
              </w:rPr>
              <w:t>投标文件格式</w:t>
            </w:r>
            <w:r>
              <w:rPr>
                <w:rFonts w:hint="eastAsia" w:asciiTheme="minorEastAsia" w:hAnsiTheme="minorEastAsia" w:eastAsiaTheme="minorEastAsia"/>
                <w:kern w:val="0"/>
                <w:szCs w:val="21"/>
              </w:rPr>
              <w:t>”资格审查资料“（一）投标人</w:t>
            </w:r>
            <w:r>
              <w:rPr>
                <w:rFonts w:asciiTheme="minorEastAsia" w:hAnsiTheme="minorEastAsia" w:eastAsiaTheme="minorEastAsia"/>
                <w:kern w:val="0"/>
                <w:szCs w:val="21"/>
              </w:rPr>
              <w:t>基本情况表</w:t>
            </w:r>
            <w:r>
              <w:rPr>
                <w:rFonts w:hint="eastAsia" w:asciiTheme="minorEastAsia" w:hAnsiTheme="minorEastAsia" w:eastAsiaTheme="minorEastAsia"/>
                <w:kern w:val="0"/>
                <w:szCs w:val="21"/>
              </w:rPr>
              <w:t>”的附件要求</w:t>
            </w:r>
            <w:r>
              <w:rPr>
                <w:rFonts w:hint="eastAsia" w:cs="宋体" w:asciiTheme="minorEastAsia" w:hAnsiTheme="minorEastAsia" w:eastAsiaTheme="minorEastAsia"/>
                <w:szCs w:val="21"/>
              </w:rPr>
              <w:t>。</w:t>
            </w:r>
          </w:p>
        </w:tc>
      </w:tr>
      <w:tr w14:paraId="6A518ED3">
        <w:tblPrEx>
          <w:tblCellMar>
            <w:top w:w="0" w:type="dxa"/>
            <w:left w:w="108" w:type="dxa"/>
            <w:bottom w:w="0" w:type="dxa"/>
            <w:right w:w="108"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14:paraId="559C6D09">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35543EEB">
            <w:pPr>
              <w:adjustRightInd w:val="0"/>
              <w:snapToGrid w:val="0"/>
              <w:spacing w:line="400" w:lineRule="exact"/>
              <w:jc w:val="center"/>
              <w:rPr>
                <w:rFonts w:cs="宋体" w:asciiTheme="minorEastAsia" w:hAnsiTheme="minorEastAsia" w:eastAsiaTheme="minorEastAsia"/>
                <w:kern w:val="0"/>
                <w:szCs w:val="21"/>
              </w:rPr>
            </w:pPr>
          </w:p>
        </w:tc>
        <w:tc>
          <w:tcPr>
            <w:tcW w:w="2446" w:type="dxa"/>
            <w:tcBorders>
              <w:top w:val="single" w:color="auto" w:sz="4" w:space="0"/>
              <w:left w:val="single" w:color="auto" w:sz="4" w:space="0"/>
              <w:bottom w:val="single" w:color="auto" w:sz="4" w:space="0"/>
              <w:right w:val="single" w:color="auto" w:sz="4" w:space="0"/>
            </w:tcBorders>
            <w:vAlign w:val="center"/>
          </w:tcPr>
          <w:p w14:paraId="5D982776">
            <w:pPr>
              <w:widowControl/>
              <w:adjustRightInd w:val="0"/>
              <w:snapToGrid w:val="0"/>
              <w:spacing w:line="400" w:lineRule="exact"/>
              <w:rPr>
                <w:rFonts w:asciiTheme="minorEastAsia" w:hAnsiTheme="minorEastAsia" w:eastAsiaTheme="minorEastAsia"/>
                <w:kern w:val="0"/>
                <w:szCs w:val="21"/>
              </w:rPr>
            </w:pPr>
            <w:r>
              <w:rPr>
                <w:rFonts w:cs="宋体" w:asciiTheme="minorEastAsia" w:hAnsiTheme="minorEastAsia" w:eastAsiaTheme="minorEastAsia"/>
                <w:kern w:val="0"/>
                <w:szCs w:val="21"/>
              </w:rPr>
              <w:t>2．投标人的资质等级符合第二章“投标人须知”前附表第1.4.1项规定</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709CB872">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投标人的资质等级符合第二章“投标人须知”前附表第</w:t>
            </w:r>
            <w:r>
              <w:rPr>
                <w:rFonts w:asciiTheme="minorEastAsia" w:hAnsiTheme="minorEastAsia" w:eastAsiaTheme="minorEastAsia"/>
                <w:szCs w:val="21"/>
              </w:rPr>
              <w:t>1.4.1项规定。</w:t>
            </w:r>
          </w:p>
          <w:p w14:paraId="2D51CC73">
            <w:pPr>
              <w:widowControl/>
              <w:adjustRightInd w:val="0"/>
              <w:snapToGrid w:val="0"/>
              <w:spacing w:line="400" w:lineRule="exact"/>
              <w:rPr>
                <w:rFonts w:asciiTheme="minorEastAsia" w:hAnsiTheme="minorEastAsia" w:eastAsiaTheme="minorEastAsia"/>
                <w:kern w:val="0"/>
                <w:szCs w:val="21"/>
              </w:rPr>
            </w:pPr>
            <w:r>
              <w:rPr>
                <w:rFonts w:hint="eastAsia" w:ascii="宋体" w:hAnsi="宋体" w:cs="宋体"/>
                <w:szCs w:val="21"/>
              </w:rPr>
              <w:t>（</w:t>
            </w:r>
            <w:r>
              <w:rPr>
                <w:rFonts w:ascii="宋体" w:hAnsi="宋体" w:cs="宋体"/>
                <w:szCs w:val="21"/>
              </w:rPr>
              <w:t>2）提供的证明材料符合第八章“投标文件格式”要求。</w:t>
            </w:r>
          </w:p>
        </w:tc>
      </w:tr>
      <w:tr w14:paraId="75001403">
        <w:tblPrEx>
          <w:tblCellMar>
            <w:top w:w="0" w:type="dxa"/>
            <w:left w:w="108" w:type="dxa"/>
            <w:bottom w:w="0" w:type="dxa"/>
            <w:right w:w="108"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14:paraId="325F9DB8">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009072C7">
            <w:pPr>
              <w:adjustRightInd w:val="0"/>
              <w:snapToGrid w:val="0"/>
              <w:spacing w:line="400" w:lineRule="exact"/>
              <w:jc w:val="center"/>
              <w:rPr>
                <w:rFonts w:cs="宋体" w:asciiTheme="minorEastAsia" w:hAnsiTheme="minorEastAsia" w:eastAsiaTheme="minorEastAsia"/>
                <w:kern w:val="0"/>
                <w:szCs w:val="21"/>
              </w:rPr>
            </w:pPr>
          </w:p>
        </w:tc>
        <w:tc>
          <w:tcPr>
            <w:tcW w:w="2446" w:type="dxa"/>
            <w:tcBorders>
              <w:top w:val="single" w:color="auto" w:sz="4" w:space="0"/>
              <w:left w:val="single" w:color="auto" w:sz="4" w:space="0"/>
              <w:bottom w:val="single" w:color="auto" w:sz="4" w:space="0"/>
              <w:right w:val="single" w:color="auto" w:sz="4" w:space="0"/>
            </w:tcBorders>
            <w:vAlign w:val="center"/>
          </w:tcPr>
          <w:p w14:paraId="1EFE1863">
            <w:pPr>
              <w:widowControl/>
              <w:adjustRightInd w:val="0"/>
              <w:snapToGrid w:val="0"/>
              <w:spacing w:line="400" w:lineRule="exact"/>
              <w:rPr>
                <w:rFonts w:asciiTheme="minorEastAsia" w:hAnsiTheme="minorEastAsia" w:eastAsiaTheme="minorEastAsia"/>
                <w:kern w:val="0"/>
                <w:szCs w:val="21"/>
              </w:rPr>
            </w:pPr>
            <w:r>
              <w:rPr>
                <w:rFonts w:cs="宋体" w:asciiTheme="minorEastAsia" w:hAnsiTheme="minorEastAsia" w:eastAsiaTheme="minorEastAsia"/>
                <w:kern w:val="0"/>
                <w:szCs w:val="21"/>
              </w:rPr>
              <w:t>3.投标人的财务状况符合第二章“投标人须知”前附表第1.4.1项规定</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21CA3034">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的财务状况符合第二章“投标人须知”前附表第</w:t>
            </w:r>
            <w:r>
              <w:rPr>
                <w:rFonts w:cs="宋体" w:asciiTheme="minorEastAsia" w:hAnsiTheme="minorEastAsia" w:eastAsiaTheme="minorEastAsia"/>
                <w:kern w:val="0"/>
                <w:szCs w:val="21"/>
              </w:rPr>
              <w:t>1.4.1项规定。</w:t>
            </w:r>
          </w:p>
          <w:p w14:paraId="410C983D">
            <w:pPr>
              <w:widowControl/>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提供的证明材料符合第八章“投标文件格式”要求。</w:t>
            </w:r>
          </w:p>
        </w:tc>
      </w:tr>
      <w:tr w14:paraId="25CA3C00">
        <w:tblPrEx>
          <w:tblCellMar>
            <w:top w:w="0" w:type="dxa"/>
            <w:left w:w="108" w:type="dxa"/>
            <w:bottom w:w="0" w:type="dxa"/>
            <w:right w:w="108" w:type="dxa"/>
          </w:tblCellMar>
        </w:tblPrEx>
        <w:trPr>
          <w:gridAfter w:val="1"/>
          <w:wAfter w:w="34" w:type="dxa"/>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078C1255">
            <w:pPr>
              <w:pStyle w:val="26"/>
              <w:adjustRightInd w:val="0"/>
              <w:snapToGrid w:val="0"/>
              <w:spacing w:line="400" w:lineRule="exact"/>
              <w:jc w:val="center"/>
              <w:rPr>
                <w:rFonts w:cs="Courier New" w:asciiTheme="minorEastAsia" w:hAnsiTheme="minorEastAsia" w:eastAsiaTheme="minorEastAsia"/>
              </w:rPr>
            </w:pPr>
            <w:r>
              <w:rPr>
                <w:rFonts w:cs="Courier New" w:asciiTheme="minorEastAsia" w:hAnsiTheme="minorEastAsia" w:eastAsiaTheme="minorEastAsia"/>
              </w:rPr>
              <w:t>2.1</w:t>
            </w:r>
          </w:p>
          <w:p w14:paraId="1510C9F7">
            <w:pPr>
              <w:pStyle w:val="26"/>
              <w:adjustRightInd w:val="0"/>
              <w:snapToGrid w:val="0"/>
              <w:spacing w:line="400" w:lineRule="exact"/>
              <w:jc w:val="center"/>
              <w:rPr>
                <w:rFonts w:cs="Courier New" w:asciiTheme="minorEastAsia" w:hAnsiTheme="minorEastAsia" w:eastAsiaTheme="minorEastAsia"/>
              </w:rPr>
            </w:pPr>
            <w:r>
              <w:rPr>
                <w:rFonts w:hint="eastAsia" w:cs="Courier New" w:asciiTheme="minorEastAsia" w:hAnsiTheme="minorEastAsia" w:eastAsiaTheme="minorEastAsia"/>
              </w:rPr>
              <w:t>初步评</w:t>
            </w:r>
          </w:p>
          <w:p w14:paraId="790EC8BD">
            <w:pPr>
              <w:adjustRightInd w:val="0"/>
              <w:snapToGrid w:val="0"/>
              <w:spacing w:line="400" w:lineRule="exact"/>
              <w:ind w:left="-210" w:leftChars="-100" w:right="-210" w:rightChars="-100"/>
              <w:jc w:val="center"/>
              <w:rPr>
                <w:rFonts w:cs="Courier New" w:asciiTheme="minorEastAsia" w:hAnsiTheme="minorEastAsia" w:eastAsiaTheme="minorEastAsia"/>
                <w:szCs w:val="21"/>
              </w:rPr>
            </w:pPr>
            <w:r>
              <w:rPr>
                <w:rFonts w:hint="eastAsia" w:cs="Courier New" w:asciiTheme="minorEastAsia" w:hAnsiTheme="minorEastAsia" w:eastAsiaTheme="minorEastAsia"/>
                <w:szCs w:val="21"/>
              </w:rPr>
              <w:t>审标准</w:t>
            </w:r>
            <w:r>
              <w:rPr>
                <w:rFonts w:cs="Courier New" w:asciiTheme="minorEastAsia" w:hAnsiTheme="minorEastAsia" w:eastAsiaTheme="minorEastAsia"/>
                <w:szCs w:val="21"/>
              </w:rPr>
              <w:t xml:space="preserve">      </w:t>
            </w:r>
            <w:r>
              <w:rPr>
                <w:rFonts w:hint="eastAsia" w:cs="Courier New" w:asciiTheme="minorEastAsia" w:hAnsiTheme="minorEastAsia" w:eastAsiaTheme="minorEastAsia"/>
                <w:szCs w:val="21"/>
              </w:rPr>
              <w:t>（第一个</w:t>
            </w:r>
          </w:p>
          <w:p w14:paraId="24C7D14C">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r>
              <w:rPr>
                <w:rFonts w:hint="eastAsia" w:cs="Courier New" w:asciiTheme="minorEastAsia" w:hAnsiTheme="minorEastAsia" w:eastAsiaTheme="minorEastAsia"/>
                <w:szCs w:val="21"/>
              </w:rPr>
              <w:t>信封）</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14:paraId="66D4C6DF">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2.1.2</w:t>
            </w:r>
          </w:p>
          <w:p w14:paraId="233B1604">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资格评</w:t>
            </w:r>
          </w:p>
          <w:p w14:paraId="73F81364">
            <w:pPr>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审标准</w:t>
            </w:r>
          </w:p>
        </w:tc>
        <w:tc>
          <w:tcPr>
            <w:tcW w:w="2446" w:type="dxa"/>
            <w:tcBorders>
              <w:top w:val="single" w:color="auto" w:sz="4" w:space="0"/>
              <w:left w:val="single" w:color="auto" w:sz="4" w:space="0"/>
              <w:bottom w:val="single" w:color="auto" w:sz="4" w:space="0"/>
              <w:right w:val="single" w:color="auto" w:sz="4" w:space="0"/>
            </w:tcBorders>
            <w:vAlign w:val="center"/>
          </w:tcPr>
          <w:p w14:paraId="413FA002">
            <w:pPr>
              <w:widowControl/>
              <w:adjustRightInd w:val="0"/>
              <w:snapToGrid w:val="0"/>
              <w:spacing w:line="400" w:lineRule="exact"/>
              <w:rPr>
                <w:rFonts w:cs="宋体" w:asciiTheme="minorEastAsia" w:hAnsiTheme="minorEastAsia" w:eastAsiaTheme="minorEastAsia"/>
                <w:kern w:val="0"/>
                <w:szCs w:val="21"/>
              </w:rPr>
            </w:pPr>
            <w:r>
              <w:rPr>
                <w:rFonts w:cs="宋体" w:asciiTheme="minorEastAsia" w:hAnsiTheme="minorEastAsia" w:eastAsiaTheme="minorEastAsia"/>
                <w:kern w:val="0"/>
                <w:szCs w:val="21"/>
              </w:rPr>
              <w:t>4．投标人的类似项目业绩符合第二章“投标人须知”前附表第1.4.1项规定</w:t>
            </w:r>
          </w:p>
        </w:tc>
        <w:tc>
          <w:tcPr>
            <w:tcW w:w="4856" w:type="dxa"/>
            <w:tcBorders>
              <w:top w:val="single" w:color="auto" w:sz="4" w:space="0"/>
              <w:left w:val="single" w:color="auto" w:sz="4" w:space="0"/>
              <w:bottom w:val="single" w:color="auto" w:sz="4" w:space="0"/>
              <w:right w:val="single" w:color="auto" w:sz="4" w:space="0"/>
            </w:tcBorders>
            <w:vAlign w:val="center"/>
          </w:tcPr>
          <w:p w14:paraId="61F0F3B4">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的类似项目业绩符合第二章“投标人须知”前附表第</w:t>
            </w:r>
            <w:r>
              <w:rPr>
                <w:rFonts w:cs="宋体" w:asciiTheme="minorEastAsia" w:hAnsiTheme="minorEastAsia" w:eastAsiaTheme="minorEastAsia"/>
                <w:kern w:val="0"/>
                <w:szCs w:val="21"/>
              </w:rPr>
              <w:t>1.4.1项规定。</w:t>
            </w:r>
          </w:p>
          <w:p w14:paraId="70C07909">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提供的证明材料符合第八章“投标文件格式”要求。</w:t>
            </w:r>
          </w:p>
        </w:tc>
      </w:tr>
      <w:tr w14:paraId="0AC8FD81">
        <w:tblPrEx>
          <w:tblCellMar>
            <w:top w:w="0" w:type="dxa"/>
            <w:left w:w="108" w:type="dxa"/>
            <w:bottom w:w="0" w:type="dxa"/>
            <w:right w:w="108" w:type="dxa"/>
          </w:tblCellMar>
        </w:tblPrEx>
        <w:trPr>
          <w:trHeight w:val="1323"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4C58D50">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4F9033B8">
            <w:pPr>
              <w:adjustRightInd w:val="0"/>
              <w:snapToGrid w:val="0"/>
              <w:spacing w:line="400" w:lineRule="exact"/>
              <w:jc w:val="center"/>
              <w:rPr>
                <w:rFonts w:cs="宋体" w:asciiTheme="minorEastAsia" w:hAnsiTheme="minorEastAsia" w:eastAsiaTheme="minorEastAsia"/>
                <w:kern w:val="0"/>
                <w:szCs w:val="21"/>
              </w:rPr>
            </w:pPr>
          </w:p>
        </w:tc>
        <w:tc>
          <w:tcPr>
            <w:tcW w:w="2446" w:type="dxa"/>
            <w:tcBorders>
              <w:top w:val="single" w:color="auto" w:sz="4" w:space="0"/>
              <w:left w:val="single" w:color="auto" w:sz="4" w:space="0"/>
              <w:bottom w:val="single" w:color="auto" w:sz="4" w:space="0"/>
              <w:right w:val="single" w:color="auto" w:sz="4" w:space="0"/>
            </w:tcBorders>
            <w:vAlign w:val="center"/>
          </w:tcPr>
          <w:p w14:paraId="2EA6D4DE">
            <w:pPr>
              <w:widowControl/>
              <w:adjustRightInd w:val="0"/>
              <w:snapToGrid w:val="0"/>
              <w:spacing w:line="400" w:lineRule="exact"/>
              <w:rPr>
                <w:rFonts w:asciiTheme="minorEastAsia" w:hAnsiTheme="minorEastAsia" w:eastAsiaTheme="minorEastAsia"/>
                <w:kern w:val="0"/>
                <w:szCs w:val="21"/>
              </w:rPr>
            </w:pPr>
            <w:r>
              <w:rPr>
                <w:rFonts w:cs="宋体" w:asciiTheme="minorEastAsia" w:hAnsiTheme="minorEastAsia" w:eastAsiaTheme="minorEastAsia"/>
                <w:kern w:val="0"/>
                <w:szCs w:val="21"/>
              </w:rPr>
              <w:t>5．投标人的信誉符合第二章“投标人须知”前附表第1.4.1项规定</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2FE1076C">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的信誉符合第二章“投标人须知”前附表第</w:t>
            </w:r>
            <w:r>
              <w:rPr>
                <w:rFonts w:cs="宋体" w:asciiTheme="minorEastAsia" w:hAnsiTheme="minorEastAsia" w:eastAsiaTheme="minorEastAsia"/>
                <w:kern w:val="0"/>
                <w:szCs w:val="21"/>
              </w:rPr>
              <w:t>1.4.1项规定。</w:t>
            </w:r>
          </w:p>
          <w:p w14:paraId="4E1A1152">
            <w:pPr>
              <w:widowControl/>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提供的证明材料符合第八章“投标文件格式”要求。</w:t>
            </w:r>
          </w:p>
        </w:tc>
      </w:tr>
      <w:tr w14:paraId="2652FD3E">
        <w:tblPrEx>
          <w:tblCellMar>
            <w:top w:w="0" w:type="dxa"/>
            <w:left w:w="108" w:type="dxa"/>
            <w:bottom w:w="0" w:type="dxa"/>
            <w:right w:w="108" w:type="dxa"/>
          </w:tblCellMar>
        </w:tblPrEx>
        <w:trPr>
          <w:trHeight w:val="1748"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ABB29A9">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5261CDD8">
            <w:pPr>
              <w:adjustRightInd w:val="0"/>
              <w:snapToGrid w:val="0"/>
              <w:spacing w:line="400" w:lineRule="exact"/>
              <w:jc w:val="center"/>
              <w:rPr>
                <w:rFonts w:cs="宋体" w:asciiTheme="minorEastAsia" w:hAnsiTheme="minorEastAsia" w:eastAsiaTheme="minorEastAsia"/>
                <w:kern w:val="0"/>
                <w:szCs w:val="21"/>
              </w:rPr>
            </w:pPr>
          </w:p>
        </w:tc>
        <w:tc>
          <w:tcPr>
            <w:tcW w:w="2446" w:type="dxa"/>
            <w:tcBorders>
              <w:top w:val="single" w:color="auto" w:sz="4" w:space="0"/>
              <w:left w:val="single" w:color="auto" w:sz="4" w:space="0"/>
              <w:bottom w:val="single" w:color="auto" w:sz="4" w:space="0"/>
              <w:right w:val="single" w:color="auto" w:sz="4" w:space="0"/>
            </w:tcBorders>
            <w:vAlign w:val="center"/>
          </w:tcPr>
          <w:p w14:paraId="41ABDFFA">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6．</w:t>
            </w:r>
            <w:r>
              <w:rPr>
                <w:rFonts w:hint="eastAsia" w:cs="宋体" w:asciiTheme="minorEastAsia" w:hAnsiTheme="minorEastAsia" w:eastAsiaTheme="minorEastAsia"/>
                <w:kern w:val="0"/>
                <w:szCs w:val="21"/>
              </w:rPr>
              <w:t>投标人的主要人员符合第二章“投标人须知”前附表第</w:t>
            </w:r>
            <w:r>
              <w:rPr>
                <w:rFonts w:cs="宋体" w:asciiTheme="minorEastAsia" w:hAnsiTheme="minorEastAsia" w:eastAsiaTheme="minorEastAsia"/>
                <w:kern w:val="0"/>
                <w:szCs w:val="21"/>
              </w:rPr>
              <w:t>1.4.1项规定</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1D7DDA7C">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的主要人员符合第二章“投标人须知”前附表第</w:t>
            </w:r>
            <w:r>
              <w:rPr>
                <w:rFonts w:cs="宋体" w:asciiTheme="minorEastAsia" w:hAnsiTheme="minorEastAsia" w:eastAsiaTheme="minorEastAsia"/>
                <w:kern w:val="0"/>
                <w:szCs w:val="21"/>
              </w:rPr>
              <w:t>1.4.1项规定。</w:t>
            </w:r>
          </w:p>
          <w:p w14:paraId="1BDC2FDE">
            <w:pPr>
              <w:widowControl/>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提供的证明材料符合第八章“投标文件格式”要求。</w:t>
            </w:r>
          </w:p>
        </w:tc>
      </w:tr>
      <w:tr w14:paraId="252B5CDB">
        <w:tblPrEx>
          <w:tblCellMar>
            <w:top w:w="0" w:type="dxa"/>
            <w:left w:w="108" w:type="dxa"/>
            <w:bottom w:w="0" w:type="dxa"/>
            <w:right w:w="108" w:type="dxa"/>
          </w:tblCellMar>
        </w:tblPrEx>
        <w:trPr>
          <w:gridAfter w:val="1"/>
          <w:wAfter w:w="34" w:type="dxa"/>
          <w:trHeight w:val="54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01085B4">
            <w:pPr>
              <w:adjustRightInd w:val="0"/>
              <w:snapToGrid w:val="0"/>
              <w:spacing w:line="400" w:lineRule="exact"/>
              <w:ind w:left="-210" w:leftChars="-100" w:right="-210" w:rightChars="-100"/>
              <w:jc w:val="center"/>
              <w:rPr>
                <w:rFonts w:cs="宋体" w:asciiTheme="minorEastAsia" w:hAnsiTheme="minorEastAsia" w:eastAsiaTheme="minorEastAsia"/>
                <w:b/>
                <w:bCs/>
                <w:kern w:val="0"/>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5FF00D15">
            <w:pPr>
              <w:widowControl/>
              <w:adjustRightInd w:val="0"/>
              <w:snapToGrid w:val="0"/>
              <w:spacing w:line="400" w:lineRule="exact"/>
              <w:jc w:val="center"/>
              <w:rPr>
                <w:rFonts w:cs="宋体" w:asciiTheme="minorEastAsia" w:hAnsiTheme="minorEastAsia" w:eastAsiaTheme="minorEastAsia"/>
                <w:b/>
                <w:bCs/>
                <w:kern w:val="0"/>
                <w:szCs w:val="21"/>
              </w:rPr>
            </w:pPr>
          </w:p>
        </w:tc>
        <w:tc>
          <w:tcPr>
            <w:tcW w:w="2446" w:type="dxa"/>
            <w:tcBorders>
              <w:top w:val="single" w:color="auto" w:sz="4" w:space="0"/>
              <w:left w:val="single" w:color="auto" w:sz="4" w:space="0"/>
              <w:bottom w:val="single" w:color="auto" w:sz="4" w:space="0"/>
              <w:right w:val="single" w:color="auto" w:sz="4" w:space="0"/>
            </w:tcBorders>
            <w:vAlign w:val="center"/>
          </w:tcPr>
          <w:p w14:paraId="6796091D">
            <w:pPr>
              <w:widowControl/>
              <w:adjustRightInd w:val="0"/>
              <w:snapToGrid w:val="0"/>
              <w:spacing w:line="400" w:lineRule="exact"/>
              <w:rPr>
                <w:rFonts w:asciiTheme="minorEastAsia" w:hAnsiTheme="minorEastAsia" w:eastAsiaTheme="minorEastAsia"/>
                <w:szCs w:val="21"/>
              </w:rPr>
            </w:pPr>
            <w:r>
              <w:rPr>
                <w:rFonts w:cs="宋体" w:asciiTheme="minorEastAsia" w:hAnsiTheme="minorEastAsia" w:eastAsiaTheme="minorEastAsia"/>
                <w:b/>
                <w:szCs w:val="21"/>
              </w:rPr>
              <w:t>□</w:t>
            </w:r>
            <w:r>
              <w:rPr>
                <w:rFonts w:asciiTheme="minorEastAsia" w:hAnsiTheme="minorEastAsia" w:eastAsiaTheme="minorEastAsia"/>
                <w:szCs w:val="21"/>
              </w:rPr>
              <w:t xml:space="preserve"> 7</w:t>
            </w:r>
            <w:r>
              <w:rPr>
                <w:rFonts w:hint="eastAsia" w:asciiTheme="minorEastAsia" w:hAnsiTheme="minorEastAsia" w:eastAsiaTheme="minorEastAsia"/>
                <w:szCs w:val="21"/>
              </w:rPr>
              <w:t>．</w:t>
            </w:r>
            <w:r>
              <w:rPr>
                <w:rFonts w:hint="eastAsia" w:cs="宋体" w:asciiTheme="minorEastAsia" w:hAnsiTheme="minorEastAsia" w:eastAsiaTheme="minorEastAsia"/>
                <w:szCs w:val="21"/>
              </w:rPr>
              <w:t>投标人的其他要求符合第二章“投标人须知”前附表第</w:t>
            </w:r>
            <w:r>
              <w:rPr>
                <w:rFonts w:cs="宋体" w:asciiTheme="minorEastAsia" w:hAnsiTheme="minorEastAsia" w:eastAsiaTheme="minorEastAsia"/>
                <w:szCs w:val="21"/>
              </w:rPr>
              <w:t>1.4.1</w:t>
            </w:r>
            <w:r>
              <w:rPr>
                <w:rFonts w:hint="eastAsia" w:cs="宋体" w:asciiTheme="minorEastAsia" w:hAnsiTheme="minorEastAsia" w:eastAsiaTheme="minorEastAsia"/>
                <w:szCs w:val="21"/>
              </w:rPr>
              <w:t>项规定</w:t>
            </w:r>
          </w:p>
        </w:tc>
        <w:tc>
          <w:tcPr>
            <w:tcW w:w="4856" w:type="dxa"/>
            <w:tcBorders>
              <w:top w:val="single" w:color="auto" w:sz="4" w:space="0"/>
              <w:left w:val="single" w:color="auto" w:sz="4" w:space="0"/>
              <w:bottom w:val="single" w:color="auto" w:sz="4" w:space="0"/>
              <w:right w:val="single" w:color="auto" w:sz="4" w:space="0"/>
            </w:tcBorders>
            <w:vAlign w:val="center"/>
          </w:tcPr>
          <w:p w14:paraId="0D120264">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1）投标人</w:t>
            </w:r>
            <w:r>
              <w:rPr>
                <w:rFonts w:hint="eastAsia" w:cs="宋体" w:asciiTheme="minorEastAsia" w:hAnsiTheme="minorEastAsia" w:eastAsiaTheme="minorEastAsia"/>
                <w:kern w:val="0"/>
                <w:szCs w:val="21"/>
              </w:rPr>
              <w:t>的其他要求符合第二章“投标人须知”前附表第</w:t>
            </w:r>
            <w:r>
              <w:rPr>
                <w:rFonts w:cs="宋体" w:asciiTheme="minorEastAsia" w:hAnsiTheme="minorEastAsia" w:eastAsiaTheme="minorEastAsia"/>
                <w:kern w:val="0"/>
                <w:szCs w:val="21"/>
              </w:rPr>
              <w:t>1.4.1项规定。</w:t>
            </w:r>
          </w:p>
          <w:p w14:paraId="7B2A21E9">
            <w:pPr>
              <w:widowControl/>
              <w:adjustRightInd w:val="0"/>
              <w:snapToGrid w:val="0"/>
              <w:spacing w:line="400" w:lineRule="exact"/>
              <w:rPr>
                <w:rFonts w:hint="eastAsia"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asciiTheme="minorEastAsia" w:hAnsiTheme="minorEastAsia" w:eastAsiaTheme="minorEastAsia"/>
                <w:szCs w:val="21"/>
              </w:rPr>
              <w:t>提供的证明材料符合第八章“投标文件格式”要求。</w:t>
            </w:r>
          </w:p>
          <w:p w14:paraId="4228ACEA">
            <w:pPr>
              <w:widowControl/>
              <w:adjustRightInd w:val="0"/>
              <w:snapToGrid w:val="0"/>
              <w:spacing w:line="400" w:lineRule="exact"/>
              <w:ind w:firstLine="210" w:firstLineChars="100"/>
              <w:rPr>
                <w:rFonts w:hint="eastAsia" w:asciiTheme="minorEastAsia" w:hAnsiTheme="minorEastAsia" w:eastAsiaTheme="minorEastAsia"/>
                <w:szCs w:val="21"/>
              </w:rPr>
            </w:pPr>
            <w:r>
              <w:rPr>
                <w:rFonts w:hint="eastAsia"/>
              </w:rPr>
              <w:t>注：</w:t>
            </w:r>
            <w:r>
              <w:rPr>
                <w:rFonts w:hint="eastAsia" w:ascii="宋体" w:hAnsi="宋体"/>
              </w:rPr>
              <w:t>此处指只有招标人设置了</w:t>
            </w:r>
            <w:r>
              <w:rPr>
                <w:rFonts w:ascii="宋体" w:hAnsi="宋体"/>
              </w:rPr>
              <w:t>投标人须知附录6资格审查条件（</w:t>
            </w:r>
            <w:r>
              <w:rPr>
                <w:rFonts w:hint="eastAsia" w:ascii="宋体" w:hAnsi="宋体"/>
              </w:rPr>
              <w:t>其他管理</w:t>
            </w:r>
            <w:r>
              <w:rPr>
                <w:rFonts w:ascii="宋体" w:hAnsi="宋体"/>
              </w:rPr>
              <w:t>和人技术人</w:t>
            </w:r>
            <w:r>
              <w:rPr>
                <w:rFonts w:hint="eastAsia" w:ascii="宋体" w:hAnsi="宋体"/>
              </w:rPr>
              <w:t>员最低要求</w:t>
            </w:r>
            <w:r>
              <w:rPr>
                <w:rFonts w:ascii="宋体" w:hAnsi="宋体"/>
              </w:rPr>
              <w:t>）</w:t>
            </w:r>
            <w:r>
              <w:rPr>
                <w:rFonts w:hint="eastAsia" w:ascii="宋体" w:hAnsi="宋体"/>
              </w:rPr>
              <w:t>或</w:t>
            </w:r>
            <w:r>
              <w:rPr>
                <w:rFonts w:ascii="宋体" w:hAnsi="宋体"/>
              </w:rPr>
              <w:t>附录7资格审查条件（</w:t>
            </w:r>
            <w:r>
              <w:rPr>
                <w:rFonts w:hint="eastAsia" w:ascii="宋体" w:hAnsi="宋体"/>
              </w:rPr>
              <w:t>主要机械设备和试验检测设备最低要求</w:t>
            </w:r>
            <w:r>
              <w:rPr>
                <w:rFonts w:ascii="宋体" w:hAnsi="宋体"/>
              </w:rPr>
              <w:t>）</w:t>
            </w:r>
            <w:r>
              <w:rPr>
                <w:rFonts w:hint="eastAsia" w:ascii="宋体" w:hAnsi="宋体"/>
              </w:rPr>
              <w:t>或附录</w:t>
            </w:r>
            <w:r>
              <w:rPr>
                <w:rFonts w:ascii="宋体" w:hAnsi="宋体"/>
              </w:rPr>
              <w:t>8</w:t>
            </w:r>
            <w:r>
              <w:rPr>
                <w:rFonts w:hint="eastAsia" w:ascii="宋体" w:hAnsi="宋体"/>
              </w:rPr>
              <w:t>资格审查条件（</w:t>
            </w:r>
            <w:r>
              <w:rPr>
                <w:rFonts w:hint="eastAsia" w:ascii="宋体" w:hAnsi="宋体"/>
                <w:szCs w:val="21"/>
              </w:rPr>
              <w:t>关键机电设备</w:t>
            </w:r>
            <w:r>
              <w:rPr>
                <w:rFonts w:ascii="宋体" w:hAnsi="宋体"/>
                <w:szCs w:val="21"/>
              </w:rPr>
              <w:t>主要</w:t>
            </w:r>
            <w:r>
              <w:rPr>
                <w:rFonts w:hint="eastAsia" w:ascii="宋体" w:hAnsi="宋体"/>
                <w:szCs w:val="21"/>
              </w:rPr>
              <w:t>技术性能</w:t>
            </w:r>
            <w:r>
              <w:rPr>
                <w:rFonts w:ascii="宋体" w:hAnsi="宋体"/>
                <w:szCs w:val="21"/>
              </w:rPr>
              <w:t>指标</w:t>
            </w:r>
            <w:r>
              <w:rPr>
                <w:rFonts w:hint="eastAsia" w:ascii="宋体" w:hAnsi="宋体"/>
                <w:szCs w:val="21"/>
              </w:rPr>
              <w:t>最低要求</w:t>
            </w:r>
            <w:r>
              <w:rPr>
                <w:rFonts w:hint="eastAsia" w:ascii="宋体" w:hAnsi="宋体"/>
              </w:rPr>
              <w:t>）时</w:t>
            </w:r>
            <w:r>
              <w:rPr>
                <w:rFonts w:ascii="宋体" w:hAnsi="宋体"/>
              </w:rPr>
              <w:t>对应</w:t>
            </w:r>
            <w:r>
              <w:rPr>
                <w:rFonts w:hint="eastAsia" w:ascii="宋体" w:hAnsi="宋体"/>
              </w:rPr>
              <w:t>的</w:t>
            </w:r>
            <w:r>
              <w:rPr>
                <w:rFonts w:ascii="宋体" w:hAnsi="宋体"/>
              </w:rPr>
              <w:t>资格评审标准</w:t>
            </w:r>
            <w:r>
              <w:rPr>
                <w:rFonts w:hint="eastAsia" w:ascii="宋体" w:hAnsi="宋体"/>
              </w:rPr>
              <w:t>。</w:t>
            </w:r>
          </w:p>
        </w:tc>
      </w:tr>
      <w:tr w14:paraId="72E6755D">
        <w:tblPrEx>
          <w:tblCellMar>
            <w:top w:w="0" w:type="dxa"/>
            <w:left w:w="108" w:type="dxa"/>
            <w:bottom w:w="0" w:type="dxa"/>
            <w:right w:w="108" w:type="dxa"/>
          </w:tblCellMar>
        </w:tblPrEx>
        <w:trPr>
          <w:trHeight w:val="54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5B8C47E">
            <w:pPr>
              <w:adjustRightInd w:val="0"/>
              <w:snapToGrid w:val="0"/>
              <w:spacing w:line="400" w:lineRule="exact"/>
              <w:ind w:left="-210" w:leftChars="-100" w:right="-210" w:rightChars="-100"/>
              <w:jc w:val="center"/>
              <w:rPr>
                <w:rFonts w:cs="宋体" w:asciiTheme="minorEastAsia" w:hAnsiTheme="minorEastAsia" w:eastAsiaTheme="minorEastAsia"/>
                <w:b/>
                <w:bCs/>
                <w:kern w:val="0"/>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0992E8FE">
            <w:pPr>
              <w:widowControl/>
              <w:adjustRightInd w:val="0"/>
              <w:snapToGrid w:val="0"/>
              <w:spacing w:line="400" w:lineRule="exact"/>
              <w:jc w:val="center"/>
              <w:rPr>
                <w:rFonts w:cs="宋体" w:asciiTheme="minorEastAsia" w:hAnsiTheme="minorEastAsia" w:eastAsiaTheme="minorEastAsia"/>
                <w:b/>
                <w:bCs/>
                <w:kern w:val="0"/>
                <w:szCs w:val="21"/>
              </w:rPr>
            </w:pPr>
          </w:p>
        </w:tc>
        <w:tc>
          <w:tcPr>
            <w:tcW w:w="2446" w:type="dxa"/>
            <w:tcBorders>
              <w:top w:val="single" w:color="auto" w:sz="4" w:space="0"/>
              <w:left w:val="single" w:color="auto" w:sz="4" w:space="0"/>
              <w:bottom w:val="single" w:color="auto" w:sz="4" w:space="0"/>
              <w:right w:val="single" w:color="auto" w:sz="4" w:space="0"/>
            </w:tcBorders>
            <w:vAlign w:val="center"/>
          </w:tcPr>
          <w:p w14:paraId="456E9BE7">
            <w:pPr>
              <w:widowControl/>
              <w:adjustRightInd w:val="0"/>
              <w:snapToGrid w:val="0"/>
              <w:spacing w:line="400" w:lineRule="exact"/>
              <w:rPr>
                <w:rFonts w:cs="宋体" w:asciiTheme="minorEastAsia" w:hAnsiTheme="minorEastAsia" w:eastAsiaTheme="minorEastAsia"/>
                <w:b/>
                <w:bCs/>
                <w:kern w:val="0"/>
                <w:szCs w:val="21"/>
              </w:rPr>
            </w:pPr>
            <w:r>
              <w:rPr>
                <w:rFonts w:hint="eastAsia" w:ascii="宋体" w:hAnsi="宋体" w:cs="宋体"/>
                <w:szCs w:val="21"/>
              </w:rPr>
              <w:t>8</w:t>
            </w:r>
            <w:r>
              <w:rPr>
                <w:rFonts w:ascii="宋体" w:hAnsi="宋体" w:cs="宋体"/>
                <w:szCs w:val="21"/>
              </w:rPr>
              <w:t>.投标人</w:t>
            </w:r>
            <w:r>
              <w:rPr>
                <w:rFonts w:hint="eastAsia" w:ascii="宋体" w:hAnsi="宋体" w:cs="宋体"/>
                <w:szCs w:val="21"/>
              </w:rPr>
              <w:t>还应符合的其他规定</w:t>
            </w:r>
          </w:p>
        </w:tc>
        <w:tc>
          <w:tcPr>
            <w:tcW w:w="4890" w:type="dxa"/>
            <w:gridSpan w:val="2"/>
            <w:tcBorders>
              <w:top w:val="single" w:color="auto" w:sz="4" w:space="0"/>
              <w:left w:val="single" w:color="auto" w:sz="4" w:space="0"/>
              <w:bottom w:val="single" w:color="auto" w:sz="4" w:space="0"/>
              <w:right w:val="single" w:color="auto" w:sz="4" w:space="0"/>
            </w:tcBorders>
            <w:vAlign w:val="center"/>
          </w:tcPr>
          <w:p w14:paraId="4C18827C">
            <w:pPr>
              <w:widowControl/>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asciiTheme="minorEastAsia" w:hAnsiTheme="minorEastAsia" w:eastAsiaTheme="minorEastAsia"/>
                <w:szCs w:val="21"/>
              </w:rPr>
              <w:t>投标人不存在第二章“投标人须知”前附表第</w:t>
            </w:r>
            <w:r>
              <w:rPr>
                <w:rFonts w:asciiTheme="minorEastAsia" w:hAnsiTheme="minorEastAsia" w:eastAsiaTheme="minorEastAsia"/>
                <w:szCs w:val="21"/>
              </w:rPr>
              <w:t>1.4.3项或</w:t>
            </w:r>
            <w:r>
              <w:rPr>
                <w:rFonts w:hint="eastAsia" w:asciiTheme="minorEastAsia" w:hAnsiTheme="minorEastAsia" w:eastAsiaTheme="minorEastAsia"/>
                <w:szCs w:val="21"/>
              </w:rPr>
              <w:t>第</w:t>
            </w:r>
            <w:r>
              <w:rPr>
                <w:rFonts w:asciiTheme="minorEastAsia" w:hAnsiTheme="minorEastAsia" w:eastAsiaTheme="minorEastAsia"/>
                <w:szCs w:val="21"/>
              </w:rPr>
              <w:t>1.4.4项规定的任何一种情形</w:t>
            </w:r>
            <w:r>
              <w:rPr>
                <w:rFonts w:hint="eastAsia" w:cs="宋体" w:asciiTheme="minorEastAsia" w:hAnsiTheme="minorEastAsia" w:eastAsiaTheme="minorEastAsia"/>
                <w:szCs w:val="21"/>
              </w:rPr>
              <w:t>（按本项资格评审标准第</w:t>
            </w:r>
            <w:r>
              <w:rPr>
                <w:rFonts w:cs="宋体" w:asciiTheme="minorEastAsia" w:hAnsiTheme="minorEastAsia" w:eastAsiaTheme="minorEastAsia"/>
                <w:szCs w:val="21"/>
              </w:rPr>
              <w:t>5</w:t>
            </w:r>
            <w:r>
              <w:rPr>
                <w:rFonts w:hint="eastAsia" w:cs="宋体" w:asciiTheme="minorEastAsia" w:hAnsiTheme="minorEastAsia" w:eastAsiaTheme="minorEastAsia"/>
                <w:szCs w:val="21"/>
              </w:rPr>
              <w:t>目</w:t>
            </w:r>
            <w:r>
              <w:rPr>
                <w:rFonts w:cs="宋体" w:asciiTheme="minorEastAsia" w:hAnsiTheme="minorEastAsia" w:eastAsiaTheme="minorEastAsia"/>
                <w:szCs w:val="21"/>
              </w:rPr>
              <w:t>信誉要求已评审的，此处不再评审）</w:t>
            </w:r>
            <w:r>
              <w:rPr>
                <w:rFonts w:hint="eastAsia" w:asciiTheme="minorEastAsia" w:hAnsiTheme="minorEastAsia" w:eastAsiaTheme="minorEastAsia"/>
                <w:szCs w:val="21"/>
              </w:rPr>
              <w:t>。</w:t>
            </w:r>
          </w:p>
          <w:p w14:paraId="4881DBE0">
            <w:pPr>
              <w:widowControl/>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rPr>
              <w:t>□</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以联合体形式投标的，联合体各方均未再以自己名义单独或参加其他联合体在同一标段中投标；独立投标的，投标人未同时参加联合体在同一标段中投标。</w:t>
            </w:r>
          </w:p>
          <w:p w14:paraId="26DD1008">
            <w:pPr>
              <w:widowControl/>
              <w:adjustRightInd w:val="0"/>
              <w:snapToGrid w:val="0"/>
              <w:spacing w:line="400" w:lineRule="exact"/>
              <w:ind w:firstLine="0" w:firstLineChars="0"/>
              <w:jc w:val="left"/>
              <w:rPr>
                <w:rFonts w:cs="宋体" w:asciiTheme="minorEastAsia" w:hAnsiTheme="minorEastAsia" w:eastAsiaTheme="minorEastAsia"/>
                <w:b/>
                <w:bCs/>
                <w:kern w:val="0"/>
                <w:szCs w:val="21"/>
              </w:rPr>
            </w:pPr>
            <w:r>
              <w:rPr>
                <w:rFonts w:hint="eastAsia" w:ascii="宋体" w:hAnsi="宋体"/>
                <w:kern w:val="0"/>
                <w:szCs w:val="21"/>
              </w:rPr>
              <w:t>……</w:t>
            </w:r>
          </w:p>
        </w:tc>
      </w:tr>
      <w:tr w14:paraId="24C46C72">
        <w:tblPrEx>
          <w:tblCellMar>
            <w:top w:w="0" w:type="dxa"/>
            <w:left w:w="108" w:type="dxa"/>
            <w:bottom w:w="0" w:type="dxa"/>
            <w:right w:w="108" w:type="dxa"/>
          </w:tblCellMar>
        </w:tblPrEx>
        <w:trPr>
          <w:trHeight w:val="85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2F08EC6">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773" w:type="dxa"/>
            <w:vMerge w:val="restart"/>
            <w:tcBorders>
              <w:top w:val="single" w:color="auto" w:sz="4" w:space="0"/>
              <w:left w:val="single" w:color="auto" w:sz="4" w:space="0"/>
              <w:bottom w:val="single" w:color="auto" w:sz="4" w:space="0"/>
              <w:right w:val="single" w:color="auto" w:sz="4" w:space="0"/>
            </w:tcBorders>
            <w:vAlign w:val="center"/>
          </w:tcPr>
          <w:p w14:paraId="1AD754CB">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2.1.3</w:t>
            </w:r>
          </w:p>
          <w:p w14:paraId="22E729CB">
            <w:pPr>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响应性评审标准</w:t>
            </w:r>
          </w:p>
        </w:tc>
        <w:tc>
          <w:tcPr>
            <w:tcW w:w="7336" w:type="dxa"/>
            <w:gridSpan w:val="3"/>
            <w:tcBorders>
              <w:top w:val="single" w:color="auto" w:sz="4" w:space="0"/>
              <w:left w:val="single" w:color="auto" w:sz="4" w:space="0"/>
              <w:bottom w:val="single" w:color="auto" w:sz="4" w:space="0"/>
              <w:right w:val="single" w:color="auto" w:sz="4" w:space="0"/>
            </w:tcBorders>
            <w:vAlign w:val="center"/>
          </w:tcPr>
          <w:p w14:paraId="6108F4F2">
            <w:pPr>
              <w:pStyle w:val="299"/>
              <w:adjustRightInd w:val="0"/>
              <w:snapToGrid w:val="0"/>
              <w:spacing w:line="400" w:lineRule="exact"/>
              <w:rPr>
                <w:rFonts w:asciiTheme="minorEastAsia" w:hAnsiTheme="minorEastAsia" w:eastAsiaTheme="minorEastAsia"/>
                <w:szCs w:val="21"/>
              </w:rPr>
            </w:pPr>
            <w:r>
              <w:rPr>
                <w:rFonts w:ascii="宋体" w:hAnsi="宋体"/>
                <w:szCs w:val="21"/>
              </w:rPr>
              <w:t>1.</w:t>
            </w:r>
            <w:r>
              <w:rPr>
                <w:rFonts w:hint="eastAsia" w:ascii="宋体" w:hAnsi="宋体"/>
                <w:szCs w:val="21"/>
              </w:rPr>
              <w:t>投标函上载明的招标项目工期（总工期、勘察设计周期和施工工期）符合招标文件规定的时间。</w:t>
            </w:r>
          </w:p>
        </w:tc>
      </w:tr>
      <w:tr w14:paraId="061CE055">
        <w:tblPrEx>
          <w:tblCellMar>
            <w:top w:w="0" w:type="dxa"/>
            <w:left w:w="108" w:type="dxa"/>
            <w:bottom w:w="0" w:type="dxa"/>
            <w:right w:w="108" w:type="dxa"/>
          </w:tblCellMar>
        </w:tblPrEx>
        <w:trPr>
          <w:trHeight w:val="553"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2D5419F">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773" w:type="dxa"/>
            <w:vMerge w:val="continue"/>
            <w:tcBorders>
              <w:top w:val="single" w:color="auto" w:sz="4" w:space="0"/>
              <w:left w:val="single" w:color="auto" w:sz="4" w:space="0"/>
              <w:right w:val="single" w:color="auto" w:sz="4" w:space="0"/>
            </w:tcBorders>
            <w:vAlign w:val="center"/>
          </w:tcPr>
          <w:p w14:paraId="7FDE1731">
            <w:pPr>
              <w:widowControl/>
              <w:adjustRightInd w:val="0"/>
              <w:snapToGrid w:val="0"/>
              <w:spacing w:line="400" w:lineRule="exact"/>
              <w:jc w:val="center"/>
              <w:rPr>
                <w:rFonts w:cs="宋体" w:asciiTheme="minorEastAsia" w:hAnsiTheme="minorEastAsia" w:eastAsiaTheme="minorEastAsia"/>
                <w:kern w:val="0"/>
                <w:szCs w:val="21"/>
              </w:rPr>
            </w:pPr>
          </w:p>
        </w:tc>
        <w:tc>
          <w:tcPr>
            <w:tcW w:w="7336" w:type="dxa"/>
            <w:gridSpan w:val="3"/>
            <w:tcBorders>
              <w:top w:val="single" w:color="auto" w:sz="4" w:space="0"/>
              <w:left w:val="single" w:color="auto" w:sz="4" w:space="0"/>
              <w:bottom w:val="single" w:color="auto" w:sz="4" w:space="0"/>
              <w:right w:val="single" w:color="auto" w:sz="4" w:space="0"/>
            </w:tcBorders>
            <w:vAlign w:val="center"/>
          </w:tcPr>
          <w:p w14:paraId="778E88D4">
            <w:pPr>
              <w:pStyle w:val="299"/>
              <w:adjustRightInd w:val="0"/>
              <w:snapToGrid w:val="0"/>
              <w:spacing w:line="400" w:lineRule="exact"/>
              <w:rPr>
                <w:rFonts w:asciiTheme="minorEastAsia" w:hAnsiTheme="minorEastAsia" w:eastAsiaTheme="minorEastAsia"/>
                <w:szCs w:val="21"/>
              </w:rPr>
            </w:pPr>
            <w:r>
              <w:rPr>
                <w:rFonts w:ascii="宋体" w:hAnsi="宋体"/>
                <w:szCs w:val="21"/>
              </w:rPr>
              <w:t>2.</w:t>
            </w:r>
            <w:r>
              <w:rPr>
                <w:rFonts w:hint="eastAsia" w:ascii="宋体" w:hAnsi="宋体"/>
                <w:szCs w:val="21"/>
              </w:rPr>
              <w:t>投标文件对招标文件的实质性要求和条件在投标函</w:t>
            </w:r>
            <w:r>
              <w:rPr>
                <w:rFonts w:hint="eastAsia" w:ascii="宋体" w:hAnsi="宋体"/>
                <w:szCs w:val="21"/>
                <w:lang w:val="en-US" w:eastAsia="zh-CN"/>
              </w:rPr>
              <w:t>作</w:t>
            </w:r>
            <w:r>
              <w:rPr>
                <w:rFonts w:hint="eastAsia" w:ascii="宋体" w:hAnsi="宋体"/>
                <w:szCs w:val="21"/>
              </w:rPr>
              <w:t>出响应。</w:t>
            </w:r>
          </w:p>
        </w:tc>
      </w:tr>
      <w:tr w14:paraId="668E0B25">
        <w:tblPrEx>
          <w:tblCellMar>
            <w:top w:w="0" w:type="dxa"/>
            <w:left w:w="108" w:type="dxa"/>
            <w:bottom w:w="0" w:type="dxa"/>
            <w:right w:w="108" w:type="dxa"/>
          </w:tblCellMar>
        </w:tblPrEx>
        <w:trPr>
          <w:trHeight w:val="40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0927B16A">
            <w:pPr>
              <w:adjustRightInd w:val="0"/>
              <w:snapToGrid w:val="0"/>
              <w:spacing w:line="400" w:lineRule="exact"/>
              <w:ind w:left="-210" w:leftChars="-100" w:right="-210" w:rightChars="-100"/>
              <w:jc w:val="center"/>
              <w:rPr>
                <w:rFonts w:cs="宋体" w:asciiTheme="minorEastAsia" w:hAnsiTheme="minorEastAsia" w:eastAsiaTheme="minorEastAsia"/>
                <w:kern w:val="0"/>
                <w:szCs w:val="21"/>
              </w:rPr>
            </w:pPr>
          </w:p>
        </w:tc>
        <w:tc>
          <w:tcPr>
            <w:tcW w:w="773" w:type="dxa"/>
            <w:vMerge w:val="continue"/>
            <w:tcBorders>
              <w:left w:val="single" w:color="auto" w:sz="4" w:space="0"/>
              <w:bottom w:val="single" w:color="auto" w:sz="4" w:space="0"/>
              <w:right w:val="single" w:color="auto" w:sz="4" w:space="0"/>
            </w:tcBorders>
            <w:vAlign w:val="center"/>
          </w:tcPr>
          <w:p w14:paraId="478176D9">
            <w:pPr>
              <w:widowControl/>
              <w:adjustRightInd w:val="0"/>
              <w:snapToGrid w:val="0"/>
              <w:spacing w:line="400" w:lineRule="exact"/>
              <w:jc w:val="center"/>
              <w:rPr>
                <w:rFonts w:cs="宋体" w:asciiTheme="minorEastAsia" w:hAnsiTheme="minorEastAsia" w:eastAsiaTheme="minorEastAsia"/>
                <w:kern w:val="0"/>
                <w:szCs w:val="21"/>
              </w:rPr>
            </w:pPr>
          </w:p>
        </w:tc>
        <w:tc>
          <w:tcPr>
            <w:tcW w:w="7336" w:type="dxa"/>
            <w:gridSpan w:val="3"/>
            <w:tcBorders>
              <w:top w:val="single" w:color="auto" w:sz="4" w:space="0"/>
              <w:left w:val="single" w:color="auto" w:sz="4" w:space="0"/>
              <w:bottom w:val="single" w:color="auto" w:sz="4" w:space="0"/>
              <w:right w:val="single" w:color="auto" w:sz="4" w:space="0"/>
            </w:tcBorders>
            <w:vAlign w:val="center"/>
          </w:tcPr>
          <w:p w14:paraId="47AE479E">
            <w:pPr>
              <w:pStyle w:val="299"/>
              <w:adjustRightInd w:val="0"/>
              <w:snapToGrid w:val="0"/>
              <w:spacing w:line="400" w:lineRule="exact"/>
              <w:rPr>
                <w:rFonts w:asciiTheme="minorEastAsia" w:hAnsiTheme="minorEastAsia" w:eastAsiaTheme="minorEastAsia"/>
                <w:szCs w:val="21"/>
              </w:rPr>
            </w:pPr>
            <w:r>
              <w:rPr>
                <w:rFonts w:ascii="宋体" w:hAnsi="宋体"/>
                <w:szCs w:val="21"/>
              </w:rPr>
              <w:t>3.</w:t>
            </w:r>
            <w:r>
              <w:rPr>
                <w:rFonts w:hint="eastAsia" w:ascii="宋体" w:hAnsi="宋体"/>
                <w:szCs w:val="21"/>
              </w:rPr>
              <w:t>合同权利义务按招标文件规定在投标函中</w:t>
            </w:r>
            <w:r>
              <w:rPr>
                <w:rFonts w:hint="eastAsia" w:ascii="宋体" w:hAnsi="宋体"/>
                <w:szCs w:val="21"/>
                <w:lang w:val="en-US" w:eastAsia="zh-CN"/>
              </w:rPr>
              <w:t>作</w:t>
            </w:r>
            <w:r>
              <w:rPr>
                <w:rFonts w:hint="eastAsia" w:ascii="宋体" w:hAnsi="宋体"/>
                <w:szCs w:val="21"/>
              </w:rPr>
              <w:t>出承诺。</w:t>
            </w:r>
          </w:p>
        </w:tc>
      </w:tr>
      <w:tr w14:paraId="3FA55225">
        <w:tblPrEx>
          <w:tblCellMar>
            <w:top w:w="0" w:type="dxa"/>
            <w:left w:w="108" w:type="dxa"/>
            <w:bottom w:w="0" w:type="dxa"/>
            <w:right w:w="108" w:type="dxa"/>
          </w:tblCellMar>
        </w:tblPrEx>
        <w:trPr>
          <w:trHeight w:val="2178"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216CEA61">
            <w:pPr>
              <w:widowControl/>
              <w:adjustRightInd w:val="0"/>
              <w:snapToGrid w:val="0"/>
              <w:spacing w:line="4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2.1</w:t>
            </w:r>
          </w:p>
          <w:p w14:paraId="64A13D7A">
            <w:pPr>
              <w:widowControl/>
              <w:adjustRightInd w:val="0"/>
              <w:snapToGri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初步评</w:t>
            </w:r>
          </w:p>
          <w:p w14:paraId="552D25EB">
            <w:pPr>
              <w:widowControl/>
              <w:adjustRightInd w:val="0"/>
              <w:snapToGri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审标准</w:t>
            </w:r>
          </w:p>
          <w:p w14:paraId="190CCFAF">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（第二个</w:t>
            </w:r>
          </w:p>
          <w:p w14:paraId="46AD9334">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信封）</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14:paraId="39C2A5EB">
            <w:pPr>
              <w:widowControl/>
              <w:adjustRightInd w:val="0"/>
              <w:snapToGrid w:val="0"/>
              <w:spacing w:line="4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2.1.1</w:t>
            </w:r>
          </w:p>
          <w:p w14:paraId="0C7E441B">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形式评审标准</w:t>
            </w:r>
          </w:p>
        </w:tc>
        <w:tc>
          <w:tcPr>
            <w:tcW w:w="2446" w:type="dxa"/>
            <w:tcBorders>
              <w:top w:val="single" w:color="auto" w:sz="4" w:space="0"/>
              <w:left w:val="single" w:color="auto" w:sz="4" w:space="0"/>
              <w:bottom w:val="single" w:color="000000" w:sz="4" w:space="0"/>
              <w:right w:val="single" w:color="000000" w:sz="4" w:space="0"/>
            </w:tcBorders>
            <w:vAlign w:val="center"/>
          </w:tcPr>
          <w:p w14:paraId="46170D10">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投标文件中的重要内容按照招标文件规定的格式、内容填写，字迹、印章清晰可辨</w:t>
            </w:r>
          </w:p>
        </w:tc>
        <w:tc>
          <w:tcPr>
            <w:tcW w:w="4890" w:type="dxa"/>
            <w:gridSpan w:val="2"/>
            <w:tcBorders>
              <w:top w:val="single" w:color="auto" w:sz="4" w:space="0"/>
              <w:left w:val="nil"/>
              <w:bottom w:val="single" w:color="000000" w:sz="4" w:space="0"/>
              <w:right w:val="single" w:color="000000" w:sz="4" w:space="0"/>
            </w:tcBorders>
            <w:vAlign w:val="center"/>
          </w:tcPr>
          <w:p w14:paraId="057A2BAF">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szCs w:val="21"/>
              </w:rPr>
              <w:t>投标函（第二个信封）符合第八章“投标文件格式”要求</w:t>
            </w:r>
            <w:r>
              <w:rPr>
                <w:rFonts w:hint="eastAsia" w:asciiTheme="minorEastAsia" w:hAnsiTheme="minorEastAsia" w:eastAsiaTheme="minorEastAsia"/>
                <w:szCs w:val="21"/>
              </w:rPr>
              <w:t>；</w:t>
            </w:r>
          </w:p>
          <w:p w14:paraId="5929A9D6">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2）已标价</w:t>
            </w:r>
            <w:r>
              <w:rPr>
                <w:rFonts w:hint="eastAsia" w:cs="宋体" w:asciiTheme="minorEastAsia" w:hAnsiTheme="minorEastAsia" w:eastAsiaTheme="minorEastAsia"/>
                <w:kern w:val="0"/>
                <w:szCs w:val="21"/>
              </w:rPr>
              <w:t>价格</w:t>
            </w:r>
            <w:r>
              <w:rPr>
                <w:rFonts w:cs="宋体" w:asciiTheme="minorEastAsia" w:hAnsiTheme="minorEastAsia" w:eastAsiaTheme="minorEastAsia"/>
                <w:kern w:val="0"/>
                <w:szCs w:val="21"/>
              </w:rPr>
              <w:t>清单说明与招标文件规定一致,未进行修改和删减</w:t>
            </w:r>
            <w:r>
              <w:rPr>
                <w:rFonts w:hint="eastAsia" w:cs="宋体" w:asciiTheme="minorEastAsia" w:hAnsiTheme="minorEastAsia" w:eastAsiaTheme="minorEastAsia"/>
                <w:kern w:val="0"/>
                <w:szCs w:val="21"/>
              </w:rPr>
              <w:t>。</w:t>
            </w:r>
          </w:p>
          <w:p w14:paraId="15441930">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3）投标文件组成齐全完整，内容均按规定填写。</w:t>
            </w:r>
          </w:p>
        </w:tc>
      </w:tr>
      <w:tr w14:paraId="78F4868E">
        <w:tblPrEx>
          <w:tblCellMar>
            <w:top w:w="0" w:type="dxa"/>
            <w:left w:w="108" w:type="dxa"/>
            <w:bottom w:w="0" w:type="dxa"/>
            <w:right w:w="108" w:type="dxa"/>
          </w:tblCellMar>
        </w:tblPrEx>
        <w:trPr>
          <w:trHeight w:val="3241"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B80E1F4">
            <w:pPr>
              <w:widowControl/>
              <w:adjustRightInd w:val="0"/>
              <w:snapToGrid w:val="0"/>
              <w:spacing w:line="400" w:lineRule="exact"/>
              <w:jc w:val="center"/>
              <w:rPr>
                <w:rFonts w:cs="宋体" w:asciiTheme="minorEastAsia" w:hAnsiTheme="minorEastAsia" w:eastAsiaTheme="minorEastAsia"/>
                <w:b/>
                <w:bCs/>
                <w:kern w:val="0"/>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14:paraId="793660F4">
            <w:pPr>
              <w:widowControl/>
              <w:adjustRightInd w:val="0"/>
              <w:snapToGrid w:val="0"/>
              <w:spacing w:line="400" w:lineRule="exact"/>
              <w:jc w:val="left"/>
              <w:rPr>
                <w:rFonts w:cs="宋体" w:asciiTheme="minorEastAsia" w:hAnsiTheme="minorEastAsia" w:eastAsiaTheme="minorEastAsia"/>
                <w:b/>
                <w:bCs/>
                <w:kern w:val="0"/>
                <w:szCs w:val="21"/>
              </w:rPr>
            </w:pPr>
          </w:p>
        </w:tc>
        <w:tc>
          <w:tcPr>
            <w:tcW w:w="2446" w:type="dxa"/>
            <w:tcBorders>
              <w:top w:val="single" w:color="000000" w:sz="4" w:space="0"/>
              <w:left w:val="single" w:color="auto" w:sz="4" w:space="0"/>
              <w:bottom w:val="single" w:color="auto" w:sz="4" w:space="0"/>
              <w:right w:val="single" w:color="000000" w:sz="4" w:space="0"/>
            </w:tcBorders>
            <w:vAlign w:val="center"/>
          </w:tcPr>
          <w:p w14:paraId="77C2B16D">
            <w:pPr>
              <w:widowControl/>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2.</w:t>
            </w:r>
            <w:r>
              <w:rPr>
                <w:rFonts w:hint="eastAsia" w:ascii="宋体" w:hAnsi="宋体" w:cs="宋体"/>
                <w:szCs w:val="21"/>
              </w:rPr>
              <w:t>投标文件上法定代表人或其委托代理人的个人电子签名章或个人电子印章、投标人的单位电子印章盖章齐全，符合招标文件规定</w:t>
            </w:r>
          </w:p>
        </w:tc>
        <w:tc>
          <w:tcPr>
            <w:tcW w:w="4890" w:type="dxa"/>
            <w:gridSpan w:val="2"/>
            <w:tcBorders>
              <w:top w:val="single" w:color="000000" w:sz="4" w:space="0"/>
              <w:left w:val="nil"/>
              <w:bottom w:val="single" w:color="auto" w:sz="4" w:space="0"/>
              <w:right w:val="single" w:color="000000" w:sz="4" w:space="0"/>
            </w:tcBorders>
            <w:vAlign w:val="center"/>
          </w:tcPr>
          <w:p w14:paraId="126ED5A9">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ascii="宋体" w:hAnsi="宋体" w:cs="宋体"/>
                <w:szCs w:val="21"/>
              </w:rPr>
              <w:t>投标函</w:t>
            </w:r>
            <w:r>
              <w:rPr>
                <w:rFonts w:hint="eastAsia"/>
                <w:szCs w:val="21"/>
              </w:rPr>
              <w:t>（第二个信封）</w:t>
            </w:r>
            <w:r>
              <w:rPr>
                <w:rFonts w:ascii="宋体" w:hAnsi="宋体" w:cs="宋体"/>
                <w:szCs w:val="21"/>
              </w:rPr>
              <w:t>中要求盖单位电子印章</w:t>
            </w:r>
            <w:r>
              <w:rPr>
                <w:rFonts w:hint="eastAsia" w:ascii="宋体" w:hAnsi="宋体" w:cs="宋体"/>
                <w:szCs w:val="21"/>
              </w:rPr>
              <w:t>之处</w:t>
            </w:r>
            <w:r>
              <w:rPr>
                <w:rFonts w:ascii="宋体" w:hAnsi="宋体" w:cs="宋体"/>
                <w:szCs w:val="21"/>
              </w:rPr>
              <w:t>，投标人均应使用单位CA数字证书加盖投标人的单位电子印章；投标函</w:t>
            </w:r>
            <w:r>
              <w:rPr>
                <w:rFonts w:hint="eastAsia"/>
                <w:szCs w:val="21"/>
              </w:rPr>
              <w:t>（第二个信封）</w:t>
            </w:r>
            <w:r>
              <w:rPr>
                <w:rFonts w:ascii="宋体" w:hAnsi="宋体" w:cs="宋体"/>
                <w:szCs w:val="21"/>
              </w:rPr>
              <w:t>中要求签字</w:t>
            </w:r>
            <w:r>
              <w:rPr>
                <w:rFonts w:hint="eastAsia" w:ascii="宋体" w:hAnsi="宋体" w:cs="宋体"/>
                <w:szCs w:val="21"/>
              </w:rPr>
              <w:t>之处</w:t>
            </w:r>
            <w:r>
              <w:rPr>
                <w:rFonts w:ascii="宋体" w:hAnsi="宋体" w:cs="宋体"/>
                <w:szCs w:val="21"/>
              </w:rPr>
              <w:t>，投标人均应使用个人CA数字证书加盖法定代表人或其委托代理人的个人电子签名章或个人电子印章。</w:t>
            </w:r>
          </w:p>
          <w:p w14:paraId="5BF79AC1">
            <w:pPr>
              <w:pStyle w:val="299"/>
              <w:adjustRightInd w:val="0"/>
              <w:snapToGrid w:val="0"/>
              <w:spacing w:line="400" w:lineRule="exact"/>
              <w:rPr>
                <w:rFonts w:asciiTheme="minorEastAsia" w:hAnsiTheme="minorEastAsia" w:eastAsiaTheme="minorEastAsia"/>
                <w:kern w:val="0"/>
                <w:szCs w:val="21"/>
              </w:rPr>
            </w:pPr>
            <w:r>
              <w:rPr>
                <w:rFonts w:hint="eastAsia" w:asciiTheme="minorEastAsia" w:hAnsiTheme="minorEastAsia" w:eastAsiaTheme="minorEastAsia"/>
                <w:b/>
                <w:szCs w:val="21"/>
              </w:rPr>
              <w:t>□</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）以联合体形式投标的，投标函由联合体牵头人按上述</w:t>
            </w:r>
            <w:r>
              <w:rPr>
                <w:rFonts w:asciiTheme="minorEastAsia" w:hAnsiTheme="minorEastAsia" w:eastAsiaTheme="minorEastAsia"/>
                <w:szCs w:val="21"/>
              </w:rPr>
              <w:t>要求完成</w:t>
            </w:r>
            <w:r>
              <w:rPr>
                <w:rFonts w:hint="eastAsia" w:asciiTheme="minorEastAsia" w:hAnsiTheme="minorEastAsia" w:eastAsiaTheme="minorEastAsia"/>
                <w:szCs w:val="21"/>
              </w:rPr>
              <w:t>签字、盖章。</w:t>
            </w:r>
          </w:p>
        </w:tc>
      </w:tr>
      <w:tr w14:paraId="17909542">
        <w:tblPrEx>
          <w:tblCellMar>
            <w:top w:w="0" w:type="dxa"/>
            <w:left w:w="108" w:type="dxa"/>
            <w:bottom w:w="0" w:type="dxa"/>
            <w:right w:w="108" w:type="dxa"/>
          </w:tblCellMar>
        </w:tblPrEx>
        <w:trPr>
          <w:trHeight w:val="2203"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657A2DF">
            <w:pPr>
              <w:widowControl/>
              <w:adjustRightInd w:val="0"/>
              <w:snapToGrid w:val="0"/>
              <w:spacing w:line="400" w:lineRule="exact"/>
              <w:jc w:val="center"/>
              <w:rPr>
                <w:rFonts w:cs="宋体" w:asciiTheme="minorEastAsia" w:hAnsiTheme="minorEastAsia" w:eastAsiaTheme="minorEastAsia"/>
                <w:b/>
                <w:bCs/>
                <w:kern w:val="0"/>
                <w:szCs w:val="21"/>
              </w:rPr>
            </w:pPr>
          </w:p>
        </w:tc>
        <w:tc>
          <w:tcPr>
            <w:tcW w:w="773" w:type="dxa"/>
            <w:tcBorders>
              <w:top w:val="single" w:color="auto" w:sz="4" w:space="0"/>
              <w:left w:val="single" w:color="auto" w:sz="4" w:space="0"/>
              <w:bottom w:val="single" w:color="auto" w:sz="4" w:space="0"/>
              <w:right w:val="single" w:color="000000" w:sz="4" w:space="0"/>
            </w:tcBorders>
            <w:vAlign w:val="center"/>
          </w:tcPr>
          <w:p w14:paraId="650A35C1">
            <w:pPr>
              <w:widowControl/>
              <w:adjustRightInd w:val="0"/>
              <w:snapToGrid w:val="0"/>
              <w:spacing w:line="4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2.1.3</w:t>
            </w:r>
          </w:p>
          <w:p w14:paraId="5C24C23F">
            <w:pPr>
              <w:widowControl/>
              <w:adjustRightInd w:val="0"/>
              <w:snapToGrid w:val="0"/>
              <w:spacing w:line="400" w:lineRule="exact"/>
              <w:jc w:val="center"/>
              <w:rPr>
                <w:rFonts w:cs="宋体" w:asciiTheme="minorEastAsia" w:hAnsiTheme="minorEastAsia" w:eastAsiaTheme="minorEastAsia"/>
                <w:b/>
                <w:bCs/>
                <w:kern w:val="0"/>
                <w:szCs w:val="21"/>
              </w:rPr>
            </w:pPr>
            <w:r>
              <w:rPr>
                <w:rFonts w:hint="eastAsia" w:asciiTheme="minorEastAsia" w:hAnsiTheme="minorEastAsia" w:eastAsiaTheme="minorEastAsia"/>
                <w:szCs w:val="21"/>
              </w:rPr>
              <w:t>响应性评审标准</w:t>
            </w:r>
          </w:p>
        </w:tc>
        <w:tc>
          <w:tcPr>
            <w:tcW w:w="2446" w:type="dxa"/>
            <w:tcBorders>
              <w:top w:val="single" w:color="000000" w:sz="4" w:space="0"/>
              <w:left w:val="single" w:color="000000" w:sz="4" w:space="0"/>
              <w:bottom w:val="single" w:color="auto" w:sz="4" w:space="0"/>
              <w:right w:val="single" w:color="000000" w:sz="4" w:space="0"/>
            </w:tcBorders>
            <w:vAlign w:val="center"/>
          </w:tcPr>
          <w:p w14:paraId="2802AD27">
            <w:pPr>
              <w:widowControl/>
              <w:adjustRightInd w:val="0"/>
              <w:snapToGrid w:val="0"/>
              <w:spacing w:line="400" w:lineRule="exact"/>
              <w:rPr>
                <w:rFonts w:asciiTheme="minorEastAsia" w:hAnsiTheme="minorEastAsia" w:eastAsiaTheme="minorEastAsia"/>
                <w:szCs w:val="21"/>
              </w:rPr>
            </w:pPr>
            <w:r>
              <w:rPr>
                <w:rFonts w:cs="宋体" w:asciiTheme="minorEastAsia" w:hAnsiTheme="minorEastAsia" w:eastAsiaTheme="minorEastAsia"/>
                <w:szCs w:val="21"/>
              </w:rPr>
              <w:t>1.投标文件应符合的其他规定</w:t>
            </w:r>
          </w:p>
        </w:tc>
        <w:tc>
          <w:tcPr>
            <w:tcW w:w="4890" w:type="dxa"/>
            <w:gridSpan w:val="2"/>
            <w:tcBorders>
              <w:top w:val="single" w:color="000000" w:sz="4" w:space="0"/>
              <w:left w:val="nil"/>
              <w:bottom w:val="single" w:color="auto" w:sz="4" w:space="0"/>
              <w:right w:val="single" w:color="000000" w:sz="4" w:space="0"/>
            </w:tcBorders>
            <w:vAlign w:val="center"/>
          </w:tcPr>
          <w:p w14:paraId="325001A7">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1）投标报价未超过招标文件设定的最高投标限价（如有）</w:t>
            </w:r>
            <w:r>
              <w:rPr>
                <w:rFonts w:hint="eastAsia" w:asciiTheme="minorEastAsia" w:hAnsiTheme="minorEastAsia" w:eastAsiaTheme="minorEastAsia"/>
                <w:szCs w:val="21"/>
              </w:rPr>
              <w:t>。</w:t>
            </w:r>
          </w:p>
          <w:p w14:paraId="5012C02E">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2）投标报价的大写金额能够确定具体数值。</w:t>
            </w:r>
          </w:p>
          <w:p w14:paraId="425FF49B">
            <w:pPr>
              <w:widowControl/>
              <w:adjustRightInd w:val="0"/>
              <w:snapToGrid w:val="0"/>
              <w:spacing w:line="400" w:lineRule="exact"/>
              <w:ind w:firstLine="210" w:firstLineChars="100"/>
              <w:rPr>
                <w:rFonts w:asciiTheme="minorEastAsia" w:hAnsiTheme="minorEastAsia" w:eastAsiaTheme="minorEastAsia"/>
                <w:szCs w:val="21"/>
              </w:rPr>
            </w:pPr>
            <w:r>
              <w:rPr>
                <w:rFonts w:hint="eastAsia" w:ascii="宋体" w:hAnsi="宋体"/>
                <w:szCs w:val="21"/>
                <w:lang w:val="en-US" w:eastAsia="zh-CN"/>
              </w:rPr>
              <w:t>注：</w:t>
            </w:r>
            <w:r>
              <w:rPr>
                <w:rFonts w:hint="eastAsia" w:ascii="宋体" w:hAnsi="宋体"/>
                <w:szCs w:val="21"/>
              </w:rPr>
              <w:t>当报价方式采用单价或总价以外的其他情形时，投标报价能够确定具体数值。</w:t>
            </w:r>
          </w:p>
          <w:p w14:paraId="3F8698F2">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hint="eastAsia" w:ascii="宋体" w:hAnsi="宋体" w:cs="宋体"/>
                <w:szCs w:val="21"/>
              </w:rPr>
              <w:t>同一投标人未提交两个以上</w:t>
            </w:r>
            <w:r>
              <w:rPr>
                <w:rFonts w:ascii="宋体" w:hAnsi="宋体" w:cs="宋体"/>
                <w:szCs w:val="21"/>
              </w:rPr>
              <w:t>投标报价，</w:t>
            </w:r>
            <w:r>
              <w:rPr>
                <w:rFonts w:hint="eastAsia" w:ascii="宋体" w:hAnsi="宋体" w:cs="宋体"/>
                <w:szCs w:val="21"/>
              </w:rPr>
              <w:t>但招标文件要求提交备选</w:t>
            </w:r>
            <w:r>
              <w:rPr>
                <w:rFonts w:hint="eastAsia" w:ascii="宋体" w:hAnsi="宋体" w:cs="宋体"/>
                <w:szCs w:val="21"/>
                <w:lang w:val="en-US" w:eastAsia="zh-CN"/>
              </w:rPr>
              <w:t>投标</w:t>
            </w:r>
            <w:r>
              <w:rPr>
                <w:rFonts w:hint="eastAsia" w:ascii="宋体" w:hAnsi="宋体" w:cs="宋体"/>
                <w:szCs w:val="21"/>
              </w:rPr>
              <w:t>方案的除外</w:t>
            </w:r>
            <w:r>
              <w:rPr>
                <w:rFonts w:hint="eastAsia" w:asciiTheme="minorEastAsia" w:hAnsiTheme="minorEastAsia" w:eastAsiaTheme="minorEastAsia"/>
                <w:szCs w:val="21"/>
              </w:rPr>
              <w:t>。</w:t>
            </w:r>
          </w:p>
          <w:p w14:paraId="16A3FA98">
            <w:pPr>
              <w:pStyle w:val="299"/>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若采用价格固化清单电子方式，投标人填写完毕的价格固化清单未对价格固化清单电子文件中的数据、格式和运算定义进行修改。</w:t>
            </w:r>
          </w:p>
          <w:p w14:paraId="6084DF10">
            <w:pPr>
              <w:widowControl/>
              <w:adjustRightInd w:val="0"/>
              <w:snapToGrid w:val="0"/>
              <w:spacing w:line="400" w:lineRule="exact"/>
              <w:rPr>
                <w:rFonts w:asciiTheme="minorEastAsia" w:hAnsiTheme="minorEastAsia" w:eastAsiaTheme="minorEastAsia"/>
                <w:szCs w:val="21"/>
              </w:rPr>
            </w:pPr>
            <w:r>
              <w:rPr>
                <w:rFonts w:hint="eastAsia" w:ascii="宋体" w:hAnsi="宋体" w:eastAsia="宋体" w:cs="宋体"/>
                <w:szCs w:val="21"/>
              </w:rPr>
              <w:t>……</w:t>
            </w:r>
          </w:p>
        </w:tc>
      </w:tr>
      <w:tr w14:paraId="4D5C25D9">
        <w:tblPrEx>
          <w:tblCellMar>
            <w:top w:w="0" w:type="dxa"/>
            <w:left w:w="108" w:type="dxa"/>
            <w:bottom w:w="0" w:type="dxa"/>
            <w:right w:w="108" w:type="dxa"/>
          </w:tblCellMar>
        </w:tblPrEx>
        <w:trPr>
          <w:trHeight w:val="1774" w:hRule="atLeast"/>
        </w:trPr>
        <w:tc>
          <w:tcPr>
            <w:tcW w:w="709" w:type="dxa"/>
            <w:tcBorders>
              <w:top w:val="single" w:color="auto" w:sz="4" w:space="0"/>
              <w:left w:val="single" w:color="000000" w:sz="4" w:space="0"/>
              <w:bottom w:val="single" w:color="000000" w:sz="4" w:space="0"/>
              <w:right w:val="single" w:color="000000" w:sz="4" w:space="0"/>
            </w:tcBorders>
            <w:vAlign w:val="center"/>
          </w:tcPr>
          <w:p w14:paraId="7022ACB3">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2.2</w:t>
            </w:r>
          </w:p>
          <w:p w14:paraId="28AF7103">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详细评</w:t>
            </w:r>
          </w:p>
          <w:p w14:paraId="4A955127">
            <w:pPr>
              <w:widowControl/>
              <w:adjustRightInd w:val="0"/>
              <w:snapToGrid w:val="0"/>
              <w:spacing w:line="40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审标准</w:t>
            </w:r>
          </w:p>
          <w:p w14:paraId="31EB1B45">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（第二个</w:t>
            </w:r>
          </w:p>
          <w:p w14:paraId="00E426ED">
            <w:pPr>
              <w:widowControl/>
              <w:adjustRightInd w:val="0"/>
              <w:snapToGrid w:val="0"/>
              <w:spacing w:line="400" w:lineRule="exact"/>
              <w:ind w:left="-210" w:leftChars="-100" w:right="-210" w:rightChars="-10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信封）</w:t>
            </w:r>
          </w:p>
        </w:tc>
        <w:tc>
          <w:tcPr>
            <w:tcW w:w="773" w:type="dxa"/>
            <w:tcBorders>
              <w:top w:val="single" w:color="auto" w:sz="4" w:space="0"/>
              <w:left w:val="nil"/>
              <w:bottom w:val="single" w:color="000000" w:sz="4" w:space="0"/>
              <w:right w:val="single" w:color="000000" w:sz="4" w:space="0"/>
            </w:tcBorders>
            <w:vAlign w:val="center"/>
          </w:tcPr>
          <w:p w14:paraId="4C288577">
            <w:pPr>
              <w:widowControl/>
              <w:adjustRightInd w:val="0"/>
              <w:snapToGrid w:val="0"/>
              <w:spacing w:line="40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评标价计算</w:t>
            </w:r>
          </w:p>
        </w:tc>
        <w:tc>
          <w:tcPr>
            <w:tcW w:w="7336" w:type="dxa"/>
            <w:gridSpan w:val="3"/>
            <w:tcBorders>
              <w:top w:val="single" w:color="auto" w:sz="4" w:space="0"/>
              <w:left w:val="nil"/>
              <w:bottom w:val="single" w:color="000000" w:sz="4" w:space="0"/>
              <w:right w:val="single" w:color="000000" w:sz="4" w:space="0"/>
            </w:tcBorders>
            <w:vAlign w:val="center"/>
          </w:tcPr>
          <w:p w14:paraId="456F2B64">
            <w:pPr>
              <w:widowControl/>
              <w:adjustRightInd w:val="0"/>
              <w:snapToGrid w:val="0"/>
              <w:spacing w:line="400" w:lineRule="exact"/>
              <w:rPr>
                <w:rFonts w:hint="eastAsia" w:asciiTheme="minorEastAsia" w:hAnsiTheme="minorEastAsia" w:eastAsiaTheme="minorEastAsia"/>
                <w:szCs w:val="21"/>
              </w:rPr>
            </w:pPr>
            <w:r>
              <w:rPr>
                <w:rFonts w:hint="eastAsia" w:asciiTheme="minorEastAsia" w:hAnsiTheme="minorEastAsia" w:eastAsiaTheme="minorEastAsia"/>
                <w:kern w:val="0"/>
                <w:szCs w:val="21"/>
              </w:rPr>
              <w:t>经评审的投标价（</w:t>
            </w:r>
            <w:r>
              <w:rPr>
                <w:rFonts w:hint="eastAsia" w:asciiTheme="minorEastAsia" w:hAnsiTheme="minorEastAsia" w:eastAsiaTheme="minorEastAsia"/>
                <w:szCs w:val="21"/>
              </w:rPr>
              <w:t>评标价</w:t>
            </w:r>
            <w:r>
              <w:rPr>
                <w:rFonts w:hint="eastAsia" w:asciiTheme="minorEastAsia" w:hAnsiTheme="minorEastAsia" w:eastAsiaTheme="minorEastAsia"/>
                <w:kern w:val="0"/>
                <w:szCs w:val="21"/>
              </w:rPr>
              <w:t>）</w:t>
            </w:r>
            <w:r>
              <w:rPr>
                <w:rFonts w:asciiTheme="minorEastAsia" w:hAnsiTheme="minorEastAsia" w:eastAsiaTheme="minorEastAsia"/>
                <w:szCs w:val="21"/>
              </w:rPr>
              <w:t>＝</w:t>
            </w:r>
            <w:r>
              <w:rPr>
                <w:rFonts w:hint="eastAsia" w:ascii="宋体" w:hAnsi="宋体" w:cs="宋体"/>
                <w:szCs w:val="21"/>
                <w:u w:val="single"/>
              </w:rPr>
              <w:t>通过第一个信封（商务及技术文件）评审的投标人</w:t>
            </w:r>
            <w:r>
              <w:rPr>
                <w:rFonts w:hint="eastAsia" w:asciiTheme="minorEastAsia" w:hAnsiTheme="minorEastAsia" w:eastAsiaTheme="minorEastAsia"/>
                <w:szCs w:val="21"/>
                <w:u w:val="single"/>
              </w:rPr>
              <w:t>投标函（第二个信封）中投标总报价大写金额</w:t>
            </w:r>
            <w:r>
              <w:rPr>
                <w:rFonts w:hint="eastAsia" w:asciiTheme="minorEastAsia" w:hAnsiTheme="minorEastAsia" w:eastAsiaTheme="minorEastAsia"/>
                <w:szCs w:val="21"/>
              </w:rPr>
              <w:t xml:space="preserve"> </w:t>
            </w:r>
          </w:p>
          <w:p w14:paraId="20964FBE">
            <w:pPr>
              <w:widowControl/>
              <w:adjustRightInd w:val="0"/>
              <w:snapToGrid w:val="0"/>
              <w:spacing w:line="400" w:lineRule="exact"/>
              <w:ind w:firstLine="210" w:firstLineChars="100"/>
              <w:rPr>
                <w:rFonts w:asciiTheme="minorEastAsia" w:hAnsiTheme="minorEastAsia" w:eastAsiaTheme="minorEastAsia"/>
                <w:szCs w:val="21"/>
              </w:rPr>
            </w:pPr>
            <w:r>
              <w:rPr>
                <w:rFonts w:hint="eastAsia" w:ascii="宋体" w:hAnsi="宋体" w:cs="宋体"/>
                <w:lang w:val="en-US" w:eastAsia="zh-CN"/>
              </w:rPr>
              <w:t>注：</w:t>
            </w:r>
            <w:r>
              <w:rPr>
                <w:rFonts w:hint="eastAsia" w:ascii="宋体" w:hAnsi="宋体" w:cs="宋体"/>
              </w:rPr>
              <w:t>根据招标项目具体特点和实际情况，招标人可调整评标价的定义。例如：评标价＝投标人投标报价－非竞争性部分报价。</w:t>
            </w:r>
          </w:p>
        </w:tc>
      </w:tr>
      <w:tr w14:paraId="082D3324">
        <w:tblPrEx>
          <w:tblCellMar>
            <w:top w:w="0" w:type="dxa"/>
            <w:left w:w="108" w:type="dxa"/>
            <w:bottom w:w="0" w:type="dxa"/>
            <w:right w:w="108" w:type="dxa"/>
          </w:tblCellMar>
        </w:tblPrEx>
        <w:trPr>
          <w:trHeight w:val="1101" w:hRule="atLeast"/>
        </w:trPr>
        <w:tc>
          <w:tcPr>
            <w:tcW w:w="709" w:type="dxa"/>
            <w:tcBorders>
              <w:top w:val="single" w:color="000000" w:sz="4" w:space="0"/>
              <w:left w:val="single" w:color="000000" w:sz="4" w:space="0"/>
              <w:bottom w:val="single" w:color="auto" w:sz="4" w:space="0"/>
              <w:right w:val="single" w:color="000000" w:sz="4" w:space="0"/>
            </w:tcBorders>
            <w:vAlign w:val="center"/>
          </w:tcPr>
          <w:p w14:paraId="0D91C8E6">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3.1</w:t>
            </w:r>
          </w:p>
          <w:p w14:paraId="7B3AB379">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第一个信封初步评审</w:t>
            </w:r>
          </w:p>
        </w:tc>
        <w:tc>
          <w:tcPr>
            <w:tcW w:w="773" w:type="dxa"/>
            <w:tcBorders>
              <w:top w:val="single" w:color="000000" w:sz="4" w:space="0"/>
              <w:left w:val="nil"/>
              <w:bottom w:val="single" w:color="auto" w:sz="4" w:space="0"/>
              <w:right w:val="single" w:color="000000" w:sz="4" w:space="0"/>
            </w:tcBorders>
            <w:vAlign w:val="center"/>
          </w:tcPr>
          <w:p w14:paraId="0BCC06A4">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3.1.1</w:t>
            </w:r>
          </w:p>
        </w:tc>
        <w:tc>
          <w:tcPr>
            <w:tcW w:w="7336" w:type="dxa"/>
            <w:gridSpan w:val="3"/>
            <w:tcBorders>
              <w:top w:val="single" w:color="000000" w:sz="4" w:space="0"/>
              <w:left w:val="nil"/>
              <w:bottom w:val="single" w:color="auto" w:sz="4" w:space="0"/>
              <w:right w:val="single" w:color="000000" w:sz="4" w:space="0"/>
            </w:tcBorders>
            <w:vAlign w:val="center"/>
          </w:tcPr>
          <w:p w14:paraId="49A060BB">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1）评标委员会依据本章第2.1.1</w:t>
            </w:r>
            <w:r>
              <w:rPr>
                <w:rFonts w:hint="eastAsia" w:cs="宋体" w:asciiTheme="minorEastAsia" w:hAnsiTheme="minorEastAsia" w:eastAsiaTheme="minorEastAsia"/>
                <w:kern w:val="0"/>
                <w:szCs w:val="21"/>
              </w:rPr>
              <w:t>项、第</w:t>
            </w:r>
            <w:r>
              <w:rPr>
                <w:rFonts w:cs="宋体" w:asciiTheme="minorEastAsia" w:hAnsiTheme="minorEastAsia" w:eastAsiaTheme="minorEastAsia"/>
                <w:kern w:val="0"/>
                <w:szCs w:val="21"/>
              </w:rPr>
              <w:t>2.1.2</w:t>
            </w:r>
            <w:r>
              <w:rPr>
                <w:rFonts w:hint="eastAsia" w:cs="宋体" w:asciiTheme="minorEastAsia" w:hAnsiTheme="minorEastAsia" w:eastAsiaTheme="minorEastAsia"/>
                <w:kern w:val="0"/>
                <w:szCs w:val="21"/>
              </w:rPr>
              <w:t>项、第</w:t>
            </w:r>
            <w:r>
              <w:rPr>
                <w:rFonts w:cs="宋体" w:asciiTheme="minorEastAsia" w:hAnsiTheme="minorEastAsia" w:eastAsiaTheme="minorEastAsia"/>
                <w:kern w:val="0"/>
                <w:szCs w:val="21"/>
              </w:rPr>
              <w:t>2.1.3项规定的标准对投标文件第一个信封（商务及技术文件）进行初步评审。有一项不符合评审标准的，评标委员会应否决其投标。</w:t>
            </w:r>
          </w:p>
          <w:p w14:paraId="178AAC31">
            <w:pPr>
              <w:pStyle w:val="299"/>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2）通过第一个信封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商务</w:t>
            </w:r>
            <w:r>
              <w:rPr>
                <w:rFonts w:hint="eastAsia" w:cs="宋体" w:asciiTheme="minorEastAsia" w:hAnsiTheme="minorEastAsia" w:eastAsiaTheme="minorEastAsia"/>
                <w:kern w:val="0"/>
                <w:szCs w:val="21"/>
              </w:rPr>
              <w:t>及</w:t>
            </w:r>
            <w:r>
              <w:rPr>
                <w:rFonts w:cs="宋体" w:asciiTheme="minorEastAsia" w:hAnsiTheme="minorEastAsia" w:eastAsiaTheme="minorEastAsia"/>
                <w:kern w:val="0"/>
                <w:szCs w:val="21"/>
              </w:rPr>
              <w:t>技术文件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评审的投标人</w:t>
            </w:r>
            <w:r>
              <w:rPr>
                <w:rFonts w:hint="eastAsia" w:cs="宋体" w:asciiTheme="minorEastAsia" w:hAnsiTheme="minorEastAsia" w:eastAsiaTheme="minorEastAsia"/>
                <w:kern w:val="0"/>
                <w:szCs w:val="21"/>
              </w:rPr>
              <w:t>仅有2</w:t>
            </w:r>
            <w:r>
              <w:rPr>
                <w:rFonts w:hint="eastAsia" w:cs="宋体" w:asciiTheme="minorEastAsia" w:hAnsiTheme="minorEastAsia" w:eastAsiaTheme="minorEastAsia"/>
                <w:kern w:val="0"/>
                <w:szCs w:val="21"/>
                <w:lang w:val="en-US" w:eastAsia="zh-CN"/>
              </w:rPr>
              <w:t>家</w:t>
            </w:r>
            <w:r>
              <w:rPr>
                <w:rFonts w:cs="宋体" w:asciiTheme="minorEastAsia" w:hAnsiTheme="minorEastAsia" w:eastAsiaTheme="minorEastAsia"/>
                <w:kern w:val="0"/>
                <w:szCs w:val="21"/>
              </w:rPr>
              <w:t>的，评标委员会可以否决全部投标；未否决全部投标的，评标委员会应当在评标报告中阐明理由，招标人应当按照第二章</w:t>
            </w:r>
            <w:r>
              <w:rPr>
                <w:rFonts w:hint="eastAsia" w:cs="宋体" w:asciiTheme="minorEastAsia" w:hAnsiTheme="minorEastAsia" w:eastAsiaTheme="minorEastAsia"/>
                <w:kern w:val="0"/>
                <w:szCs w:val="21"/>
              </w:rPr>
              <w:t>“投标人须知”前附表</w:t>
            </w:r>
            <w:r>
              <w:rPr>
                <w:rFonts w:cs="宋体" w:asciiTheme="minorEastAsia" w:hAnsiTheme="minorEastAsia" w:eastAsiaTheme="minorEastAsia"/>
                <w:kern w:val="0"/>
                <w:szCs w:val="21"/>
              </w:rPr>
              <w:t>第5.2.3项规定的程序进行第二个信封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报价文件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开标，但评标委员会在进行第二个信封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报价文件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评审时仍有权否决全部投标；评标委员会未在第二个信封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报价文件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评审时否决全部投标的，应当在评标报告中阐明理由并推荐中标候选人。</w:t>
            </w:r>
          </w:p>
          <w:p w14:paraId="7331873F">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3）当通过第一个信封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商务</w:t>
            </w:r>
            <w:r>
              <w:rPr>
                <w:rFonts w:hint="eastAsia" w:cs="宋体" w:asciiTheme="minorEastAsia" w:hAnsiTheme="minorEastAsia" w:eastAsiaTheme="minorEastAsia"/>
                <w:kern w:val="0"/>
                <w:szCs w:val="21"/>
              </w:rPr>
              <w:t>及</w:t>
            </w:r>
            <w:r>
              <w:rPr>
                <w:rFonts w:cs="宋体" w:asciiTheme="minorEastAsia" w:hAnsiTheme="minorEastAsia" w:eastAsiaTheme="minorEastAsia"/>
                <w:kern w:val="0"/>
                <w:szCs w:val="21"/>
              </w:rPr>
              <w:t>技术文件</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评审的投标人仅有1家时，评标委员会应否决其投标。</w:t>
            </w:r>
          </w:p>
        </w:tc>
      </w:tr>
      <w:tr w14:paraId="65C5CA86">
        <w:tblPrEx>
          <w:tblCellMar>
            <w:top w:w="0" w:type="dxa"/>
            <w:left w:w="108" w:type="dxa"/>
            <w:bottom w:w="0" w:type="dxa"/>
            <w:right w:w="108" w:type="dxa"/>
          </w:tblCellMar>
        </w:tblPrEx>
        <w:trPr>
          <w:trHeight w:val="866" w:hRule="atLeast"/>
        </w:trPr>
        <w:tc>
          <w:tcPr>
            <w:tcW w:w="709" w:type="dxa"/>
            <w:vMerge w:val="restart"/>
            <w:tcBorders>
              <w:top w:val="single" w:color="auto" w:sz="4" w:space="0"/>
              <w:left w:val="single" w:color="auto" w:sz="4" w:space="0"/>
              <w:right w:val="single" w:color="auto" w:sz="4" w:space="0"/>
            </w:tcBorders>
            <w:vAlign w:val="center"/>
          </w:tcPr>
          <w:p w14:paraId="0F3624CD">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w:t>
            </w:r>
          </w:p>
          <w:p w14:paraId="0A6D910E">
            <w:pPr>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第二个信封初步评审</w:t>
            </w:r>
          </w:p>
        </w:tc>
        <w:tc>
          <w:tcPr>
            <w:tcW w:w="773" w:type="dxa"/>
            <w:tcBorders>
              <w:top w:val="single" w:color="auto" w:sz="4" w:space="0"/>
              <w:left w:val="single" w:color="auto" w:sz="4" w:space="0"/>
              <w:bottom w:val="single" w:color="000000" w:sz="4" w:space="0"/>
              <w:right w:val="single" w:color="auto" w:sz="4" w:space="0"/>
            </w:tcBorders>
            <w:vAlign w:val="center"/>
          </w:tcPr>
          <w:p w14:paraId="1239D493">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3.3.1</w:t>
            </w:r>
          </w:p>
        </w:tc>
        <w:tc>
          <w:tcPr>
            <w:tcW w:w="7336" w:type="dxa"/>
            <w:gridSpan w:val="3"/>
            <w:tcBorders>
              <w:top w:val="single" w:color="auto" w:sz="4" w:space="0"/>
              <w:left w:val="single" w:color="auto" w:sz="4" w:space="0"/>
              <w:bottom w:val="single" w:color="000000" w:sz="4" w:space="0"/>
              <w:right w:val="single" w:color="auto" w:sz="4" w:space="0"/>
            </w:tcBorders>
            <w:vAlign w:val="center"/>
          </w:tcPr>
          <w:p w14:paraId="4C9CDE9F">
            <w:pPr>
              <w:widowControl/>
              <w:adjustRightInd w:val="0"/>
              <w:snapToGrid w:val="0"/>
              <w:spacing w:line="400" w:lineRule="exact"/>
              <w:rPr>
                <w:rFonts w:asciiTheme="minorEastAsia" w:hAnsiTheme="minorEastAsia" w:eastAsiaTheme="minorEastAsia"/>
                <w:kern w:val="0"/>
                <w:szCs w:val="21"/>
              </w:rPr>
            </w:pPr>
            <w:r>
              <w:rPr>
                <w:rFonts w:hint="eastAsia" w:cs="宋体" w:asciiTheme="minorEastAsia" w:hAnsiTheme="minorEastAsia" w:eastAsiaTheme="minorEastAsia"/>
                <w:kern w:val="0"/>
                <w:szCs w:val="21"/>
              </w:rPr>
              <w:t>评标委员会依据本章第</w:t>
            </w:r>
            <w:r>
              <w:rPr>
                <w:rFonts w:cs="宋体" w:asciiTheme="minorEastAsia" w:hAnsiTheme="minorEastAsia" w:eastAsiaTheme="minorEastAsia"/>
                <w:kern w:val="0"/>
                <w:szCs w:val="21"/>
              </w:rPr>
              <w:t>2.1.1</w:t>
            </w:r>
            <w:r>
              <w:rPr>
                <w:rFonts w:hint="eastAsia" w:cs="宋体" w:asciiTheme="minorEastAsia" w:hAnsiTheme="minorEastAsia" w:eastAsiaTheme="minorEastAsia"/>
                <w:kern w:val="0"/>
                <w:szCs w:val="21"/>
              </w:rPr>
              <w:t>项、第</w:t>
            </w:r>
            <w:r>
              <w:rPr>
                <w:rFonts w:cs="宋体" w:asciiTheme="minorEastAsia" w:hAnsiTheme="minorEastAsia" w:eastAsiaTheme="minorEastAsia"/>
                <w:kern w:val="0"/>
                <w:szCs w:val="21"/>
              </w:rPr>
              <w:t>2.1.3项规定的评审标准对投标文件第二个信封（报价文件）进行初步评审，有一项不符合评审标准的，</w:t>
            </w:r>
            <w:r>
              <w:rPr>
                <w:rFonts w:hint="eastAsia" w:asciiTheme="minorEastAsia" w:hAnsiTheme="minorEastAsia" w:eastAsiaTheme="minorEastAsia"/>
                <w:szCs w:val="21"/>
              </w:rPr>
              <w:t>评标委员会应否决其投标</w:t>
            </w:r>
            <w:r>
              <w:rPr>
                <w:rFonts w:hint="eastAsia" w:cs="宋体" w:asciiTheme="minorEastAsia" w:hAnsiTheme="minorEastAsia" w:eastAsiaTheme="minorEastAsia"/>
                <w:kern w:val="0"/>
                <w:szCs w:val="21"/>
              </w:rPr>
              <w:t>。</w:t>
            </w:r>
          </w:p>
        </w:tc>
      </w:tr>
      <w:tr w14:paraId="22B342D4">
        <w:tblPrEx>
          <w:tblCellMar>
            <w:top w:w="0" w:type="dxa"/>
            <w:left w:w="108" w:type="dxa"/>
            <w:bottom w:w="0" w:type="dxa"/>
            <w:right w:w="108" w:type="dxa"/>
          </w:tblCellMar>
        </w:tblPrEx>
        <w:trPr>
          <w:trHeight w:val="1514" w:hRule="atLeast"/>
        </w:trPr>
        <w:tc>
          <w:tcPr>
            <w:tcW w:w="709" w:type="dxa"/>
            <w:vMerge w:val="continue"/>
            <w:tcBorders>
              <w:left w:val="single" w:color="auto" w:sz="4" w:space="0"/>
              <w:right w:val="single" w:color="auto" w:sz="4" w:space="0"/>
            </w:tcBorders>
            <w:vAlign w:val="center"/>
          </w:tcPr>
          <w:p w14:paraId="4A0DF901">
            <w:pPr>
              <w:widowControl/>
              <w:adjustRightInd w:val="0"/>
              <w:snapToGrid w:val="0"/>
              <w:spacing w:line="400" w:lineRule="exact"/>
              <w:jc w:val="center"/>
              <w:rPr>
                <w:rFonts w:cs="宋体" w:asciiTheme="minorEastAsia" w:hAnsiTheme="minorEastAsia" w:eastAsiaTheme="minorEastAsia"/>
                <w:kern w:val="0"/>
                <w:szCs w:val="21"/>
              </w:rPr>
            </w:pPr>
          </w:p>
        </w:tc>
        <w:tc>
          <w:tcPr>
            <w:tcW w:w="773" w:type="dxa"/>
            <w:tcBorders>
              <w:top w:val="single" w:color="000000" w:sz="4" w:space="0"/>
              <w:left w:val="single" w:color="auto" w:sz="4" w:space="0"/>
              <w:bottom w:val="single" w:color="auto" w:sz="4" w:space="0"/>
              <w:right w:val="single" w:color="auto" w:sz="4" w:space="0"/>
            </w:tcBorders>
            <w:vAlign w:val="center"/>
          </w:tcPr>
          <w:p w14:paraId="3FB464A8">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3.3.2</w:t>
            </w:r>
          </w:p>
        </w:tc>
        <w:tc>
          <w:tcPr>
            <w:tcW w:w="7336" w:type="dxa"/>
            <w:gridSpan w:val="3"/>
            <w:tcBorders>
              <w:top w:val="single" w:color="000000" w:sz="4" w:space="0"/>
              <w:left w:val="single" w:color="auto" w:sz="4" w:space="0"/>
              <w:bottom w:val="single" w:color="auto" w:sz="4" w:space="0"/>
              <w:right w:val="single" w:color="auto" w:sz="4" w:space="0"/>
            </w:tcBorders>
            <w:vAlign w:val="center"/>
          </w:tcPr>
          <w:p w14:paraId="039456C9">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对投标人投标报价进行算术性修正的原则：</w:t>
            </w:r>
          </w:p>
          <w:p w14:paraId="45A4A9BF">
            <w:pPr>
              <w:pStyle w:val="299"/>
              <w:spacing w:line="400" w:lineRule="exact"/>
              <w:rPr>
                <w:rFonts w:ascii="宋体" w:hAnsi="宋体" w:cs="宋体"/>
                <w:kern w:val="0"/>
                <w:szCs w:val="21"/>
              </w:rPr>
            </w:pPr>
            <w:r>
              <w:rPr>
                <w:rFonts w:hint="eastAsia" w:ascii="宋体" w:hAnsi="宋体" w:cs="宋体"/>
                <w:kern w:val="0"/>
                <w:szCs w:val="21"/>
              </w:rPr>
              <w:t>□ 方式一：</w:t>
            </w:r>
          </w:p>
          <w:p w14:paraId="73E413B6">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1）投标函</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中的</w:t>
            </w:r>
            <w:r>
              <w:rPr>
                <w:rFonts w:hint="eastAsia" w:cs="宋体" w:asciiTheme="minorEastAsia" w:hAnsiTheme="minorEastAsia" w:eastAsiaTheme="minorEastAsia"/>
                <w:kern w:val="0"/>
                <w:szCs w:val="21"/>
                <w:lang w:val="en-US" w:eastAsia="zh-CN"/>
              </w:rPr>
              <w:t>投标总报价</w:t>
            </w:r>
            <w:r>
              <w:rPr>
                <w:rFonts w:cs="宋体" w:asciiTheme="minorEastAsia" w:hAnsiTheme="minorEastAsia" w:eastAsiaTheme="minorEastAsia"/>
                <w:kern w:val="0"/>
                <w:szCs w:val="21"/>
              </w:rPr>
              <w:t>大写金额与小写金额不一致的，以大写金额为准。</w:t>
            </w:r>
          </w:p>
          <w:p w14:paraId="74A6B8C4">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2）清单汇总表投标报价金额与投标函</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中的</w:t>
            </w:r>
            <w:r>
              <w:rPr>
                <w:rFonts w:hint="eastAsia" w:cs="宋体" w:asciiTheme="minorEastAsia" w:hAnsiTheme="minorEastAsia" w:eastAsiaTheme="minorEastAsia"/>
                <w:kern w:val="0"/>
                <w:szCs w:val="21"/>
                <w:lang w:val="en-US" w:eastAsia="zh-CN"/>
              </w:rPr>
              <w:t>投标总报价</w:t>
            </w:r>
            <w:r>
              <w:rPr>
                <w:rFonts w:cs="宋体" w:asciiTheme="minorEastAsia" w:hAnsiTheme="minorEastAsia" w:eastAsiaTheme="minorEastAsia"/>
                <w:kern w:val="0"/>
                <w:szCs w:val="21"/>
              </w:rPr>
              <w:t>大写金额不一致的，以投标函</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第二个信封</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中</w:t>
            </w:r>
            <w:r>
              <w:rPr>
                <w:rFonts w:hint="eastAsia" w:cs="宋体" w:asciiTheme="minorEastAsia" w:hAnsiTheme="minorEastAsia" w:eastAsiaTheme="minorEastAsia"/>
                <w:kern w:val="0"/>
                <w:szCs w:val="21"/>
                <w:lang w:val="en-US" w:eastAsia="zh-CN"/>
              </w:rPr>
              <w:t>投标总报价</w:t>
            </w:r>
            <w:r>
              <w:rPr>
                <w:rFonts w:cs="宋体" w:asciiTheme="minorEastAsia" w:hAnsiTheme="minorEastAsia" w:eastAsiaTheme="minorEastAsia"/>
                <w:kern w:val="0"/>
                <w:szCs w:val="21"/>
              </w:rPr>
              <w:t>大写金额为准。</w:t>
            </w:r>
          </w:p>
          <w:p w14:paraId="6A14C1BB">
            <w:pPr>
              <w:pStyle w:val="299"/>
              <w:spacing w:line="400" w:lineRule="exact"/>
              <w:rPr>
                <w:rFonts w:ascii="宋体" w:hAnsi="宋体" w:cs="宋体"/>
                <w:kern w:val="0"/>
                <w:szCs w:val="21"/>
              </w:rPr>
            </w:pPr>
            <w:r>
              <w:rPr>
                <w:rFonts w:hint="eastAsia" w:ascii="宋体" w:hAnsi="宋体" w:cs="宋体"/>
                <w:kern w:val="0"/>
                <w:szCs w:val="21"/>
              </w:rPr>
              <w:t>□ 方式二：</w:t>
            </w:r>
          </w:p>
          <w:p w14:paraId="473A162F">
            <w:pPr>
              <w:widowControl/>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p>
          <w:p w14:paraId="7FBF3DCD">
            <w:pPr>
              <w:widowControl/>
              <w:adjustRightInd w:val="0"/>
              <w:snapToGrid w:val="0"/>
              <w:spacing w:line="400" w:lineRule="exact"/>
              <w:ind w:firstLine="210" w:firstLineChars="100"/>
              <w:rPr>
                <w:rFonts w:hint="eastAsia" w:ascii="宋体" w:hAnsi="宋体" w:cs="宋体"/>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6D4D0D62">
        <w:tblPrEx>
          <w:tblCellMar>
            <w:top w:w="0" w:type="dxa"/>
            <w:left w:w="108" w:type="dxa"/>
            <w:bottom w:w="0" w:type="dxa"/>
            <w:right w:w="108" w:type="dxa"/>
          </w:tblCellMar>
        </w:tblPrEx>
        <w:trPr>
          <w:trHeight w:val="783" w:hRule="atLeast"/>
        </w:trPr>
        <w:tc>
          <w:tcPr>
            <w:tcW w:w="709" w:type="dxa"/>
            <w:vMerge w:val="continue"/>
            <w:tcBorders>
              <w:left w:val="single" w:color="auto" w:sz="4" w:space="0"/>
              <w:bottom w:val="single" w:color="auto" w:sz="4" w:space="0"/>
              <w:right w:val="single" w:color="auto" w:sz="4" w:space="0"/>
            </w:tcBorders>
            <w:vAlign w:val="center"/>
          </w:tcPr>
          <w:p w14:paraId="18B9E3FE">
            <w:pPr>
              <w:widowControl/>
              <w:adjustRightInd w:val="0"/>
              <w:snapToGrid w:val="0"/>
              <w:spacing w:line="400" w:lineRule="exact"/>
              <w:jc w:val="center"/>
              <w:rPr>
                <w:rFonts w:cs="宋体" w:asciiTheme="minorEastAsia" w:hAnsiTheme="minorEastAsia" w:eastAsiaTheme="minorEastAsia"/>
                <w:kern w:val="0"/>
                <w:szCs w:val="21"/>
              </w:rPr>
            </w:pPr>
          </w:p>
        </w:tc>
        <w:tc>
          <w:tcPr>
            <w:tcW w:w="773" w:type="dxa"/>
            <w:tcBorders>
              <w:top w:val="single" w:color="auto" w:sz="4" w:space="0"/>
              <w:left w:val="single" w:color="auto" w:sz="4" w:space="0"/>
              <w:bottom w:val="single" w:color="auto" w:sz="4" w:space="0"/>
              <w:right w:val="single" w:color="auto" w:sz="4" w:space="0"/>
            </w:tcBorders>
            <w:vAlign w:val="center"/>
          </w:tcPr>
          <w:p w14:paraId="2653BCCA">
            <w:pPr>
              <w:widowControl/>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kern w:val="0"/>
                <w:szCs w:val="21"/>
              </w:rPr>
              <w:t>3.3.3</w:t>
            </w:r>
          </w:p>
        </w:tc>
        <w:tc>
          <w:tcPr>
            <w:tcW w:w="7336" w:type="dxa"/>
            <w:gridSpan w:val="3"/>
            <w:tcBorders>
              <w:top w:val="single" w:color="auto" w:sz="4" w:space="0"/>
              <w:left w:val="single" w:color="auto" w:sz="4" w:space="0"/>
              <w:bottom w:val="single" w:color="auto" w:sz="4" w:space="0"/>
              <w:right w:val="single" w:color="auto" w:sz="4" w:space="0"/>
            </w:tcBorders>
            <w:vAlign w:val="center"/>
          </w:tcPr>
          <w:p w14:paraId="23C63022">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对投标人已标价价格清单中的投标报价有其他错误进行修正的原则：</w:t>
            </w:r>
          </w:p>
          <w:p w14:paraId="7F45A4F2">
            <w:pPr>
              <w:pStyle w:val="299"/>
              <w:spacing w:line="400" w:lineRule="exact"/>
              <w:rPr>
                <w:rFonts w:ascii="宋体" w:hAnsi="宋体" w:cs="宋体"/>
                <w:kern w:val="0"/>
                <w:szCs w:val="21"/>
              </w:rPr>
            </w:pPr>
            <w:r>
              <w:rPr>
                <w:rFonts w:hint="eastAsia" w:ascii="宋体" w:hAnsi="宋体" w:cs="宋体"/>
                <w:kern w:val="0"/>
                <w:szCs w:val="21"/>
              </w:rPr>
              <w:t>□ 方式一：</w:t>
            </w:r>
          </w:p>
          <w:p w14:paraId="181351FB">
            <w:pPr>
              <w:widowControl/>
              <w:adjustRightInd w:val="0"/>
              <w:snapToGrid w:val="0"/>
              <w:spacing w:line="400" w:lineRule="exact"/>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价格清单中的投标报价有其他错误的，评标阶段不作修正，在签订合同时以投标函（第二个信封）中投标总报价大写金额为准，按第二章“投标人须知”前附表第</w:t>
            </w:r>
            <w:r>
              <w:rPr>
                <w:rFonts w:cs="宋体" w:asciiTheme="minorEastAsia" w:hAnsiTheme="minorEastAsia" w:eastAsiaTheme="minorEastAsia"/>
                <w:kern w:val="0"/>
                <w:szCs w:val="21"/>
              </w:rPr>
              <w:t>7.8.3项规定修正。</w:t>
            </w:r>
          </w:p>
          <w:p w14:paraId="3325DEC2">
            <w:pPr>
              <w:widowControl/>
              <w:adjustRightInd w:val="0"/>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方式二：</w:t>
            </w:r>
          </w:p>
          <w:p w14:paraId="27500A90">
            <w:pPr>
              <w:widowControl/>
              <w:adjustRightInd w:val="0"/>
              <w:snapToGrid w:val="0"/>
              <w:spacing w:line="400" w:lineRule="exact"/>
              <w:ind w:firstLine="210" w:firstLineChars="1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14:paraId="3581575A">
            <w:pPr>
              <w:widowControl/>
              <w:adjustRightInd w:val="0"/>
              <w:snapToGrid w:val="0"/>
              <w:spacing w:line="400" w:lineRule="exact"/>
              <w:ind w:firstLine="210" w:firstLineChars="100"/>
              <w:rPr>
                <w:rFonts w:hint="eastAsia" w:cs="宋体" w:asciiTheme="minorEastAsia" w:hAnsiTheme="minorEastAsia" w:eastAsiaTheme="minorEastAsia"/>
                <w:kern w:val="0"/>
                <w:szCs w:val="21"/>
              </w:rPr>
            </w:pPr>
            <w:r>
              <w:rPr>
                <w:rFonts w:hint="eastAsia" w:ascii="宋体" w:hAnsi="宋体" w:eastAsia="宋体" w:cs="宋体"/>
                <w:color w:val="000000"/>
                <w:kern w:val="0"/>
                <w:sz w:val="21"/>
                <w:szCs w:val="21"/>
                <w:lang w:val="en-US" w:eastAsia="zh-CN" w:bidi="ar"/>
              </w:rPr>
              <w:t>注：当报价方式采用单价或总价以外的其他情形时，在此约定其他投标报价修正方式。</w:t>
            </w:r>
          </w:p>
        </w:tc>
      </w:tr>
      <w:tr w14:paraId="56F99490">
        <w:tblPrEx>
          <w:tblCellMar>
            <w:top w:w="0" w:type="dxa"/>
            <w:left w:w="108" w:type="dxa"/>
            <w:bottom w:w="0" w:type="dxa"/>
            <w:right w:w="108" w:type="dxa"/>
          </w:tblCellMar>
        </w:tblPrEx>
        <w:trPr>
          <w:trHeight w:val="551"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146F168">
            <w:pPr>
              <w:widowControl/>
              <w:adjustRightInd w:val="0"/>
              <w:snapToGrid w:val="0"/>
              <w:spacing w:line="400" w:lineRule="exact"/>
              <w:jc w:val="center"/>
              <w:rPr>
                <w:rFonts w:cs="宋体" w:asciiTheme="minorEastAsia" w:hAnsiTheme="minorEastAsia" w:eastAsiaTheme="minorEastAsia"/>
                <w:kern w:val="0"/>
                <w:szCs w:val="21"/>
              </w:rPr>
            </w:pPr>
          </w:p>
        </w:tc>
        <w:tc>
          <w:tcPr>
            <w:tcW w:w="773" w:type="dxa"/>
            <w:tcBorders>
              <w:top w:val="single" w:color="auto" w:sz="4" w:space="0"/>
              <w:left w:val="single" w:color="auto" w:sz="4" w:space="0"/>
              <w:bottom w:val="single" w:color="auto" w:sz="4" w:space="0"/>
              <w:right w:val="single" w:color="auto" w:sz="4" w:space="0"/>
            </w:tcBorders>
            <w:vAlign w:val="center"/>
          </w:tcPr>
          <w:p w14:paraId="7B7ABEB2">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3.3.4</w:t>
            </w:r>
          </w:p>
        </w:tc>
        <w:tc>
          <w:tcPr>
            <w:tcW w:w="7336" w:type="dxa"/>
            <w:gridSpan w:val="3"/>
            <w:tcBorders>
              <w:top w:val="single" w:color="auto" w:sz="4" w:space="0"/>
              <w:left w:val="single" w:color="auto" w:sz="4" w:space="0"/>
              <w:bottom w:val="single" w:color="auto" w:sz="4" w:space="0"/>
              <w:right w:val="single" w:color="auto" w:sz="4" w:space="0"/>
            </w:tcBorders>
            <w:vAlign w:val="center"/>
          </w:tcPr>
          <w:p w14:paraId="7C16C618">
            <w:pPr>
              <w:widowControl/>
              <w:adjustRightInd w:val="0"/>
              <w:snapToGrid w:val="0"/>
              <w:spacing w:line="40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投标人的投标报价若超过最高投标限价（如有），评标委员会应否决其投标。</w:t>
            </w:r>
          </w:p>
        </w:tc>
      </w:tr>
      <w:tr w14:paraId="7EAD9AB2">
        <w:tblPrEx>
          <w:tblCellMar>
            <w:top w:w="0" w:type="dxa"/>
            <w:left w:w="108" w:type="dxa"/>
            <w:bottom w:w="0" w:type="dxa"/>
            <w:right w:w="108" w:type="dxa"/>
          </w:tblCellMar>
        </w:tblPrEx>
        <w:trPr>
          <w:trHeight w:val="775" w:hRule="atLeast"/>
        </w:trPr>
        <w:tc>
          <w:tcPr>
            <w:tcW w:w="709" w:type="dxa"/>
            <w:vMerge w:val="restart"/>
            <w:tcBorders>
              <w:top w:val="single" w:color="auto" w:sz="4" w:space="0"/>
              <w:left w:val="single" w:color="auto" w:sz="4" w:space="0"/>
              <w:bottom w:val="single" w:color="auto" w:sz="4" w:space="0"/>
              <w:right w:val="single" w:color="000000" w:sz="4" w:space="0"/>
            </w:tcBorders>
            <w:vAlign w:val="center"/>
          </w:tcPr>
          <w:p w14:paraId="58077E94">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3.4</w:t>
            </w:r>
          </w:p>
          <w:p w14:paraId="1DCCDF08">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第二个信封详细评审</w:t>
            </w:r>
          </w:p>
        </w:tc>
        <w:tc>
          <w:tcPr>
            <w:tcW w:w="773" w:type="dxa"/>
            <w:tcBorders>
              <w:top w:val="single" w:color="auto" w:sz="4" w:space="0"/>
              <w:left w:val="nil"/>
              <w:bottom w:val="single" w:color="auto" w:sz="4" w:space="0"/>
              <w:right w:val="single" w:color="000000" w:sz="4" w:space="0"/>
            </w:tcBorders>
            <w:vAlign w:val="center"/>
          </w:tcPr>
          <w:p w14:paraId="7C8710B3">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3.4.1</w:t>
            </w:r>
          </w:p>
        </w:tc>
        <w:tc>
          <w:tcPr>
            <w:tcW w:w="7336" w:type="dxa"/>
            <w:gridSpan w:val="3"/>
            <w:tcBorders>
              <w:top w:val="single" w:color="auto" w:sz="4" w:space="0"/>
              <w:left w:val="nil"/>
              <w:bottom w:val="single" w:color="auto" w:sz="4" w:space="0"/>
              <w:right w:val="single" w:color="auto" w:sz="4" w:space="0"/>
            </w:tcBorders>
            <w:vAlign w:val="center"/>
          </w:tcPr>
          <w:p w14:paraId="3E44D85C">
            <w:pPr>
              <w:widowControl/>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kern w:val="0"/>
                <w:szCs w:val="21"/>
              </w:rPr>
              <w:t>评标委员会按本章第</w:t>
            </w:r>
            <w:r>
              <w:rPr>
                <w:rFonts w:cs="宋体" w:asciiTheme="minorEastAsia" w:hAnsiTheme="minorEastAsia" w:eastAsiaTheme="minorEastAsia"/>
                <w:kern w:val="0"/>
                <w:szCs w:val="21"/>
              </w:rPr>
              <w:t>2.2款规定的量化因素和标准计算出评标价。</w:t>
            </w:r>
          </w:p>
        </w:tc>
      </w:tr>
      <w:tr w14:paraId="204006B3">
        <w:tblPrEx>
          <w:tblCellMar>
            <w:top w:w="0" w:type="dxa"/>
            <w:left w:w="108" w:type="dxa"/>
            <w:bottom w:w="0" w:type="dxa"/>
            <w:right w:w="108" w:type="dxa"/>
          </w:tblCellMar>
        </w:tblPrEx>
        <w:trPr>
          <w:trHeight w:val="6459" w:hRule="atLeast"/>
        </w:trPr>
        <w:tc>
          <w:tcPr>
            <w:tcW w:w="709" w:type="dxa"/>
            <w:vMerge w:val="continue"/>
            <w:tcBorders>
              <w:top w:val="single" w:color="auto" w:sz="4" w:space="0"/>
              <w:left w:val="single" w:color="auto" w:sz="4" w:space="0"/>
              <w:bottom w:val="single" w:color="auto" w:sz="4" w:space="0"/>
              <w:right w:val="single" w:color="000000" w:sz="4" w:space="0"/>
            </w:tcBorders>
            <w:vAlign w:val="center"/>
          </w:tcPr>
          <w:p w14:paraId="5CDF6D27">
            <w:pPr>
              <w:widowControl/>
              <w:adjustRightInd w:val="0"/>
              <w:snapToGrid w:val="0"/>
              <w:spacing w:line="400" w:lineRule="exact"/>
              <w:jc w:val="center"/>
              <w:rPr>
                <w:rFonts w:cs="宋体" w:asciiTheme="minorEastAsia" w:hAnsiTheme="minorEastAsia" w:eastAsiaTheme="minorEastAsia"/>
                <w:kern w:val="0"/>
                <w:szCs w:val="21"/>
              </w:rPr>
            </w:pPr>
          </w:p>
        </w:tc>
        <w:tc>
          <w:tcPr>
            <w:tcW w:w="773" w:type="dxa"/>
            <w:tcBorders>
              <w:top w:val="single" w:color="auto" w:sz="4" w:space="0"/>
              <w:left w:val="nil"/>
              <w:bottom w:val="single" w:color="auto" w:sz="4" w:space="0"/>
              <w:right w:val="single" w:color="000000" w:sz="4" w:space="0"/>
            </w:tcBorders>
            <w:vAlign w:val="center"/>
          </w:tcPr>
          <w:p w14:paraId="3A0DEA71">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3.4.2</w:t>
            </w:r>
          </w:p>
        </w:tc>
        <w:tc>
          <w:tcPr>
            <w:tcW w:w="7336" w:type="dxa"/>
            <w:gridSpan w:val="3"/>
            <w:tcBorders>
              <w:top w:val="single" w:color="auto" w:sz="4" w:space="0"/>
              <w:left w:val="nil"/>
              <w:bottom w:val="single" w:color="auto" w:sz="4" w:space="0"/>
              <w:right w:val="single" w:color="000000" w:sz="4" w:space="0"/>
            </w:tcBorders>
            <w:vAlign w:val="center"/>
          </w:tcPr>
          <w:p w14:paraId="043D9746">
            <w:pPr>
              <w:widowControl/>
              <w:adjustRightInd w:val="0"/>
              <w:snapToGrid w:val="0"/>
              <w:spacing w:line="40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评标委员会认定投标人以低于成本报价的，其投标将予以否决。</w:t>
            </w:r>
          </w:p>
          <w:p w14:paraId="6FB40C49">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投标人的报价（总价）明显低于其他投标报价的量化评审办法：</w:t>
            </w:r>
          </w:p>
          <w:p w14:paraId="13E04467">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（1）对低于该项目（标段）最高限价</w:t>
            </w:r>
            <w:r>
              <w:rPr>
                <w:rFonts w:hint="eastAsia" w:cs="宋体" w:asciiTheme="minorEastAsia" w:hAnsiTheme="minorEastAsia" w:eastAsiaTheme="minorEastAsia"/>
                <w:b w:val="0"/>
                <w:kern w:val="0"/>
                <w:sz w:val="21"/>
                <w:szCs w:val="21"/>
                <w:u w:val="single"/>
              </w:rPr>
              <w:t xml:space="preserve">      </w:t>
            </w:r>
            <w:r>
              <w:rPr>
                <w:rFonts w:hint="eastAsia" w:cs="宋体" w:asciiTheme="minorEastAsia" w:hAnsiTheme="minorEastAsia" w:eastAsiaTheme="minorEastAsia"/>
                <w:kern w:val="0"/>
                <w:sz w:val="21"/>
                <w:szCs w:val="21"/>
              </w:rPr>
              <w:t>并且低于该项目（标段）所有投标人投标报价算术平均值</w:t>
            </w:r>
            <w:r>
              <w:rPr>
                <w:rFonts w:hint="eastAsia" w:cs="宋体" w:asciiTheme="minorEastAsia" w:hAnsiTheme="minorEastAsia" w:eastAsiaTheme="minorEastAsia"/>
                <w:b w:val="0"/>
                <w:kern w:val="0"/>
                <w:sz w:val="21"/>
                <w:szCs w:val="21"/>
                <w:u w:val="single"/>
              </w:rPr>
              <w:t xml:space="preserve">      </w:t>
            </w:r>
            <w:r>
              <w:rPr>
                <w:rFonts w:hint="eastAsia" w:cs="宋体" w:asciiTheme="minorEastAsia" w:hAnsiTheme="minorEastAsia" w:eastAsiaTheme="minorEastAsia"/>
                <w:kern w:val="0"/>
                <w:sz w:val="21"/>
                <w:szCs w:val="21"/>
              </w:rPr>
              <w:t>的投标报价作为可能低于成本的评审对象。</w:t>
            </w:r>
          </w:p>
          <w:p w14:paraId="712015ED">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（2）评标委员会对该投标人报价的单价等进行分析，对明显偏低的单项（不包括没有报价的单项）应当向其发出澄清函，要求该投标人作出书面说明并提供相关证明材料。</w:t>
            </w:r>
          </w:p>
          <w:p w14:paraId="40005422">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评标委员会全体成员三分之二以上认为该投标人不能合理说明或者不能提供相关证明材料的，认定该投标人以低于成本报价竞标，其投标应作废标处理。持有异议的评标委员会成员可以书面方式阐述其不同意见和理由，拒绝签字且不陈述其不同意见和理由的，视为同意。</w:t>
            </w:r>
          </w:p>
          <w:p w14:paraId="2C9F7178">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注：1.所有投标人是指通过初步评审的所有有效投标人。</w:t>
            </w:r>
          </w:p>
          <w:p w14:paraId="4F16E475">
            <w:pPr>
              <w:widowControl/>
              <w:spacing w:line="400" w:lineRule="exact"/>
              <w:ind w:firstLine="210" w:firstLineChars="100"/>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2.本条只适用于经评审的最低投标价法。</w:t>
            </w:r>
          </w:p>
          <w:p w14:paraId="6AEF1E63">
            <w:pPr>
              <w:widowControl/>
              <w:adjustRightInd w:val="0"/>
              <w:snapToGrid w:val="0"/>
              <w:spacing w:line="40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 w:val="21"/>
                <w:szCs w:val="21"/>
              </w:rPr>
              <w:t>3.招标人可根椐项目实际情况对是否明显低于其他投标报价的量化评审办法第（1）条中“并且低于该项目（标段）所有投标人投标报价算术平均值”的百分比，招标人可以根椐项目的规模和性质在90</w:t>
            </w:r>
            <w:r>
              <w:rPr>
                <w:rFonts w:hint="eastAsia" w:cs="宋体" w:asciiTheme="minorEastAsia" w:hAnsiTheme="minorEastAsia" w:eastAsiaTheme="minorEastAsia"/>
                <w:kern w:val="0"/>
                <w:sz w:val="21"/>
                <w:szCs w:val="21"/>
                <w:lang w:val="en-US" w:eastAsia="zh-CN"/>
              </w:rPr>
              <w:t>%~95</w:t>
            </w:r>
            <w:r>
              <w:rPr>
                <w:rFonts w:hint="eastAsia" w:cs="宋体" w:asciiTheme="minorEastAsia" w:hAnsiTheme="minorEastAsia" w:eastAsiaTheme="minorEastAsia"/>
                <w:kern w:val="0"/>
                <w:sz w:val="21"/>
                <w:szCs w:val="21"/>
              </w:rPr>
              <w:t>% 中间取一合理的数值。</w:t>
            </w:r>
          </w:p>
        </w:tc>
      </w:tr>
      <w:tr w14:paraId="5B269D25">
        <w:tblPrEx>
          <w:tblCellMar>
            <w:top w:w="0" w:type="dxa"/>
            <w:left w:w="108" w:type="dxa"/>
            <w:bottom w:w="0" w:type="dxa"/>
            <w:right w:w="108" w:type="dxa"/>
          </w:tblCellMar>
        </w:tblPrEx>
        <w:trPr>
          <w:trHeight w:val="502"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411A2E39">
            <w:pPr>
              <w:widowControl/>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3.5</w:t>
            </w:r>
          </w:p>
          <w:p w14:paraId="3C646E6D">
            <w:pPr>
              <w:widowControl/>
              <w:adjustRightInd w:val="0"/>
              <w:snapToGrid w:val="0"/>
              <w:spacing w:line="400" w:lineRule="exact"/>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投标文件相关信息</w:t>
            </w:r>
            <w:r>
              <w:rPr>
                <w:rFonts w:hint="eastAsia" w:asciiTheme="minorEastAsia" w:hAnsiTheme="minorEastAsia" w:eastAsiaTheme="minorEastAsia"/>
                <w:szCs w:val="21"/>
                <w:lang w:val="en-US" w:eastAsia="zh-CN"/>
              </w:rPr>
              <w:t>的</w:t>
            </w:r>
            <w:r>
              <w:rPr>
                <w:rFonts w:hint="eastAsia" w:asciiTheme="minorEastAsia" w:hAnsiTheme="minorEastAsia" w:eastAsiaTheme="minorEastAsia"/>
                <w:szCs w:val="21"/>
              </w:rPr>
              <w:t>核查</w:t>
            </w:r>
          </w:p>
        </w:tc>
        <w:tc>
          <w:tcPr>
            <w:tcW w:w="773" w:type="dxa"/>
            <w:tcBorders>
              <w:top w:val="single" w:color="auto" w:sz="4" w:space="0"/>
              <w:left w:val="single" w:color="auto" w:sz="4" w:space="0"/>
              <w:bottom w:val="single" w:color="auto" w:sz="4" w:space="0"/>
              <w:right w:val="single" w:color="auto" w:sz="4" w:space="0"/>
            </w:tcBorders>
            <w:vAlign w:val="center"/>
          </w:tcPr>
          <w:p w14:paraId="7C218991">
            <w:pPr>
              <w:widowControl/>
              <w:adjustRightInd w:val="0"/>
              <w:snapToGrid w:val="0"/>
              <w:spacing w:line="40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3.5.1</w:t>
            </w:r>
          </w:p>
        </w:tc>
        <w:tc>
          <w:tcPr>
            <w:tcW w:w="7336" w:type="dxa"/>
            <w:gridSpan w:val="3"/>
            <w:tcBorders>
              <w:top w:val="single" w:color="auto" w:sz="4" w:space="0"/>
              <w:bottom w:val="single" w:color="auto" w:sz="4" w:space="0"/>
              <w:right w:val="single" w:color="auto" w:sz="4" w:space="0"/>
            </w:tcBorders>
            <w:vAlign w:val="center"/>
          </w:tcPr>
          <w:p w14:paraId="456556FE">
            <w:pPr>
              <w:widowControl/>
              <w:adjustRightInd w:val="0"/>
              <w:snapToGrid w:val="0"/>
              <w:spacing w:line="400" w:lineRule="exact"/>
              <w:rPr>
                <w:rFonts w:asciiTheme="minorEastAsia" w:hAnsiTheme="minorEastAsia" w:eastAsiaTheme="minorEastAsia"/>
                <w:szCs w:val="21"/>
              </w:rPr>
            </w:pPr>
            <w:r>
              <w:rPr>
                <w:rFonts w:hint="eastAsia" w:ascii="宋体" w:hAnsi="宋体" w:cs="宋体"/>
                <w:szCs w:val="21"/>
              </w:rPr>
              <w:t>经核实评标委员会认定投标人按招标文件第九章“投标文件格式”要求在投标文件中提供的信息与</w:t>
            </w:r>
            <w:r>
              <w:rPr>
                <w:rFonts w:hint="eastAsia" w:ascii="宋体" w:hAnsi="宋体"/>
                <w:szCs w:val="21"/>
              </w:rPr>
              <w:t>交通运输主管部门</w:t>
            </w:r>
            <w:r>
              <w:rPr>
                <w:rFonts w:ascii="宋体" w:hAnsi="宋体"/>
                <w:szCs w:val="21"/>
              </w:rPr>
              <w:t>“</w:t>
            </w:r>
            <w:r>
              <w:rPr>
                <w:rFonts w:hint="eastAsia" w:ascii="宋体" w:hAnsi="宋体" w:cs="宋体"/>
                <w:szCs w:val="21"/>
              </w:rPr>
              <w:t>全国公路建设市场监督管理系统</w:t>
            </w:r>
            <w:r>
              <w:rPr>
                <w:rFonts w:ascii="宋体" w:hAnsi="宋体"/>
                <w:szCs w:val="21"/>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号）要求，招标人应通过名录对投标人资质条件进行审核的公路施工企业。）以及“信用交通·四川”等相关网站发布的信息不符</w:t>
            </w:r>
            <w:r>
              <w:rPr>
                <w:rFonts w:hint="eastAsia" w:ascii="宋体" w:hAnsi="宋体" w:cs="宋体"/>
                <w:szCs w:val="21"/>
              </w:rPr>
              <w:t>，使得投标人的资格条件不符合招标文件规定的，评标委员会应否决其投标</w:t>
            </w:r>
            <w:r>
              <w:rPr>
                <w:rFonts w:hint="eastAsia" w:asciiTheme="minorEastAsia" w:hAnsiTheme="minorEastAsia" w:eastAsiaTheme="minorEastAsia"/>
                <w:szCs w:val="21"/>
              </w:rPr>
              <w:t>。</w:t>
            </w:r>
          </w:p>
        </w:tc>
      </w:tr>
      <w:tr w14:paraId="62DBCA7C">
        <w:tblPrEx>
          <w:tblCellMar>
            <w:top w:w="0" w:type="dxa"/>
            <w:left w:w="108" w:type="dxa"/>
            <w:bottom w:w="0" w:type="dxa"/>
            <w:right w:w="108" w:type="dxa"/>
          </w:tblCellMar>
        </w:tblPrEx>
        <w:trPr>
          <w:trHeight w:val="595" w:hRule="atLeast"/>
        </w:trPr>
        <w:tc>
          <w:tcPr>
            <w:tcW w:w="709" w:type="dxa"/>
            <w:vMerge w:val="continue"/>
            <w:tcBorders>
              <w:top w:val="single" w:color="auto" w:sz="4" w:space="0"/>
              <w:left w:val="single" w:color="000000" w:sz="4" w:space="0"/>
              <w:bottom w:val="single" w:color="000000" w:sz="4" w:space="0"/>
              <w:right w:val="single" w:color="000000" w:sz="4" w:space="0"/>
            </w:tcBorders>
            <w:vAlign w:val="center"/>
          </w:tcPr>
          <w:p w14:paraId="3E485D78">
            <w:pPr>
              <w:widowControl/>
              <w:adjustRightInd w:val="0"/>
              <w:snapToGrid w:val="0"/>
              <w:spacing w:line="400" w:lineRule="exact"/>
              <w:jc w:val="center"/>
              <w:rPr>
                <w:rFonts w:cs="宋体" w:asciiTheme="minorEastAsia" w:hAnsiTheme="minorEastAsia" w:eastAsiaTheme="minorEastAsia"/>
                <w:kern w:val="0"/>
                <w:szCs w:val="21"/>
              </w:rPr>
            </w:pPr>
          </w:p>
        </w:tc>
        <w:tc>
          <w:tcPr>
            <w:tcW w:w="773" w:type="dxa"/>
            <w:tcBorders>
              <w:top w:val="single" w:color="auto" w:sz="4" w:space="0"/>
              <w:left w:val="nil"/>
              <w:bottom w:val="single" w:color="000000" w:sz="4" w:space="0"/>
              <w:right w:val="single" w:color="000000" w:sz="4" w:space="0"/>
            </w:tcBorders>
            <w:vAlign w:val="center"/>
          </w:tcPr>
          <w:p w14:paraId="6A03D19C">
            <w:pPr>
              <w:widowControl/>
              <w:adjustRightInd w:val="0"/>
              <w:snapToGrid w:val="0"/>
              <w:spacing w:line="400" w:lineRule="exact"/>
              <w:jc w:val="center"/>
              <w:rPr>
                <w:rFonts w:cs="宋体" w:asciiTheme="minorEastAsia" w:hAnsiTheme="minorEastAsia" w:eastAsiaTheme="minorEastAsia"/>
                <w:kern w:val="0"/>
                <w:szCs w:val="21"/>
              </w:rPr>
            </w:pPr>
            <w:r>
              <w:rPr>
                <w:rFonts w:asciiTheme="minorEastAsia" w:hAnsiTheme="minorEastAsia" w:eastAsiaTheme="minorEastAsia"/>
                <w:szCs w:val="21"/>
              </w:rPr>
              <w:t>3.5.2</w:t>
            </w:r>
          </w:p>
        </w:tc>
        <w:tc>
          <w:tcPr>
            <w:tcW w:w="7336" w:type="dxa"/>
            <w:gridSpan w:val="3"/>
            <w:tcBorders>
              <w:top w:val="single" w:color="auto" w:sz="4" w:space="0"/>
              <w:left w:val="nil"/>
              <w:bottom w:val="single" w:color="000000" w:sz="4" w:space="0"/>
              <w:right w:val="single" w:color="000000" w:sz="4" w:space="0"/>
            </w:tcBorders>
            <w:vAlign w:val="center"/>
          </w:tcPr>
          <w:p w14:paraId="0C6B0733">
            <w:pPr>
              <w:widowControl/>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评标委员会在评标过程中发现投标人存在</w:t>
            </w:r>
            <w:r>
              <w:rPr>
                <w:rFonts w:hint="eastAsia" w:asciiTheme="minorEastAsia" w:hAnsiTheme="minorEastAsia" w:eastAsiaTheme="minorEastAsia"/>
                <w:kern w:val="0"/>
                <w:szCs w:val="21"/>
              </w:rPr>
              <w:t>串通投标、弄虚作假、行贿等违法行为的</w:t>
            </w:r>
            <w:r>
              <w:rPr>
                <w:rFonts w:hint="eastAsia" w:asciiTheme="minorEastAsia" w:hAnsiTheme="minorEastAsia" w:eastAsiaTheme="minorEastAsia"/>
                <w:szCs w:val="21"/>
              </w:rPr>
              <w:t>，评标委员会应否决其投标。</w:t>
            </w:r>
          </w:p>
        </w:tc>
      </w:tr>
      <w:tr w14:paraId="5C5E491D">
        <w:tblPrEx>
          <w:tblCellMar>
            <w:top w:w="0" w:type="dxa"/>
            <w:left w:w="108" w:type="dxa"/>
            <w:bottom w:w="0" w:type="dxa"/>
            <w:right w:w="108"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0D9637D">
            <w:pPr>
              <w:widowControl/>
              <w:adjustRightInd w:val="0"/>
              <w:snapToGrid w:val="0"/>
              <w:spacing w:line="40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3.6</w:t>
            </w:r>
          </w:p>
          <w:p w14:paraId="1741F306">
            <w:pPr>
              <w:widowControl/>
              <w:adjustRightInd w:val="0"/>
              <w:snapToGrid w:val="0"/>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投标文件的澄清和说明</w:t>
            </w:r>
          </w:p>
        </w:tc>
        <w:tc>
          <w:tcPr>
            <w:tcW w:w="773" w:type="dxa"/>
            <w:tcBorders>
              <w:top w:val="single" w:color="000000" w:sz="4" w:space="0"/>
              <w:left w:val="nil"/>
              <w:bottom w:val="single" w:color="000000" w:sz="4" w:space="0"/>
              <w:right w:val="single" w:color="000000" w:sz="4" w:space="0"/>
            </w:tcBorders>
            <w:vAlign w:val="center"/>
          </w:tcPr>
          <w:p w14:paraId="413EE5ED">
            <w:pPr>
              <w:widowControl/>
              <w:adjustRightInd w:val="0"/>
              <w:snapToGrid w:val="0"/>
              <w:spacing w:line="400" w:lineRule="exact"/>
              <w:ind w:firstLine="0"/>
              <w:rPr>
                <w:rFonts w:cs="宋体" w:asciiTheme="minorEastAsia" w:hAnsiTheme="minorEastAsia" w:eastAsiaTheme="minorEastAsia"/>
                <w:kern w:val="0"/>
                <w:szCs w:val="21"/>
              </w:rPr>
            </w:pPr>
            <w:r>
              <w:rPr>
                <w:rFonts w:cs="宋体" w:asciiTheme="minorEastAsia" w:hAnsiTheme="minorEastAsia" w:eastAsiaTheme="minorEastAsia"/>
                <w:kern w:val="0"/>
                <w:szCs w:val="21"/>
              </w:rPr>
              <w:t>3.6.1</w:t>
            </w:r>
          </w:p>
        </w:tc>
        <w:tc>
          <w:tcPr>
            <w:tcW w:w="7336" w:type="dxa"/>
            <w:gridSpan w:val="3"/>
            <w:tcBorders>
              <w:top w:val="single" w:color="000000" w:sz="4" w:space="0"/>
              <w:left w:val="nil"/>
              <w:bottom w:val="single" w:color="000000" w:sz="4" w:space="0"/>
              <w:right w:val="single" w:color="000000" w:sz="4" w:space="0"/>
            </w:tcBorders>
            <w:vAlign w:val="center"/>
          </w:tcPr>
          <w:p w14:paraId="65080BFA">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1）在评标过程中，评标委员会通过“</w:t>
            </w:r>
            <w:r>
              <w:rPr>
                <w:rFonts w:hint="eastAsia" w:ascii="宋体" w:hAnsi="宋体"/>
                <w:sz w:val="21"/>
                <w:szCs w:val="21"/>
              </w:rPr>
              <w:t>乐山市公共资源交易服务平台电子招投标系统</w:t>
            </w:r>
            <w:r>
              <w:rPr>
                <w:rFonts w:cs="宋体" w:asciiTheme="minorEastAsia" w:hAnsiTheme="minorEastAsia" w:eastAsiaTheme="minorEastAsia"/>
                <w:szCs w:val="21"/>
              </w:rPr>
              <w:t>”要求投标人对投标文件中含义不明确的内容、明显文字或计算错误进行澄清或说明。评标委员会不接受投标人主动提出的澄清、说明。</w:t>
            </w:r>
          </w:p>
          <w:p w14:paraId="24C1C155">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2）投标人收到问题澄清通知后必须在规定时间内通过“</w:t>
            </w:r>
            <w:r>
              <w:rPr>
                <w:rFonts w:hint="eastAsia" w:ascii="宋体" w:hAnsi="宋体"/>
                <w:sz w:val="21"/>
                <w:szCs w:val="21"/>
              </w:rPr>
              <w:t>乐山市公共资源交易服务平台电子招投标系统</w:t>
            </w:r>
            <w:r>
              <w:rPr>
                <w:rFonts w:cs="宋体" w:asciiTheme="minorEastAsia" w:hAnsiTheme="minorEastAsia" w:eastAsiaTheme="minorEastAsia"/>
                <w:szCs w:val="21"/>
              </w:rPr>
              <w:t>”</w:t>
            </w:r>
            <w:r>
              <w:rPr>
                <w:rFonts w:hint="eastAsia" w:cs="宋体" w:asciiTheme="minorEastAsia" w:hAnsiTheme="minorEastAsia" w:eastAsiaTheme="minorEastAsia"/>
                <w:szCs w:val="21"/>
              </w:rPr>
              <w:t>给予澄清，投标人的澄清必须加盖投标人单位电子印章或法定代表人或其委托代理人的个人电子签名章或个人电子印章。</w:t>
            </w:r>
          </w:p>
          <w:p w14:paraId="15C76054">
            <w:pPr>
              <w:pStyle w:val="299"/>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3）投标人不按评标委员会要求澄清或说明的，评标委员会应否决其投标。</w:t>
            </w:r>
          </w:p>
        </w:tc>
      </w:tr>
      <w:tr w14:paraId="56C0AC27">
        <w:tblPrEx>
          <w:tblCellMar>
            <w:top w:w="0" w:type="dxa"/>
            <w:left w:w="108" w:type="dxa"/>
            <w:bottom w:w="0" w:type="dxa"/>
            <w:right w:w="108" w:type="dxa"/>
          </w:tblCellMar>
        </w:tblPrEx>
        <w:trPr>
          <w:trHeight w:val="992" w:hRule="atLeast"/>
        </w:trPr>
        <w:tc>
          <w:tcPr>
            <w:tcW w:w="8818" w:type="dxa"/>
            <w:gridSpan w:val="5"/>
            <w:tcBorders>
              <w:top w:val="single" w:color="000000" w:sz="4" w:space="0"/>
              <w:left w:val="single" w:color="000000" w:sz="4" w:space="0"/>
              <w:bottom w:val="single" w:color="000000" w:sz="4" w:space="0"/>
              <w:right w:val="single" w:color="000000" w:sz="4" w:space="0"/>
            </w:tcBorders>
            <w:vAlign w:val="center"/>
          </w:tcPr>
          <w:p w14:paraId="3D02E0ED">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需要补充的</w:t>
            </w:r>
            <w:r>
              <w:rPr>
                <w:rFonts w:cs="宋体" w:asciiTheme="minorEastAsia" w:hAnsiTheme="minorEastAsia" w:eastAsiaTheme="minorEastAsia"/>
                <w:szCs w:val="21"/>
              </w:rPr>
              <w:t>其他内容：</w:t>
            </w:r>
          </w:p>
          <w:p w14:paraId="47AAB911">
            <w:pPr>
              <w:pStyle w:val="299"/>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w:t>
            </w:r>
          </w:p>
        </w:tc>
      </w:tr>
    </w:tbl>
    <w:p w14:paraId="09B5BE06">
      <w:pPr>
        <w:widowControl/>
        <w:spacing w:line="400" w:lineRule="atLeast"/>
        <w:ind w:firstLine="240"/>
        <w:jc w:val="center"/>
        <w:rPr>
          <w:rFonts w:ascii="宋体" w:hAnsi="宋体" w:cs="宋体"/>
          <w:kern w:val="0"/>
          <w:sz w:val="24"/>
        </w:rPr>
        <w:sectPr>
          <w:footnotePr>
            <w:numFmt w:val="decimalEnclosedCircleChinese"/>
            <w:numRestart w:val="eachPage"/>
          </w:footnotePr>
          <w:type w:val="continuous"/>
          <w:pgSz w:w="11910" w:h="16840"/>
          <w:pgMar w:top="1418" w:right="1418" w:bottom="1418" w:left="1701" w:header="851" w:footer="624" w:gutter="0"/>
          <w:cols w:space="720" w:num="1"/>
          <w:docGrid w:linePitch="312" w:charSpace="0"/>
        </w:sectPr>
      </w:pPr>
    </w:p>
    <w:p w14:paraId="22E61862">
      <w:pPr>
        <w:pStyle w:val="3"/>
        <w:adjustRightInd w:val="0"/>
        <w:snapToGrid w:val="0"/>
        <w:spacing w:before="0" w:beforeLines="0" w:after="0" w:afterLines="0" w:line="360" w:lineRule="auto"/>
        <w:jc w:val="both"/>
        <w:rPr>
          <w:rStyle w:val="128"/>
          <w:rFonts w:ascii="黑体" w:hAnsi="黑体" w:cs="黑体"/>
          <w:b/>
          <w:bCs/>
          <w:kern w:val="2"/>
          <w:sz w:val="30"/>
          <w:szCs w:val="30"/>
        </w:rPr>
      </w:pPr>
      <w:bookmarkStart w:id="684" w:name="_Toc53685698"/>
      <w:r>
        <w:rPr>
          <w:rStyle w:val="128"/>
          <w:rFonts w:ascii="黑体" w:hAnsi="黑体" w:cs="黑体"/>
          <w:b/>
          <w:bCs w:val="0"/>
          <w:sz w:val="30"/>
          <w:szCs w:val="30"/>
        </w:rPr>
        <w:t>评标办法（经评审的最低投标价法正文）</w:t>
      </w:r>
      <w:bookmarkEnd w:id="684"/>
    </w:p>
    <w:p w14:paraId="26A7490C">
      <w:pPr>
        <w:pStyle w:val="2"/>
        <w:spacing w:before="360" w:after="240" w:line="240" w:lineRule="atLeast"/>
        <w:rPr>
          <w:rFonts w:ascii="黑体"/>
          <w:b/>
          <w:bCs w:val="0"/>
          <w:sz w:val="28"/>
          <w:szCs w:val="28"/>
        </w:rPr>
      </w:pPr>
      <w:bookmarkStart w:id="685" w:name="_Toc53685699"/>
      <w:r>
        <w:rPr>
          <w:rFonts w:ascii="黑体"/>
          <w:b/>
          <w:bCs w:val="0"/>
          <w:sz w:val="28"/>
          <w:szCs w:val="28"/>
        </w:rPr>
        <w:t xml:space="preserve">1. </w:t>
      </w:r>
      <w:r>
        <w:rPr>
          <w:rFonts w:hint="eastAsia" w:ascii="黑体"/>
          <w:b/>
          <w:bCs w:val="0"/>
          <w:sz w:val="28"/>
          <w:szCs w:val="28"/>
        </w:rPr>
        <w:t>评标方法</w:t>
      </w:r>
      <w:bookmarkEnd w:id="685"/>
      <w:r>
        <w:rPr>
          <w:rFonts w:ascii="黑体"/>
          <w:b/>
          <w:bCs w:val="0"/>
          <w:sz w:val="28"/>
          <w:szCs w:val="28"/>
        </w:rPr>
        <w:t xml:space="preserve"> </w:t>
      </w:r>
    </w:p>
    <w:p w14:paraId="3DEE5579">
      <w:pPr>
        <w:widowControl/>
        <w:spacing w:line="360" w:lineRule="auto"/>
        <w:ind w:firstLine="480" w:firstLineChars="200"/>
        <w:rPr>
          <w:rFonts w:ascii="宋体" w:hAnsi="宋体"/>
          <w:kern w:val="0"/>
          <w:sz w:val="24"/>
        </w:rPr>
      </w:pPr>
      <w:r>
        <w:rPr>
          <w:rFonts w:hint="eastAsia" w:ascii="宋体" w:hAnsi="宋体"/>
          <w:kern w:val="0"/>
          <w:sz w:val="24"/>
        </w:rPr>
        <w:t>本次评标采用经评审的最低投标价法。评标委员会对满足招标文件实质性要求的投标文件，根据本章第</w:t>
      </w:r>
      <w:r>
        <w:rPr>
          <w:rFonts w:ascii="宋体" w:hAnsi="宋体"/>
          <w:kern w:val="0"/>
          <w:sz w:val="24"/>
        </w:rPr>
        <w:t>2.2</w:t>
      </w:r>
      <w:r>
        <w:rPr>
          <w:rFonts w:hint="eastAsia" w:ascii="宋体" w:hAnsi="宋体"/>
          <w:kern w:val="0"/>
          <w:sz w:val="24"/>
        </w:rPr>
        <w:t>款规定的量化因素及量化标准进行价格评审，按照经评审的投标价由低到高的顺序推荐中标候选人，或根据招标人授权直接确定中标人，但投标报价低于其成本的除外。经评审的投标价相等时，评标委员会应按照评标办法前附表规定的优先次序推荐中标候选人或确定中标人。</w:t>
      </w:r>
      <w:r>
        <w:rPr>
          <w:rFonts w:ascii="宋体" w:hAnsi="宋体"/>
          <w:kern w:val="0"/>
          <w:sz w:val="24"/>
        </w:rPr>
        <w:t xml:space="preserve"> </w:t>
      </w:r>
    </w:p>
    <w:p w14:paraId="3C018E8B">
      <w:pPr>
        <w:pStyle w:val="2"/>
        <w:spacing w:before="360" w:after="240" w:line="240" w:lineRule="atLeast"/>
        <w:rPr>
          <w:rFonts w:ascii="黑体"/>
          <w:b/>
          <w:bCs w:val="0"/>
          <w:sz w:val="28"/>
          <w:szCs w:val="28"/>
        </w:rPr>
      </w:pPr>
      <w:bookmarkStart w:id="686" w:name="_Toc53685700"/>
      <w:r>
        <w:rPr>
          <w:rFonts w:ascii="黑体"/>
          <w:b/>
          <w:bCs w:val="0"/>
          <w:sz w:val="28"/>
          <w:szCs w:val="28"/>
        </w:rPr>
        <w:t xml:space="preserve">2. </w:t>
      </w:r>
      <w:r>
        <w:rPr>
          <w:rFonts w:hint="eastAsia" w:ascii="黑体"/>
          <w:b/>
          <w:bCs w:val="0"/>
          <w:sz w:val="28"/>
          <w:szCs w:val="28"/>
        </w:rPr>
        <w:t>评审标准</w:t>
      </w:r>
      <w:bookmarkEnd w:id="686"/>
      <w:r>
        <w:rPr>
          <w:rFonts w:ascii="黑体"/>
          <w:b/>
          <w:bCs w:val="0"/>
          <w:sz w:val="28"/>
          <w:szCs w:val="28"/>
        </w:rPr>
        <w:t xml:space="preserve"> </w:t>
      </w:r>
    </w:p>
    <w:p w14:paraId="5119323E">
      <w:pPr>
        <w:pStyle w:val="2"/>
        <w:spacing w:before="0" w:after="0" w:line="360" w:lineRule="auto"/>
        <w:rPr>
          <w:rFonts w:hint="eastAsia" w:ascii="黑体"/>
          <w:b w:val="0"/>
          <w:sz w:val="28"/>
          <w:szCs w:val="28"/>
        </w:rPr>
      </w:pPr>
      <w:bookmarkStart w:id="687" w:name="_Toc53685701"/>
      <w:r>
        <w:rPr>
          <w:rFonts w:hint="eastAsia" w:ascii="黑体"/>
          <w:b w:val="0"/>
          <w:sz w:val="28"/>
          <w:szCs w:val="28"/>
        </w:rPr>
        <w:t>2.1 初步评审标准</w:t>
      </w:r>
      <w:bookmarkEnd w:id="687"/>
      <w:r>
        <w:rPr>
          <w:rFonts w:hint="eastAsia" w:ascii="黑体"/>
          <w:b w:val="0"/>
          <w:sz w:val="28"/>
          <w:szCs w:val="28"/>
        </w:rPr>
        <w:t xml:space="preserve"> </w:t>
      </w:r>
    </w:p>
    <w:p w14:paraId="0A42AE3E">
      <w:pPr>
        <w:widowControl/>
        <w:spacing w:line="360" w:lineRule="auto"/>
        <w:ind w:firstLine="480" w:firstLineChars="200"/>
        <w:rPr>
          <w:rFonts w:ascii="宋体" w:hAnsi="宋体" w:cs="宋体"/>
          <w:kern w:val="0"/>
          <w:sz w:val="24"/>
        </w:rPr>
      </w:pPr>
      <w:r>
        <w:rPr>
          <w:rFonts w:ascii="宋体" w:hAnsi="宋体" w:cs="宋体"/>
          <w:bCs/>
          <w:kern w:val="0"/>
          <w:sz w:val="24"/>
        </w:rPr>
        <w:t xml:space="preserve">2.1.1 </w:t>
      </w:r>
      <w:r>
        <w:rPr>
          <w:rFonts w:hint="eastAsia" w:ascii="宋体" w:hAnsi="宋体" w:cs="宋体"/>
          <w:kern w:val="0"/>
          <w:sz w:val="24"/>
        </w:rPr>
        <w:t>形式评审标准：见评标办法前附表。</w:t>
      </w:r>
    </w:p>
    <w:p w14:paraId="4A0A3415">
      <w:pPr>
        <w:widowControl/>
        <w:spacing w:line="360" w:lineRule="auto"/>
        <w:ind w:firstLine="480" w:firstLineChars="200"/>
        <w:rPr>
          <w:rFonts w:ascii="宋体" w:hAnsi="宋体" w:cs="宋体"/>
          <w:kern w:val="0"/>
          <w:sz w:val="24"/>
        </w:rPr>
      </w:pPr>
      <w:r>
        <w:rPr>
          <w:rFonts w:ascii="宋体" w:hAnsi="宋体" w:cs="宋体"/>
          <w:bCs/>
          <w:kern w:val="0"/>
          <w:sz w:val="24"/>
        </w:rPr>
        <w:t>2.1.2</w:t>
      </w:r>
      <w:r>
        <w:rPr>
          <w:rFonts w:ascii="宋体" w:hAnsi="宋体" w:cs="宋体"/>
          <w:kern w:val="0"/>
          <w:sz w:val="24"/>
        </w:rPr>
        <w:t xml:space="preserve"> 资格评审标准：见评标办法前附表。</w:t>
      </w:r>
    </w:p>
    <w:p w14:paraId="0D903799">
      <w:pPr>
        <w:widowControl/>
        <w:spacing w:line="360" w:lineRule="auto"/>
        <w:ind w:firstLine="480" w:firstLineChars="200"/>
        <w:rPr>
          <w:rFonts w:ascii="宋体" w:hAnsi="宋体"/>
          <w:kern w:val="0"/>
          <w:sz w:val="24"/>
        </w:rPr>
      </w:pPr>
      <w:r>
        <w:rPr>
          <w:rFonts w:ascii="宋体" w:hAnsi="宋体"/>
          <w:bCs/>
          <w:kern w:val="0"/>
          <w:sz w:val="24"/>
        </w:rPr>
        <w:t>2.1.3</w:t>
      </w:r>
      <w:r>
        <w:rPr>
          <w:rFonts w:ascii="宋体" w:hAnsi="宋体"/>
          <w:kern w:val="0"/>
          <w:sz w:val="24"/>
        </w:rPr>
        <w:t xml:space="preserve"> 响应性评审标准：见评标办法前附表。</w:t>
      </w:r>
    </w:p>
    <w:p w14:paraId="195991E6">
      <w:pPr>
        <w:pStyle w:val="2"/>
        <w:spacing w:before="0" w:after="0" w:line="360" w:lineRule="auto"/>
        <w:rPr>
          <w:rFonts w:hint="eastAsia" w:ascii="黑体"/>
          <w:b w:val="0"/>
          <w:sz w:val="28"/>
          <w:szCs w:val="28"/>
        </w:rPr>
      </w:pPr>
      <w:bookmarkStart w:id="688" w:name="_Toc53685702"/>
      <w:r>
        <w:rPr>
          <w:rFonts w:hint="eastAsia" w:ascii="黑体"/>
          <w:b w:val="0"/>
          <w:sz w:val="28"/>
          <w:szCs w:val="28"/>
        </w:rPr>
        <w:t>2.2 详细评审标准</w:t>
      </w:r>
      <w:bookmarkEnd w:id="688"/>
      <w:r>
        <w:rPr>
          <w:rFonts w:hint="eastAsia" w:ascii="黑体"/>
          <w:b w:val="0"/>
          <w:sz w:val="28"/>
          <w:szCs w:val="28"/>
        </w:rPr>
        <w:t xml:space="preserve"> </w:t>
      </w:r>
    </w:p>
    <w:p w14:paraId="09D659BC">
      <w:pPr>
        <w:widowControl/>
        <w:spacing w:line="360" w:lineRule="auto"/>
        <w:ind w:firstLine="480" w:firstLineChars="200"/>
        <w:rPr>
          <w:rFonts w:ascii="宋体" w:hAnsi="宋体"/>
          <w:kern w:val="0"/>
          <w:sz w:val="24"/>
        </w:rPr>
      </w:pPr>
      <w:r>
        <w:rPr>
          <w:rFonts w:hint="eastAsia" w:ascii="宋体" w:hAnsi="宋体"/>
          <w:kern w:val="0"/>
          <w:sz w:val="24"/>
        </w:rPr>
        <w:t>详细评审标准：见评标办法前附表。</w:t>
      </w:r>
    </w:p>
    <w:p w14:paraId="20EDE03B">
      <w:pPr>
        <w:pStyle w:val="2"/>
        <w:spacing w:before="360" w:after="240" w:line="240" w:lineRule="atLeast"/>
        <w:rPr>
          <w:rFonts w:ascii="黑体"/>
          <w:b/>
          <w:bCs w:val="0"/>
          <w:sz w:val="28"/>
          <w:szCs w:val="28"/>
        </w:rPr>
      </w:pPr>
      <w:bookmarkStart w:id="689" w:name="_Toc53685703"/>
      <w:r>
        <w:rPr>
          <w:rFonts w:ascii="黑体"/>
          <w:b/>
          <w:bCs w:val="0"/>
          <w:sz w:val="28"/>
          <w:szCs w:val="28"/>
        </w:rPr>
        <w:t xml:space="preserve">3. </w:t>
      </w:r>
      <w:r>
        <w:rPr>
          <w:rFonts w:hint="eastAsia" w:ascii="黑体"/>
          <w:b/>
          <w:bCs w:val="0"/>
          <w:sz w:val="28"/>
          <w:szCs w:val="28"/>
        </w:rPr>
        <w:t>评标程序</w:t>
      </w:r>
      <w:bookmarkEnd w:id="689"/>
      <w:r>
        <w:rPr>
          <w:rFonts w:ascii="黑体"/>
          <w:b/>
          <w:bCs w:val="0"/>
          <w:sz w:val="28"/>
          <w:szCs w:val="28"/>
        </w:rPr>
        <w:t xml:space="preserve"> </w:t>
      </w:r>
    </w:p>
    <w:p w14:paraId="152E32BF">
      <w:pPr>
        <w:pStyle w:val="2"/>
        <w:spacing w:before="0" w:after="0" w:line="360" w:lineRule="auto"/>
        <w:rPr>
          <w:rFonts w:hint="eastAsia" w:ascii="黑体"/>
          <w:b w:val="0"/>
          <w:sz w:val="28"/>
          <w:szCs w:val="28"/>
        </w:rPr>
      </w:pPr>
      <w:bookmarkStart w:id="690" w:name="_Toc53685704"/>
      <w:r>
        <w:rPr>
          <w:rFonts w:hint="eastAsia" w:ascii="黑体"/>
          <w:b w:val="0"/>
          <w:sz w:val="28"/>
          <w:szCs w:val="28"/>
        </w:rPr>
        <w:t>3.1 第一个信封初步评审</w:t>
      </w:r>
      <w:bookmarkEnd w:id="690"/>
      <w:r>
        <w:rPr>
          <w:rFonts w:hint="eastAsia" w:ascii="黑体"/>
          <w:b w:val="0"/>
          <w:sz w:val="28"/>
          <w:szCs w:val="28"/>
        </w:rPr>
        <w:t xml:space="preserve"> </w:t>
      </w:r>
    </w:p>
    <w:p w14:paraId="15EDD8A2">
      <w:pPr>
        <w:widowControl/>
        <w:snapToGrid w:val="0"/>
        <w:spacing w:line="360" w:lineRule="auto"/>
        <w:ind w:firstLine="480"/>
        <w:rPr>
          <w:rFonts w:ascii="宋体" w:hAnsi="宋体"/>
          <w:kern w:val="0"/>
          <w:sz w:val="24"/>
        </w:rPr>
      </w:pPr>
      <w:r>
        <w:rPr>
          <w:rFonts w:ascii="宋体" w:hAnsi="宋体"/>
          <w:kern w:val="0"/>
          <w:sz w:val="24"/>
        </w:rPr>
        <w:t>3.1.1</w:t>
      </w:r>
      <w:r>
        <w:rPr>
          <w:rFonts w:hint="eastAsia" w:ascii="宋体" w:hAnsi="宋体"/>
          <w:kern w:val="0"/>
          <w:sz w:val="24"/>
          <w:lang w:val="en-US" w:eastAsia="zh-CN"/>
        </w:rPr>
        <w:t xml:space="preserve"> </w:t>
      </w:r>
      <w:r>
        <w:rPr>
          <w:rFonts w:hint="eastAsia" w:ascii="宋体" w:hAnsi="宋体"/>
          <w:kern w:val="0"/>
          <w:sz w:val="24"/>
        </w:rPr>
        <w:t>评标委员会依据本章第</w:t>
      </w:r>
      <w:r>
        <w:rPr>
          <w:rFonts w:ascii="宋体" w:hAnsi="宋体"/>
          <w:kern w:val="0"/>
          <w:sz w:val="24"/>
        </w:rPr>
        <w:t>2.1</w:t>
      </w:r>
      <w:r>
        <w:rPr>
          <w:rFonts w:hint="eastAsia" w:ascii="宋体" w:hAnsi="宋体"/>
          <w:kern w:val="0"/>
          <w:sz w:val="24"/>
        </w:rPr>
        <w:t>款规定的标准对投标文件第一个信封（商务及技术文件）进行初步评审。有一项不符合评审标准的，评标委员会应否决其投标。</w:t>
      </w:r>
      <w:r>
        <w:rPr>
          <w:rFonts w:ascii="宋体" w:hAnsi="宋体"/>
          <w:kern w:val="0"/>
          <w:sz w:val="24"/>
        </w:rPr>
        <w:t xml:space="preserve"> </w:t>
      </w:r>
    </w:p>
    <w:p w14:paraId="45129B97">
      <w:pPr>
        <w:pStyle w:val="2"/>
        <w:spacing w:before="0" w:after="0" w:line="360" w:lineRule="auto"/>
        <w:rPr>
          <w:rFonts w:hint="eastAsia" w:ascii="黑体"/>
          <w:b w:val="0"/>
          <w:sz w:val="28"/>
          <w:szCs w:val="28"/>
        </w:rPr>
      </w:pPr>
      <w:bookmarkStart w:id="691" w:name="_Toc53685705"/>
      <w:r>
        <w:rPr>
          <w:rFonts w:hint="eastAsia" w:ascii="黑体"/>
          <w:b w:val="0"/>
          <w:sz w:val="28"/>
          <w:szCs w:val="28"/>
        </w:rPr>
        <w:t>3.2 第二个信封开标</w:t>
      </w:r>
      <w:bookmarkEnd w:id="691"/>
      <w:r>
        <w:rPr>
          <w:rFonts w:hint="eastAsia" w:ascii="黑体"/>
          <w:b w:val="0"/>
          <w:sz w:val="28"/>
          <w:szCs w:val="28"/>
        </w:rPr>
        <w:t xml:space="preserve"> </w:t>
      </w:r>
    </w:p>
    <w:p w14:paraId="48AF71CB">
      <w:pPr>
        <w:widowControl/>
        <w:snapToGrid w:val="0"/>
        <w:spacing w:line="360" w:lineRule="auto"/>
        <w:ind w:firstLine="420"/>
        <w:rPr>
          <w:rFonts w:ascii="黑体"/>
          <w:sz w:val="24"/>
        </w:rPr>
      </w:pPr>
      <w:r>
        <w:rPr>
          <w:rFonts w:hint="eastAsia" w:ascii="宋体" w:hAnsi="宋体" w:cs="宋体"/>
          <w:kern w:val="0"/>
          <w:sz w:val="24"/>
        </w:rPr>
        <w:t>第一个信封（商务及技术文件）评审结束后，招标人将按照第二章“投标人须知”</w:t>
      </w:r>
      <w:r>
        <w:rPr>
          <w:rFonts w:ascii="宋体" w:hAnsi="宋体" w:cs="宋体"/>
          <w:kern w:val="0"/>
          <w:sz w:val="24"/>
        </w:rPr>
        <w:t xml:space="preserve"> </w:t>
      </w:r>
      <w:r>
        <w:rPr>
          <w:rFonts w:hint="eastAsia" w:ascii="宋体" w:hAnsi="宋体" w:cs="宋体"/>
          <w:kern w:val="0"/>
          <w:sz w:val="24"/>
        </w:rPr>
        <w:t>第</w:t>
      </w:r>
      <w:r>
        <w:rPr>
          <w:rFonts w:ascii="宋体" w:hAnsi="宋体"/>
          <w:kern w:val="0"/>
          <w:sz w:val="24"/>
        </w:rPr>
        <w:t>5.1</w:t>
      </w:r>
      <w:r>
        <w:rPr>
          <w:rFonts w:hint="eastAsia" w:ascii="宋体" w:hAnsi="宋体" w:cs="宋体"/>
          <w:kern w:val="0"/>
          <w:sz w:val="24"/>
        </w:rPr>
        <w:t>款规定的时间和地点对通过投标文件第一个信封（商务及技术文件）评审的投标文件第二个信封（报价文件）进行开标。</w:t>
      </w:r>
      <w:r>
        <w:rPr>
          <w:rFonts w:ascii="宋体" w:hAnsi="宋体" w:cs="宋体"/>
          <w:kern w:val="0"/>
          <w:sz w:val="24"/>
        </w:rPr>
        <w:t xml:space="preserve"> </w:t>
      </w:r>
      <w:bookmarkStart w:id="692" w:name="_Toc53685706"/>
    </w:p>
    <w:p w14:paraId="0DB95D83">
      <w:pPr>
        <w:pStyle w:val="2"/>
        <w:spacing w:before="0" w:after="0" w:line="360" w:lineRule="auto"/>
        <w:rPr>
          <w:rFonts w:hint="eastAsia" w:ascii="黑体"/>
          <w:b w:val="0"/>
          <w:sz w:val="28"/>
          <w:szCs w:val="28"/>
        </w:rPr>
      </w:pPr>
      <w:r>
        <w:rPr>
          <w:rFonts w:hint="eastAsia" w:ascii="黑体"/>
          <w:b w:val="0"/>
          <w:sz w:val="28"/>
          <w:szCs w:val="28"/>
        </w:rPr>
        <w:t>3.3 第二个信封初步评审</w:t>
      </w:r>
      <w:bookmarkEnd w:id="692"/>
      <w:r>
        <w:rPr>
          <w:rFonts w:hint="eastAsia" w:ascii="黑体"/>
          <w:b w:val="0"/>
          <w:sz w:val="28"/>
          <w:szCs w:val="28"/>
        </w:rPr>
        <w:t xml:space="preserve"> </w:t>
      </w:r>
    </w:p>
    <w:p w14:paraId="32228C6A">
      <w:pPr>
        <w:widowControl/>
        <w:snapToGrid w:val="0"/>
        <w:spacing w:line="360" w:lineRule="auto"/>
        <w:ind w:firstLine="420"/>
        <w:rPr>
          <w:rFonts w:ascii="宋体" w:hAnsi="宋体" w:cs="宋体"/>
          <w:kern w:val="0"/>
          <w:sz w:val="24"/>
        </w:rPr>
      </w:pPr>
      <w:r>
        <w:rPr>
          <w:rFonts w:ascii="宋体" w:hAnsi="宋体"/>
          <w:kern w:val="0"/>
          <w:sz w:val="24"/>
        </w:rPr>
        <w:t xml:space="preserve">3.3.1 </w:t>
      </w:r>
      <w:r>
        <w:rPr>
          <w:rFonts w:hint="eastAsia" w:ascii="宋体" w:hAnsi="宋体" w:cs="宋体"/>
          <w:kern w:val="0"/>
          <w:sz w:val="24"/>
        </w:rPr>
        <w:t>评标委员会依据本章第</w:t>
      </w:r>
      <w:r>
        <w:rPr>
          <w:rFonts w:ascii="宋体" w:hAnsi="宋体"/>
          <w:kern w:val="0"/>
          <w:sz w:val="24"/>
        </w:rPr>
        <w:t>2.1.1</w:t>
      </w:r>
      <w:r>
        <w:rPr>
          <w:rFonts w:hint="eastAsia" w:ascii="宋体" w:hAnsi="宋体" w:cs="宋体"/>
          <w:kern w:val="0"/>
          <w:sz w:val="24"/>
        </w:rPr>
        <w:t>项、第</w:t>
      </w:r>
      <w:r>
        <w:rPr>
          <w:rFonts w:ascii="宋体" w:hAnsi="宋体"/>
          <w:kern w:val="0"/>
          <w:sz w:val="24"/>
        </w:rPr>
        <w:t>2.1.3</w:t>
      </w:r>
      <w:r>
        <w:rPr>
          <w:rFonts w:hint="eastAsia" w:ascii="宋体" w:hAnsi="宋体" w:cs="宋体"/>
          <w:kern w:val="0"/>
          <w:sz w:val="24"/>
        </w:rPr>
        <w:t>项规定的评审标准对投标文件第二个信封（报价文件）进行初步评审。有一项不符合评审标准的，评标委员会应否决其投标。</w:t>
      </w:r>
      <w:r>
        <w:rPr>
          <w:rFonts w:ascii="宋体" w:hAnsi="宋体" w:cs="宋体"/>
          <w:kern w:val="0"/>
          <w:sz w:val="24"/>
        </w:rPr>
        <w:t xml:space="preserve"> </w:t>
      </w:r>
    </w:p>
    <w:p w14:paraId="4A4E629F">
      <w:pPr>
        <w:widowControl/>
        <w:snapToGrid w:val="0"/>
        <w:spacing w:line="360" w:lineRule="auto"/>
        <w:ind w:firstLine="420"/>
        <w:rPr>
          <w:rFonts w:ascii="宋体" w:hAnsi="宋体" w:cs="宋体"/>
          <w:kern w:val="0"/>
          <w:sz w:val="24"/>
        </w:rPr>
      </w:pPr>
      <w:r>
        <w:rPr>
          <w:rFonts w:ascii="宋体" w:hAnsi="宋体"/>
          <w:kern w:val="0"/>
          <w:sz w:val="24"/>
        </w:rPr>
        <w:t xml:space="preserve">3.3.2 </w:t>
      </w:r>
      <w:r>
        <w:rPr>
          <w:rFonts w:hint="eastAsia" w:ascii="宋体" w:hAnsi="宋体" w:cs="宋体"/>
          <w:kern w:val="0"/>
          <w:sz w:val="24"/>
        </w:rPr>
        <w:t>投标报价有算术错误的，评标委员会按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2EE585A5">
      <w:pPr>
        <w:widowControl/>
        <w:spacing w:line="360" w:lineRule="auto"/>
        <w:ind w:firstLine="480"/>
        <w:rPr>
          <w:rFonts w:ascii="宋体" w:hAnsi="宋体"/>
          <w:kern w:val="0"/>
          <w:sz w:val="24"/>
        </w:rPr>
      </w:pPr>
      <w:r>
        <w:rPr>
          <w:rFonts w:ascii="宋体" w:hAnsi="宋体"/>
          <w:kern w:val="0"/>
          <w:sz w:val="24"/>
        </w:rPr>
        <w:t xml:space="preserve">3.3.3 </w:t>
      </w:r>
      <w:r>
        <w:rPr>
          <w:rFonts w:hint="eastAsia" w:ascii="宋体" w:hAnsi="宋体" w:cs="宋体"/>
          <w:kern w:val="0"/>
          <w:sz w:val="24"/>
        </w:rPr>
        <w:t>价格清单中的投标报价有其他错误的，评标委员会按</w:t>
      </w:r>
      <w:r>
        <w:rPr>
          <w:rFonts w:hint="eastAsia" w:ascii="宋体" w:hAnsi="宋体"/>
          <w:sz w:val="24"/>
        </w:rPr>
        <w:t>评标办法前附表</w:t>
      </w:r>
      <w:r>
        <w:rPr>
          <w:rFonts w:hint="eastAsia" w:ascii="宋体" w:hAnsi="宋体" w:cs="宋体"/>
          <w:kern w:val="0"/>
          <w:sz w:val="24"/>
        </w:rPr>
        <w:t>原则对投标报价进行修正，修正的价格经投标人书面确认后具有约束力。投标人不接受修正价格的，评标委员会应否决其投标。</w:t>
      </w:r>
      <w:r>
        <w:rPr>
          <w:rFonts w:ascii="宋体" w:hAnsi="宋体" w:cs="宋体"/>
          <w:kern w:val="0"/>
          <w:sz w:val="24"/>
        </w:rPr>
        <w:t xml:space="preserve"> </w:t>
      </w:r>
    </w:p>
    <w:p w14:paraId="1C5EAAC3">
      <w:pPr>
        <w:widowControl/>
        <w:snapToGrid w:val="0"/>
        <w:spacing w:line="360" w:lineRule="auto"/>
        <w:ind w:firstLine="480"/>
        <w:rPr>
          <w:rFonts w:ascii="宋体" w:hAnsi="宋体"/>
          <w:kern w:val="0"/>
          <w:sz w:val="24"/>
        </w:rPr>
      </w:pPr>
      <w:r>
        <w:rPr>
          <w:rFonts w:ascii="宋体" w:hAnsi="宋体"/>
          <w:kern w:val="0"/>
          <w:sz w:val="24"/>
        </w:rPr>
        <w:t xml:space="preserve">3.3.4 </w:t>
      </w:r>
      <w:r>
        <w:rPr>
          <w:rFonts w:hint="eastAsia" w:ascii="宋体" w:hAnsi="宋体"/>
          <w:kern w:val="0"/>
          <w:sz w:val="24"/>
        </w:rPr>
        <w:t>修正后的最终投标报价若超过最高投标限价（如有），评标委员会应否决其投标。</w:t>
      </w:r>
      <w:r>
        <w:rPr>
          <w:rFonts w:ascii="宋体" w:hAnsi="宋体"/>
          <w:kern w:val="0"/>
          <w:sz w:val="24"/>
        </w:rPr>
        <w:t xml:space="preserve"> </w:t>
      </w:r>
    </w:p>
    <w:p w14:paraId="6A1D4829">
      <w:pPr>
        <w:pStyle w:val="2"/>
        <w:spacing w:before="0" w:after="0" w:line="360" w:lineRule="auto"/>
        <w:rPr>
          <w:rFonts w:hint="eastAsia" w:ascii="黑体"/>
          <w:b w:val="0"/>
          <w:sz w:val="28"/>
          <w:szCs w:val="28"/>
        </w:rPr>
      </w:pPr>
      <w:bookmarkStart w:id="693" w:name="_Toc53685707"/>
      <w:r>
        <w:rPr>
          <w:rFonts w:hint="eastAsia" w:ascii="黑体"/>
          <w:b w:val="0"/>
          <w:sz w:val="28"/>
          <w:szCs w:val="28"/>
        </w:rPr>
        <w:t>3.4 第二个信封详细评审</w:t>
      </w:r>
      <w:bookmarkEnd w:id="693"/>
      <w:r>
        <w:rPr>
          <w:rFonts w:hint="eastAsia" w:ascii="黑体"/>
          <w:b w:val="0"/>
          <w:sz w:val="28"/>
          <w:szCs w:val="28"/>
        </w:rPr>
        <w:t xml:space="preserve"> </w:t>
      </w:r>
    </w:p>
    <w:p w14:paraId="1AB4ADA1">
      <w:pPr>
        <w:widowControl/>
        <w:snapToGrid w:val="0"/>
        <w:spacing w:line="360" w:lineRule="auto"/>
        <w:ind w:firstLine="480"/>
        <w:rPr>
          <w:rFonts w:ascii="宋体" w:hAnsi="宋体"/>
          <w:kern w:val="0"/>
          <w:sz w:val="24"/>
        </w:rPr>
      </w:pPr>
      <w:r>
        <w:rPr>
          <w:rFonts w:ascii="宋体" w:hAnsi="宋体"/>
          <w:kern w:val="0"/>
          <w:sz w:val="24"/>
        </w:rPr>
        <w:t xml:space="preserve">3.4.1 </w:t>
      </w:r>
      <w:r>
        <w:rPr>
          <w:rFonts w:hint="eastAsia" w:ascii="宋体" w:hAnsi="宋体"/>
          <w:kern w:val="0"/>
          <w:sz w:val="24"/>
        </w:rPr>
        <w:t>评标委员会按本章第</w:t>
      </w:r>
      <w:r>
        <w:rPr>
          <w:rFonts w:ascii="宋体" w:hAnsi="宋体"/>
          <w:kern w:val="0"/>
          <w:sz w:val="24"/>
        </w:rPr>
        <w:t>2.2</w:t>
      </w:r>
      <w:r>
        <w:rPr>
          <w:rFonts w:hint="eastAsia" w:ascii="宋体" w:hAnsi="宋体"/>
          <w:kern w:val="0"/>
          <w:sz w:val="24"/>
        </w:rPr>
        <w:t>款规定的量化因素和标准进行价格评审，计算出经评审的投标价（即评标价），并编制价格比较一览表。</w:t>
      </w:r>
      <w:r>
        <w:rPr>
          <w:rFonts w:ascii="宋体" w:hAnsi="宋体"/>
          <w:kern w:val="0"/>
          <w:sz w:val="24"/>
        </w:rPr>
        <w:t xml:space="preserve"> </w:t>
      </w:r>
    </w:p>
    <w:p w14:paraId="6251F716">
      <w:pPr>
        <w:widowControl/>
        <w:snapToGrid w:val="0"/>
        <w:spacing w:line="360" w:lineRule="auto"/>
        <w:ind w:firstLine="480"/>
        <w:rPr>
          <w:rFonts w:ascii="宋体" w:hAnsi="宋体"/>
          <w:kern w:val="0"/>
          <w:sz w:val="24"/>
        </w:rPr>
      </w:pPr>
      <w:r>
        <w:rPr>
          <w:rFonts w:ascii="宋体" w:hAnsi="宋体"/>
          <w:kern w:val="0"/>
          <w:sz w:val="24"/>
        </w:rPr>
        <w:t xml:space="preserve">3.4.2 </w:t>
      </w:r>
      <w:r>
        <w:rPr>
          <w:rFonts w:hint="eastAsia" w:ascii="宋体" w:hAnsi="宋体"/>
          <w:kern w:val="0"/>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ascii="宋体" w:hAnsi="宋体"/>
          <w:kern w:val="0"/>
          <w:sz w:val="24"/>
        </w:rPr>
        <w:t xml:space="preserve"> </w:t>
      </w:r>
    </w:p>
    <w:p w14:paraId="2952FEEB">
      <w:pPr>
        <w:pStyle w:val="2"/>
        <w:spacing w:before="0" w:after="0" w:line="360" w:lineRule="auto"/>
        <w:rPr>
          <w:rFonts w:hint="eastAsia" w:ascii="黑体"/>
          <w:b w:val="0"/>
          <w:sz w:val="28"/>
          <w:szCs w:val="28"/>
        </w:rPr>
      </w:pPr>
      <w:bookmarkStart w:id="694" w:name="_Toc53685708"/>
      <w:r>
        <w:rPr>
          <w:rFonts w:hint="eastAsia" w:ascii="黑体"/>
          <w:b w:val="0"/>
          <w:sz w:val="28"/>
          <w:szCs w:val="28"/>
        </w:rPr>
        <w:t>3.5 投标文件相关信息的核查</w:t>
      </w:r>
      <w:bookmarkEnd w:id="694"/>
      <w:r>
        <w:rPr>
          <w:rFonts w:hint="eastAsia" w:ascii="黑体"/>
          <w:b w:val="0"/>
          <w:sz w:val="28"/>
          <w:szCs w:val="28"/>
        </w:rPr>
        <w:t xml:space="preserve"> </w:t>
      </w:r>
    </w:p>
    <w:p w14:paraId="63C0F78B">
      <w:pPr>
        <w:widowControl/>
        <w:snapToGrid w:val="0"/>
        <w:spacing w:line="360" w:lineRule="auto"/>
        <w:ind w:firstLine="480"/>
        <w:rPr>
          <w:rFonts w:ascii="宋体" w:hAnsi="宋体"/>
          <w:kern w:val="0"/>
          <w:sz w:val="24"/>
        </w:rPr>
      </w:pPr>
      <w:r>
        <w:rPr>
          <w:rFonts w:ascii="宋体" w:hAnsi="宋体"/>
          <w:kern w:val="0"/>
          <w:sz w:val="24"/>
        </w:rPr>
        <w:t xml:space="preserve">3.5.1 </w:t>
      </w:r>
      <w:r>
        <w:rPr>
          <w:rFonts w:hint="eastAsia" w:ascii="宋体" w:hAnsi="宋体"/>
          <w:kern w:val="0"/>
          <w:sz w:val="24"/>
        </w:rPr>
        <w:t>在评标过程中，评标委员会应查询交通运输主管部门“全国公路建设市场监督管理系统”，对投标人的资质、业绩、主要人员资历等信息进行核实</w:t>
      </w:r>
      <w:r>
        <w:rPr>
          <w:rFonts w:hint="eastAsia" w:ascii="宋体" w:hAnsi="宋体" w:cs="宋体"/>
          <w:sz w:val="24"/>
        </w:rPr>
        <w:t>，</w:t>
      </w:r>
      <w:r>
        <w:rPr>
          <w:rFonts w:hint="eastAsia" w:ascii="宋体" w:hAnsi="宋体"/>
          <w:kern w:val="0"/>
          <w:sz w:val="24"/>
        </w:rPr>
        <w:t>信用等级</w:t>
      </w:r>
      <w:r>
        <w:rPr>
          <w:rFonts w:hint="eastAsia" w:ascii="宋体" w:hAnsi="宋体"/>
          <w:sz w:val="24"/>
        </w:rPr>
        <w:t>信息应以“信用交通·四川”上查询结果为准</w:t>
      </w:r>
      <w:r>
        <w:rPr>
          <w:rFonts w:hint="eastAsia" w:ascii="宋体" w:hAnsi="宋体" w:cs="宋体"/>
          <w:sz w:val="24"/>
        </w:rPr>
        <w:t>。</w:t>
      </w:r>
      <w:r>
        <w:rPr>
          <w:rFonts w:hint="eastAsia" w:ascii="宋体" w:hAnsi="宋体"/>
          <w:kern w:val="0"/>
          <w:sz w:val="24"/>
        </w:rPr>
        <w:t>若投标文件载明的信息与上述</w:t>
      </w:r>
      <w:r>
        <w:rPr>
          <w:rFonts w:ascii="宋体" w:hAnsi="宋体"/>
          <w:kern w:val="0"/>
          <w:sz w:val="24"/>
        </w:rPr>
        <w:t>信息发布平台</w:t>
      </w:r>
      <w:r>
        <w:rPr>
          <w:rFonts w:hint="eastAsia" w:ascii="宋体" w:hAnsi="宋体"/>
          <w:kern w:val="0"/>
          <w:sz w:val="24"/>
        </w:rPr>
        <w:t>发布的信息不符，使得投标人的资格条件不符合招标文件规定的，评标委员会应否决其投标。</w:t>
      </w:r>
      <w:r>
        <w:rPr>
          <w:rFonts w:ascii="宋体" w:hAnsi="宋体"/>
          <w:kern w:val="0"/>
          <w:sz w:val="24"/>
        </w:rPr>
        <w:t xml:space="preserve"> </w:t>
      </w:r>
    </w:p>
    <w:p w14:paraId="2660DF80">
      <w:pPr>
        <w:widowControl/>
        <w:snapToGrid w:val="0"/>
        <w:spacing w:line="360" w:lineRule="auto"/>
        <w:ind w:firstLine="480"/>
        <w:rPr>
          <w:rFonts w:ascii="宋体" w:hAnsi="宋体"/>
          <w:kern w:val="0"/>
          <w:sz w:val="24"/>
        </w:rPr>
      </w:pPr>
      <w:r>
        <w:rPr>
          <w:rFonts w:ascii="宋体" w:hAnsi="宋体"/>
          <w:kern w:val="0"/>
          <w:sz w:val="24"/>
        </w:rPr>
        <w:t xml:space="preserve">3.5.2 </w:t>
      </w:r>
      <w:r>
        <w:rPr>
          <w:rFonts w:hint="eastAsia" w:ascii="宋体" w:hAnsi="宋体"/>
          <w:kern w:val="0"/>
          <w:sz w:val="24"/>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kern w:val="0"/>
          <w:sz w:val="24"/>
        </w:rPr>
        <w:t xml:space="preserve"> </w:t>
      </w:r>
    </w:p>
    <w:p w14:paraId="10767948">
      <w:pPr>
        <w:widowControl/>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）有下列情形之一的，属于投标人相互串通投标：</w:t>
      </w:r>
      <w:r>
        <w:rPr>
          <w:rFonts w:ascii="宋体" w:hAnsi="宋体"/>
          <w:kern w:val="0"/>
          <w:sz w:val="24"/>
        </w:rPr>
        <w:t xml:space="preserve"> </w:t>
      </w:r>
    </w:p>
    <w:p w14:paraId="3784BBEE">
      <w:pPr>
        <w:widowControl/>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投标人之间协商投标报价等投标文件的实质性内容；</w:t>
      </w:r>
      <w:r>
        <w:rPr>
          <w:rFonts w:ascii="宋体" w:hAnsi="宋体"/>
          <w:kern w:val="0"/>
          <w:sz w:val="24"/>
        </w:rPr>
        <w:t xml:space="preserve"> </w:t>
      </w:r>
    </w:p>
    <w:p w14:paraId="6D5773D7">
      <w:pPr>
        <w:widowControl/>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投标人之间约定中标人；</w:t>
      </w:r>
      <w:r>
        <w:rPr>
          <w:rFonts w:ascii="宋体" w:hAnsi="宋体"/>
          <w:kern w:val="0"/>
          <w:sz w:val="24"/>
        </w:rPr>
        <w:t xml:space="preserve"> </w:t>
      </w:r>
    </w:p>
    <w:p w14:paraId="71CAB168">
      <w:pPr>
        <w:widowControl/>
        <w:snapToGrid w:val="0"/>
        <w:spacing w:line="360" w:lineRule="auto"/>
        <w:ind w:left="420"/>
        <w:rPr>
          <w:rFonts w:ascii="宋体" w:hAnsi="宋体"/>
          <w:kern w:val="0"/>
          <w:sz w:val="24"/>
        </w:rPr>
      </w:pPr>
      <w:r>
        <w:rPr>
          <w:rFonts w:ascii="宋体" w:hAnsi="宋体"/>
          <w:kern w:val="0"/>
          <w:sz w:val="24"/>
        </w:rPr>
        <w:t>c.</w:t>
      </w:r>
      <w:r>
        <w:rPr>
          <w:rFonts w:hint="eastAsia" w:ascii="宋体" w:hAnsi="宋体"/>
          <w:kern w:val="0"/>
          <w:sz w:val="24"/>
        </w:rPr>
        <w:t>投标人之间约定部分投标人放弃投标或中标；</w:t>
      </w:r>
      <w:r>
        <w:rPr>
          <w:rFonts w:ascii="宋体" w:hAnsi="宋体"/>
          <w:kern w:val="0"/>
          <w:sz w:val="24"/>
        </w:rPr>
        <w:t xml:space="preserve"> </w:t>
      </w:r>
    </w:p>
    <w:p w14:paraId="1B7FA028">
      <w:pPr>
        <w:widowControl/>
        <w:snapToGrid w:val="0"/>
        <w:spacing w:line="360" w:lineRule="auto"/>
        <w:ind w:left="420"/>
        <w:rPr>
          <w:rFonts w:ascii="宋体" w:hAnsi="宋体"/>
          <w:kern w:val="0"/>
          <w:sz w:val="24"/>
        </w:rPr>
      </w:pPr>
      <w:r>
        <w:rPr>
          <w:rFonts w:ascii="宋体" w:hAnsi="宋体"/>
          <w:kern w:val="0"/>
          <w:sz w:val="24"/>
        </w:rPr>
        <w:t>d.</w:t>
      </w:r>
      <w:r>
        <w:rPr>
          <w:rFonts w:hint="eastAsia" w:ascii="宋体" w:hAnsi="宋体"/>
          <w:kern w:val="0"/>
          <w:sz w:val="24"/>
        </w:rPr>
        <w:t>属于同一集团、协会、商会等组织成员的投标人按照该组织要求协同投标；</w:t>
      </w:r>
      <w:r>
        <w:rPr>
          <w:rFonts w:ascii="宋体" w:hAnsi="宋体"/>
          <w:kern w:val="0"/>
          <w:sz w:val="24"/>
        </w:rPr>
        <w:t xml:space="preserve"> </w:t>
      </w:r>
    </w:p>
    <w:p w14:paraId="3C827795">
      <w:pPr>
        <w:widowControl/>
        <w:snapToGrid w:val="0"/>
        <w:spacing w:line="360" w:lineRule="auto"/>
        <w:ind w:left="420"/>
        <w:rPr>
          <w:rFonts w:ascii="宋体" w:hAnsi="宋体"/>
          <w:kern w:val="0"/>
          <w:sz w:val="24"/>
        </w:rPr>
      </w:pPr>
      <w:r>
        <w:rPr>
          <w:rFonts w:ascii="宋体" w:hAnsi="宋体"/>
          <w:kern w:val="0"/>
          <w:sz w:val="24"/>
        </w:rPr>
        <w:t>e.</w:t>
      </w:r>
      <w:r>
        <w:rPr>
          <w:rFonts w:hint="eastAsia" w:ascii="宋体" w:hAnsi="宋体"/>
          <w:kern w:val="0"/>
          <w:sz w:val="24"/>
        </w:rPr>
        <w:t>投标人之间为谋取中标或排斥特定投标人而采取的其他联合行动。</w:t>
      </w:r>
      <w:r>
        <w:rPr>
          <w:rFonts w:ascii="宋体" w:hAnsi="宋体"/>
          <w:kern w:val="0"/>
          <w:sz w:val="24"/>
        </w:rPr>
        <w:t xml:space="preserve"> </w:t>
      </w:r>
    </w:p>
    <w:p w14:paraId="64860148">
      <w:pPr>
        <w:widowControl/>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）有下列情形之一的，视为投标人相互串通投标：</w:t>
      </w:r>
      <w:r>
        <w:rPr>
          <w:rFonts w:ascii="宋体" w:hAnsi="宋体"/>
          <w:kern w:val="0"/>
          <w:sz w:val="24"/>
        </w:rPr>
        <w:t xml:space="preserve"> </w:t>
      </w:r>
    </w:p>
    <w:p w14:paraId="18415FD9">
      <w:pPr>
        <w:widowControl/>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不同投标人的投标文件由同一单位或个人编制；</w:t>
      </w:r>
      <w:r>
        <w:rPr>
          <w:rFonts w:ascii="宋体" w:hAnsi="宋体"/>
          <w:kern w:val="0"/>
          <w:sz w:val="24"/>
        </w:rPr>
        <w:t xml:space="preserve"> </w:t>
      </w:r>
    </w:p>
    <w:p w14:paraId="2C94342A">
      <w:pPr>
        <w:widowControl/>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不同投标人委托同一单位或个人办理投标事宜；</w:t>
      </w:r>
      <w:r>
        <w:rPr>
          <w:rFonts w:ascii="宋体" w:hAnsi="宋体"/>
          <w:kern w:val="0"/>
          <w:sz w:val="24"/>
        </w:rPr>
        <w:t xml:space="preserve"> </w:t>
      </w:r>
    </w:p>
    <w:p w14:paraId="3824079B">
      <w:pPr>
        <w:widowControl/>
        <w:snapToGrid w:val="0"/>
        <w:spacing w:line="360" w:lineRule="auto"/>
        <w:ind w:left="420"/>
        <w:rPr>
          <w:rFonts w:ascii="宋体" w:hAnsi="宋体"/>
          <w:kern w:val="0"/>
          <w:sz w:val="24"/>
        </w:rPr>
      </w:pPr>
      <w:r>
        <w:rPr>
          <w:rFonts w:ascii="宋体" w:hAnsi="宋体"/>
          <w:kern w:val="0"/>
          <w:sz w:val="24"/>
        </w:rPr>
        <w:t>c.</w:t>
      </w:r>
      <w:r>
        <w:rPr>
          <w:rFonts w:hint="eastAsia" w:ascii="宋体" w:hAnsi="宋体"/>
          <w:kern w:val="0"/>
          <w:sz w:val="24"/>
        </w:rPr>
        <w:t>不同投标人的投标文件载明的项目管理成员为同一人；</w:t>
      </w:r>
      <w:r>
        <w:rPr>
          <w:rFonts w:ascii="宋体" w:hAnsi="宋体"/>
          <w:kern w:val="0"/>
          <w:sz w:val="24"/>
        </w:rPr>
        <w:t xml:space="preserve"> </w:t>
      </w:r>
    </w:p>
    <w:p w14:paraId="5DF934C4">
      <w:pPr>
        <w:widowControl/>
        <w:snapToGrid w:val="0"/>
        <w:spacing w:line="360" w:lineRule="auto"/>
        <w:ind w:left="420"/>
        <w:rPr>
          <w:rFonts w:ascii="宋体" w:hAnsi="宋体"/>
          <w:kern w:val="0"/>
          <w:sz w:val="24"/>
        </w:rPr>
      </w:pPr>
      <w:r>
        <w:rPr>
          <w:rFonts w:ascii="宋体" w:hAnsi="宋体"/>
          <w:kern w:val="0"/>
          <w:sz w:val="24"/>
        </w:rPr>
        <w:t>d.</w:t>
      </w:r>
      <w:r>
        <w:rPr>
          <w:rFonts w:hint="eastAsia" w:ascii="宋体" w:hAnsi="宋体"/>
          <w:kern w:val="0"/>
          <w:sz w:val="24"/>
        </w:rPr>
        <w:t>不同投标人的投标文件异常一致或投标报价呈规律性差异；</w:t>
      </w:r>
      <w:r>
        <w:rPr>
          <w:rFonts w:ascii="宋体" w:hAnsi="宋体"/>
          <w:kern w:val="0"/>
          <w:sz w:val="24"/>
        </w:rPr>
        <w:t xml:space="preserve"> </w:t>
      </w:r>
    </w:p>
    <w:p w14:paraId="4DF73DD5">
      <w:pPr>
        <w:widowControl/>
        <w:snapToGrid w:val="0"/>
        <w:spacing w:line="360" w:lineRule="auto"/>
        <w:ind w:left="420"/>
        <w:rPr>
          <w:rFonts w:ascii="宋体" w:hAnsi="宋体"/>
          <w:kern w:val="0"/>
          <w:sz w:val="24"/>
        </w:rPr>
      </w:pPr>
      <w:r>
        <w:rPr>
          <w:rFonts w:ascii="宋体" w:hAnsi="宋体"/>
          <w:kern w:val="0"/>
          <w:sz w:val="24"/>
        </w:rPr>
        <w:t>e.</w:t>
      </w:r>
      <w:r>
        <w:rPr>
          <w:rFonts w:hint="eastAsia" w:ascii="宋体" w:hAnsi="宋体"/>
          <w:kern w:val="0"/>
          <w:sz w:val="24"/>
        </w:rPr>
        <w:t>不同投标人的投标文件相互混装；</w:t>
      </w:r>
      <w:r>
        <w:rPr>
          <w:rFonts w:ascii="宋体" w:hAnsi="宋体"/>
          <w:kern w:val="0"/>
          <w:sz w:val="24"/>
        </w:rPr>
        <w:t xml:space="preserve"> </w:t>
      </w:r>
    </w:p>
    <w:p w14:paraId="57AE8DDF">
      <w:pPr>
        <w:widowControl/>
        <w:snapToGrid w:val="0"/>
        <w:spacing w:line="360" w:lineRule="auto"/>
        <w:ind w:left="420"/>
        <w:rPr>
          <w:rFonts w:ascii="宋体" w:hAnsi="宋体"/>
          <w:kern w:val="0"/>
          <w:sz w:val="24"/>
        </w:rPr>
      </w:pPr>
      <w:r>
        <w:rPr>
          <w:rFonts w:ascii="宋体" w:hAnsi="宋体"/>
          <w:kern w:val="0"/>
          <w:sz w:val="24"/>
        </w:rPr>
        <w:t>f.</w:t>
      </w:r>
      <w:r>
        <w:rPr>
          <w:rFonts w:hint="eastAsia" w:ascii="宋体" w:hAnsi="宋体"/>
          <w:kern w:val="0"/>
          <w:sz w:val="24"/>
        </w:rPr>
        <w:t>不同投标人的投标保证金从同一单位或个人的账户转出。</w:t>
      </w:r>
      <w:r>
        <w:rPr>
          <w:rFonts w:ascii="宋体" w:hAnsi="宋体"/>
          <w:kern w:val="0"/>
          <w:sz w:val="24"/>
        </w:rPr>
        <w:t xml:space="preserve"> </w:t>
      </w:r>
    </w:p>
    <w:p w14:paraId="42E1C482">
      <w:pPr>
        <w:widowControl/>
        <w:snapToGrid w:val="0"/>
        <w:spacing w:line="360" w:lineRule="auto"/>
        <w:ind w:left="420" w:firstLine="0"/>
        <w:jc w:val="left"/>
        <w:rPr>
          <w:rFonts w:ascii="宋体" w:hAnsi="宋体"/>
          <w:kern w:val="0"/>
          <w:sz w:val="24"/>
        </w:rPr>
      </w:pPr>
      <w:r>
        <w:rPr>
          <w:rFonts w:ascii="宋体" w:hAnsi="宋体"/>
          <w:kern w:val="0"/>
          <w:sz w:val="24"/>
        </w:rPr>
        <w:t>g.对同一标段不同投标人电子投标文件的文件制作机器码或文件创建标识码相</w:t>
      </w:r>
    </w:p>
    <w:p w14:paraId="6B58DA94">
      <w:pPr>
        <w:widowControl/>
        <w:snapToGrid w:val="0"/>
        <w:spacing w:line="360" w:lineRule="auto"/>
        <w:ind w:left="0" w:firstLine="0"/>
        <w:jc w:val="left"/>
        <w:rPr>
          <w:rFonts w:ascii="宋体" w:hAnsi="宋体"/>
          <w:kern w:val="0"/>
          <w:sz w:val="24"/>
        </w:rPr>
      </w:pPr>
      <w:r>
        <w:rPr>
          <w:rFonts w:ascii="宋体" w:hAnsi="宋体"/>
          <w:kern w:val="0"/>
          <w:sz w:val="24"/>
        </w:rPr>
        <w:t>同；</w:t>
      </w:r>
    </w:p>
    <w:p w14:paraId="3B874D5C">
      <w:pPr>
        <w:widowControl/>
        <w:snapToGrid w:val="0"/>
        <w:spacing w:line="360" w:lineRule="auto"/>
        <w:ind w:left="420" w:firstLine="0"/>
        <w:jc w:val="left"/>
        <w:rPr>
          <w:rFonts w:ascii="宋体" w:hAnsi="宋体"/>
          <w:kern w:val="0"/>
          <w:sz w:val="24"/>
        </w:rPr>
      </w:pPr>
      <w:r>
        <w:rPr>
          <w:rFonts w:ascii="宋体" w:hAnsi="宋体"/>
          <w:kern w:val="0"/>
          <w:sz w:val="24"/>
        </w:rPr>
        <w:t>h.不同投标人从同一投标单位或同一自然人的互联网协议地址上传投标文件、购</w:t>
      </w:r>
    </w:p>
    <w:p w14:paraId="12D97713">
      <w:pPr>
        <w:widowControl/>
        <w:snapToGrid w:val="0"/>
        <w:spacing w:line="360" w:lineRule="auto"/>
        <w:ind w:left="0" w:firstLine="0"/>
        <w:jc w:val="left"/>
        <w:rPr>
          <w:rFonts w:ascii="宋体" w:hAnsi="宋体"/>
          <w:kern w:val="0"/>
          <w:sz w:val="24"/>
        </w:rPr>
      </w:pPr>
      <w:r>
        <w:rPr>
          <w:rFonts w:ascii="宋体" w:hAnsi="宋体"/>
          <w:kern w:val="0"/>
          <w:sz w:val="24"/>
        </w:rPr>
        <w:t>买电子保函或参加投标活动的人员为同一标段其他投标人的在职人员</w:t>
      </w:r>
      <w:r>
        <w:rPr>
          <w:rFonts w:hint="eastAsia" w:ascii="宋体" w:hAnsi="宋体"/>
          <w:kern w:val="0"/>
          <w:sz w:val="24"/>
        </w:rPr>
        <w:t>；</w:t>
      </w:r>
    </w:p>
    <w:p w14:paraId="5DD5907A">
      <w:pPr>
        <w:widowControl/>
        <w:spacing w:line="360" w:lineRule="auto"/>
        <w:ind w:left="420"/>
        <w:rPr>
          <w:rFonts w:ascii="宋体" w:hAnsi="宋体"/>
          <w:kern w:val="0"/>
          <w:sz w:val="24"/>
        </w:rPr>
      </w:pPr>
      <w:r>
        <w:rPr>
          <w:rFonts w:hint="eastAsia" w:ascii="宋体" w:hAnsi="宋体"/>
          <w:kern w:val="0"/>
          <w:sz w:val="24"/>
        </w:rPr>
        <w:t>j.</w:t>
      </w:r>
      <w:r>
        <w:rPr>
          <w:rFonts w:ascii="宋体" w:hAnsi="宋体"/>
          <w:kern w:val="0"/>
          <w:sz w:val="24"/>
        </w:rPr>
        <w:t>不同投标人通过同一单位或者个人账户购买电子保函的。</w:t>
      </w:r>
    </w:p>
    <w:p w14:paraId="2FB79124">
      <w:pPr>
        <w:widowControl/>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）有下列情形之一的，属于招标人与投标人串通投标：</w:t>
      </w:r>
    </w:p>
    <w:p w14:paraId="39D32B15">
      <w:pPr>
        <w:widowControl/>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招标人在开标前开启投标文件并将有关信息泄露给其他投标人；</w:t>
      </w:r>
      <w:r>
        <w:rPr>
          <w:rFonts w:ascii="宋体" w:hAnsi="宋体"/>
          <w:kern w:val="0"/>
          <w:sz w:val="24"/>
        </w:rPr>
        <w:t xml:space="preserve"> </w:t>
      </w:r>
    </w:p>
    <w:p w14:paraId="0D1729BC">
      <w:pPr>
        <w:widowControl/>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招标人直接或间接向投标人泄露标底、评标委员会成员等信息；</w:t>
      </w:r>
      <w:r>
        <w:rPr>
          <w:rFonts w:ascii="宋体" w:hAnsi="宋体"/>
          <w:kern w:val="0"/>
          <w:sz w:val="24"/>
        </w:rPr>
        <w:t xml:space="preserve"> </w:t>
      </w:r>
    </w:p>
    <w:p w14:paraId="4B5E061E">
      <w:pPr>
        <w:widowControl/>
        <w:snapToGrid w:val="0"/>
        <w:spacing w:line="360" w:lineRule="auto"/>
        <w:ind w:left="420"/>
        <w:rPr>
          <w:rFonts w:ascii="宋体" w:hAnsi="宋体"/>
          <w:kern w:val="0"/>
          <w:sz w:val="24"/>
        </w:rPr>
      </w:pPr>
      <w:r>
        <w:rPr>
          <w:rFonts w:ascii="宋体" w:hAnsi="宋体"/>
          <w:kern w:val="0"/>
          <w:sz w:val="24"/>
        </w:rPr>
        <w:t>c.</w:t>
      </w:r>
      <w:r>
        <w:rPr>
          <w:rFonts w:hint="eastAsia" w:ascii="宋体" w:hAnsi="宋体"/>
          <w:kern w:val="0"/>
          <w:sz w:val="24"/>
        </w:rPr>
        <w:t>招标人明示或暗示投标人压低或抬高投标报价；</w:t>
      </w:r>
      <w:r>
        <w:rPr>
          <w:rFonts w:ascii="宋体" w:hAnsi="宋体"/>
          <w:kern w:val="0"/>
          <w:sz w:val="24"/>
        </w:rPr>
        <w:t xml:space="preserve"> </w:t>
      </w:r>
    </w:p>
    <w:p w14:paraId="3B619F7F">
      <w:pPr>
        <w:widowControl/>
        <w:snapToGrid w:val="0"/>
        <w:spacing w:line="360" w:lineRule="auto"/>
        <w:ind w:left="420"/>
        <w:rPr>
          <w:rFonts w:ascii="宋体" w:hAnsi="宋体"/>
          <w:kern w:val="0"/>
          <w:sz w:val="24"/>
        </w:rPr>
      </w:pPr>
      <w:r>
        <w:rPr>
          <w:rFonts w:ascii="宋体" w:hAnsi="宋体"/>
          <w:kern w:val="0"/>
          <w:sz w:val="24"/>
        </w:rPr>
        <w:t>d.</w:t>
      </w:r>
      <w:r>
        <w:rPr>
          <w:rFonts w:hint="eastAsia" w:ascii="宋体" w:hAnsi="宋体"/>
          <w:kern w:val="0"/>
          <w:sz w:val="24"/>
        </w:rPr>
        <w:t>招标人授意投标人撤换、修改投标文件；</w:t>
      </w:r>
      <w:r>
        <w:rPr>
          <w:rFonts w:ascii="宋体" w:hAnsi="宋体"/>
          <w:kern w:val="0"/>
          <w:sz w:val="24"/>
        </w:rPr>
        <w:t xml:space="preserve"> </w:t>
      </w:r>
    </w:p>
    <w:p w14:paraId="0EDE2F73">
      <w:pPr>
        <w:widowControl/>
        <w:snapToGrid w:val="0"/>
        <w:spacing w:line="360" w:lineRule="auto"/>
        <w:ind w:left="420"/>
        <w:rPr>
          <w:rFonts w:ascii="宋体" w:hAnsi="宋体"/>
          <w:kern w:val="0"/>
          <w:sz w:val="24"/>
        </w:rPr>
      </w:pPr>
      <w:r>
        <w:rPr>
          <w:rFonts w:ascii="宋体" w:hAnsi="宋体"/>
          <w:kern w:val="0"/>
          <w:sz w:val="24"/>
        </w:rPr>
        <w:t>e.</w:t>
      </w:r>
      <w:r>
        <w:rPr>
          <w:rFonts w:hint="eastAsia" w:ascii="宋体" w:hAnsi="宋体"/>
          <w:kern w:val="0"/>
          <w:sz w:val="24"/>
        </w:rPr>
        <w:t>招标人明示或暗示投标人为特定投标人中标提供方便；</w:t>
      </w:r>
      <w:r>
        <w:rPr>
          <w:rFonts w:ascii="宋体" w:hAnsi="宋体"/>
          <w:kern w:val="0"/>
          <w:sz w:val="24"/>
        </w:rPr>
        <w:t xml:space="preserve"> </w:t>
      </w:r>
    </w:p>
    <w:p w14:paraId="22869C74">
      <w:pPr>
        <w:widowControl/>
        <w:snapToGrid w:val="0"/>
        <w:spacing w:line="360" w:lineRule="auto"/>
        <w:ind w:left="420"/>
        <w:rPr>
          <w:rFonts w:ascii="宋体" w:hAnsi="宋体"/>
          <w:kern w:val="0"/>
          <w:sz w:val="24"/>
        </w:rPr>
      </w:pPr>
      <w:r>
        <w:rPr>
          <w:rFonts w:ascii="宋体" w:hAnsi="宋体"/>
          <w:kern w:val="0"/>
          <w:sz w:val="24"/>
        </w:rPr>
        <w:t>f.</w:t>
      </w:r>
      <w:r>
        <w:rPr>
          <w:rFonts w:hint="eastAsia" w:ascii="宋体" w:hAnsi="宋体"/>
          <w:kern w:val="0"/>
          <w:sz w:val="24"/>
        </w:rPr>
        <w:t>招标人与投标人为谋求特定投标人中标而采取的其他串通行为。</w:t>
      </w:r>
    </w:p>
    <w:p w14:paraId="0028BA2E">
      <w:pPr>
        <w:widowControl/>
        <w:snapToGrid w:val="0"/>
        <w:spacing w:line="360" w:lineRule="auto"/>
        <w:ind w:left="420" w:firstLine="0"/>
        <w:rPr>
          <w:rFonts w:ascii="宋体" w:hAnsi="宋体"/>
          <w:kern w:val="0"/>
          <w:sz w:val="24"/>
        </w:rPr>
      </w:pPr>
      <w:r>
        <w:rPr>
          <w:rFonts w:hint="eastAsia" w:ascii="宋体" w:hAnsi="宋体"/>
          <w:kern w:val="0"/>
          <w:sz w:val="24"/>
        </w:rPr>
        <w:t>（</w:t>
      </w:r>
      <w:r>
        <w:rPr>
          <w:rFonts w:ascii="宋体" w:hAnsi="宋体"/>
          <w:kern w:val="0"/>
          <w:sz w:val="24"/>
        </w:rPr>
        <w:t>4）有下列情形之一的，属于电子招标投标交易平台运营机构或其人员与投标</w:t>
      </w:r>
    </w:p>
    <w:p w14:paraId="0DF74D63">
      <w:pPr>
        <w:widowControl/>
        <w:snapToGrid w:val="0"/>
        <w:spacing w:line="360" w:lineRule="auto"/>
        <w:ind w:left="0" w:firstLine="0"/>
        <w:rPr>
          <w:rFonts w:ascii="宋体" w:hAnsi="宋体"/>
          <w:kern w:val="0"/>
          <w:sz w:val="24"/>
        </w:rPr>
      </w:pPr>
      <w:r>
        <w:rPr>
          <w:rFonts w:ascii="宋体" w:hAnsi="宋体"/>
          <w:kern w:val="0"/>
          <w:sz w:val="24"/>
        </w:rPr>
        <w:t>人串通投标：</w:t>
      </w:r>
    </w:p>
    <w:p w14:paraId="42FAA929">
      <w:pPr>
        <w:widowControl/>
        <w:numPr>
          <w:ilvl w:val="-1"/>
          <w:numId w:val="0"/>
        </w:numPr>
        <w:snapToGrid w:val="0"/>
        <w:spacing w:line="360" w:lineRule="auto"/>
        <w:ind w:left="420" w:firstLine="0"/>
        <w:rPr>
          <w:rFonts w:hint="eastAsia" w:ascii="宋体" w:hAnsi="宋体"/>
          <w:kern w:val="0"/>
          <w:sz w:val="24"/>
        </w:rPr>
      </w:pPr>
      <w:r>
        <w:rPr>
          <w:rFonts w:hint="eastAsia" w:ascii="宋体" w:hAnsi="宋体"/>
          <w:kern w:val="0"/>
          <w:sz w:val="24"/>
          <w:lang w:val="en-US" w:eastAsia="zh-CN"/>
        </w:rPr>
        <w:t>a.</w:t>
      </w:r>
      <w:r>
        <w:rPr>
          <w:rFonts w:hint="eastAsia" w:ascii="宋体" w:hAnsi="宋体"/>
          <w:kern w:val="0"/>
          <w:sz w:val="24"/>
        </w:rPr>
        <w:t>电子招标投标交易平台运营机构或其人员在开标前开启投标文件并将有关信</w:t>
      </w:r>
    </w:p>
    <w:p w14:paraId="3B923FC0">
      <w:pPr>
        <w:widowControl/>
        <w:numPr>
          <w:ilvl w:val="-1"/>
          <w:numId w:val="0"/>
        </w:numPr>
        <w:snapToGrid w:val="0"/>
        <w:spacing w:line="360" w:lineRule="auto"/>
        <w:ind w:left="0" w:firstLine="0"/>
        <w:rPr>
          <w:rFonts w:ascii="宋体" w:hAnsi="宋体"/>
          <w:kern w:val="0"/>
          <w:sz w:val="24"/>
        </w:rPr>
      </w:pPr>
      <w:r>
        <w:rPr>
          <w:rFonts w:hint="eastAsia" w:ascii="宋体" w:hAnsi="宋体"/>
          <w:kern w:val="0"/>
          <w:sz w:val="24"/>
        </w:rPr>
        <w:t>息泄露给其他投标人；</w:t>
      </w:r>
    </w:p>
    <w:p w14:paraId="48538713">
      <w:pPr>
        <w:widowControl/>
        <w:snapToGrid w:val="0"/>
        <w:spacing w:line="360" w:lineRule="auto"/>
        <w:ind w:left="420" w:firstLine="0"/>
        <w:rPr>
          <w:rFonts w:hint="eastAsia" w:ascii="宋体" w:hAnsi="宋体"/>
          <w:kern w:val="0"/>
          <w:sz w:val="24"/>
        </w:rPr>
      </w:pPr>
      <w:r>
        <w:rPr>
          <w:rFonts w:ascii="宋体" w:hAnsi="宋体"/>
          <w:kern w:val="0"/>
          <w:sz w:val="24"/>
        </w:rPr>
        <w:t>b.</w:t>
      </w:r>
      <w:r>
        <w:rPr>
          <w:rFonts w:hint="eastAsia" w:ascii="宋体" w:hAnsi="宋体"/>
          <w:kern w:val="0"/>
          <w:sz w:val="24"/>
        </w:rPr>
        <w:t>电子招标投标交易平台运营机构或其人员直接或者间接向投标人泄露标底、评</w:t>
      </w:r>
    </w:p>
    <w:p w14:paraId="55DF2346">
      <w:pPr>
        <w:widowControl/>
        <w:snapToGrid w:val="0"/>
        <w:spacing w:line="360" w:lineRule="auto"/>
        <w:ind w:left="0" w:firstLine="0"/>
        <w:rPr>
          <w:rFonts w:ascii="宋体" w:hAnsi="宋体"/>
          <w:kern w:val="0"/>
          <w:sz w:val="24"/>
        </w:rPr>
      </w:pPr>
      <w:r>
        <w:rPr>
          <w:rFonts w:hint="eastAsia" w:ascii="宋体" w:hAnsi="宋体"/>
          <w:kern w:val="0"/>
          <w:sz w:val="24"/>
        </w:rPr>
        <w:t>标委员会成员等信息；</w:t>
      </w:r>
    </w:p>
    <w:p w14:paraId="6A6C71CE">
      <w:pPr>
        <w:widowControl/>
        <w:snapToGrid w:val="0"/>
        <w:spacing w:line="360" w:lineRule="auto"/>
        <w:ind w:left="420" w:firstLine="0"/>
        <w:rPr>
          <w:rFonts w:hint="eastAsia" w:ascii="宋体" w:hAnsi="宋体"/>
          <w:kern w:val="0"/>
          <w:sz w:val="24"/>
        </w:rPr>
      </w:pPr>
      <w:r>
        <w:rPr>
          <w:rFonts w:ascii="宋体" w:hAnsi="宋体"/>
          <w:kern w:val="0"/>
          <w:sz w:val="24"/>
        </w:rPr>
        <w:t>c.</w:t>
      </w:r>
      <w:r>
        <w:rPr>
          <w:rFonts w:hint="eastAsia" w:ascii="宋体" w:hAnsi="宋体"/>
          <w:kern w:val="0"/>
          <w:sz w:val="24"/>
        </w:rPr>
        <w:t>电子招标投标交易平台运营机构或其人员明示或者暗示投标人压低或者抬高</w:t>
      </w:r>
    </w:p>
    <w:p w14:paraId="2210A163">
      <w:pPr>
        <w:widowControl/>
        <w:snapToGrid w:val="0"/>
        <w:spacing w:line="360" w:lineRule="auto"/>
        <w:ind w:left="0" w:firstLine="0"/>
        <w:rPr>
          <w:rFonts w:ascii="宋体" w:hAnsi="宋体"/>
          <w:kern w:val="0"/>
          <w:sz w:val="24"/>
        </w:rPr>
      </w:pPr>
      <w:r>
        <w:rPr>
          <w:rFonts w:hint="eastAsia" w:ascii="宋体" w:hAnsi="宋体"/>
          <w:kern w:val="0"/>
          <w:sz w:val="24"/>
        </w:rPr>
        <w:t>投标报价；</w:t>
      </w:r>
    </w:p>
    <w:p w14:paraId="158DE844">
      <w:pPr>
        <w:widowControl/>
        <w:snapToGrid w:val="0"/>
        <w:spacing w:line="360" w:lineRule="auto"/>
        <w:ind w:left="420" w:firstLine="0"/>
        <w:rPr>
          <w:rFonts w:ascii="宋体" w:hAnsi="宋体"/>
          <w:kern w:val="0"/>
          <w:sz w:val="24"/>
        </w:rPr>
      </w:pPr>
      <w:r>
        <w:rPr>
          <w:rFonts w:ascii="宋体" w:hAnsi="宋体"/>
          <w:kern w:val="0"/>
          <w:sz w:val="24"/>
        </w:rPr>
        <w:t>d.</w:t>
      </w:r>
      <w:r>
        <w:rPr>
          <w:rFonts w:hint="eastAsia" w:ascii="宋体" w:hAnsi="宋体"/>
          <w:kern w:val="0"/>
          <w:sz w:val="24"/>
        </w:rPr>
        <w:t>电子招标投标交易平台运营机构或其人员授意投标人撤换、修改投标文件；</w:t>
      </w:r>
    </w:p>
    <w:p w14:paraId="00ADAC08">
      <w:pPr>
        <w:widowControl/>
        <w:snapToGrid w:val="0"/>
        <w:spacing w:line="360" w:lineRule="auto"/>
        <w:ind w:left="420" w:firstLine="0"/>
        <w:rPr>
          <w:rFonts w:hint="eastAsia" w:ascii="宋体" w:hAnsi="宋体"/>
          <w:kern w:val="0"/>
          <w:sz w:val="24"/>
        </w:rPr>
      </w:pPr>
      <w:r>
        <w:rPr>
          <w:rFonts w:ascii="宋体" w:hAnsi="宋体"/>
          <w:kern w:val="0"/>
          <w:sz w:val="24"/>
        </w:rPr>
        <w:t>e.</w:t>
      </w:r>
      <w:r>
        <w:rPr>
          <w:rFonts w:hint="eastAsia" w:ascii="宋体" w:hAnsi="宋体"/>
          <w:kern w:val="0"/>
          <w:sz w:val="24"/>
        </w:rPr>
        <w:t>电子招标投标交易平台运营机构或其人员明示或者暗示投标人为特定投标人</w:t>
      </w:r>
    </w:p>
    <w:p w14:paraId="42547E76">
      <w:pPr>
        <w:widowControl/>
        <w:snapToGrid w:val="0"/>
        <w:spacing w:line="360" w:lineRule="auto"/>
        <w:ind w:left="0" w:firstLine="0"/>
        <w:rPr>
          <w:rFonts w:ascii="宋体" w:hAnsi="宋体"/>
          <w:kern w:val="0"/>
          <w:sz w:val="24"/>
        </w:rPr>
      </w:pPr>
      <w:r>
        <w:rPr>
          <w:rFonts w:hint="eastAsia" w:ascii="宋体" w:hAnsi="宋体"/>
          <w:kern w:val="0"/>
          <w:sz w:val="24"/>
        </w:rPr>
        <w:t>中标提供方便；</w:t>
      </w:r>
    </w:p>
    <w:p w14:paraId="6FACED69">
      <w:pPr>
        <w:widowControl/>
        <w:snapToGrid w:val="0"/>
        <w:spacing w:line="360" w:lineRule="auto"/>
        <w:ind w:left="420" w:firstLine="0"/>
        <w:rPr>
          <w:rFonts w:hint="eastAsia" w:ascii="宋体" w:hAnsi="宋体"/>
          <w:kern w:val="0"/>
          <w:sz w:val="24"/>
        </w:rPr>
      </w:pPr>
      <w:r>
        <w:rPr>
          <w:rFonts w:ascii="宋体" w:hAnsi="宋体"/>
          <w:kern w:val="0"/>
          <w:sz w:val="24"/>
        </w:rPr>
        <w:t>f.</w:t>
      </w:r>
      <w:r>
        <w:rPr>
          <w:rFonts w:hint="eastAsia" w:ascii="宋体" w:hAnsi="宋体"/>
          <w:kern w:val="0"/>
          <w:sz w:val="24"/>
        </w:rPr>
        <w:t>电子招标投标交易平台运营机构或其人员与投标人为谋求特定投标人中标而</w:t>
      </w:r>
    </w:p>
    <w:p w14:paraId="5830324D">
      <w:pPr>
        <w:widowControl/>
        <w:snapToGrid w:val="0"/>
        <w:spacing w:line="360" w:lineRule="auto"/>
        <w:ind w:left="0" w:firstLine="0"/>
        <w:rPr>
          <w:rFonts w:ascii="宋体" w:hAnsi="宋体"/>
          <w:kern w:val="0"/>
          <w:sz w:val="24"/>
        </w:rPr>
      </w:pPr>
      <w:r>
        <w:rPr>
          <w:rFonts w:hint="eastAsia" w:ascii="宋体" w:hAnsi="宋体"/>
          <w:kern w:val="0"/>
          <w:sz w:val="24"/>
        </w:rPr>
        <w:t>采取的其他串通行为。</w:t>
      </w:r>
    </w:p>
    <w:p w14:paraId="09EF2759">
      <w:pPr>
        <w:widowControl/>
        <w:snapToGrid w:val="0"/>
        <w:spacing w:line="360" w:lineRule="auto"/>
        <w:ind w:left="420"/>
        <w:rPr>
          <w:rFonts w:ascii="宋体" w:hAnsi="宋体"/>
          <w:kern w:val="0"/>
          <w:sz w:val="24"/>
        </w:rPr>
      </w:pPr>
      <w:r>
        <w:rPr>
          <w:rFonts w:hint="eastAsia" w:ascii="宋体" w:hAnsi="宋体"/>
          <w:kern w:val="0"/>
          <w:sz w:val="24"/>
        </w:rPr>
        <w:t>（</w:t>
      </w:r>
      <w:r>
        <w:rPr>
          <w:rFonts w:ascii="宋体" w:hAnsi="宋体"/>
          <w:kern w:val="0"/>
          <w:sz w:val="24"/>
        </w:rPr>
        <w:t xml:space="preserve">5）投标人有下列情形之一的，属于弄虚作假的行为： </w:t>
      </w:r>
    </w:p>
    <w:p w14:paraId="19C55040">
      <w:pPr>
        <w:widowControl/>
        <w:snapToGrid w:val="0"/>
        <w:spacing w:line="360" w:lineRule="auto"/>
        <w:ind w:left="420"/>
        <w:rPr>
          <w:rFonts w:ascii="宋体" w:hAnsi="宋体"/>
          <w:kern w:val="0"/>
          <w:sz w:val="24"/>
        </w:rPr>
      </w:pPr>
      <w:r>
        <w:rPr>
          <w:rFonts w:ascii="宋体" w:hAnsi="宋体"/>
          <w:kern w:val="0"/>
          <w:sz w:val="24"/>
        </w:rPr>
        <w:t>a.</w:t>
      </w:r>
      <w:r>
        <w:rPr>
          <w:rFonts w:hint="eastAsia" w:ascii="宋体" w:hAnsi="宋体"/>
          <w:kern w:val="0"/>
          <w:sz w:val="24"/>
        </w:rPr>
        <w:t>使用通过受让或租借等方式获取的资格、资质证书投标；</w:t>
      </w:r>
      <w:r>
        <w:rPr>
          <w:rFonts w:ascii="宋体" w:hAnsi="宋体"/>
          <w:kern w:val="0"/>
          <w:sz w:val="24"/>
        </w:rPr>
        <w:t xml:space="preserve"> </w:t>
      </w:r>
    </w:p>
    <w:p w14:paraId="60A5B16F">
      <w:pPr>
        <w:widowControl/>
        <w:snapToGrid w:val="0"/>
        <w:spacing w:line="360" w:lineRule="auto"/>
        <w:ind w:left="420"/>
        <w:rPr>
          <w:rFonts w:ascii="宋体" w:hAnsi="宋体"/>
          <w:kern w:val="0"/>
          <w:sz w:val="24"/>
        </w:rPr>
      </w:pPr>
      <w:r>
        <w:rPr>
          <w:rFonts w:ascii="宋体" w:hAnsi="宋体"/>
          <w:kern w:val="0"/>
          <w:sz w:val="24"/>
        </w:rPr>
        <w:t>b.</w:t>
      </w:r>
      <w:r>
        <w:rPr>
          <w:rFonts w:hint="eastAsia" w:ascii="宋体" w:hAnsi="宋体"/>
          <w:kern w:val="0"/>
          <w:sz w:val="24"/>
        </w:rPr>
        <w:t>使用伪造、变造的许可证件；</w:t>
      </w:r>
      <w:r>
        <w:rPr>
          <w:rFonts w:ascii="宋体" w:hAnsi="宋体"/>
          <w:kern w:val="0"/>
          <w:sz w:val="24"/>
        </w:rPr>
        <w:t xml:space="preserve"> </w:t>
      </w:r>
    </w:p>
    <w:p w14:paraId="02882826">
      <w:pPr>
        <w:widowControl/>
        <w:snapToGrid w:val="0"/>
        <w:spacing w:line="360" w:lineRule="auto"/>
        <w:ind w:left="420"/>
        <w:rPr>
          <w:rFonts w:ascii="宋体" w:hAnsi="宋体"/>
          <w:kern w:val="0"/>
          <w:sz w:val="24"/>
        </w:rPr>
      </w:pPr>
      <w:r>
        <w:rPr>
          <w:rFonts w:ascii="宋体" w:hAnsi="宋体"/>
          <w:kern w:val="0"/>
          <w:sz w:val="24"/>
        </w:rPr>
        <w:t>c.</w:t>
      </w:r>
      <w:r>
        <w:rPr>
          <w:rFonts w:hint="eastAsia" w:ascii="宋体" w:hAnsi="宋体"/>
          <w:kern w:val="0"/>
          <w:sz w:val="24"/>
        </w:rPr>
        <w:t>提供虚假的财务状况或业绩；</w:t>
      </w:r>
      <w:r>
        <w:rPr>
          <w:rFonts w:ascii="宋体" w:hAnsi="宋体"/>
          <w:kern w:val="0"/>
          <w:sz w:val="24"/>
        </w:rPr>
        <w:t xml:space="preserve"> </w:t>
      </w:r>
    </w:p>
    <w:p w14:paraId="7FC18E01">
      <w:pPr>
        <w:widowControl/>
        <w:snapToGrid w:val="0"/>
        <w:spacing w:line="360" w:lineRule="auto"/>
        <w:ind w:left="420"/>
        <w:rPr>
          <w:rFonts w:ascii="宋体" w:hAnsi="宋体"/>
          <w:kern w:val="0"/>
          <w:sz w:val="24"/>
        </w:rPr>
      </w:pPr>
      <w:r>
        <w:rPr>
          <w:rFonts w:ascii="宋体" w:hAnsi="宋体"/>
          <w:kern w:val="0"/>
          <w:sz w:val="24"/>
        </w:rPr>
        <w:t>d.</w:t>
      </w:r>
      <w:r>
        <w:rPr>
          <w:rFonts w:hint="eastAsia" w:ascii="宋体" w:hAnsi="宋体"/>
          <w:kern w:val="0"/>
          <w:sz w:val="24"/>
        </w:rPr>
        <w:t>提供虚假的项目负责人或主要技术人员简历、劳动关系证明；</w:t>
      </w:r>
      <w:r>
        <w:rPr>
          <w:rFonts w:ascii="宋体" w:hAnsi="宋体"/>
          <w:kern w:val="0"/>
          <w:sz w:val="24"/>
        </w:rPr>
        <w:t xml:space="preserve"> </w:t>
      </w:r>
    </w:p>
    <w:p w14:paraId="2E6423F6">
      <w:pPr>
        <w:widowControl/>
        <w:snapToGrid w:val="0"/>
        <w:spacing w:line="360" w:lineRule="auto"/>
        <w:ind w:left="420"/>
        <w:rPr>
          <w:rFonts w:ascii="宋体" w:hAnsi="宋体"/>
          <w:kern w:val="0"/>
          <w:sz w:val="24"/>
        </w:rPr>
      </w:pPr>
      <w:r>
        <w:rPr>
          <w:rFonts w:ascii="宋体" w:hAnsi="宋体"/>
          <w:kern w:val="0"/>
          <w:sz w:val="24"/>
        </w:rPr>
        <w:t>e.</w:t>
      </w:r>
      <w:r>
        <w:rPr>
          <w:rFonts w:hint="eastAsia" w:ascii="宋体" w:hAnsi="宋体"/>
          <w:kern w:val="0"/>
          <w:sz w:val="24"/>
        </w:rPr>
        <w:t>提供虚假的信用状况；</w:t>
      </w:r>
      <w:r>
        <w:rPr>
          <w:rFonts w:ascii="宋体" w:hAnsi="宋体"/>
          <w:kern w:val="0"/>
          <w:sz w:val="24"/>
        </w:rPr>
        <w:t xml:space="preserve"> </w:t>
      </w:r>
    </w:p>
    <w:p w14:paraId="5AA54F61">
      <w:pPr>
        <w:widowControl/>
        <w:snapToGrid w:val="0"/>
        <w:spacing w:line="360" w:lineRule="auto"/>
        <w:ind w:left="420"/>
        <w:rPr>
          <w:rFonts w:ascii="宋体" w:hAnsi="宋体"/>
          <w:kern w:val="0"/>
          <w:sz w:val="24"/>
        </w:rPr>
      </w:pPr>
      <w:r>
        <w:rPr>
          <w:rFonts w:ascii="宋体" w:hAnsi="宋体"/>
          <w:kern w:val="0"/>
          <w:sz w:val="24"/>
        </w:rPr>
        <w:t>f.</w:t>
      </w:r>
      <w:r>
        <w:rPr>
          <w:rFonts w:hint="eastAsia" w:ascii="宋体" w:hAnsi="宋体"/>
          <w:kern w:val="0"/>
          <w:sz w:val="24"/>
        </w:rPr>
        <w:t>其他弄虚作假的行为。</w:t>
      </w:r>
      <w:r>
        <w:rPr>
          <w:rFonts w:ascii="宋体" w:hAnsi="宋体"/>
          <w:kern w:val="0"/>
          <w:sz w:val="24"/>
        </w:rPr>
        <w:t xml:space="preserve"> </w:t>
      </w:r>
    </w:p>
    <w:p w14:paraId="4572ACAE">
      <w:pPr>
        <w:pStyle w:val="2"/>
        <w:spacing w:before="0" w:after="0" w:line="360" w:lineRule="auto"/>
        <w:rPr>
          <w:rFonts w:hint="eastAsia" w:ascii="黑体"/>
          <w:b w:val="0"/>
          <w:sz w:val="28"/>
          <w:szCs w:val="28"/>
        </w:rPr>
      </w:pPr>
      <w:bookmarkStart w:id="695" w:name="_Toc53685709"/>
      <w:r>
        <w:rPr>
          <w:rFonts w:hint="eastAsia" w:ascii="黑体"/>
          <w:b w:val="0"/>
          <w:sz w:val="28"/>
          <w:szCs w:val="28"/>
        </w:rPr>
        <w:t>3.6 投标文件的澄清和说明</w:t>
      </w:r>
      <w:bookmarkEnd w:id="695"/>
      <w:r>
        <w:rPr>
          <w:rFonts w:hint="eastAsia" w:ascii="黑体"/>
          <w:b w:val="0"/>
          <w:sz w:val="28"/>
          <w:szCs w:val="28"/>
        </w:rPr>
        <w:t xml:space="preserve"> </w:t>
      </w:r>
    </w:p>
    <w:p w14:paraId="4B8E8E2E">
      <w:pPr>
        <w:widowControl/>
        <w:snapToGrid w:val="0"/>
        <w:spacing w:line="360" w:lineRule="auto"/>
        <w:ind w:firstLine="480"/>
        <w:rPr>
          <w:rFonts w:ascii="宋体" w:hAnsi="宋体"/>
          <w:kern w:val="0"/>
          <w:sz w:val="24"/>
        </w:rPr>
      </w:pPr>
      <w:r>
        <w:rPr>
          <w:rFonts w:ascii="宋体" w:hAnsi="宋体"/>
          <w:kern w:val="0"/>
          <w:sz w:val="24"/>
        </w:rPr>
        <w:t xml:space="preserve">3.6.1 </w:t>
      </w:r>
      <w:r>
        <w:rPr>
          <w:rFonts w:hint="eastAsia" w:ascii="宋体" w:hAnsi="宋体"/>
          <w:kern w:val="0"/>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kern w:val="0"/>
          <w:sz w:val="24"/>
        </w:rPr>
        <w:t xml:space="preserve"> </w:t>
      </w:r>
    </w:p>
    <w:p w14:paraId="76599253">
      <w:pPr>
        <w:widowControl/>
        <w:snapToGrid w:val="0"/>
        <w:spacing w:line="360" w:lineRule="auto"/>
        <w:ind w:firstLine="480"/>
        <w:rPr>
          <w:rFonts w:ascii="宋体" w:hAnsi="宋体"/>
          <w:kern w:val="0"/>
          <w:sz w:val="24"/>
        </w:rPr>
      </w:pPr>
      <w:r>
        <w:rPr>
          <w:rFonts w:ascii="宋体" w:hAnsi="宋体"/>
          <w:kern w:val="0"/>
          <w:sz w:val="24"/>
        </w:rPr>
        <w:t xml:space="preserve">3.6.2 </w:t>
      </w:r>
      <w:r>
        <w:rPr>
          <w:rFonts w:hint="eastAsia" w:ascii="宋体" w:hAnsi="宋体"/>
          <w:kern w:val="0"/>
          <w:sz w:val="24"/>
        </w:rPr>
        <w:t>澄清和说明不得超出投标文件的范围或改变投标文件的实质性内容（算术性错误的修正除外）。投标人的书面澄清、说明属于投标文件的组成部分。</w:t>
      </w:r>
      <w:r>
        <w:rPr>
          <w:rFonts w:ascii="宋体" w:hAnsi="宋体"/>
          <w:kern w:val="0"/>
          <w:sz w:val="24"/>
        </w:rPr>
        <w:t xml:space="preserve"> </w:t>
      </w:r>
    </w:p>
    <w:p w14:paraId="77347496">
      <w:pPr>
        <w:widowControl/>
        <w:snapToGrid w:val="0"/>
        <w:spacing w:line="360" w:lineRule="auto"/>
        <w:ind w:firstLine="480"/>
        <w:rPr>
          <w:rFonts w:ascii="宋体" w:hAnsi="宋体"/>
          <w:kern w:val="0"/>
          <w:sz w:val="24"/>
        </w:rPr>
      </w:pPr>
      <w:r>
        <w:rPr>
          <w:rFonts w:ascii="宋体" w:hAnsi="宋体"/>
          <w:kern w:val="0"/>
          <w:sz w:val="24"/>
        </w:rPr>
        <w:t xml:space="preserve">3.6.3 </w:t>
      </w:r>
      <w:r>
        <w:rPr>
          <w:rFonts w:hint="eastAsia" w:ascii="宋体" w:hAnsi="宋体"/>
          <w:kern w:val="0"/>
          <w:sz w:val="24"/>
        </w:rPr>
        <w:t>评标委员会不得暗示或诱导投标人作出澄清、说明，对投标人提交的澄清、说明有疑问的，可以要求投标人进一步澄清或说明，直至满足评标委员会的要求。</w:t>
      </w:r>
      <w:r>
        <w:rPr>
          <w:rFonts w:ascii="宋体" w:hAnsi="宋体"/>
          <w:kern w:val="0"/>
          <w:sz w:val="24"/>
        </w:rPr>
        <w:t xml:space="preserve"> </w:t>
      </w:r>
    </w:p>
    <w:p w14:paraId="01B7FE1E">
      <w:pPr>
        <w:widowControl/>
        <w:snapToGrid w:val="0"/>
        <w:spacing w:line="360" w:lineRule="auto"/>
        <w:ind w:firstLine="480"/>
        <w:rPr>
          <w:rFonts w:ascii="宋体" w:hAnsi="宋体"/>
          <w:kern w:val="0"/>
          <w:sz w:val="24"/>
        </w:rPr>
      </w:pPr>
      <w:r>
        <w:rPr>
          <w:rFonts w:ascii="宋体" w:hAnsi="宋体"/>
          <w:kern w:val="0"/>
          <w:sz w:val="24"/>
        </w:rPr>
        <w:t xml:space="preserve">3.6.4 </w:t>
      </w:r>
      <w:r>
        <w:rPr>
          <w:rFonts w:hint="eastAsia" w:ascii="宋体" w:hAnsi="宋体"/>
          <w:kern w:val="0"/>
          <w:sz w:val="24"/>
        </w:rPr>
        <w:t>凡超出招标文件规定的或给发包人带来未曾要求的利益的变化、偏差或其他因素在评标时不予考虑。</w:t>
      </w:r>
      <w:r>
        <w:rPr>
          <w:rFonts w:ascii="宋体" w:hAnsi="宋体"/>
          <w:kern w:val="0"/>
          <w:sz w:val="24"/>
        </w:rPr>
        <w:t xml:space="preserve"> </w:t>
      </w:r>
    </w:p>
    <w:p w14:paraId="3D668E93">
      <w:pPr>
        <w:pStyle w:val="2"/>
        <w:spacing w:before="0" w:after="0" w:line="360" w:lineRule="auto"/>
        <w:rPr>
          <w:rFonts w:hint="eastAsia" w:ascii="黑体"/>
          <w:b w:val="0"/>
          <w:sz w:val="28"/>
          <w:szCs w:val="28"/>
        </w:rPr>
      </w:pPr>
      <w:bookmarkStart w:id="696" w:name="_Toc53685710"/>
      <w:r>
        <w:rPr>
          <w:rFonts w:hint="eastAsia" w:ascii="黑体"/>
          <w:b w:val="0"/>
          <w:sz w:val="28"/>
          <w:szCs w:val="28"/>
        </w:rPr>
        <w:t>3.7 不得否决投标的情形</w:t>
      </w:r>
      <w:bookmarkEnd w:id="696"/>
      <w:r>
        <w:rPr>
          <w:rFonts w:hint="eastAsia" w:ascii="黑体"/>
          <w:b w:val="0"/>
          <w:sz w:val="28"/>
          <w:szCs w:val="28"/>
        </w:rPr>
        <w:t xml:space="preserve"> </w:t>
      </w:r>
    </w:p>
    <w:p w14:paraId="4B236AA1">
      <w:pPr>
        <w:widowControl/>
        <w:snapToGrid w:val="0"/>
        <w:spacing w:line="360" w:lineRule="auto"/>
        <w:ind w:firstLine="480"/>
        <w:rPr>
          <w:rFonts w:ascii="宋体" w:hAnsi="宋体"/>
          <w:kern w:val="0"/>
          <w:sz w:val="24"/>
        </w:rPr>
      </w:pPr>
      <w:r>
        <w:rPr>
          <w:rFonts w:hint="eastAsia" w:ascii="宋体" w:hAnsi="宋体" w:cs="宋体"/>
          <w:sz w:val="24"/>
        </w:rPr>
        <w:t>投标文件存在第三章“评标办法前附表”中所列任一否决投标情形以外的情况均视为细微偏差，评标委员会不得否决投标人的投标，细微偏差的处理可以按照澄清规定处理</w:t>
      </w:r>
      <w:r>
        <w:rPr>
          <w:rFonts w:hint="eastAsia" w:ascii="宋体" w:hAnsi="宋体"/>
          <w:kern w:val="0"/>
          <w:sz w:val="24"/>
        </w:rPr>
        <w:t>。</w:t>
      </w:r>
    </w:p>
    <w:p w14:paraId="7854F4E0">
      <w:pPr>
        <w:pStyle w:val="2"/>
        <w:spacing w:before="0" w:after="0" w:line="360" w:lineRule="auto"/>
        <w:rPr>
          <w:rFonts w:hint="eastAsia" w:ascii="黑体"/>
          <w:b w:val="0"/>
          <w:sz w:val="28"/>
          <w:szCs w:val="28"/>
        </w:rPr>
      </w:pPr>
      <w:bookmarkStart w:id="697" w:name="_Toc53685711"/>
      <w:r>
        <w:rPr>
          <w:rFonts w:hint="eastAsia" w:ascii="黑体"/>
          <w:b w:val="0"/>
          <w:sz w:val="28"/>
          <w:szCs w:val="28"/>
        </w:rPr>
        <w:t>3.8 评标结果</w:t>
      </w:r>
      <w:bookmarkEnd w:id="697"/>
      <w:r>
        <w:rPr>
          <w:rFonts w:hint="eastAsia" w:ascii="黑体"/>
          <w:b w:val="0"/>
          <w:sz w:val="28"/>
          <w:szCs w:val="28"/>
        </w:rPr>
        <w:t xml:space="preserve"> </w:t>
      </w:r>
    </w:p>
    <w:p w14:paraId="5CC21B86">
      <w:pPr>
        <w:spacing w:line="360" w:lineRule="auto"/>
        <w:ind w:firstLine="480" w:firstLineChars="200"/>
        <w:jc w:val="left"/>
        <w:rPr>
          <w:rFonts w:ascii="宋体" w:hAnsi="宋体"/>
          <w:kern w:val="0"/>
          <w:sz w:val="24"/>
        </w:rPr>
      </w:pPr>
      <w:r>
        <w:rPr>
          <w:rFonts w:ascii="宋体" w:hAnsi="宋体"/>
          <w:kern w:val="0"/>
          <w:sz w:val="24"/>
        </w:rPr>
        <w:t xml:space="preserve">3.8.1 </w:t>
      </w:r>
      <w:r>
        <w:rPr>
          <w:rFonts w:hint="eastAsia" w:ascii="宋体" w:hAnsi="宋体"/>
          <w:kern w:val="0"/>
          <w:sz w:val="24"/>
        </w:rPr>
        <w:t>除第二章</w:t>
      </w:r>
      <w:r>
        <w:rPr>
          <w:rFonts w:ascii="宋体" w:hAnsi="宋体"/>
          <w:kern w:val="0"/>
          <w:sz w:val="24"/>
        </w:rPr>
        <w:t>“</w:t>
      </w:r>
      <w:r>
        <w:rPr>
          <w:rFonts w:hint="eastAsia" w:ascii="宋体" w:hAnsi="宋体"/>
          <w:kern w:val="0"/>
          <w:sz w:val="24"/>
        </w:rPr>
        <w:t>投标人须知</w:t>
      </w:r>
      <w:r>
        <w:rPr>
          <w:rFonts w:ascii="宋体" w:hAnsi="宋体"/>
          <w:kern w:val="0"/>
          <w:sz w:val="24"/>
        </w:rPr>
        <w:t>”</w:t>
      </w:r>
      <w:r>
        <w:rPr>
          <w:rFonts w:hint="eastAsia" w:ascii="宋体" w:hAnsi="宋体"/>
          <w:kern w:val="0"/>
          <w:sz w:val="24"/>
        </w:rPr>
        <w:t>前附表授权直接确定中标人外，评标委员会按照经评审的价格由低到高的顺序推荐中标候选人，并标明排序。</w:t>
      </w:r>
    </w:p>
    <w:p w14:paraId="5F10BB0C">
      <w:pPr>
        <w:spacing w:line="360" w:lineRule="auto"/>
        <w:ind w:firstLine="240" w:firstLineChars="100"/>
        <w:rPr>
          <w:rFonts w:ascii="宋体" w:hAnsi="宋体"/>
          <w:b/>
          <w:sz w:val="48"/>
          <w:szCs w:val="48"/>
        </w:rPr>
      </w:pPr>
      <w:r>
        <w:rPr>
          <w:rFonts w:ascii="宋体" w:hAnsi="宋体"/>
          <w:kern w:val="0"/>
          <w:sz w:val="24"/>
        </w:rPr>
        <w:t>3.8.2</w:t>
      </w:r>
      <w:r>
        <w:rPr>
          <w:rFonts w:hint="eastAsia" w:ascii="宋体" w:hAnsi="宋体"/>
          <w:kern w:val="0"/>
          <w:sz w:val="24"/>
          <w:lang w:val="en-US" w:eastAsia="zh-CN"/>
        </w:rPr>
        <w:t xml:space="preserve"> </w:t>
      </w:r>
      <w:r>
        <w:rPr>
          <w:rFonts w:ascii="宋体" w:hAnsi="宋体"/>
          <w:kern w:val="0"/>
          <w:sz w:val="24"/>
        </w:rPr>
        <w:t>评标委员会完成评标后，应向招标人提交评标报告。</w:t>
      </w:r>
    </w:p>
    <w:p w14:paraId="67C19A63">
      <w:pPr>
        <w:spacing w:line="360" w:lineRule="auto"/>
        <w:rPr>
          <w:rFonts w:ascii="宋体" w:hAnsi="宋体"/>
          <w:b/>
          <w:sz w:val="48"/>
          <w:szCs w:val="48"/>
        </w:rPr>
      </w:pPr>
      <w:r>
        <w:rPr>
          <w:rFonts w:ascii="宋体" w:hAnsi="宋体"/>
          <w:sz w:val="24"/>
        </w:rPr>
        <w:br w:type="page"/>
      </w:r>
    </w:p>
    <w:p w14:paraId="5464FF87">
      <w:pPr>
        <w:spacing w:line="360" w:lineRule="auto"/>
        <w:rPr>
          <w:rFonts w:ascii="宋体" w:hAnsi="宋体"/>
          <w:b/>
          <w:sz w:val="48"/>
          <w:szCs w:val="48"/>
        </w:rPr>
      </w:pPr>
    </w:p>
    <w:p w14:paraId="5919443E">
      <w:pPr>
        <w:spacing w:line="360" w:lineRule="auto"/>
        <w:rPr>
          <w:rFonts w:ascii="宋体" w:hAnsi="宋体"/>
          <w:b/>
          <w:sz w:val="48"/>
          <w:szCs w:val="48"/>
        </w:rPr>
      </w:pPr>
    </w:p>
    <w:p w14:paraId="64942006">
      <w:pPr>
        <w:spacing w:line="360" w:lineRule="auto"/>
        <w:rPr>
          <w:rFonts w:ascii="宋体" w:hAnsi="宋体"/>
          <w:b/>
          <w:sz w:val="48"/>
          <w:szCs w:val="48"/>
        </w:rPr>
      </w:pPr>
    </w:p>
    <w:p w14:paraId="15B26048">
      <w:pPr>
        <w:spacing w:line="360" w:lineRule="auto"/>
        <w:rPr>
          <w:rFonts w:ascii="宋体" w:hAnsi="宋体"/>
          <w:b/>
          <w:sz w:val="48"/>
          <w:szCs w:val="48"/>
        </w:rPr>
      </w:pPr>
    </w:p>
    <w:p w14:paraId="4A766B08">
      <w:pPr>
        <w:spacing w:line="360" w:lineRule="auto"/>
        <w:rPr>
          <w:rFonts w:ascii="宋体" w:hAnsi="宋体"/>
          <w:b/>
          <w:sz w:val="48"/>
          <w:szCs w:val="48"/>
        </w:rPr>
      </w:pPr>
    </w:p>
    <w:p w14:paraId="6615BBA2">
      <w:pPr>
        <w:pStyle w:val="2"/>
        <w:spacing w:before="120" w:after="120" w:line="480" w:lineRule="auto"/>
        <w:jc w:val="center"/>
        <w:rPr>
          <w:rStyle w:val="175"/>
          <w:b w:val="0"/>
          <w:bCs w:val="0"/>
          <w:szCs w:val="52"/>
        </w:rPr>
      </w:pPr>
      <w:bookmarkStart w:id="698" w:name="_Toc53685712"/>
      <w:r>
        <w:rPr>
          <w:rStyle w:val="175"/>
          <w:rFonts w:hint="eastAsia"/>
          <w:b w:val="0"/>
          <w:bCs w:val="0"/>
          <w:szCs w:val="52"/>
        </w:rPr>
        <w:t>第四章</w:t>
      </w:r>
      <w:r>
        <w:rPr>
          <w:rStyle w:val="175"/>
          <w:b w:val="0"/>
          <w:bCs w:val="0"/>
          <w:szCs w:val="52"/>
        </w:rPr>
        <w:t xml:space="preserve">  </w:t>
      </w:r>
      <w:r>
        <w:rPr>
          <w:rStyle w:val="175"/>
          <w:rFonts w:hint="eastAsia"/>
          <w:b w:val="0"/>
          <w:bCs w:val="0"/>
          <w:szCs w:val="52"/>
        </w:rPr>
        <w:t>合同条款及格式</w:t>
      </w:r>
      <w:bookmarkEnd w:id="698"/>
    </w:p>
    <w:p w14:paraId="7B01E2C4">
      <w:pPr>
        <w:spacing w:line="240" w:lineRule="auto"/>
        <w:jc w:val="left"/>
      </w:pPr>
    </w:p>
    <w:p w14:paraId="6D74A6C4">
      <w:pPr>
        <w:jc w:val="both"/>
      </w:pPr>
    </w:p>
    <w:p w14:paraId="42813646">
      <w:pPr>
        <w:snapToGrid/>
        <w:spacing w:line="240" w:lineRule="auto"/>
        <w:ind w:firstLine="0" w:firstLineChars="0"/>
        <w:jc w:val="left"/>
      </w:pPr>
    </w:p>
    <w:p w14:paraId="7D5C9926">
      <w:pPr>
        <w:snapToGrid/>
        <w:spacing w:line="240" w:lineRule="auto"/>
        <w:ind w:firstLine="0" w:firstLineChars="0"/>
        <w:jc w:val="left"/>
      </w:pPr>
    </w:p>
    <w:p w14:paraId="31FCE313">
      <w:pPr>
        <w:snapToGrid/>
        <w:spacing w:line="240" w:lineRule="auto"/>
        <w:ind w:firstLine="0" w:firstLineChars="0"/>
        <w:jc w:val="left"/>
      </w:pPr>
    </w:p>
    <w:p w14:paraId="22E8EE90">
      <w:pPr>
        <w:snapToGrid/>
        <w:spacing w:line="240" w:lineRule="auto"/>
        <w:ind w:firstLine="0" w:firstLineChars="0"/>
        <w:jc w:val="left"/>
      </w:pPr>
    </w:p>
    <w:p w14:paraId="5324F906">
      <w:pPr>
        <w:snapToGrid/>
        <w:spacing w:line="240" w:lineRule="auto"/>
        <w:ind w:firstLine="0" w:firstLineChars="0"/>
        <w:jc w:val="left"/>
      </w:pPr>
    </w:p>
    <w:p w14:paraId="3A1CB5C5">
      <w:pPr>
        <w:spacing w:before="240" w:after="240"/>
        <w:jc w:val="center"/>
      </w:pPr>
      <w:bookmarkStart w:id="699" w:name="_Toc234832965"/>
      <w:bookmarkStart w:id="700" w:name="_Toc501257188"/>
    </w:p>
    <w:p w14:paraId="039F54A0">
      <w:pPr>
        <w:spacing w:before="240" w:after="240"/>
        <w:jc w:val="center"/>
      </w:pPr>
    </w:p>
    <w:p w14:paraId="56A51996">
      <w:pPr>
        <w:spacing w:before="240" w:after="240"/>
        <w:jc w:val="center"/>
      </w:pPr>
    </w:p>
    <w:p w14:paraId="2399723D">
      <w:bookmarkStart w:id="701" w:name="_Toc27059551"/>
      <w:bookmarkStart w:id="702" w:name="_Toc27059924"/>
      <w:bookmarkStart w:id="703" w:name="_Toc27059822"/>
      <w:bookmarkStart w:id="704" w:name="_Toc27060722"/>
      <w:bookmarkStart w:id="705" w:name="_Toc27059732"/>
    </w:p>
    <w:p w14:paraId="7BA4ABA6"/>
    <w:p w14:paraId="0EC015BA"/>
    <w:p w14:paraId="1641E132">
      <w:pPr>
        <w:rPr>
          <w:rFonts w:ascii="宋体" w:hAnsi="宋体"/>
          <w:sz w:val="42"/>
          <w:szCs w:val="42"/>
        </w:rPr>
      </w:pPr>
      <w:r>
        <w:rPr>
          <w:rFonts w:ascii="宋体" w:hAnsi="宋体"/>
          <w:sz w:val="42"/>
          <w:szCs w:val="42"/>
        </w:rPr>
        <w:br w:type="page"/>
      </w:r>
    </w:p>
    <w:p w14:paraId="16A7457A">
      <w:pPr>
        <w:rPr>
          <w:rFonts w:ascii="宋体" w:hAnsi="宋体"/>
          <w:sz w:val="42"/>
          <w:szCs w:val="42"/>
        </w:rPr>
      </w:pPr>
    </w:p>
    <w:p w14:paraId="1DE83C13">
      <w:pPr>
        <w:pStyle w:val="2"/>
        <w:numPr>
          <w:ilvl w:val="-1"/>
          <w:numId w:val="0"/>
        </w:numPr>
        <w:spacing w:before="240" w:after="240" w:line="380" w:lineRule="atLeast"/>
        <w:jc w:val="center"/>
        <w:rPr>
          <w:rFonts w:ascii="宋体" w:hAnsi="宋体"/>
          <w:b w:val="0"/>
          <w:sz w:val="40"/>
          <w:szCs w:val="40"/>
        </w:rPr>
      </w:pPr>
      <w:bookmarkStart w:id="706" w:name="_Toc53685713"/>
      <w:r>
        <w:rPr>
          <w:rFonts w:ascii="宋体" w:hAnsi="宋体"/>
          <w:b w:val="0"/>
          <w:sz w:val="40"/>
          <w:szCs w:val="40"/>
        </w:rPr>
        <w:t>第一节  通用合同条款</w:t>
      </w:r>
      <w:bookmarkEnd w:id="699"/>
      <w:bookmarkEnd w:id="700"/>
      <w:bookmarkEnd w:id="701"/>
      <w:bookmarkEnd w:id="702"/>
      <w:bookmarkEnd w:id="703"/>
      <w:bookmarkEnd w:id="704"/>
      <w:bookmarkEnd w:id="705"/>
      <w:bookmarkEnd w:id="706"/>
    </w:p>
    <w:p w14:paraId="22FBD8CF">
      <w:pPr>
        <w:numPr>
          <w:ilvl w:val="0"/>
          <w:numId w:val="0"/>
        </w:numPr>
        <w:rPr>
          <w:rFonts w:ascii="宋体" w:hAnsi="宋体"/>
          <w:b w:val="0"/>
          <w:sz w:val="40"/>
          <w:szCs w:val="40"/>
        </w:rPr>
      </w:pPr>
    </w:p>
    <w:p w14:paraId="5985509C">
      <w:pPr>
        <w:jc w:val="center"/>
        <w:outlineLvl w:val="9"/>
        <w:rPr>
          <w:rFonts w:hint="eastAsia" w:ascii="黑体" w:hAnsi="黑体" w:eastAsia="黑体" w:cs="黑体"/>
          <w:b w:val="0"/>
          <w:sz w:val="32"/>
          <w:szCs w:val="32"/>
        </w:rPr>
      </w:pPr>
      <w:bookmarkStart w:id="707" w:name="_Toc27059552"/>
      <w:bookmarkStart w:id="708" w:name="_Toc27059733"/>
      <w:bookmarkStart w:id="709" w:name="_Toc27059925"/>
      <w:bookmarkStart w:id="710" w:name="_Toc27059823"/>
      <w:bookmarkStart w:id="711" w:name="_Toc53685714"/>
      <w:bookmarkStart w:id="712" w:name="_Toc27060723"/>
      <w:r>
        <w:rPr>
          <w:rFonts w:hint="eastAsia" w:ascii="黑体" w:hAnsi="黑体" w:eastAsia="黑体" w:cs="黑体"/>
          <w:b w:val="0"/>
          <w:sz w:val="32"/>
          <w:szCs w:val="32"/>
        </w:rPr>
        <w:t>详见《中华人民共和国标准设计施工总承包招标文件》</w:t>
      </w:r>
    </w:p>
    <w:p w14:paraId="7CF00EFC">
      <w:pPr>
        <w:spacing w:line="360" w:lineRule="auto"/>
        <w:jc w:val="center"/>
        <w:rPr>
          <w:rFonts w:hint="eastAsia" w:ascii="黑体" w:hAnsi="黑体" w:eastAsia="黑体" w:cs="黑体"/>
          <w:b w:val="0"/>
          <w:sz w:val="32"/>
          <w:szCs w:val="32"/>
        </w:rPr>
      </w:pPr>
      <w:r>
        <w:rPr>
          <w:rFonts w:hint="eastAsia" w:ascii="黑体" w:hAnsi="黑体" w:eastAsia="黑体" w:cs="黑体"/>
          <w:b w:val="0"/>
          <w:sz w:val="32"/>
          <w:szCs w:val="32"/>
        </w:rPr>
        <w:t>（2012年版）</w:t>
      </w:r>
      <w:bookmarkEnd w:id="707"/>
      <w:bookmarkEnd w:id="708"/>
      <w:bookmarkEnd w:id="709"/>
      <w:bookmarkEnd w:id="710"/>
      <w:bookmarkEnd w:id="711"/>
      <w:bookmarkEnd w:id="712"/>
    </w:p>
    <w:p w14:paraId="62EA65A2">
      <w:pPr>
        <w:spacing w:before="240" w:after="240"/>
        <w:jc w:val="center"/>
        <w:rPr>
          <w:rFonts w:hint="eastAsia"/>
        </w:rPr>
      </w:pPr>
    </w:p>
    <w:p w14:paraId="05919ED7">
      <w:pPr>
        <w:spacing w:before="240" w:after="240"/>
        <w:jc w:val="center"/>
        <w:rPr>
          <w:rFonts w:ascii="黑体" w:hAnsi="黑体"/>
          <w:b w:val="0"/>
          <w:szCs w:val="32"/>
        </w:rPr>
      </w:pPr>
      <w:r>
        <w:rPr>
          <w:rFonts w:hint="eastAsia" w:ascii="宋体" w:hAnsi="宋体" w:eastAsia="宋体" w:cs="宋体"/>
          <w:b w:val="0"/>
          <w:bCs w:val="0"/>
          <w:sz w:val="21"/>
          <w:szCs w:val="21"/>
          <w:lang w:val="en-US" w:eastAsia="zh-CN"/>
        </w:rPr>
        <w:t>注：</w:t>
      </w:r>
      <w:r>
        <w:rPr>
          <w:rFonts w:hint="eastAsia" w:ascii="宋体" w:hAnsi="宋体" w:eastAsia="宋体" w:cs="宋体"/>
          <w:b w:val="0"/>
          <w:bCs w:val="0"/>
          <w:sz w:val="21"/>
          <w:szCs w:val="21"/>
        </w:rPr>
        <w:t>本部分不加修改地引用了《中华人民共和国标准设计施工总承包招标文件》（2012年版）相关内容。</w:t>
      </w:r>
      <w:r>
        <w:rPr>
          <w:rFonts w:ascii="黑体" w:hAnsi="黑体"/>
          <w:b w:val="0"/>
          <w:szCs w:val="32"/>
        </w:rPr>
        <w:br w:type="page"/>
      </w:r>
    </w:p>
    <w:p w14:paraId="4A43CA1B">
      <w:pPr>
        <w:spacing w:before="240" w:after="240"/>
        <w:jc w:val="center"/>
      </w:pPr>
      <w:bookmarkStart w:id="713" w:name="_Toc27060724"/>
      <w:bookmarkStart w:id="714" w:name="_Toc27059824"/>
      <w:bookmarkStart w:id="715" w:name="_Toc27059926"/>
      <w:bookmarkStart w:id="716" w:name="_Toc27059553"/>
      <w:bookmarkStart w:id="717" w:name="_Toc501257345"/>
      <w:bookmarkStart w:id="718" w:name="_Toc27059734"/>
      <w:bookmarkStart w:id="719" w:name="_Toc234833122"/>
    </w:p>
    <w:p w14:paraId="01CAB28A"/>
    <w:p w14:paraId="13EAF97F"/>
    <w:p w14:paraId="6CE4847C"/>
    <w:p w14:paraId="7A56BE9B"/>
    <w:p w14:paraId="375520EF"/>
    <w:p w14:paraId="4F65C08F">
      <w:pPr>
        <w:pStyle w:val="2"/>
        <w:spacing w:before="240" w:after="240" w:line="380" w:lineRule="atLeast"/>
        <w:jc w:val="center"/>
        <w:rPr>
          <w:rFonts w:ascii="宋体" w:hAnsi="宋体"/>
          <w:b w:val="0"/>
          <w:sz w:val="40"/>
          <w:szCs w:val="40"/>
        </w:rPr>
      </w:pPr>
      <w:bookmarkStart w:id="720" w:name="_Toc53685715"/>
      <w:r>
        <w:rPr>
          <w:rFonts w:ascii="宋体" w:hAnsi="宋体"/>
          <w:b w:val="0"/>
          <w:sz w:val="40"/>
          <w:szCs w:val="40"/>
        </w:rPr>
        <w:t>第二节  专用合同条款</w:t>
      </w:r>
      <w:bookmarkEnd w:id="713"/>
      <w:bookmarkEnd w:id="714"/>
      <w:bookmarkEnd w:id="715"/>
      <w:bookmarkEnd w:id="716"/>
      <w:bookmarkEnd w:id="717"/>
      <w:bookmarkEnd w:id="718"/>
      <w:bookmarkEnd w:id="719"/>
      <w:bookmarkEnd w:id="720"/>
    </w:p>
    <w:p w14:paraId="7861D0AA">
      <w:pPr>
        <w:adjustRightInd w:val="0"/>
        <w:snapToGrid w:val="0"/>
        <w:jc w:val="center"/>
      </w:pPr>
      <w:r>
        <w:br w:type="page"/>
      </w:r>
    </w:p>
    <w:p w14:paraId="3A4432E0">
      <w:pPr>
        <w:adjustRightInd w:val="0"/>
        <w:snapToGrid w:val="0"/>
        <w:jc w:val="center"/>
      </w:pPr>
      <w:bookmarkStart w:id="721" w:name="_Toc27059555"/>
      <w:bookmarkStart w:id="722" w:name="_Toc27059928"/>
      <w:bookmarkStart w:id="723" w:name="_Toc27059736"/>
      <w:bookmarkStart w:id="724" w:name="_Toc27060726"/>
      <w:bookmarkStart w:id="725" w:name="_Toc53685717"/>
      <w:bookmarkStart w:id="726" w:name="_Toc27059826"/>
    </w:p>
    <w:p w14:paraId="71FEB5EF">
      <w:pPr>
        <w:snapToGrid w:val="0"/>
        <w:spacing w:line="305" w:lineRule="auto"/>
        <w:ind w:firstLine="633" w:firstLineChars="198"/>
        <w:jc w:val="center"/>
        <w:rPr>
          <w:rFonts w:ascii="黑体" w:hAnsi="黑体" w:eastAsia="黑体" w:cs="黑体"/>
          <w:bCs/>
          <w:sz w:val="32"/>
          <w:szCs w:val="32"/>
          <w:vertAlign w:val="superscript"/>
        </w:rPr>
      </w:pPr>
      <w:r>
        <w:rPr>
          <w:rFonts w:ascii="黑体" w:hAnsi="黑体" w:eastAsia="黑体" w:cs="黑体"/>
          <w:bCs/>
          <w:sz w:val="32"/>
          <w:szCs w:val="32"/>
        </w:rPr>
        <w:t>专用合同条款</w:t>
      </w:r>
    </w:p>
    <w:p w14:paraId="6B79165F">
      <w:pPr>
        <w:spacing w:line="360" w:lineRule="auto"/>
        <w:ind w:firstLine="480" w:firstLineChars="200"/>
        <w:rPr>
          <w:rFonts w:ascii="黑体" w:hAnsi="黑体" w:eastAsia="黑体" w:cs="宋体"/>
          <w:sz w:val="24"/>
        </w:rPr>
      </w:pPr>
      <w:r>
        <w:rPr>
          <w:rFonts w:hint="eastAsia" w:ascii="黑体" w:hAnsi="黑体" w:eastAsia="黑体"/>
          <w:sz w:val="24"/>
        </w:rPr>
        <w:t>说明：</w:t>
      </w:r>
    </w:p>
    <w:p w14:paraId="0CB98E1E">
      <w:pPr>
        <w:spacing w:line="360" w:lineRule="auto"/>
        <w:ind w:firstLine="480" w:firstLineChars="200"/>
        <w:rPr>
          <w:rFonts w:ascii="楷体" w:hAnsi="楷体" w:eastAsia="楷体" w:cs="宋体"/>
          <w:sz w:val="24"/>
        </w:rPr>
      </w:pPr>
      <w:r>
        <w:rPr>
          <w:rFonts w:ascii="楷体" w:hAnsi="楷体" w:eastAsia="楷体" w:cs="宋体"/>
          <w:sz w:val="24"/>
        </w:rPr>
        <w:t>1.招标人在根据《标准设计施工总承包招标文件》编制项目招标文件中的“专用合同条款”时，可根据招标项目的具体特点和实际需要，对“通用合同条款”进行补充和细化，除“通用合同条款”明确“专用合同条款”可作出不同约定外，补充、细化或约定的内容，不得违反法律、行政法规的强制性规定和平等、自愿、公平</w:t>
      </w:r>
      <w:r>
        <w:rPr>
          <w:rFonts w:hint="eastAsia" w:ascii="楷体" w:hAnsi="楷体" w:eastAsia="楷体" w:cs="宋体"/>
          <w:sz w:val="24"/>
          <w:lang w:val="en-US" w:eastAsia="zh-CN"/>
        </w:rPr>
        <w:t>、</w:t>
      </w:r>
      <w:r>
        <w:rPr>
          <w:rFonts w:ascii="楷体" w:hAnsi="楷体" w:eastAsia="楷体" w:cs="宋体"/>
          <w:sz w:val="24"/>
        </w:rPr>
        <w:t>诚实信用原则。</w:t>
      </w:r>
    </w:p>
    <w:p w14:paraId="53971293">
      <w:pPr>
        <w:spacing w:line="360" w:lineRule="auto"/>
        <w:ind w:firstLine="480" w:firstLineChars="200"/>
        <w:rPr>
          <w:rFonts w:ascii="楷体" w:hAnsi="楷体" w:eastAsia="楷体" w:cs="宋体"/>
          <w:sz w:val="24"/>
        </w:rPr>
      </w:pPr>
      <w:r>
        <w:rPr>
          <w:rFonts w:ascii="楷体" w:hAnsi="楷体" w:eastAsia="楷体" w:cs="宋体"/>
          <w:sz w:val="24"/>
        </w:rPr>
        <w:t>2.专用合同条款的编号应与通用合同条款一致。</w:t>
      </w:r>
    </w:p>
    <w:p w14:paraId="6B1E4F97">
      <w:pPr>
        <w:snapToGrid w:val="0"/>
        <w:spacing w:line="360" w:lineRule="auto"/>
        <w:ind w:firstLine="480" w:firstLineChars="200"/>
        <w:jc w:val="left"/>
        <w:rPr>
          <w:rFonts w:ascii="宋体" w:hAnsi="宋体" w:cs="宋体"/>
          <w:sz w:val="24"/>
        </w:rPr>
      </w:pPr>
      <w:r>
        <w:rPr>
          <w:rFonts w:ascii="楷体" w:hAnsi="楷体" w:eastAsia="楷体" w:cs="宋体"/>
          <w:sz w:val="24"/>
        </w:rPr>
        <w:t>3.</w:t>
      </w:r>
      <w:r>
        <w:rPr>
          <w:rFonts w:hint="eastAsia" w:ascii="楷体" w:hAnsi="楷体" w:eastAsia="楷体" w:cs="宋体"/>
          <w:sz w:val="24"/>
        </w:rPr>
        <w:t>专用合同条款也是对通用合同条款中规定必须在专用合同条款中明确的内容的集中</w:t>
      </w:r>
      <w:r>
        <w:rPr>
          <w:rFonts w:ascii="楷体" w:hAnsi="楷体" w:eastAsia="楷体" w:cs="宋体"/>
          <w:sz w:val="24"/>
        </w:rPr>
        <w:t>。</w:t>
      </w:r>
    </w:p>
    <w:p w14:paraId="3185A245">
      <w:pPr>
        <w:adjustRightInd w:val="0"/>
        <w:snapToGrid w:val="0"/>
        <w:jc w:val="center"/>
      </w:pPr>
    </w:p>
    <w:p w14:paraId="4CC2D77F">
      <w:pPr>
        <w:adjustRightInd w:val="0"/>
        <w:snapToGrid w:val="0"/>
        <w:jc w:val="both"/>
        <w:rPr>
          <w:rFonts w:ascii="宋体" w:hAnsi="宋体"/>
          <w:b w:val="0"/>
          <w:szCs w:val="32"/>
        </w:rPr>
      </w:pPr>
      <w:r>
        <w:rPr>
          <w:rFonts w:hint="eastAsia" w:ascii="宋体" w:hAnsi="宋体" w:eastAsia="宋体" w:cs="宋体"/>
          <w:sz w:val="21"/>
          <w:szCs w:val="21"/>
        </w:rPr>
        <w:t>注：本章节内容仅供招标人参考，招标人根据项目特点和实际需要自行编制。</w:t>
      </w:r>
      <w:r>
        <w:br w:type="page"/>
      </w:r>
    </w:p>
    <w:p w14:paraId="64233331">
      <w:pPr>
        <w:pStyle w:val="2"/>
        <w:adjustRightInd w:val="0"/>
        <w:snapToGrid w:val="0"/>
        <w:jc w:val="center"/>
        <w:rPr>
          <w:rFonts w:ascii="宋体" w:hAnsi="宋体"/>
          <w:b w:val="0"/>
          <w:sz w:val="32"/>
          <w:szCs w:val="32"/>
        </w:rPr>
      </w:pPr>
      <w:r>
        <w:rPr>
          <w:rFonts w:hint="eastAsia" w:ascii="宋体" w:hAnsi="宋体"/>
          <w:b w:val="0"/>
          <w:sz w:val="32"/>
          <w:szCs w:val="32"/>
        </w:rPr>
        <w:t>专用合同条款数据表</w:t>
      </w:r>
      <w:bookmarkEnd w:id="721"/>
      <w:bookmarkEnd w:id="722"/>
      <w:bookmarkEnd w:id="723"/>
      <w:bookmarkEnd w:id="724"/>
      <w:bookmarkEnd w:id="725"/>
      <w:bookmarkEnd w:id="726"/>
    </w:p>
    <w:p w14:paraId="178A6995">
      <w:pPr>
        <w:adjustRightInd w:val="0"/>
        <w:snapToGrid w:val="0"/>
        <w:spacing w:line="360" w:lineRule="auto"/>
        <w:rPr>
          <w:rFonts w:ascii="宋体" w:hAnsi="宋体" w:cs="楷体"/>
          <w:szCs w:val="21"/>
        </w:rPr>
      </w:pPr>
      <w:r>
        <w:rPr>
          <w:rFonts w:hint="eastAsia" w:ascii="黑体" w:hAnsi="黑体" w:eastAsia="黑体"/>
          <w:bCs/>
          <w:sz w:val="24"/>
        </w:rPr>
        <w:t>说明</w:t>
      </w:r>
      <w:r>
        <w:rPr>
          <w:rFonts w:hint="eastAsia" w:ascii="黑体" w:hAnsi="黑体" w:eastAsia="黑体"/>
          <w:sz w:val="24"/>
        </w:rPr>
        <w:t>：</w:t>
      </w:r>
      <w:r>
        <w:rPr>
          <w:rFonts w:hint="eastAsia" w:ascii="楷体" w:hAnsi="楷体" w:eastAsia="楷体" w:cs="楷体"/>
          <w:sz w:val="24"/>
        </w:rPr>
        <w:t>本数据表是专用合同条款中适用于本项目的信息和数据的归纳与提示，是专用合同条款的组成部分。第八章“投标文件格式”的投标函附录中的数据（供投标人确认）与本表所列有重复。编写投标文件的单位应仔细校核，不使数据出现差错或不一致。</w:t>
      </w:r>
    </w:p>
    <w:tbl>
      <w:tblPr>
        <w:tblStyle w:val="4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832"/>
      </w:tblGrid>
      <w:tr w14:paraId="2181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4" w:type="dxa"/>
            <w:vAlign w:val="center"/>
          </w:tcPr>
          <w:p w14:paraId="076B4776">
            <w:pPr>
              <w:adjustRightInd w:val="0"/>
              <w:snapToGrid w:val="0"/>
              <w:spacing w:line="400" w:lineRule="exact"/>
              <w:jc w:val="center"/>
              <w:rPr>
                <w:rFonts w:ascii="宋体" w:hAnsi="宋体" w:cs="宋体"/>
                <w:szCs w:val="21"/>
              </w:rPr>
            </w:pPr>
            <w:r>
              <w:rPr>
                <w:rFonts w:hint="eastAsia" w:ascii="宋体" w:hAnsi="宋体" w:cs="宋体"/>
                <w:b/>
                <w:bCs/>
                <w:szCs w:val="21"/>
              </w:rPr>
              <w:t>序号</w:t>
            </w:r>
          </w:p>
        </w:tc>
        <w:tc>
          <w:tcPr>
            <w:tcW w:w="1418" w:type="dxa"/>
            <w:vAlign w:val="center"/>
          </w:tcPr>
          <w:p w14:paraId="4EF5011D">
            <w:pPr>
              <w:adjustRightInd w:val="0"/>
              <w:snapToGrid w:val="0"/>
              <w:spacing w:line="400" w:lineRule="exact"/>
              <w:jc w:val="center"/>
              <w:rPr>
                <w:rFonts w:ascii="宋体" w:hAnsi="宋体" w:cs="宋体"/>
                <w:szCs w:val="21"/>
              </w:rPr>
            </w:pPr>
            <w:r>
              <w:rPr>
                <w:rFonts w:hint="eastAsia" w:ascii="宋体" w:hAnsi="宋体" w:cs="宋体"/>
                <w:b/>
                <w:bCs/>
                <w:szCs w:val="21"/>
              </w:rPr>
              <w:t>条目号</w:t>
            </w:r>
          </w:p>
        </w:tc>
        <w:tc>
          <w:tcPr>
            <w:tcW w:w="6832" w:type="dxa"/>
            <w:vAlign w:val="center"/>
          </w:tcPr>
          <w:p w14:paraId="4089C0F0">
            <w:pPr>
              <w:adjustRightInd w:val="0"/>
              <w:snapToGrid w:val="0"/>
              <w:spacing w:line="400" w:lineRule="exact"/>
              <w:jc w:val="center"/>
              <w:rPr>
                <w:rFonts w:ascii="宋体" w:hAnsi="宋体" w:cs="宋体"/>
                <w:szCs w:val="21"/>
              </w:rPr>
            </w:pPr>
            <w:r>
              <w:rPr>
                <w:rFonts w:hint="eastAsia" w:ascii="宋体" w:hAnsi="宋体" w:cs="宋体"/>
                <w:b/>
                <w:bCs/>
                <w:szCs w:val="21"/>
              </w:rPr>
              <w:t>信</w:t>
            </w:r>
            <w:r>
              <w:rPr>
                <w:rFonts w:ascii="宋体" w:hAnsi="宋体" w:cs="宋体"/>
                <w:b/>
                <w:bCs/>
                <w:szCs w:val="21"/>
              </w:rPr>
              <w:t xml:space="preserve"> </w:t>
            </w:r>
            <w:r>
              <w:rPr>
                <w:rFonts w:hint="eastAsia" w:ascii="宋体" w:hAnsi="宋体" w:cs="宋体"/>
                <w:b/>
                <w:bCs/>
                <w:szCs w:val="21"/>
              </w:rPr>
              <w:t>息</w:t>
            </w:r>
            <w:r>
              <w:rPr>
                <w:rFonts w:ascii="宋体" w:hAnsi="宋体" w:cs="宋体"/>
                <w:b/>
                <w:bCs/>
                <w:szCs w:val="21"/>
              </w:rPr>
              <w:t xml:space="preserve"> </w:t>
            </w:r>
            <w:r>
              <w:rPr>
                <w:rFonts w:hint="eastAsia" w:ascii="宋体" w:hAnsi="宋体" w:cs="宋体"/>
                <w:b/>
                <w:bCs/>
                <w:szCs w:val="21"/>
              </w:rPr>
              <w:t>或</w:t>
            </w:r>
            <w:r>
              <w:rPr>
                <w:rFonts w:ascii="宋体" w:hAnsi="宋体" w:cs="宋体"/>
                <w:b/>
                <w:bCs/>
                <w:szCs w:val="21"/>
              </w:rPr>
              <w:t xml:space="preserve"> </w:t>
            </w:r>
            <w:r>
              <w:rPr>
                <w:rFonts w:hint="eastAsia" w:ascii="宋体" w:hAnsi="宋体" w:cs="宋体"/>
                <w:b/>
                <w:bCs/>
                <w:szCs w:val="21"/>
              </w:rPr>
              <w:t>数</w:t>
            </w:r>
            <w:r>
              <w:rPr>
                <w:rFonts w:ascii="宋体" w:hAnsi="宋体" w:cs="宋体"/>
                <w:b/>
                <w:bCs/>
                <w:szCs w:val="21"/>
              </w:rPr>
              <w:t xml:space="preserve"> </w:t>
            </w:r>
            <w:r>
              <w:rPr>
                <w:rFonts w:hint="eastAsia" w:ascii="宋体" w:hAnsi="宋体" w:cs="宋体"/>
                <w:b/>
                <w:bCs/>
                <w:szCs w:val="21"/>
              </w:rPr>
              <w:t>据</w:t>
            </w:r>
          </w:p>
        </w:tc>
      </w:tr>
      <w:tr w14:paraId="6FAD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F4766F8">
            <w:pPr>
              <w:adjustRightInd w:val="0"/>
              <w:snapToGrid w:val="0"/>
              <w:spacing w:line="400" w:lineRule="exact"/>
              <w:jc w:val="center"/>
              <w:rPr>
                <w:rFonts w:ascii="宋体" w:hAnsi="宋体" w:cs="宋体"/>
                <w:szCs w:val="21"/>
              </w:rPr>
            </w:pPr>
            <w:r>
              <w:rPr>
                <w:rFonts w:ascii="宋体" w:hAnsi="宋体" w:cs="宋体"/>
                <w:szCs w:val="21"/>
              </w:rPr>
              <w:t>1</w:t>
            </w:r>
          </w:p>
        </w:tc>
        <w:tc>
          <w:tcPr>
            <w:tcW w:w="1418" w:type="dxa"/>
            <w:vAlign w:val="center"/>
          </w:tcPr>
          <w:p w14:paraId="63ADC52A">
            <w:pPr>
              <w:adjustRightInd w:val="0"/>
              <w:snapToGrid w:val="0"/>
              <w:spacing w:line="400" w:lineRule="exact"/>
              <w:jc w:val="center"/>
              <w:rPr>
                <w:rFonts w:ascii="宋体" w:hAnsi="宋体" w:cs="宋体"/>
                <w:szCs w:val="21"/>
              </w:rPr>
            </w:pPr>
            <w:r>
              <w:rPr>
                <w:rFonts w:ascii="宋体" w:hAnsi="宋体" w:cs="宋体"/>
                <w:szCs w:val="21"/>
              </w:rPr>
              <w:t>1.1.2.2</w:t>
            </w:r>
          </w:p>
        </w:tc>
        <w:tc>
          <w:tcPr>
            <w:tcW w:w="6832" w:type="dxa"/>
            <w:vAlign w:val="center"/>
          </w:tcPr>
          <w:p w14:paraId="07D133F0">
            <w:pPr>
              <w:adjustRightInd w:val="0"/>
              <w:snapToGrid w:val="0"/>
              <w:spacing w:line="400" w:lineRule="exact"/>
              <w:rPr>
                <w:rFonts w:ascii="宋体" w:hAnsi="宋体" w:cs="宋体"/>
                <w:szCs w:val="21"/>
                <w:u w:val="single"/>
              </w:rPr>
            </w:pPr>
            <w:r>
              <w:rPr>
                <w:rFonts w:hint="eastAsia" w:ascii="宋体" w:hAnsi="宋体" w:cs="宋体"/>
                <w:szCs w:val="21"/>
              </w:rPr>
              <w:t>发包人：</w:t>
            </w:r>
            <w:r>
              <w:rPr>
                <w:rFonts w:ascii="宋体" w:hAnsi="宋体" w:cs="宋体"/>
                <w:szCs w:val="21"/>
                <w:u w:val="single"/>
              </w:rPr>
              <w:t xml:space="preserve">                 </w:t>
            </w:r>
          </w:p>
          <w:p w14:paraId="497347F7">
            <w:pPr>
              <w:adjustRightInd w:val="0"/>
              <w:snapToGrid w:val="0"/>
              <w:spacing w:line="400" w:lineRule="exact"/>
              <w:rPr>
                <w:rFonts w:ascii="宋体" w:hAns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hint="eastAsia" w:ascii="宋体" w:hAnsi="宋体" w:cs="宋体"/>
                <w:szCs w:val="21"/>
                <w:u w:val="none"/>
                <w:lang w:val="en-US" w:eastAsia="zh-CN"/>
              </w:rPr>
              <w:t xml:space="preserve">   </w:t>
            </w: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p>
        </w:tc>
      </w:tr>
      <w:tr w14:paraId="6CC9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6AD7F77">
            <w:pPr>
              <w:adjustRightInd w:val="0"/>
              <w:snapToGrid w:val="0"/>
              <w:spacing w:line="400" w:lineRule="exact"/>
              <w:jc w:val="center"/>
              <w:rPr>
                <w:rFonts w:ascii="宋体" w:hAnsi="宋体" w:cs="宋体"/>
                <w:szCs w:val="21"/>
              </w:rPr>
            </w:pPr>
            <w:r>
              <w:rPr>
                <w:rFonts w:ascii="宋体" w:hAnsi="宋体" w:cs="宋体"/>
                <w:szCs w:val="21"/>
              </w:rPr>
              <w:t>2</w:t>
            </w:r>
          </w:p>
        </w:tc>
        <w:tc>
          <w:tcPr>
            <w:tcW w:w="1418" w:type="dxa"/>
            <w:vAlign w:val="center"/>
          </w:tcPr>
          <w:p w14:paraId="334AD11A">
            <w:pPr>
              <w:adjustRightInd w:val="0"/>
              <w:snapToGrid w:val="0"/>
              <w:spacing w:line="400" w:lineRule="exact"/>
              <w:jc w:val="center"/>
              <w:rPr>
                <w:rFonts w:ascii="宋体" w:hAnsi="宋体" w:cs="宋体"/>
                <w:szCs w:val="21"/>
              </w:rPr>
            </w:pPr>
            <w:r>
              <w:rPr>
                <w:rFonts w:ascii="宋体" w:hAnsi="宋体" w:cs="宋体"/>
                <w:szCs w:val="21"/>
              </w:rPr>
              <w:t>1.1.2.9</w:t>
            </w:r>
          </w:p>
        </w:tc>
        <w:tc>
          <w:tcPr>
            <w:tcW w:w="6832" w:type="dxa"/>
            <w:vAlign w:val="center"/>
          </w:tcPr>
          <w:p w14:paraId="6DF5044E">
            <w:pPr>
              <w:adjustRightInd w:val="0"/>
              <w:snapToGrid w:val="0"/>
              <w:spacing w:line="400" w:lineRule="exact"/>
              <w:rPr>
                <w:rFonts w:ascii="宋体" w:hAnsi="宋体" w:cs="宋体"/>
                <w:szCs w:val="21"/>
              </w:rPr>
            </w:pPr>
            <w:r>
              <w:rPr>
                <w:rFonts w:hint="eastAsia" w:ascii="宋体" w:hAnsi="宋体" w:cs="宋体"/>
                <w:szCs w:val="21"/>
              </w:rPr>
              <w:t>监理人</w:t>
            </w:r>
            <w:r>
              <w:rPr>
                <w:rFonts w:hint="eastAsia" w:ascii="宋体" w:hAnsi="宋体" w:cs="宋体"/>
                <w:szCs w:val="21"/>
                <w:u w:val="none"/>
              </w:rPr>
              <w:t>：</w:t>
            </w:r>
            <w:r>
              <w:rPr>
                <w:rFonts w:ascii="宋体" w:hAnsi="宋体" w:cs="宋体"/>
                <w:szCs w:val="21"/>
                <w:u w:val="single"/>
              </w:rPr>
              <w:t xml:space="preserve">                  </w:t>
            </w:r>
            <w:r>
              <w:rPr>
                <w:rFonts w:ascii="宋体" w:hAnsi="宋体" w:cs="宋体"/>
                <w:szCs w:val="21"/>
              </w:rPr>
              <w:t xml:space="preserve"> </w:t>
            </w:r>
          </w:p>
          <w:p w14:paraId="62B3015D">
            <w:pPr>
              <w:adjustRightInd w:val="0"/>
              <w:snapToGrid w:val="0"/>
              <w:spacing w:line="400" w:lineRule="exact"/>
              <w:rPr>
                <w:rFonts w:ascii="宋体" w:hAns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hint="eastAsia" w:ascii="宋体" w:hAnsi="宋体" w:cs="宋体"/>
                <w:szCs w:val="21"/>
                <w:u w:val="none"/>
                <w:lang w:val="en-US" w:eastAsia="zh-CN"/>
              </w:rPr>
              <w:t xml:space="preserve">   </w:t>
            </w: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p>
        </w:tc>
      </w:tr>
      <w:tr w14:paraId="318D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4137EA9">
            <w:pPr>
              <w:adjustRightInd w:val="0"/>
              <w:snapToGrid w:val="0"/>
              <w:spacing w:line="400" w:lineRule="exact"/>
              <w:jc w:val="center"/>
              <w:rPr>
                <w:rFonts w:ascii="宋体" w:hAnsi="宋体" w:cs="宋体"/>
                <w:szCs w:val="21"/>
              </w:rPr>
            </w:pPr>
            <w:r>
              <w:rPr>
                <w:rFonts w:ascii="宋体" w:hAnsi="宋体" w:cs="宋体"/>
                <w:szCs w:val="21"/>
              </w:rPr>
              <w:t>3</w:t>
            </w:r>
          </w:p>
        </w:tc>
        <w:tc>
          <w:tcPr>
            <w:tcW w:w="1418" w:type="dxa"/>
            <w:vAlign w:val="center"/>
          </w:tcPr>
          <w:p w14:paraId="19B4B445">
            <w:pPr>
              <w:adjustRightInd w:val="0"/>
              <w:snapToGrid w:val="0"/>
              <w:spacing w:line="400" w:lineRule="exact"/>
              <w:jc w:val="center"/>
              <w:rPr>
                <w:rFonts w:ascii="宋体" w:hAnsi="宋体" w:cs="宋体"/>
                <w:szCs w:val="21"/>
              </w:rPr>
            </w:pPr>
            <w:r>
              <w:rPr>
                <w:rFonts w:hint="eastAsia" w:ascii="宋体" w:hAnsi="宋体" w:cs="宋体"/>
                <w:szCs w:val="21"/>
              </w:rPr>
              <w:t>1</w:t>
            </w:r>
            <w:r>
              <w:rPr>
                <w:rFonts w:ascii="宋体" w:hAnsi="宋体" w:cs="宋体"/>
                <w:szCs w:val="21"/>
              </w:rPr>
              <w:t>.1.4.3</w:t>
            </w:r>
          </w:p>
        </w:tc>
        <w:tc>
          <w:tcPr>
            <w:tcW w:w="6832" w:type="dxa"/>
            <w:vAlign w:val="center"/>
          </w:tcPr>
          <w:p w14:paraId="120388E8">
            <w:pPr>
              <w:adjustRightInd w:val="0"/>
              <w:snapToGrid w:val="0"/>
              <w:spacing w:line="400" w:lineRule="exact"/>
              <w:rPr>
                <w:rFonts w:ascii="宋体" w:hAnsi="宋体" w:cs="宋体"/>
                <w:szCs w:val="21"/>
              </w:rPr>
            </w:pPr>
            <w:r>
              <w:rPr>
                <w:rFonts w:hint="eastAsia" w:ascii="宋体" w:hAnsi="宋体" w:cs="宋体"/>
                <w:szCs w:val="21"/>
              </w:rPr>
              <w:t>总工期：</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个月</w:t>
            </w:r>
          </w:p>
          <w:p w14:paraId="0ACDB6E2">
            <w:pPr>
              <w:adjustRightInd w:val="0"/>
              <w:snapToGrid w:val="0"/>
              <w:spacing w:line="400" w:lineRule="exact"/>
              <w:rPr>
                <w:rFonts w:ascii="宋体" w:hAnsi="宋体" w:cs="宋体"/>
                <w:szCs w:val="21"/>
              </w:rPr>
            </w:pPr>
            <w:r>
              <w:rPr>
                <w:rFonts w:ascii="宋体" w:hAnsi="宋体"/>
                <w:szCs w:val="21"/>
              </w:rPr>
              <w:t>其中，施工图勘察设计周期</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个月，施工工期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个月</w:t>
            </w:r>
          </w:p>
        </w:tc>
      </w:tr>
      <w:tr w14:paraId="25E6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C910493">
            <w:pPr>
              <w:adjustRightInd w:val="0"/>
              <w:snapToGrid w:val="0"/>
              <w:spacing w:line="400" w:lineRule="exact"/>
              <w:jc w:val="center"/>
              <w:rPr>
                <w:rFonts w:ascii="宋体" w:hAnsi="宋体" w:cs="宋体"/>
                <w:szCs w:val="21"/>
              </w:rPr>
            </w:pPr>
            <w:r>
              <w:rPr>
                <w:rFonts w:ascii="宋体" w:hAnsi="宋体" w:cs="宋体"/>
                <w:szCs w:val="21"/>
              </w:rPr>
              <w:t>4</w:t>
            </w:r>
          </w:p>
        </w:tc>
        <w:tc>
          <w:tcPr>
            <w:tcW w:w="1418" w:type="dxa"/>
            <w:vAlign w:val="center"/>
          </w:tcPr>
          <w:p w14:paraId="5B7D30E6">
            <w:pPr>
              <w:adjustRightInd w:val="0"/>
              <w:snapToGrid w:val="0"/>
              <w:spacing w:line="400" w:lineRule="exact"/>
              <w:jc w:val="center"/>
              <w:rPr>
                <w:rFonts w:ascii="宋体" w:hAnsi="宋体" w:cs="宋体"/>
                <w:szCs w:val="21"/>
              </w:rPr>
            </w:pPr>
            <w:r>
              <w:rPr>
                <w:rFonts w:ascii="宋体" w:hAnsi="宋体" w:cs="宋体"/>
                <w:szCs w:val="21"/>
              </w:rPr>
              <w:t>1.1.4.5</w:t>
            </w:r>
          </w:p>
        </w:tc>
        <w:tc>
          <w:tcPr>
            <w:tcW w:w="6832" w:type="dxa"/>
            <w:vAlign w:val="center"/>
          </w:tcPr>
          <w:p w14:paraId="40917CE7">
            <w:pPr>
              <w:adjustRightInd w:val="0"/>
              <w:snapToGrid w:val="0"/>
              <w:spacing w:line="400" w:lineRule="exact"/>
              <w:rPr>
                <w:rFonts w:hint="eastAsia" w:ascii="宋体" w:hAnsi="宋体" w:cs="宋体"/>
                <w:szCs w:val="21"/>
              </w:rPr>
            </w:pPr>
            <w:r>
              <w:rPr>
                <w:rFonts w:hint="eastAsia" w:ascii="宋体" w:hAnsi="宋体" w:cs="宋体"/>
                <w:szCs w:val="21"/>
              </w:rPr>
              <w:t>缺陷责任期：自签发交工验收证书之日起计算</w:t>
            </w:r>
            <w:r>
              <w:rPr>
                <w:rFonts w:ascii="宋体" w:hAnsi="宋体" w:cs="宋体"/>
                <w:szCs w:val="21"/>
                <w:u w:val="single"/>
              </w:rPr>
              <w:t xml:space="preserve">      </w:t>
            </w:r>
            <w:r>
              <w:rPr>
                <w:rFonts w:hint="eastAsia" w:ascii="宋体" w:hAnsi="宋体" w:cs="宋体"/>
                <w:szCs w:val="21"/>
              </w:rPr>
              <w:t>个月</w:t>
            </w:r>
          </w:p>
          <w:p w14:paraId="18E5E68C">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w:t>
            </w:r>
            <w:r>
              <w:rPr>
                <w:rFonts w:hint="eastAsia" w:ascii="宋体" w:hAnsi="宋体" w:cs="宋体"/>
              </w:rPr>
              <w:t>缺陷责任期一般为自实际交工日期起计算</w:t>
            </w:r>
            <w:r>
              <w:rPr>
                <w:rFonts w:ascii="宋体" w:hAnsi="宋体" w:cs="宋体"/>
              </w:rPr>
              <w:t>12</w:t>
            </w:r>
            <w:r>
              <w:rPr>
                <w:rFonts w:hint="eastAsia" w:ascii="宋体" w:hAnsi="宋体" w:cs="宋体"/>
              </w:rPr>
              <w:t>个月，最长不超过</w:t>
            </w:r>
            <w:r>
              <w:rPr>
                <w:rFonts w:ascii="宋体" w:hAnsi="宋体" w:cs="宋体"/>
              </w:rPr>
              <w:t>24</w:t>
            </w:r>
            <w:r>
              <w:rPr>
                <w:rFonts w:hint="eastAsia" w:ascii="宋体" w:hAnsi="宋体" w:cs="宋体"/>
              </w:rPr>
              <w:t>个月。</w:t>
            </w:r>
          </w:p>
        </w:tc>
      </w:tr>
      <w:tr w14:paraId="1940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5E37D09">
            <w:pPr>
              <w:adjustRightInd w:val="0"/>
              <w:snapToGrid w:val="0"/>
              <w:spacing w:line="400" w:lineRule="exact"/>
              <w:jc w:val="center"/>
              <w:rPr>
                <w:rFonts w:ascii="宋体" w:hAnsi="宋体" w:cs="宋体"/>
                <w:szCs w:val="21"/>
              </w:rPr>
            </w:pPr>
            <w:r>
              <w:rPr>
                <w:rFonts w:ascii="宋体" w:hAnsi="宋体" w:cs="宋体"/>
                <w:szCs w:val="21"/>
              </w:rPr>
              <w:t>5</w:t>
            </w:r>
          </w:p>
        </w:tc>
        <w:tc>
          <w:tcPr>
            <w:tcW w:w="1418" w:type="dxa"/>
            <w:vAlign w:val="center"/>
          </w:tcPr>
          <w:p w14:paraId="2ABD8B40">
            <w:pPr>
              <w:adjustRightInd w:val="0"/>
              <w:snapToGrid w:val="0"/>
              <w:spacing w:line="400" w:lineRule="exact"/>
              <w:jc w:val="center"/>
              <w:rPr>
                <w:rFonts w:ascii="宋体" w:hAnsi="宋体" w:cs="宋体"/>
                <w:szCs w:val="21"/>
              </w:rPr>
            </w:pPr>
            <w:r>
              <w:rPr>
                <w:rFonts w:hint="eastAsia" w:ascii="宋体" w:hAnsi="宋体" w:cs="宋体"/>
                <w:szCs w:val="21"/>
              </w:rPr>
              <w:t>1.1.6.8</w:t>
            </w:r>
          </w:p>
        </w:tc>
        <w:tc>
          <w:tcPr>
            <w:tcW w:w="6832" w:type="dxa"/>
            <w:vAlign w:val="center"/>
          </w:tcPr>
          <w:p w14:paraId="76B43CC7">
            <w:pPr>
              <w:adjustRightInd w:val="0"/>
              <w:snapToGrid w:val="0"/>
              <w:spacing w:line="400" w:lineRule="exact"/>
              <w:rPr>
                <w:rFonts w:ascii="宋体" w:hAnsi="宋体" w:cs="宋体"/>
                <w:szCs w:val="21"/>
                <w:u w:val="single"/>
              </w:rPr>
            </w:pPr>
            <w:r>
              <w:rPr>
                <w:rFonts w:hint="eastAsia" w:ascii="宋体" w:hAnsi="宋体" w:cs="宋体"/>
                <w:szCs w:val="21"/>
              </w:rPr>
              <w:t>发包人设定的总承包风险费：□总额：</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3B15E96A">
            <w:pPr>
              <w:adjustRightInd w:val="0"/>
              <w:snapToGrid w:val="0"/>
              <w:spacing w:line="400" w:lineRule="exact"/>
              <w:ind w:firstLine="2730" w:firstLineChars="1300"/>
              <w:rPr>
                <w:rFonts w:ascii="宋体" w:hAnsi="宋体" w:cs="宋体"/>
                <w:szCs w:val="21"/>
              </w:rPr>
            </w:pPr>
            <w:r>
              <w:rPr>
                <w:rFonts w:hint="eastAsia" w:ascii="宋体" w:hAnsi="宋体" w:cs="宋体"/>
                <w:szCs w:val="21"/>
              </w:rPr>
              <w:t>□费率：</w:t>
            </w:r>
            <w:r>
              <w:rPr>
                <w:rFonts w:hint="eastAsia" w:ascii="宋体" w:hAnsi="宋体" w:cs="宋体"/>
                <w:szCs w:val="21"/>
                <w:u w:val="single"/>
              </w:rPr>
              <w:t xml:space="preserve">     </w:t>
            </w:r>
            <w:r>
              <w:rPr>
                <w:rFonts w:hint="eastAsia" w:ascii="宋体" w:hAnsi="宋体" w:cs="宋体"/>
                <w:szCs w:val="21"/>
              </w:rPr>
              <w:t>%</w:t>
            </w:r>
          </w:p>
        </w:tc>
      </w:tr>
      <w:tr w14:paraId="5EB2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0E907F0">
            <w:pPr>
              <w:adjustRightInd w:val="0"/>
              <w:snapToGrid w:val="0"/>
              <w:spacing w:line="400" w:lineRule="exact"/>
              <w:jc w:val="center"/>
              <w:rPr>
                <w:rFonts w:ascii="宋体" w:hAnsi="宋体" w:cs="宋体"/>
                <w:szCs w:val="21"/>
              </w:rPr>
            </w:pPr>
            <w:r>
              <w:rPr>
                <w:rFonts w:ascii="宋体" w:hAnsi="宋体" w:cs="宋体"/>
                <w:szCs w:val="21"/>
              </w:rPr>
              <w:t>6</w:t>
            </w:r>
          </w:p>
        </w:tc>
        <w:tc>
          <w:tcPr>
            <w:tcW w:w="1418" w:type="dxa"/>
            <w:vAlign w:val="center"/>
          </w:tcPr>
          <w:p w14:paraId="5D5570F0">
            <w:pPr>
              <w:adjustRightInd w:val="0"/>
              <w:snapToGrid w:val="0"/>
              <w:spacing w:line="400" w:lineRule="exact"/>
              <w:jc w:val="center"/>
              <w:rPr>
                <w:rFonts w:ascii="宋体" w:hAnsi="宋体" w:cs="宋体"/>
                <w:szCs w:val="21"/>
              </w:rPr>
            </w:pPr>
            <w:r>
              <w:rPr>
                <w:rFonts w:hint="eastAsia" w:ascii="宋体" w:hAnsi="宋体" w:cs="宋体"/>
                <w:szCs w:val="21"/>
              </w:rPr>
              <w:t>1</w:t>
            </w:r>
            <w:r>
              <w:rPr>
                <w:rFonts w:ascii="宋体" w:hAnsi="宋体" w:cs="宋体"/>
                <w:szCs w:val="21"/>
              </w:rPr>
              <w:t>.6.1</w:t>
            </w:r>
          </w:p>
        </w:tc>
        <w:tc>
          <w:tcPr>
            <w:tcW w:w="6832" w:type="dxa"/>
            <w:vAlign w:val="center"/>
          </w:tcPr>
          <w:p w14:paraId="16924A30">
            <w:pPr>
              <w:adjustRightInd w:val="0"/>
              <w:snapToGrid w:val="0"/>
              <w:spacing w:line="400" w:lineRule="exact"/>
              <w:rPr>
                <w:rFonts w:ascii="宋体" w:hAnsi="宋体" w:cs="宋体"/>
                <w:szCs w:val="21"/>
              </w:rPr>
            </w:pPr>
            <w:r>
              <w:rPr>
                <w:rFonts w:hint="eastAsia" w:ascii="宋体" w:hAnsi="宋体" w:cs="宋体"/>
                <w:szCs w:val="21"/>
              </w:rPr>
              <w:t>承包人向监理人提供文件的内容：</w:t>
            </w:r>
            <w:r>
              <w:rPr>
                <w:rFonts w:ascii="宋体" w:hAnsi="宋体" w:cs="宋体"/>
                <w:szCs w:val="21"/>
                <w:u w:val="single"/>
              </w:rPr>
              <w:t xml:space="preserve">    </w:t>
            </w:r>
            <w:r>
              <w:rPr>
                <w:rFonts w:hint="eastAsia" w:ascii="宋体" w:hAnsi="宋体" w:cs="宋体"/>
                <w:szCs w:val="21"/>
              </w:rPr>
              <w:t>，份数：</w:t>
            </w:r>
            <w:r>
              <w:rPr>
                <w:rFonts w:ascii="宋体" w:hAnsi="宋体" w:cs="宋体"/>
                <w:szCs w:val="21"/>
                <w:u w:val="single"/>
              </w:rPr>
              <w:t xml:space="preserve">     </w:t>
            </w:r>
            <w:r>
              <w:rPr>
                <w:rFonts w:ascii="宋体" w:hAnsi="宋体" w:cs="宋体"/>
                <w:szCs w:val="21"/>
              </w:rPr>
              <w:t>份</w:t>
            </w:r>
            <w:r>
              <w:rPr>
                <w:rFonts w:hint="eastAsia" w:ascii="宋体" w:hAnsi="宋体" w:cs="宋体"/>
                <w:szCs w:val="21"/>
              </w:rPr>
              <w:t>，期限：</w:t>
            </w:r>
            <w:r>
              <w:rPr>
                <w:rFonts w:ascii="宋体" w:hAnsi="宋体" w:cs="宋体"/>
                <w:szCs w:val="21"/>
                <w:u w:val="single"/>
              </w:rPr>
              <w:t xml:space="preserve">    </w:t>
            </w:r>
            <w:r>
              <w:rPr>
                <w:rFonts w:ascii="宋体" w:hAnsi="宋体" w:cs="宋体"/>
                <w:szCs w:val="21"/>
              </w:rPr>
              <w:t>天</w:t>
            </w:r>
          </w:p>
          <w:p w14:paraId="77C54CD5">
            <w:pPr>
              <w:adjustRightInd w:val="0"/>
              <w:snapToGrid w:val="0"/>
              <w:spacing w:line="400" w:lineRule="exact"/>
              <w:rPr>
                <w:rFonts w:ascii="宋体" w:hAnsi="宋体" w:cs="宋体"/>
                <w:szCs w:val="21"/>
              </w:rPr>
            </w:pPr>
            <w:r>
              <w:rPr>
                <w:rFonts w:hint="eastAsia" w:ascii="宋体" w:hAnsi="宋体" w:cs="宋体"/>
                <w:szCs w:val="21"/>
              </w:rPr>
              <w:t>承包人文件应批准的，监理人应当进行批复的期限：</w:t>
            </w:r>
            <w:r>
              <w:rPr>
                <w:rFonts w:ascii="宋体" w:hAnsi="宋体" w:cs="宋体"/>
                <w:szCs w:val="21"/>
                <w:u w:val="single"/>
              </w:rPr>
              <w:t xml:space="preserve">     </w:t>
            </w:r>
            <w:r>
              <w:rPr>
                <w:rFonts w:hint="eastAsia" w:ascii="宋体" w:hAnsi="宋体" w:cs="宋体"/>
                <w:szCs w:val="21"/>
              </w:rPr>
              <w:t>天内</w:t>
            </w:r>
          </w:p>
        </w:tc>
      </w:tr>
      <w:tr w14:paraId="68C1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301173C">
            <w:pPr>
              <w:adjustRightInd w:val="0"/>
              <w:snapToGrid w:val="0"/>
              <w:spacing w:line="400" w:lineRule="exact"/>
              <w:jc w:val="center"/>
              <w:rPr>
                <w:rFonts w:ascii="宋体" w:hAnsi="宋体" w:cs="宋体"/>
                <w:szCs w:val="21"/>
              </w:rPr>
            </w:pPr>
            <w:r>
              <w:rPr>
                <w:rFonts w:ascii="宋体" w:hAnsi="宋体" w:cs="宋体"/>
                <w:szCs w:val="21"/>
              </w:rPr>
              <w:t>7</w:t>
            </w:r>
          </w:p>
        </w:tc>
        <w:tc>
          <w:tcPr>
            <w:tcW w:w="1418" w:type="dxa"/>
            <w:vAlign w:val="center"/>
          </w:tcPr>
          <w:p w14:paraId="1A5EA031">
            <w:pPr>
              <w:adjustRightInd w:val="0"/>
              <w:snapToGrid w:val="0"/>
              <w:spacing w:line="400" w:lineRule="exact"/>
              <w:jc w:val="center"/>
              <w:rPr>
                <w:rFonts w:ascii="宋体" w:hAnsi="宋体" w:cs="宋体"/>
                <w:szCs w:val="21"/>
              </w:rPr>
            </w:pPr>
            <w:r>
              <w:rPr>
                <w:rFonts w:ascii="宋体" w:hAnsi="宋体" w:cs="宋体"/>
                <w:szCs w:val="21"/>
              </w:rPr>
              <w:t>1.6.2</w:t>
            </w:r>
          </w:p>
        </w:tc>
        <w:tc>
          <w:tcPr>
            <w:tcW w:w="6832" w:type="dxa"/>
            <w:vAlign w:val="center"/>
          </w:tcPr>
          <w:p w14:paraId="4EF0846F">
            <w:pPr>
              <w:adjustRightInd w:val="0"/>
              <w:snapToGrid w:val="0"/>
              <w:spacing w:line="400" w:lineRule="exact"/>
              <w:rPr>
                <w:rFonts w:ascii="宋体" w:hAnsi="宋体" w:cs="宋体"/>
                <w:szCs w:val="21"/>
              </w:rPr>
            </w:pPr>
            <w:r>
              <w:rPr>
                <w:rFonts w:hint="eastAsia" w:ascii="宋体" w:hAnsi="宋体" w:cs="宋体"/>
                <w:szCs w:val="21"/>
              </w:rPr>
              <w:t>发包人提供的文件的内容：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，份数：</w:t>
            </w:r>
            <w:r>
              <w:rPr>
                <w:rFonts w:ascii="宋体" w:hAnsi="宋体" w:cs="宋体"/>
                <w:szCs w:val="21"/>
                <w:u w:val="single"/>
              </w:rPr>
              <w:t xml:space="preserve">     </w:t>
            </w:r>
            <w:r>
              <w:rPr>
                <w:rFonts w:ascii="宋体" w:hAnsi="宋体" w:cs="宋体"/>
                <w:szCs w:val="21"/>
              </w:rPr>
              <w:t>份</w:t>
            </w:r>
            <w:r>
              <w:rPr>
                <w:rFonts w:hint="eastAsia" w:ascii="宋体" w:hAnsi="宋体" w:cs="宋体"/>
                <w:szCs w:val="21"/>
              </w:rPr>
              <w:t>，</w:t>
            </w:r>
            <w:r>
              <w:rPr>
                <w:rFonts w:ascii="宋体" w:hAnsi="宋体" w:cs="宋体"/>
                <w:szCs w:val="21"/>
              </w:rPr>
              <w:t>期限</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天</w:t>
            </w:r>
          </w:p>
        </w:tc>
      </w:tr>
      <w:tr w14:paraId="0122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145A077">
            <w:pPr>
              <w:adjustRightInd w:val="0"/>
              <w:snapToGrid w:val="0"/>
              <w:spacing w:line="400" w:lineRule="exact"/>
              <w:jc w:val="center"/>
              <w:rPr>
                <w:rFonts w:ascii="宋体" w:hAnsi="宋体" w:cs="宋体"/>
                <w:szCs w:val="21"/>
              </w:rPr>
            </w:pPr>
            <w:r>
              <w:rPr>
                <w:rFonts w:ascii="宋体" w:hAnsi="宋体" w:cs="宋体"/>
                <w:szCs w:val="21"/>
              </w:rPr>
              <w:t>8</w:t>
            </w:r>
          </w:p>
        </w:tc>
        <w:tc>
          <w:tcPr>
            <w:tcW w:w="1418" w:type="dxa"/>
            <w:vAlign w:val="center"/>
          </w:tcPr>
          <w:p w14:paraId="286FDA04">
            <w:pPr>
              <w:adjustRightInd w:val="0"/>
              <w:snapToGrid w:val="0"/>
              <w:spacing w:line="400" w:lineRule="exact"/>
              <w:jc w:val="center"/>
              <w:rPr>
                <w:rFonts w:ascii="宋体" w:hAnsi="宋体" w:cs="宋体"/>
                <w:szCs w:val="21"/>
              </w:rPr>
            </w:pPr>
            <w:r>
              <w:rPr>
                <w:rFonts w:hint="eastAsia" w:ascii="宋体" w:hAnsi="宋体" w:cs="宋体"/>
                <w:szCs w:val="21"/>
              </w:rPr>
              <w:t>1.13</w:t>
            </w:r>
          </w:p>
        </w:tc>
        <w:tc>
          <w:tcPr>
            <w:tcW w:w="6832" w:type="dxa"/>
            <w:vAlign w:val="center"/>
          </w:tcPr>
          <w:p w14:paraId="0122AB15">
            <w:pPr>
              <w:adjustRightInd w:val="0"/>
              <w:snapToGrid w:val="0"/>
              <w:spacing w:line="400" w:lineRule="exact"/>
              <w:rPr>
                <w:szCs w:val="21"/>
              </w:rPr>
            </w:pPr>
            <w:r>
              <w:rPr>
                <w:rFonts w:hint="eastAsia" w:ascii="宋体" w:hAnsi="宋体" w:cs="宋体"/>
                <w:szCs w:val="21"/>
              </w:rPr>
              <w:t xml:space="preserve">发包人要求中的错误：□A  □B </w:t>
            </w:r>
          </w:p>
        </w:tc>
      </w:tr>
      <w:tr w14:paraId="56CD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AE8FD7A">
            <w:pPr>
              <w:adjustRightInd w:val="0"/>
              <w:snapToGrid w:val="0"/>
              <w:spacing w:line="400" w:lineRule="exact"/>
              <w:jc w:val="center"/>
              <w:rPr>
                <w:rFonts w:ascii="宋体" w:hAnsi="宋体" w:cs="宋体"/>
                <w:szCs w:val="21"/>
              </w:rPr>
            </w:pPr>
            <w:r>
              <w:rPr>
                <w:rFonts w:ascii="宋体" w:hAnsi="宋体" w:cs="宋体"/>
                <w:szCs w:val="21"/>
              </w:rPr>
              <w:t>9</w:t>
            </w:r>
          </w:p>
        </w:tc>
        <w:tc>
          <w:tcPr>
            <w:tcW w:w="1418" w:type="dxa"/>
            <w:vAlign w:val="center"/>
          </w:tcPr>
          <w:p w14:paraId="0F29EF48">
            <w:pPr>
              <w:adjustRightInd w:val="0"/>
              <w:snapToGrid w:val="0"/>
              <w:spacing w:line="400" w:lineRule="exact"/>
              <w:jc w:val="center"/>
              <w:rPr>
                <w:rFonts w:ascii="宋体" w:hAnsi="宋体" w:cs="宋体"/>
                <w:szCs w:val="21"/>
              </w:rPr>
            </w:pPr>
            <w:r>
              <w:rPr>
                <w:rFonts w:hint="eastAsia" w:ascii="宋体" w:hAnsi="宋体" w:cs="宋体"/>
                <w:szCs w:val="21"/>
              </w:rPr>
              <w:t>4.11</w:t>
            </w:r>
          </w:p>
        </w:tc>
        <w:tc>
          <w:tcPr>
            <w:tcW w:w="6832" w:type="dxa"/>
            <w:vAlign w:val="center"/>
          </w:tcPr>
          <w:p w14:paraId="37B19AB6">
            <w:pPr>
              <w:adjustRightInd w:val="0"/>
              <w:snapToGrid w:val="0"/>
              <w:spacing w:line="400" w:lineRule="exact"/>
              <w:rPr>
                <w:rFonts w:hint="eastAsia" w:ascii="宋体" w:hAnsi="宋体" w:cs="宋体"/>
                <w:szCs w:val="21"/>
                <w:u w:val="single"/>
              </w:rPr>
            </w:pPr>
            <w:r>
              <w:rPr>
                <w:rFonts w:hint="eastAsia" w:ascii="宋体" w:hAnsi="宋体" w:cs="宋体"/>
                <w:szCs w:val="21"/>
              </w:rPr>
              <w:t>□</w:t>
            </w:r>
            <w:r>
              <w:rPr>
                <w:rFonts w:hint="eastAsia"/>
                <w:szCs w:val="21"/>
              </w:rPr>
              <w:t>不可预见物质条件</w:t>
            </w:r>
            <w:r>
              <w:rPr>
                <w:rFonts w:hint="eastAsia" w:ascii="宋体" w:hAnsi="宋体" w:cs="宋体"/>
                <w:szCs w:val="21"/>
              </w:rPr>
              <w:t>（A）：</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p>
          <w:p w14:paraId="05F5E271">
            <w:pPr>
              <w:adjustRightInd w:val="0"/>
              <w:snapToGrid w:val="0"/>
              <w:spacing w:line="400" w:lineRule="exact"/>
              <w:rPr>
                <w:szCs w:val="21"/>
              </w:rPr>
            </w:pPr>
            <w:r>
              <w:rPr>
                <w:rFonts w:hint="eastAsia" w:ascii="宋体" w:hAnsi="宋体" w:cs="宋体"/>
                <w:szCs w:val="21"/>
              </w:rPr>
              <w:t>□不可预见的困难和费用（B）：</w:t>
            </w:r>
            <w:r>
              <w:rPr>
                <w:rFonts w:hint="eastAsia" w:ascii="宋体" w:hAnsi="宋体" w:cs="宋体"/>
                <w:szCs w:val="21"/>
                <w:u w:val="single"/>
              </w:rPr>
              <w:t xml:space="preserve">         </w:t>
            </w:r>
            <w:r>
              <w:rPr>
                <w:rFonts w:hint="eastAsia" w:ascii="宋体" w:hAnsi="宋体" w:cs="宋体"/>
                <w:szCs w:val="21"/>
              </w:rPr>
              <w:t xml:space="preserve">  </w:t>
            </w:r>
          </w:p>
        </w:tc>
      </w:tr>
      <w:tr w14:paraId="7765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6FCBB22">
            <w:pPr>
              <w:adjustRightInd w:val="0"/>
              <w:snapToGrid w:val="0"/>
              <w:spacing w:line="400" w:lineRule="exact"/>
              <w:jc w:val="center"/>
              <w:rPr>
                <w:rFonts w:ascii="宋体" w:hAnsi="宋体" w:cs="宋体"/>
                <w:szCs w:val="21"/>
              </w:rPr>
            </w:pPr>
            <w:r>
              <w:rPr>
                <w:rFonts w:ascii="宋体" w:hAnsi="宋体" w:cs="宋体"/>
                <w:szCs w:val="21"/>
              </w:rPr>
              <w:t>10</w:t>
            </w:r>
          </w:p>
        </w:tc>
        <w:tc>
          <w:tcPr>
            <w:tcW w:w="1418" w:type="dxa"/>
            <w:vAlign w:val="center"/>
          </w:tcPr>
          <w:p w14:paraId="65ACAFCB">
            <w:pPr>
              <w:adjustRightInd w:val="0"/>
              <w:snapToGrid w:val="0"/>
              <w:spacing w:line="400" w:lineRule="exact"/>
              <w:jc w:val="center"/>
              <w:rPr>
                <w:rFonts w:ascii="宋体" w:hAnsi="宋体" w:cs="宋体"/>
                <w:szCs w:val="21"/>
              </w:rPr>
            </w:pPr>
            <w:r>
              <w:rPr>
                <w:rFonts w:ascii="宋体" w:hAnsi="宋体" w:cs="宋体"/>
                <w:szCs w:val="21"/>
              </w:rPr>
              <w:t>5.3.3</w:t>
            </w:r>
          </w:p>
        </w:tc>
        <w:tc>
          <w:tcPr>
            <w:tcW w:w="6832" w:type="dxa"/>
            <w:vAlign w:val="center"/>
          </w:tcPr>
          <w:p w14:paraId="4F4ED236">
            <w:pPr>
              <w:adjustRightInd w:val="0"/>
              <w:snapToGrid w:val="0"/>
              <w:spacing w:line="400" w:lineRule="exact"/>
              <w:rPr>
                <w:rFonts w:ascii="宋体" w:hAnsi="宋体" w:cs="宋体"/>
                <w:szCs w:val="21"/>
              </w:rPr>
            </w:pPr>
            <w:r>
              <w:rPr>
                <w:szCs w:val="21"/>
              </w:rPr>
              <w:t>承包人应在收到发包人或发包人委托的设计咨询审查单位或</w:t>
            </w:r>
            <w:r>
              <w:rPr>
                <w:rFonts w:hint="eastAsia"/>
                <w:szCs w:val="21"/>
                <w:lang w:val="en-US" w:eastAsia="zh-CN"/>
              </w:rPr>
              <w:t>具有行政审批权限的</w:t>
            </w:r>
            <w:r>
              <w:rPr>
                <w:rFonts w:hint="eastAsia"/>
                <w:szCs w:val="21"/>
                <w:lang w:eastAsia="zh-CN"/>
              </w:rPr>
              <w:t>交通运输主管部门</w:t>
            </w:r>
            <w:r>
              <w:rPr>
                <w:szCs w:val="21"/>
              </w:rPr>
              <w:t>对提交的施工图设计文件提出的审查意见后</w:t>
            </w:r>
            <w:r>
              <w:rPr>
                <w:szCs w:val="21"/>
                <w:u w:val="single"/>
              </w:rPr>
              <w:t xml:space="preserve">    </w:t>
            </w:r>
            <w:r>
              <w:rPr>
                <w:szCs w:val="21"/>
              </w:rPr>
              <w:t>天内，完成对施工图设计文件的修改</w:t>
            </w:r>
          </w:p>
        </w:tc>
      </w:tr>
      <w:tr w14:paraId="1074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58585CA">
            <w:pPr>
              <w:adjustRightInd w:val="0"/>
              <w:snapToGrid w:val="0"/>
              <w:spacing w:line="400" w:lineRule="exact"/>
              <w:jc w:val="center"/>
              <w:rPr>
                <w:rFonts w:ascii="宋体" w:hAnsi="宋体" w:cs="宋体"/>
                <w:szCs w:val="21"/>
              </w:rPr>
            </w:pPr>
            <w:r>
              <w:rPr>
                <w:rFonts w:ascii="宋体" w:hAnsi="宋体" w:cs="宋体"/>
                <w:szCs w:val="21"/>
              </w:rPr>
              <w:t>11</w:t>
            </w:r>
          </w:p>
        </w:tc>
        <w:tc>
          <w:tcPr>
            <w:tcW w:w="1418" w:type="dxa"/>
            <w:vAlign w:val="center"/>
          </w:tcPr>
          <w:p w14:paraId="1B80E6AE">
            <w:pPr>
              <w:adjustRightInd w:val="0"/>
              <w:snapToGrid w:val="0"/>
              <w:spacing w:line="400" w:lineRule="exact"/>
              <w:jc w:val="center"/>
              <w:rPr>
                <w:rFonts w:ascii="宋体" w:hAnsi="宋体" w:cs="宋体"/>
                <w:szCs w:val="21"/>
              </w:rPr>
            </w:pPr>
            <w:r>
              <w:rPr>
                <w:rFonts w:ascii="宋体" w:hAnsi="宋体" w:cs="宋体"/>
                <w:szCs w:val="21"/>
              </w:rPr>
              <w:t>5.5.1</w:t>
            </w:r>
          </w:p>
        </w:tc>
        <w:tc>
          <w:tcPr>
            <w:tcW w:w="6832" w:type="dxa"/>
            <w:vAlign w:val="center"/>
          </w:tcPr>
          <w:p w14:paraId="61337026">
            <w:pPr>
              <w:adjustRightInd w:val="0"/>
              <w:snapToGrid w:val="0"/>
              <w:spacing w:line="400" w:lineRule="exact"/>
              <w:rPr>
                <w:rFonts w:ascii="宋体" w:hAnsi="宋体" w:cs="宋体"/>
                <w:szCs w:val="21"/>
              </w:rPr>
            </w:pPr>
            <w:r>
              <w:rPr>
                <w:rFonts w:hint="eastAsia" w:ascii="宋体" w:hAnsi="宋体" w:cs="宋体"/>
                <w:szCs w:val="21"/>
              </w:rPr>
              <w:t>竣工资料的份数：</w:t>
            </w:r>
            <w:r>
              <w:rPr>
                <w:rFonts w:ascii="宋体" w:hAnsi="宋体" w:cs="宋体"/>
                <w:szCs w:val="21"/>
                <w:u w:val="single"/>
              </w:rPr>
              <w:t xml:space="preserve">     </w:t>
            </w:r>
            <w:r>
              <w:rPr>
                <w:rFonts w:hint="eastAsia" w:ascii="宋体" w:hAnsi="宋体" w:cs="宋体"/>
                <w:szCs w:val="21"/>
              </w:rPr>
              <w:t>份</w:t>
            </w:r>
          </w:p>
        </w:tc>
      </w:tr>
      <w:tr w14:paraId="3312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A185DA8">
            <w:pPr>
              <w:adjustRightInd w:val="0"/>
              <w:snapToGrid w:val="0"/>
              <w:spacing w:line="400" w:lineRule="exact"/>
              <w:jc w:val="center"/>
              <w:rPr>
                <w:rFonts w:ascii="宋体" w:hAnsi="宋体" w:cs="宋体"/>
                <w:szCs w:val="21"/>
              </w:rPr>
            </w:pPr>
            <w:r>
              <w:rPr>
                <w:rFonts w:ascii="宋体" w:hAnsi="宋体" w:cs="宋体"/>
                <w:szCs w:val="21"/>
              </w:rPr>
              <w:t>12</w:t>
            </w:r>
          </w:p>
        </w:tc>
        <w:tc>
          <w:tcPr>
            <w:tcW w:w="1418" w:type="dxa"/>
            <w:vAlign w:val="center"/>
          </w:tcPr>
          <w:p w14:paraId="25FEB798">
            <w:pPr>
              <w:adjustRightInd w:val="0"/>
              <w:snapToGrid w:val="0"/>
              <w:spacing w:line="400" w:lineRule="exact"/>
              <w:jc w:val="center"/>
              <w:rPr>
                <w:rFonts w:ascii="宋体" w:hAnsi="宋体" w:cs="宋体"/>
                <w:szCs w:val="21"/>
              </w:rPr>
            </w:pPr>
            <w:r>
              <w:rPr>
                <w:rFonts w:ascii="宋体" w:hAnsi="宋体" w:cs="宋体"/>
                <w:szCs w:val="21"/>
              </w:rPr>
              <w:t>6.2</w:t>
            </w:r>
          </w:p>
        </w:tc>
        <w:tc>
          <w:tcPr>
            <w:tcW w:w="6832" w:type="dxa"/>
            <w:vAlign w:val="center"/>
          </w:tcPr>
          <w:p w14:paraId="16E3A47D">
            <w:pPr>
              <w:adjustRightInd w:val="0"/>
              <w:snapToGrid w:val="0"/>
              <w:spacing w:line="400" w:lineRule="exact"/>
              <w:rPr>
                <w:rFonts w:ascii="宋体" w:hAnsi="宋体" w:cs="宋体"/>
                <w:szCs w:val="21"/>
                <w:u w:val="single"/>
              </w:rPr>
            </w:pPr>
            <w:r>
              <w:rPr>
                <w:rFonts w:hint="eastAsia" w:ascii="宋体" w:hAnsi="宋体" w:cs="宋体"/>
                <w:szCs w:val="21"/>
              </w:rPr>
              <w:t>发包人是否提供材料或工程设备：□是（A） □否（B）</w:t>
            </w:r>
          </w:p>
          <w:p w14:paraId="2C228F4C">
            <w:pPr>
              <w:adjustRightInd w:val="0"/>
              <w:snapToGrid w:val="0"/>
              <w:spacing w:line="400" w:lineRule="exact"/>
              <w:rPr>
                <w:rFonts w:ascii="宋体" w:hAnsi="宋体" w:cs="宋体"/>
                <w:szCs w:val="21"/>
              </w:rPr>
            </w:pPr>
            <w:r>
              <w:rPr>
                <w:rFonts w:hint="eastAsia" w:ascii="宋体" w:hAnsi="宋体" w:cs="宋体"/>
                <w:szCs w:val="21"/>
              </w:rPr>
              <w:t>如发包人负责提供部分材料或工程设备，相关规定如下：</w:t>
            </w:r>
            <w:r>
              <w:rPr>
                <w:rFonts w:ascii="宋体" w:hAnsi="宋体" w:cs="宋体"/>
                <w:szCs w:val="21"/>
                <w:u w:val="single"/>
              </w:rPr>
              <w:t xml:space="preserve">               </w:t>
            </w:r>
          </w:p>
        </w:tc>
      </w:tr>
      <w:tr w14:paraId="394A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6007D01">
            <w:pPr>
              <w:adjustRightInd w:val="0"/>
              <w:snapToGrid w:val="0"/>
              <w:spacing w:line="400" w:lineRule="exact"/>
              <w:jc w:val="center"/>
              <w:rPr>
                <w:rFonts w:ascii="宋体" w:hAnsi="宋体" w:cs="宋体"/>
                <w:szCs w:val="21"/>
              </w:rPr>
            </w:pPr>
            <w:r>
              <w:rPr>
                <w:rFonts w:hint="eastAsia" w:ascii="宋体" w:hAnsi="宋体" w:cs="宋体"/>
                <w:szCs w:val="21"/>
              </w:rPr>
              <w:t>13</w:t>
            </w:r>
          </w:p>
        </w:tc>
        <w:tc>
          <w:tcPr>
            <w:tcW w:w="1418" w:type="dxa"/>
            <w:vAlign w:val="center"/>
          </w:tcPr>
          <w:p w14:paraId="15D9ACC8">
            <w:pPr>
              <w:adjustRightInd w:val="0"/>
              <w:snapToGrid w:val="0"/>
              <w:spacing w:line="400" w:lineRule="exact"/>
              <w:jc w:val="center"/>
              <w:rPr>
                <w:rFonts w:ascii="宋体" w:hAnsi="宋体" w:cs="宋体"/>
                <w:szCs w:val="21"/>
              </w:rPr>
            </w:pPr>
            <w:r>
              <w:rPr>
                <w:rFonts w:ascii="宋体" w:hAnsi="宋体" w:cs="宋体"/>
                <w:szCs w:val="21"/>
              </w:rPr>
              <w:t>7.2</w:t>
            </w:r>
          </w:p>
        </w:tc>
        <w:tc>
          <w:tcPr>
            <w:tcW w:w="6832" w:type="dxa"/>
            <w:vAlign w:val="center"/>
          </w:tcPr>
          <w:p w14:paraId="73DFAE07">
            <w:pPr>
              <w:adjustRightInd w:val="0"/>
              <w:snapToGrid w:val="0"/>
              <w:spacing w:line="400" w:lineRule="exact"/>
              <w:rPr>
                <w:rFonts w:ascii="宋体" w:hAnsi="宋体" w:cs="宋体"/>
                <w:szCs w:val="21"/>
                <w:u w:val="single"/>
              </w:rPr>
            </w:pPr>
            <w:r>
              <w:rPr>
                <w:rFonts w:hint="eastAsia" w:ascii="宋体" w:hAnsi="宋体" w:cs="宋体"/>
                <w:szCs w:val="21"/>
              </w:rPr>
              <w:t>发包人是否提供施工设备和临时设施：□是（A） □否（B）</w:t>
            </w:r>
          </w:p>
          <w:p w14:paraId="2768805C">
            <w:pPr>
              <w:adjustRightInd w:val="0"/>
              <w:snapToGrid w:val="0"/>
              <w:spacing w:line="400" w:lineRule="exact"/>
              <w:rPr>
                <w:rFonts w:ascii="宋体" w:hAnsi="宋体" w:cs="宋体"/>
                <w:szCs w:val="21"/>
              </w:rPr>
            </w:pPr>
            <w:r>
              <w:rPr>
                <w:rFonts w:hint="eastAsia" w:ascii="宋体" w:hAnsi="宋体" w:cs="宋体"/>
                <w:szCs w:val="21"/>
              </w:rPr>
              <w:t>如发包人负责提供部分施工设备和临时设施，相关规定如下：</w:t>
            </w:r>
            <w:r>
              <w:rPr>
                <w:rFonts w:ascii="宋体" w:hAnsi="宋体" w:cs="宋体"/>
                <w:szCs w:val="21"/>
                <w:u w:val="single"/>
              </w:rPr>
              <w:t xml:space="preserve">              </w:t>
            </w:r>
          </w:p>
        </w:tc>
      </w:tr>
      <w:tr w14:paraId="3B4C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vAlign w:val="center"/>
          </w:tcPr>
          <w:p w14:paraId="38FB98E3">
            <w:pPr>
              <w:adjustRightInd w:val="0"/>
              <w:snapToGrid w:val="0"/>
              <w:spacing w:line="400" w:lineRule="exact"/>
              <w:jc w:val="center"/>
              <w:rPr>
                <w:rFonts w:ascii="宋体" w:hAnsi="宋体" w:cs="宋体"/>
                <w:szCs w:val="21"/>
              </w:rPr>
            </w:pPr>
            <w:r>
              <w:rPr>
                <w:rFonts w:hint="eastAsia" w:ascii="宋体" w:hAnsi="宋体" w:cs="宋体"/>
                <w:szCs w:val="21"/>
              </w:rPr>
              <w:t>14</w:t>
            </w:r>
          </w:p>
        </w:tc>
        <w:tc>
          <w:tcPr>
            <w:tcW w:w="1418" w:type="dxa"/>
            <w:vAlign w:val="center"/>
          </w:tcPr>
          <w:p w14:paraId="092DF359">
            <w:pPr>
              <w:adjustRightInd w:val="0"/>
              <w:snapToGrid w:val="0"/>
              <w:spacing w:line="400" w:lineRule="exact"/>
              <w:jc w:val="center"/>
              <w:rPr>
                <w:rFonts w:ascii="宋体" w:hAnsi="宋体" w:cs="宋体"/>
                <w:szCs w:val="21"/>
              </w:rPr>
            </w:pPr>
            <w:r>
              <w:rPr>
                <w:rFonts w:hint="eastAsia" w:ascii="宋体" w:hAnsi="宋体" w:cs="宋体"/>
                <w:szCs w:val="21"/>
              </w:rPr>
              <w:t>8.1</w:t>
            </w:r>
          </w:p>
        </w:tc>
        <w:tc>
          <w:tcPr>
            <w:tcW w:w="6832" w:type="dxa"/>
            <w:vAlign w:val="center"/>
          </w:tcPr>
          <w:p w14:paraId="227FF4B0">
            <w:pPr>
              <w:adjustRightInd w:val="0"/>
              <w:snapToGrid w:val="0"/>
              <w:spacing w:line="400" w:lineRule="exact"/>
              <w:rPr>
                <w:rFonts w:ascii="宋体" w:hAnsi="宋体" w:cs="宋体"/>
                <w:szCs w:val="21"/>
              </w:rPr>
            </w:pPr>
            <w:r>
              <w:rPr>
                <w:rFonts w:hint="eastAsia" w:ascii="宋体" w:hAnsi="宋体" w:cs="宋体"/>
                <w:szCs w:val="21"/>
              </w:rPr>
              <w:t>道路通行权和场外设施：□A  □B</w:t>
            </w:r>
          </w:p>
        </w:tc>
      </w:tr>
      <w:tr w14:paraId="20E0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702FF1F">
            <w:pPr>
              <w:adjustRightInd w:val="0"/>
              <w:snapToGrid w:val="0"/>
              <w:spacing w:line="400" w:lineRule="exact"/>
              <w:jc w:val="center"/>
              <w:rPr>
                <w:rFonts w:ascii="宋体" w:hAnsi="宋体" w:cs="宋体"/>
                <w:szCs w:val="21"/>
              </w:rPr>
            </w:pPr>
            <w:r>
              <w:rPr>
                <w:rFonts w:hint="eastAsia" w:ascii="宋体" w:hAnsi="宋体" w:cs="宋体"/>
                <w:szCs w:val="21"/>
              </w:rPr>
              <w:t>15</w:t>
            </w:r>
          </w:p>
        </w:tc>
        <w:tc>
          <w:tcPr>
            <w:tcW w:w="1418" w:type="dxa"/>
            <w:vAlign w:val="center"/>
          </w:tcPr>
          <w:p w14:paraId="0FFC4B5C">
            <w:pPr>
              <w:adjustRightInd w:val="0"/>
              <w:snapToGrid w:val="0"/>
              <w:spacing w:line="400" w:lineRule="exact"/>
              <w:jc w:val="center"/>
              <w:rPr>
                <w:rFonts w:ascii="宋体" w:hAnsi="宋体" w:cs="宋体"/>
                <w:szCs w:val="21"/>
              </w:rPr>
            </w:pPr>
            <w:r>
              <w:rPr>
                <w:rFonts w:ascii="宋体" w:hAnsi="宋体" w:cs="宋体"/>
                <w:szCs w:val="21"/>
              </w:rPr>
              <w:t>9.1.1</w:t>
            </w:r>
          </w:p>
        </w:tc>
        <w:tc>
          <w:tcPr>
            <w:tcW w:w="6832" w:type="dxa"/>
            <w:vAlign w:val="center"/>
          </w:tcPr>
          <w:p w14:paraId="78892122">
            <w:pPr>
              <w:adjustRightInd w:val="0"/>
              <w:snapToGrid w:val="0"/>
              <w:spacing w:line="400" w:lineRule="exact"/>
              <w:rPr>
                <w:rFonts w:ascii="宋体" w:hAnsi="宋体" w:cs="宋体"/>
                <w:szCs w:val="21"/>
                <w:u w:val="single"/>
              </w:rPr>
            </w:pPr>
            <w:r>
              <w:rPr>
                <w:rFonts w:hint="eastAsia" w:ascii="宋体" w:hAnsi="宋体" w:cs="宋体"/>
                <w:szCs w:val="21"/>
              </w:rPr>
              <w:t>发包人提供测量基准点、基准线和水准点及其书面资料的期限：</w:t>
            </w:r>
            <w:r>
              <w:rPr>
                <w:rFonts w:hint="eastAsia" w:ascii="宋体" w:hAnsi="宋体"/>
                <w:sz w:val="21"/>
                <w:szCs w:val="21"/>
                <w:u w:val="single"/>
              </w:rPr>
              <w:t>应在发出开工令之前</w:t>
            </w:r>
            <w:r>
              <w:rPr>
                <w:rFonts w:ascii="宋体" w:hAnsi="宋体"/>
                <w:sz w:val="21"/>
                <w:szCs w:val="21"/>
                <w:u w:val="single"/>
              </w:rPr>
              <w:t xml:space="preserve">   </w:t>
            </w:r>
            <w:r>
              <w:rPr>
                <w:rFonts w:hint="eastAsia" w:ascii="宋体" w:hAnsi="宋体"/>
                <w:sz w:val="21"/>
                <w:szCs w:val="21"/>
                <w:u w:val="single"/>
              </w:rPr>
              <w:t>天</w:t>
            </w:r>
          </w:p>
          <w:p w14:paraId="0DA77F92">
            <w:pPr>
              <w:adjustRightInd w:val="0"/>
              <w:snapToGrid w:val="0"/>
              <w:spacing w:line="400" w:lineRule="exact"/>
              <w:rPr>
                <w:rFonts w:ascii="宋体" w:hAnsi="宋体" w:cs="宋体"/>
                <w:szCs w:val="21"/>
              </w:rPr>
            </w:pPr>
            <w:r>
              <w:rPr>
                <w:rFonts w:hint="eastAsia" w:ascii="宋体" w:hAnsi="宋体" w:cs="宋体"/>
                <w:szCs w:val="21"/>
              </w:rPr>
              <w:t>承包人将施工控制网资料报送监理人审批的期限：</w:t>
            </w:r>
            <w:r>
              <w:rPr>
                <w:rFonts w:hint="eastAsia" w:ascii="宋体" w:hAnsi="宋体"/>
                <w:sz w:val="21"/>
                <w:szCs w:val="21"/>
                <w:u w:val="single"/>
              </w:rPr>
              <w:t>应在发出开工令前</w:t>
            </w:r>
            <w:r>
              <w:rPr>
                <w:rFonts w:ascii="宋体" w:hAnsi="宋体"/>
                <w:sz w:val="21"/>
                <w:szCs w:val="21"/>
                <w:u w:val="single"/>
              </w:rPr>
              <w:t xml:space="preserve">  </w:t>
            </w:r>
            <w:r>
              <w:rPr>
                <w:rFonts w:hint="eastAsia" w:ascii="宋体" w:hAnsi="宋体"/>
                <w:sz w:val="21"/>
                <w:szCs w:val="21"/>
                <w:u w:val="single"/>
              </w:rPr>
              <w:t>天</w:t>
            </w:r>
          </w:p>
        </w:tc>
      </w:tr>
      <w:tr w14:paraId="4DC0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683E4AF">
            <w:pPr>
              <w:adjustRightInd w:val="0"/>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16</w:t>
            </w:r>
          </w:p>
        </w:tc>
        <w:tc>
          <w:tcPr>
            <w:tcW w:w="1418" w:type="dxa"/>
            <w:vAlign w:val="center"/>
          </w:tcPr>
          <w:p w14:paraId="0CDB088C">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11.4</w:t>
            </w:r>
          </w:p>
        </w:tc>
        <w:tc>
          <w:tcPr>
            <w:tcW w:w="6832" w:type="dxa"/>
            <w:vAlign w:val="center"/>
          </w:tcPr>
          <w:p w14:paraId="3913148C">
            <w:pPr>
              <w:adjustRightInd w:val="0"/>
              <w:snapToGrid w:val="0"/>
              <w:spacing w:line="400" w:lineRule="exact"/>
              <w:rPr>
                <w:rFonts w:hint="default" w:ascii="宋体" w:hAnsi="宋体" w:eastAsia="宋体" w:cs="宋体"/>
                <w:szCs w:val="21"/>
                <w:lang w:val="en-US" w:eastAsia="zh-CN"/>
              </w:rPr>
            </w:pPr>
            <w:r>
              <w:rPr>
                <w:rFonts w:hint="eastAsia" w:ascii="黑体"/>
                <w:sz w:val="21"/>
                <w:szCs w:val="21"/>
              </w:rPr>
              <w:t>异常恶劣的气候条件范围</w:t>
            </w:r>
            <w:r>
              <w:rPr>
                <w:rFonts w:hint="eastAsia" w:ascii="黑体"/>
                <w:sz w:val="21"/>
                <w:szCs w:val="21"/>
                <w:lang w:eastAsia="zh-CN"/>
              </w:rPr>
              <w:t>：</w:t>
            </w:r>
            <w:r>
              <w:rPr>
                <w:rFonts w:hint="eastAsia" w:ascii="黑体"/>
                <w:sz w:val="21"/>
                <w:szCs w:val="21"/>
                <w:u w:val="single"/>
                <w:lang w:val="en-US" w:eastAsia="zh-CN"/>
              </w:rPr>
              <w:t xml:space="preserve">           </w:t>
            </w:r>
          </w:p>
        </w:tc>
      </w:tr>
      <w:tr w14:paraId="1AFA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4487BABF">
            <w:pPr>
              <w:adjustRightInd w:val="0"/>
              <w:snapToGrid w:val="0"/>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17</w:t>
            </w:r>
          </w:p>
        </w:tc>
        <w:tc>
          <w:tcPr>
            <w:tcW w:w="1418" w:type="dxa"/>
            <w:vAlign w:val="center"/>
          </w:tcPr>
          <w:p w14:paraId="5B076DF5">
            <w:pPr>
              <w:adjustRightInd w:val="0"/>
              <w:snapToGrid w:val="0"/>
              <w:spacing w:line="400" w:lineRule="exact"/>
              <w:jc w:val="center"/>
              <w:rPr>
                <w:rFonts w:ascii="宋体" w:hAnsi="宋体" w:cs="宋体"/>
                <w:szCs w:val="21"/>
              </w:rPr>
            </w:pPr>
            <w:r>
              <w:rPr>
                <w:rFonts w:ascii="宋体" w:hAnsi="宋体" w:cs="宋体"/>
                <w:szCs w:val="21"/>
              </w:rPr>
              <w:t>11.5</w:t>
            </w:r>
          </w:p>
        </w:tc>
        <w:tc>
          <w:tcPr>
            <w:tcW w:w="6832" w:type="dxa"/>
            <w:vAlign w:val="center"/>
          </w:tcPr>
          <w:p w14:paraId="6FB587E1">
            <w:pPr>
              <w:adjustRightInd w:val="0"/>
              <w:snapToGrid w:val="0"/>
              <w:spacing w:line="400" w:lineRule="exact"/>
              <w:rPr>
                <w:rFonts w:ascii="宋体" w:hAnsi="宋体" w:cs="宋体"/>
                <w:szCs w:val="21"/>
              </w:rPr>
            </w:pPr>
            <w:r>
              <w:rPr>
                <w:rFonts w:hint="eastAsia" w:ascii="宋体" w:hAnsi="宋体" w:cs="宋体"/>
                <w:szCs w:val="21"/>
              </w:rPr>
              <w:t>逾期交工违约金：</w:t>
            </w:r>
            <w:r>
              <w:rPr>
                <w:rFonts w:ascii="宋体" w:hAnsi="宋体" w:cs="宋体"/>
                <w:szCs w:val="21"/>
                <w:u w:val="single"/>
              </w:rPr>
              <w:t xml:space="preserve">     </w:t>
            </w:r>
            <w:r>
              <w:rPr>
                <w:rFonts w:hint="eastAsia" w:ascii="宋体" w:hAnsi="宋体" w:cs="宋体"/>
                <w:szCs w:val="21"/>
              </w:rPr>
              <w:t>元</w:t>
            </w:r>
            <w:r>
              <w:rPr>
                <w:rFonts w:ascii="宋体" w:hAnsi="宋体" w:cs="宋体"/>
                <w:szCs w:val="21"/>
              </w:rPr>
              <w:t>/天</w:t>
            </w:r>
          </w:p>
        </w:tc>
      </w:tr>
      <w:tr w14:paraId="522D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629BC81">
            <w:pPr>
              <w:adjustRightInd w:val="0"/>
              <w:snapToGrid w:val="0"/>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18</w:t>
            </w:r>
          </w:p>
        </w:tc>
        <w:tc>
          <w:tcPr>
            <w:tcW w:w="1418" w:type="dxa"/>
            <w:vAlign w:val="center"/>
          </w:tcPr>
          <w:p w14:paraId="723B26C4">
            <w:pPr>
              <w:adjustRightInd w:val="0"/>
              <w:snapToGrid w:val="0"/>
              <w:spacing w:line="400" w:lineRule="exact"/>
              <w:jc w:val="center"/>
              <w:rPr>
                <w:rFonts w:ascii="宋体" w:hAnsi="宋体" w:cs="宋体"/>
                <w:szCs w:val="21"/>
              </w:rPr>
            </w:pPr>
            <w:r>
              <w:rPr>
                <w:rFonts w:ascii="宋体" w:hAnsi="宋体" w:cs="宋体"/>
                <w:szCs w:val="21"/>
              </w:rPr>
              <w:t>11.5</w:t>
            </w:r>
          </w:p>
        </w:tc>
        <w:tc>
          <w:tcPr>
            <w:tcW w:w="6832" w:type="dxa"/>
            <w:vAlign w:val="center"/>
          </w:tcPr>
          <w:p w14:paraId="3BDD23F5">
            <w:pPr>
              <w:adjustRightInd w:val="0"/>
              <w:snapToGrid w:val="0"/>
              <w:spacing w:line="400" w:lineRule="exact"/>
              <w:rPr>
                <w:rFonts w:ascii="宋体" w:hAnsi="宋体" w:cs="宋体"/>
                <w:szCs w:val="21"/>
              </w:rPr>
            </w:pPr>
            <w:r>
              <w:rPr>
                <w:rFonts w:hint="eastAsia" w:ascii="宋体" w:hAnsi="宋体" w:cs="宋体"/>
                <w:szCs w:val="21"/>
              </w:rPr>
              <w:t>逾期交工违约金限额：</w:t>
            </w:r>
            <w:r>
              <w:rPr>
                <w:rFonts w:ascii="宋体" w:hAnsi="宋体" w:cs="宋体"/>
                <w:szCs w:val="21"/>
                <w:u w:val="single"/>
              </w:rPr>
              <w:t xml:space="preserve">     </w:t>
            </w:r>
            <w:r>
              <w:rPr>
                <w:rFonts w:ascii="宋体" w:hAnsi="宋体" w:cs="宋体"/>
                <w:szCs w:val="21"/>
              </w:rPr>
              <w:t>%签约合同价</w:t>
            </w:r>
          </w:p>
          <w:p w14:paraId="52D9870B">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注：一般应为10%签约合同价。</w:t>
            </w:r>
          </w:p>
        </w:tc>
      </w:tr>
      <w:tr w14:paraId="0039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D6FC757">
            <w:pPr>
              <w:adjustRightInd w:val="0"/>
              <w:snapToGrid w:val="0"/>
              <w:spacing w:line="400" w:lineRule="exact"/>
              <w:jc w:val="center"/>
              <w:rPr>
                <w:rFonts w:ascii="宋体" w:hAnsi="宋体" w:eastAsia="宋体" w:cs="宋体"/>
                <w:kern w:val="2"/>
                <w:sz w:val="21"/>
                <w:szCs w:val="21"/>
                <w:lang w:val="en-US" w:eastAsia="zh-CN" w:bidi="ar-SA"/>
              </w:rPr>
            </w:pPr>
            <w:r>
              <w:rPr>
                <w:rFonts w:ascii="宋体" w:hAnsi="宋体" w:cs="宋体"/>
                <w:szCs w:val="21"/>
              </w:rPr>
              <w:t>1</w:t>
            </w:r>
            <w:r>
              <w:rPr>
                <w:rFonts w:hint="eastAsia" w:ascii="宋体" w:hAnsi="宋体" w:cs="宋体"/>
                <w:szCs w:val="21"/>
              </w:rPr>
              <w:t>9</w:t>
            </w:r>
          </w:p>
        </w:tc>
        <w:tc>
          <w:tcPr>
            <w:tcW w:w="1418" w:type="dxa"/>
            <w:vAlign w:val="center"/>
          </w:tcPr>
          <w:p w14:paraId="395C2AD9">
            <w:pPr>
              <w:adjustRightInd w:val="0"/>
              <w:snapToGrid w:val="0"/>
              <w:spacing w:line="400" w:lineRule="exact"/>
              <w:jc w:val="center"/>
              <w:rPr>
                <w:rFonts w:ascii="宋体" w:hAnsi="宋体" w:cs="宋体"/>
                <w:szCs w:val="21"/>
              </w:rPr>
            </w:pPr>
            <w:r>
              <w:rPr>
                <w:rFonts w:ascii="宋体" w:hAnsi="宋体" w:cs="宋体"/>
                <w:szCs w:val="21"/>
              </w:rPr>
              <w:t>11.6</w:t>
            </w:r>
          </w:p>
        </w:tc>
        <w:tc>
          <w:tcPr>
            <w:tcW w:w="6832" w:type="dxa"/>
            <w:vAlign w:val="center"/>
          </w:tcPr>
          <w:p w14:paraId="00B0233E">
            <w:pPr>
              <w:adjustRightInd w:val="0"/>
              <w:snapToGrid w:val="0"/>
              <w:spacing w:line="400" w:lineRule="exact"/>
              <w:rPr>
                <w:rFonts w:ascii="宋体" w:hAnsi="宋体" w:cs="宋体"/>
                <w:szCs w:val="21"/>
              </w:rPr>
            </w:pPr>
            <w:r>
              <w:rPr>
                <w:rFonts w:hint="eastAsia" w:ascii="宋体" w:hAnsi="宋体" w:cs="宋体"/>
                <w:szCs w:val="21"/>
              </w:rPr>
              <w:t>提前交工的奖金：</w:t>
            </w:r>
            <w:r>
              <w:rPr>
                <w:rFonts w:ascii="宋体" w:hAnsi="宋体" w:cs="宋体"/>
                <w:szCs w:val="21"/>
                <w:u w:val="single"/>
              </w:rPr>
              <w:t xml:space="preserve">     </w:t>
            </w:r>
            <w:r>
              <w:rPr>
                <w:rFonts w:hint="eastAsia" w:ascii="宋体" w:hAnsi="宋体" w:cs="宋体"/>
                <w:szCs w:val="21"/>
              </w:rPr>
              <w:t>元</w:t>
            </w:r>
            <w:r>
              <w:rPr>
                <w:rFonts w:ascii="宋体" w:hAnsi="宋体" w:cs="宋体"/>
                <w:szCs w:val="21"/>
              </w:rPr>
              <w:t>/天</w:t>
            </w:r>
          </w:p>
        </w:tc>
      </w:tr>
      <w:tr w14:paraId="5417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6C955DC">
            <w:pPr>
              <w:adjustRightInd w:val="0"/>
              <w:snapToGrid w:val="0"/>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20</w:t>
            </w:r>
          </w:p>
        </w:tc>
        <w:tc>
          <w:tcPr>
            <w:tcW w:w="1418" w:type="dxa"/>
            <w:vAlign w:val="center"/>
          </w:tcPr>
          <w:p w14:paraId="4EA11762">
            <w:pPr>
              <w:adjustRightInd w:val="0"/>
              <w:snapToGrid w:val="0"/>
              <w:spacing w:line="400" w:lineRule="exact"/>
              <w:jc w:val="center"/>
              <w:rPr>
                <w:rFonts w:ascii="宋体" w:hAnsi="宋体" w:cs="宋体"/>
                <w:szCs w:val="21"/>
              </w:rPr>
            </w:pPr>
            <w:r>
              <w:rPr>
                <w:rFonts w:ascii="宋体" w:hAnsi="宋体" w:cs="宋体"/>
                <w:szCs w:val="21"/>
              </w:rPr>
              <w:t>11.6</w:t>
            </w:r>
          </w:p>
        </w:tc>
        <w:tc>
          <w:tcPr>
            <w:tcW w:w="6832" w:type="dxa"/>
            <w:vAlign w:val="center"/>
          </w:tcPr>
          <w:p w14:paraId="3327815B">
            <w:pPr>
              <w:adjustRightInd w:val="0"/>
              <w:snapToGrid w:val="0"/>
              <w:spacing w:line="400" w:lineRule="exact"/>
              <w:rPr>
                <w:rFonts w:ascii="宋体" w:hAnsi="宋体" w:cs="宋体"/>
                <w:szCs w:val="21"/>
              </w:rPr>
            </w:pPr>
            <w:r>
              <w:rPr>
                <w:rFonts w:hint="eastAsia" w:ascii="宋体" w:hAnsi="宋体" w:cs="宋体"/>
                <w:szCs w:val="21"/>
              </w:rPr>
              <w:t>提前交工的奖金限额：</w:t>
            </w:r>
            <w:r>
              <w:rPr>
                <w:rFonts w:ascii="宋体" w:hAnsi="宋体" w:cs="宋体"/>
                <w:szCs w:val="21"/>
                <w:u w:val="single"/>
              </w:rPr>
              <w:t xml:space="preserve">     </w:t>
            </w:r>
            <w:r>
              <w:rPr>
                <w:rFonts w:ascii="宋体" w:hAnsi="宋体" w:cs="宋体"/>
                <w:szCs w:val="21"/>
              </w:rPr>
              <w:t>%签约合同价</w:t>
            </w:r>
          </w:p>
        </w:tc>
      </w:tr>
      <w:tr w14:paraId="309A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4" w:type="dxa"/>
            <w:vAlign w:val="center"/>
          </w:tcPr>
          <w:p w14:paraId="4FEC1221">
            <w:pPr>
              <w:adjustRightInd w:val="0"/>
              <w:snapToGrid w:val="0"/>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21</w:t>
            </w:r>
          </w:p>
        </w:tc>
        <w:tc>
          <w:tcPr>
            <w:tcW w:w="1418" w:type="dxa"/>
            <w:vAlign w:val="center"/>
          </w:tcPr>
          <w:p w14:paraId="70D5CABF">
            <w:pPr>
              <w:adjustRightInd w:val="0"/>
              <w:snapToGrid w:val="0"/>
              <w:spacing w:line="400" w:lineRule="exact"/>
              <w:jc w:val="center"/>
              <w:rPr>
                <w:rFonts w:ascii="宋体" w:hAnsi="宋体" w:cs="宋体"/>
                <w:szCs w:val="21"/>
              </w:rPr>
            </w:pPr>
            <w:r>
              <w:rPr>
                <w:rFonts w:hint="eastAsia" w:ascii="宋体" w:hAnsi="宋体" w:cs="宋体"/>
                <w:szCs w:val="21"/>
              </w:rPr>
              <w:t>15.5</w:t>
            </w:r>
          </w:p>
        </w:tc>
        <w:tc>
          <w:tcPr>
            <w:tcW w:w="6832" w:type="dxa"/>
            <w:vAlign w:val="center"/>
          </w:tcPr>
          <w:p w14:paraId="2C8D533B">
            <w:pPr>
              <w:adjustRightInd w:val="0"/>
              <w:snapToGrid w:val="0"/>
              <w:spacing w:line="400" w:lineRule="exact"/>
              <w:ind w:firstLine="0" w:firstLineChars="0"/>
              <w:rPr>
                <w:rFonts w:ascii="宋体" w:hAnsi="宋体" w:cs="宋体"/>
                <w:szCs w:val="21"/>
              </w:rPr>
            </w:pPr>
            <w:r>
              <w:rPr>
                <w:rFonts w:hint="eastAsia" w:ascii="宋体" w:hAnsi="宋体" w:cs="宋体"/>
                <w:szCs w:val="21"/>
              </w:rPr>
              <w:t>计日工：□A  □B</w:t>
            </w:r>
          </w:p>
        </w:tc>
      </w:tr>
      <w:tr w14:paraId="10D6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4" w:type="dxa"/>
            <w:vAlign w:val="center"/>
          </w:tcPr>
          <w:p w14:paraId="1F6C83FF">
            <w:pPr>
              <w:adjustRightInd w:val="0"/>
              <w:snapToGrid w:val="0"/>
              <w:spacing w:line="400" w:lineRule="exact"/>
              <w:jc w:val="center"/>
              <w:rPr>
                <w:rFonts w:ascii="宋体" w:hAnsi="宋体" w:eastAsia="宋体" w:cs="宋体"/>
                <w:kern w:val="2"/>
                <w:sz w:val="21"/>
                <w:szCs w:val="21"/>
                <w:lang w:val="en-US" w:eastAsia="zh-CN" w:bidi="ar-SA"/>
              </w:rPr>
            </w:pPr>
            <w:r>
              <w:rPr>
                <w:rFonts w:ascii="宋体" w:hAnsi="宋体" w:cs="宋体"/>
                <w:szCs w:val="21"/>
              </w:rPr>
              <w:t>22</w:t>
            </w:r>
          </w:p>
        </w:tc>
        <w:tc>
          <w:tcPr>
            <w:tcW w:w="1418" w:type="dxa"/>
            <w:vAlign w:val="center"/>
          </w:tcPr>
          <w:p w14:paraId="0CC08015">
            <w:pPr>
              <w:adjustRightInd w:val="0"/>
              <w:snapToGrid w:val="0"/>
              <w:spacing w:line="400" w:lineRule="exact"/>
              <w:jc w:val="center"/>
              <w:rPr>
                <w:rFonts w:ascii="宋体" w:hAnsi="宋体" w:cs="宋体"/>
                <w:szCs w:val="21"/>
              </w:rPr>
            </w:pPr>
            <w:r>
              <w:rPr>
                <w:rFonts w:hint="eastAsia" w:ascii="宋体" w:hAnsi="宋体" w:cs="宋体"/>
                <w:szCs w:val="21"/>
              </w:rPr>
              <w:t>15.6</w:t>
            </w:r>
          </w:p>
        </w:tc>
        <w:tc>
          <w:tcPr>
            <w:tcW w:w="6832" w:type="dxa"/>
            <w:vAlign w:val="center"/>
          </w:tcPr>
          <w:p w14:paraId="736DD00B">
            <w:pPr>
              <w:adjustRightInd w:val="0"/>
              <w:snapToGrid w:val="0"/>
              <w:spacing w:line="400" w:lineRule="exact"/>
              <w:rPr>
                <w:rFonts w:ascii="宋体" w:hAnsi="宋体" w:cs="宋体"/>
                <w:szCs w:val="21"/>
              </w:rPr>
            </w:pPr>
            <w:r>
              <w:rPr>
                <w:rFonts w:hint="eastAsia" w:ascii="宋体" w:hAnsi="宋体" w:cs="宋体"/>
                <w:szCs w:val="21"/>
              </w:rPr>
              <w:t>暂估价：□A  □B</w:t>
            </w:r>
          </w:p>
        </w:tc>
      </w:tr>
      <w:tr w14:paraId="674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vAlign w:val="center"/>
          </w:tcPr>
          <w:p w14:paraId="76D850B3">
            <w:pPr>
              <w:adjustRightInd w:val="0"/>
              <w:snapToGrid w:val="0"/>
              <w:spacing w:line="400" w:lineRule="exact"/>
              <w:jc w:val="center"/>
              <w:rPr>
                <w:rFonts w:ascii="宋体" w:hAnsi="宋体" w:eastAsia="宋体" w:cs="宋体"/>
                <w:kern w:val="2"/>
                <w:sz w:val="21"/>
                <w:szCs w:val="21"/>
                <w:lang w:val="en-US" w:eastAsia="zh-CN" w:bidi="ar-SA"/>
              </w:rPr>
            </w:pPr>
            <w:r>
              <w:rPr>
                <w:rFonts w:ascii="宋体" w:hAnsi="宋体" w:cs="宋体"/>
                <w:szCs w:val="21"/>
              </w:rPr>
              <w:t>23</w:t>
            </w:r>
          </w:p>
        </w:tc>
        <w:tc>
          <w:tcPr>
            <w:tcW w:w="1418" w:type="dxa"/>
            <w:vAlign w:val="center"/>
          </w:tcPr>
          <w:p w14:paraId="7A9E2BBB">
            <w:pPr>
              <w:adjustRightInd w:val="0"/>
              <w:snapToGrid w:val="0"/>
              <w:spacing w:line="400" w:lineRule="exact"/>
              <w:jc w:val="center"/>
              <w:rPr>
                <w:rFonts w:ascii="宋体" w:hAnsi="宋体" w:cs="宋体"/>
                <w:szCs w:val="21"/>
              </w:rPr>
            </w:pPr>
            <w:r>
              <w:rPr>
                <w:rFonts w:ascii="宋体" w:hAnsi="宋体" w:cs="宋体"/>
                <w:szCs w:val="21"/>
              </w:rPr>
              <w:t>16.1</w:t>
            </w:r>
          </w:p>
        </w:tc>
        <w:tc>
          <w:tcPr>
            <w:tcW w:w="6832" w:type="dxa"/>
            <w:vAlign w:val="center"/>
          </w:tcPr>
          <w:p w14:paraId="26E05859">
            <w:pPr>
              <w:adjustRightInd w:val="0"/>
              <w:snapToGrid w:val="0"/>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A：</w:t>
            </w:r>
            <w:r>
              <w:rPr>
                <w:rFonts w:ascii="宋体" w:hAnsi="宋体" w:cs="宋体"/>
                <w:szCs w:val="21"/>
              </w:rPr>
              <w:t>因物价波动引起的价格调整按照下列约定的原则处理：</w:t>
            </w:r>
          </w:p>
          <w:p w14:paraId="4D8ACD27">
            <w:pPr>
              <w:adjustRightInd w:val="0"/>
              <w:snapToGrid w:val="0"/>
              <w:spacing w:line="400" w:lineRule="exact"/>
              <w:ind w:firstLine="210" w:firstLineChars="100"/>
              <w:rPr>
                <w:rFonts w:ascii="宋体" w:hAnsi="宋体" w:cs="宋体"/>
                <w:szCs w:val="21"/>
                <w:u w:val="single"/>
              </w:rPr>
            </w:pPr>
            <w:r>
              <w:rPr>
                <w:rFonts w:hint="eastAsia" w:ascii="宋体" w:hAnsi="宋体" w:cs="宋体"/>
                <w:szCs w:val="21"/>
              </w:rPr>
              <w:sym w:font="Wingdings 2" w:char="00A3"/>
            </w:r>
            <w:r>
              <w:rPr>
                <w:rFonts w:hint="eastAsia" w:ascii="宋体" w:hAnsi="宋体" w:cs="宋体"/>
                <w:szCs w:val="21"/>
              </w:rPr>
              <w:t xml:space="preserve"> 第</w:t>
            </w:r>
            <w:r>
              <w:rPr>
                <w:rFonts w:ascii="宋体" w:hAnsi="宋体" w:cs="宋体"/>
                <w:szCs w:val="21"/>
              </w:rPr>
              <w:t>16.1.1项，</w:t>
            </w:r>
            <w:r>
              <w:rPr>
                <w:rFonts w:hint="eastAsia" w:ascii="宋体" w:hAnsi="宋体" w:cs="宋体"/>
                <w:szCs w:val="21"/>
              </w:rPr>
              <w:t>采用价格指数方式</w:t>
            </w:r>
            <w:r>
              <w:rPr>
                <w:rFonts w:ascii="宋体" w:hAnsi="宋体" w:cs="宋体"/>
                <w:szCs w:val="21"/>
              </w:rPr>
              <w:t>每</w:t>
            </w:r>
            <w:r>
              <w:rPr>
                <w:rFonts w:ascii="宋体" w:hAnsi="宋体" w:cs="宋体"/>
                <w:szCs w:val="21"/>
                <w:u w:val="single"/>
              </w:rPr>
              <w:t xml:space="preserve">   </w:t>
            </w:r>
            <w:r>
              <w:rPr>
                <w:rFonts w:hint="eastAsia" w:ascii="宋体" w:hAnsi="宋体" w:cs="宋体"/>
                <w:szCs w:val="21"/>
              </w:rPr>
              <w:t>个月按价格调整公式进行一次调整，调价范围：</w:t>
            </w:r>
            <w:r>
              <w:rPr>
                <w:rFonts w:ascii="宋体" w:hAnsi="宋体" w:cs="宋体"/>
                <w:szCs w:val="21"/>
                <w:u w:val="single"/>
              </w:rPr>
              <w:t xml:space="preserve">              </w:t>
            </w:r>
          </w:p>
          <w:p w14:paraId="4F07113A">
            <w:pPr>
              <w:adjustRightInd w:val="0"/>
              <w:snapToGrid w:val="0"/>
              <w:spacing w:line="400" w:lineRule="exact"/>
              <w:ind w:firstLine="210" w:firstLineChars="1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 第</w:t>
            </w:r>
            <w:r>
              <w:rPr>
                <w:rFonts w:ascii="宋体" w:hAnsi="宋体" w:cs="宋体"/>
                <w:szCs w:val="21"/>
              </w:rPr>
              <w:t>16.1.2项</w:t>
            </w:r>
            <w:r>
              <w:rPr>
                <w:rFonts w:hint="eastAsia" w:ascii="宋体" w:hAnsi="宋体" w:cs="宋体"/>
                <w:szCs w:val="21"/>
              </w:rPr>
              <w:t>，采用造价信息</w:t>
            </w:r>
            <w:r>
              <w:rPr>
                <w:rFonts w:ascii="宋体" w:hAnsi="宋体" w:cs="宋体"/>
                <w:szCs w:val="21"/>
              </w:rPr>
              <w:t>每</w:t>
            </w:r>
            <w:r>
              <w:rPr>
                <w:rFonts w:ascii="宋体" w:hAnsi="宋体" w:cs="宋体"/>
                <w:szCs w:val="21"/>
                <w:u w:val="single"/>
              </w:rPr>
              <w:t xml:space="preserve">   </w:t>
            </w:r>
            <w:r>
              <w:rPr>
                <w:rFonts w:hint="eastAsia" w:ascii="宋体" w:hAnsi="宋体" w:cs="宋体"/>
                <w:szCs w:val="21"/>
              </w:rPr>
              <w:t>个月按价格调整公式进行一次调整，调价范围：</w:t>
            </w:r>
            <w:r>
              <w:rPr>
                <w:rFonts w:hint="eastAsia" w:ascii="宋体" w:hAnsi="宋体" w:cs="宋体"/>
                <w:szCs w:val="21"/>
                <w:u w:val="single"/>
              </w:rPr>
              <w:t xml:space="preserve"> </w:t>
            </w:r>
            <w:r>
              <w:rPr>
                <w:rFonts w:ascii="宋体" w:hAnsi="宋体" w:cs="宋体"/>
                <w:szCs w:val="21"/>
                <w:u w:val="single"/>
              </w:rPr>
              <w:t xml:space="preserve">             </w:t>
            </w:r>
          </w:p>
          <w:p w14:paraId="2D6C16E8">
            <w:pPr>
              <w:adjustRightInd w:val="0"/>
              <w:snapToGrid w:val="0"/>
              <w:spacing w:line="400" w:lineRule="exact"/>
              <w:ind w:firstLine="211" w:firstLineChars="1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B：</w:t>
            </w:r>
            <w:r>
              <w:rPr>
                <w:rFonts w:ascii="宋体" w:hAnsi="宋体" w:cs="宋体"/>
                <w:szCs w:val="21"/>
              </w:rPr>
              <w:t>合同期内不调价</w:t>
            </w:r>
          </w:p>
          <w:p w14:paraId="3835E192">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w:t>
            </w:r>
            <w:r>
              <w:rPr>
                <w:rFonts w:hint="eastAsia" w:ascii="宋体" w:hAnsi="宋体" w:cs="宋体"/>
                <w:szCs w:val="21"/>
              </w:rPr>
              <w:t>对于工程规模不大、工期较短的工程（例如工期不超过12个月的），可以不进行调价。</w:t>
            </w:r>
          </w:p>
        </w:tc>
      </w:tr>
      <w:tr w14:paraId="5E21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B866F99">
            <w:pPr>
              <w:adjustRightInd w:val="0"/>
              <w:snapToGrid w:val="0"/>
              <w:spacing w:line="400" w:lineRule="exact"/>
              <w:jc w:val="center"/>
              <w:rPr>
                <w:rFonts w:ascii="宋体" w:hAnsi="宋体" w:eastAsia="宋体" w:cs="宋体"/>
                <w:kern w:val="2"/>
                <w:sz w:val="21"/>
                <w:szCs w:val="21"/>
                <w:lang w:val="en-US" w:eastAsia="zh-CN" w:bidi="ar-SA"/>
              </w:rPr>
            </w:pPr>
            <w:r>
              <w:rPr>
                <w:rFonts w:ascii="宋体" w:hAnsi="宋体" w:cs="宋体"/>
                <w:szCs w:val="21"/>
              </w:rPr>
              <w:t>24</w:t>
            </w:r>
          </w:p>
        </w:tc>
        <w:tc>
          <w:tcPr>
            <w:tcW w:w="1418" w:type="dxa"/>
            <w:vAlign w:val="center"/>
          </w:tcPr>
          <w:p w14:paraId="542070DB">
            <w:pPr>
              <w:adjustRightInd w:val="0"/>
              <w:snapToGrid w:val="0"/>
              <w:spacing w:line="400" w:lineRule="exact"/>
              <w:jc w:val="center"/>
              <w:rPr>
                <w:rFonts w:ascii="宋体" w:hAnsi="宋体" w:cs="宋体"/>
                <w:szCs w:val="21"/>
              </w:rPr>
            </w:pPr>
            <w:r>
              <w:rPr>
                <w:rFonts w:ascii="宋体" w:hAnsi="宋体" w:cs="宋体"/>
                <w:szCs w:val="21"/>
              </w:rPr>
              <w:t>17.2.1（1）</w:t>
            </w:r>
          </w:p>
        </w:tc>
        <w:tc>
          <w:tcPr>
            <w:tcW w:w="6832" w:type="dxa"/>
            <w:vAlign w:val="center"/>
          </w:tcPr>
          <w:p w14:paraId="4CF3BBE0">
            <w:pPr>
              <w:adjustRightInd w:val="0"/>
              <w:snapToGrid w:val="0"/>
              <w:spacing w:line="400" w:lineRule="exact"/>
              <w:rPr>
                <w:rFonts w:ascii="宋体" w:hAnsi="宋体" w:cs="宋体"/>
                <w:szCs w:val="21"/>
              </w:rPr>
            </w:pPr>
            <w:r>
              <w:rPr>
                <w:rFonts w:hint="eastAsia" w:ascii="宋体" w:hAnsi="宋体" w:cs="宋体"/>
                <w:szCs w:val="21"/>
              </w:rPr>
              <w:t>预付款金额：</w:t>
            </w:r>
            <w:r>
              <w:rPr>
                <w:rFonts w:ascii="宋体" w:hAnsi="宋体" w:cs="宋体"/>
                <w:szCs w:val="21"/>
                <w:u w:val="single"/>
              </w:rPr>
              <w:t xml:space="preserve">      </w:t>
            </w:r>
            <w:r>
              <w:rPr>
                <w:rFonts w:ascii="宋体" w:hAnsi="宋体" w:cs="宋体"/>
                <w:szCs w:val="21"/>
              </w:rPr>
              <w:t>%签约合同价</w:t>
            </w:r>
          </w:p>
          <w:p w14:paraId="251E9E2A">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注：一般应为10%签约合同价。</w:t>
            </w:r>
          </w:p>
        </w:tc>
      </w:tr>
      <w:tr w14:paraId="2FCF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D2DC896">
            <w:pPr>
              <w:adjustRightInd w:val="0"/>
              <w:snapToGrid w:val="0"/>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25</w:t>
            </w:r>
          </w:p>
        </w:tc>
        <w:tc>
          <w:tcPr>
            <w:tcW w:w="1418" w:type="dxa"/>
            <w:vAlign w:val="center"/>
          </w:tcPr>
          <w:p w14:paraId="7794F13C">
            <w:pPr>
              <w:adjustRightInd w:val="0"/>
              <w:snapToGrid w:val="0"/>
              <w:spacing w:line="400" w:lineRule="exact"/>
              <w:jc w:val="center"/>
              <w:rPr>
                <w:rFonts w:ascii="宋体" w:hAnsi="宋体" w:cs="宋体"/>
                <w:szCs w:val="21"/>
              </w:rPr>
            </w:pPr>
            <w:r>
              <w:rPr>
                <w:rFonts w:ascii="宋体" w:hAnsi="宋体" w:cs="宋体"/>
                <w:szCs w:val="21"/>
              </w:rPr>
              <w:t>17.2.1（2）</w:t>
            </w:r>
          </w:p>
        </w:tc>
        <w:tc>
          <w:tcPr>
            <w:tcW w:w="6832" w:type="dxa"/>
            <w:vAlign w:val="center"/>
          </w:tcPr>
          <w:p w14:paraId="06164CD4">
            <w:pPr>
              <w:adjustRightInd w:val="0"/>
              <w:snapToGrid w:val="0"/>
              <w:spacing w:line="400" w:lineRule="exact"/>
              <w:rPr>
                <w:rFonts w:ascii="宋体" w:hAnsi="宋体" w:cs="宋体"/>
                <w:szCs w:val="21"/>
              </w:rPr>
            </w:pPr>
            <w:r>
              <w:rPr>
                <w:rFonts w:hint="eastAsia" w:ascii="宋体" w:hAnsi="宋体" w:cs="宋体"/>
                <w:szCs w:val="21"/>
              </w:rPr>
              <w:t>材料、设备预付款比例：</w:t>
            </w:r>
            <w:r>
              <w:rPr>
                <w:rFonts w:ascii="宋体" w:hAnsi="宋体" w:cs="宋体"/>
                <w:szCs w:val="21"/>
                <w:u w:val="single"/>
              </w:rPr>
              <w:t xml:space="preserve">            </w:t>
            </w:r>
            <w:r>
              <w:rPr>
                <w:rFonts w:hint="eastAsia" w:ascii="宋体" w:hAnsi="宋体" w:cs="宋体"/>
                <w:szCs w:val="21"/>
              </w:rPr>
              <w:t>等主要材料、设备单据所列费用的</w:t>
            </w:r>
            <w:r>
              <w:rPr>
                <w:rFonts w:ascii="宋体" w:hAnsi="宋体" w:cs="宋体"/>
                <w:szCs w:val="21"/>
                <w:u w:val="single"/>
              </w:rPr>
              <w:t xml:space="preserve">      </w:t>
            </w:r>
            <w:r>
              <w:rPr>
                <w:rFonts w:ascii="宋体" w:hAnsi="宋体" w:cs="宋体"/>
                <w:szCs w:val="21"/>
              </w:rPr>
              <w:t>%</w:t>
            </w:r>
          </w:p>
          <w:p w14:paraId="0D3D132E">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w:t>
            </w:r>
            <w:r>
              <w:rPr>
                <w:rFonts w:hint="eastAsia" w:ascii="宋体" w:hAnsi="宋体" w:cs="宋体"/>
                <w:szCs w:val="21"/>
              </w:rPr>
              <w:t>一般应为 70%～75%，最低不少于 60%。</w:t>
            </w:r>
          </w:p>
        </w:tc>
      </w:tr>
      <w:tr w14:paraId="793B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F83E171">
            <w:pPr>
              <w:adjustRightInd w:val="0"/>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2</w:t>
            </w:r>
            <w:r>
              <w:rPr>
                <w:rFonts w:hint="eastAsia" w:ascii="宋体" w:hAnsi="宋体" w:cs="宋体"/>
                <w:szCs w:val="21"/>
                <w:lang w:val="en-US" w:eastAsia="zh-CN"/>
              </w:rPr>
              <w:t>6</w:t>
            </w:r>
          </w:p>
        </w:tc>
        <w:tc>
          <w:tcPr>
            <w:tcW w:w="1418" w:type="dxa"/>
            <w:vAlign w:val="center"/>
          </w:tcPr>
          <w:p w14:paraId="7F2D757B">
            <w:pPr>
              <w:adjustRightInd w:val="0"/>
              <w:snapToGrid w:val="0"/>
              <w:spacing w:line="400" w:lineRule="exact"/>
              <w:jc w:val="center"/>
              <w:rPr>
                <w:rFonts w:ascii="宋体" w:hAnsi="宋体" w:cs="宋体"/>
                <w:szCs w:val="21"/>
              </w:rPr>
            </w:pPr>
            <w:r>
              <w:rPr>
                <w:rFonts w:ascii="宋体" w:hAnsi="宋体" w:cs="宋体"/>
                <w:szCs w:val="21"/>
              </w:rPr>
              <w:t>17.3.4（1）</w:t>
            </w:r>
          </w:p>
        </w:tc>
        <w:tc>
          <w:tcPr>
            <w:tcW w:w="6832" w:type="dxa"/>
            <w:vAlign w:val="center"/>
          </w:tcPr>
          <w:p w14:paraId="4B43C474">
            <w:pPr>
              <w:adjustRightInd w:val="0"/>
              <w:snapToGrid w:val="0"/>
              <w:spacing w:line="400" w:lineRule="exact"/>
              <w:rPr>
                <w:rFonts w:hint="eastAsia" w:ascii="宋体" w:hAnsi="宋体" w:cs="宋体"/>
                <w:szCs w:val="21"/>
              </w:rPr>
            </w:pPr>
            <w:r>
              <w:rPr>
                <w:rFonts w:hint="eastAsia" w:ascii="宋体" w:hAnsi="宋体" w:cs="宋体"/>
                <w:szCs w:val="21"/>
              </w:rPr>
              <w:t>进度付款证书最低限额：</w:t>
            </w:r>
            <w:r>
              <w:rPr>
                <w:rFonts w:ascii="宋体" w:hAnsi="宋体" w:cs="宋体"/>
                <w:szCs w:val="21"/>
                <w:u w:val="single"/>
              </w:rPr>
              <w:t xml:space="preserve">     </w:t>
            </w:r>
            <w:r>
              <w:rPr>
                <w:rFonts w:ascii="宋体" w:hAnsi="宋体" w:cs="宋体"/>
                <w:szCs w:val="21"/>
              </w:rPr>
              <w:t>%签约合同价或</w:t>
            </w:r>
            <w:r>
              <w:rPr>
                <w:rFonts w:ascii="宋体" w:hAnsi="宋体" w:cs="宋体"/>
                <w:szCs w:val="21"/>
                <w:u w:val="single"/>
              </w:rPr>
              <w:t xml:space="preserve">     </w:t>
            </w:r>
            <w:r>
              <w:rPr>
                <w:rFonts w:hint="eastAsia" w:ascii="宋体" w:hAnsi="宋体" w:cs="宋体"/>
                <w:szCs w:val="21"/>
              </w:rPr>
              <w:t>万元</w:t>
            </w:r>
          </w:p>
          <w:p w14:paraId="4121418A">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注：国际上一般按月平均支付额的0.3～0.5倍计算，我国可按0.2～0.3倍计，以利承包人资金周转。</w:t>
            </w:r>
          </w:p>
        </w:tc>
      </w:tr>
      <w:tr w14:paraId="48D6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4E03106">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27</w:t>
            </w:r>
          </w:p>
        </w:tc>
        <w:tc>
          <w:tcPr>
            <w:tcW w:w="1418" w:type="dxa"/>
            <w:vAlign w:val="center"/>
          </w:tcPr>
          <w:p w14:paraId="6B38EE82">
            <w:pPr>
              <w:adjustRightInd w:val="0"/>
              <w:snapToGrid w:val="0"/>
              <w:spacing w:line="400" w:lineRule="exact"/>
              <w:jc w:val="center"/>
              <w:rPr>
                <w:rFonts w:ascii="宋体" w:hAnsi="宋体" w:cs="宋体"/>
                <w:szCs w:val="21"/>
              </w:rPr>
            </w:pPr>
            <w:r>
              <w:rPr>
                <w:rFonts w:ascii="宋体" w:hAnsi="宋体" w:cs="宋体"/>
                <w:szCs w:val="21"/>
              </w:rPr>
              <w:t>17.3.4（2）</w:t>
            </w:r>
          </w:p>
        </w:tc>
        <w:tc>
          <w:tcPr>
            <w:tcW w:w="6832" w:type="dxa"/>
            <w:vAlign w:val="center"/>
          </w:tcPr>
          <w:p w14:paraId="71CAD3B9">
            <w:pPr>
              <w:adjustRightInd w:val="0"/>
              <w:snapToGrid w:val="0"/>
              <w:spacing w:line="400" w:lineRule="exact"/>
              <w:rPr>
                <w:rFonts w:hint="eastAsia" w:ascii="宋体" w:hAnsi="宋体" w:cs="宋体"/>
                <w:szCs w:val="21"/>
              </w:rPr>
            </w:pPr>
            <w:r>
              <w:rPr>
                <w:rFonts w:hint="eastAsia" w:ascii="宋体" w:hAnsi="宋体" w:cs="宋体"/>
                <w:szCs w:val="21"/>
              </w:rPr>
              <w:t>逾期付款违约金的利率：</w:t>
            </w:r>
            <w:r>
              <w:rPr>
                <w:rFonts w:ascii="宋体" w:hAnsi="宋体" w:cs="宋体"/>
                <w:szCs w:val="21"/>
                <w:u w:val="single"/>
              </w:rPr>
              <w:t xml:space="preserve">      </w:t>
            </w:r>
            <w:r>
              <w:rPr>
                <w:rFonts w:hint="eastAsia" w:ascii="宋体" w:hAnsi="宋体" w:cs="宋体"/>
                <w:szCs w:val="21"/>
              </w:rPr>
              <w:t>‰∕天</w:t>
            </w:r>
          </w:p>
          <w:p w14:paraId="5AAA720E">
            <w:pPr>
              <w:adjustRightInd w:val="0"/>
              <w:snapToGrid w:val="0"/>
              <w:spacing w:line="400" w:lineRule="exact"/>
              <w:ind w:firstLine="210" w:firstLineChars="100"/>
              <w:rPr>
                <w:rFonts w:ascii="宋体" w:hAnsi="宋体" w:cs="宋体"/>
                <w:szCs w:val="21"/>
              </w:rPr>
            </w:pPr>
            <w:r>
              <w:rPr>
                <w:rFonts w:hint="eastAsia" w:ascii="宋体" w:hAnsi="宋体" w:cs="宋体"/>
                <w:szCs w:val="21"/>
                <w:lang w:val="en-US" w:eastAsia="zh-CN"/>
              </w:rPr>
              <w:t>注：相当于中国人民银行短期贷款利率加手续费。招标人不能自行取消本项内容或降低利率。</w:t>
            </w:r>
          </w:p>
        </w:tc>
      </w:tr>
      <w:tr w14:paraId="76F6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4" w:type="dxa"/>
            <w:vAlign w:val="center"/>
          </w:tcPr>
          <w:p w14:paraId="75F9C268">
            <w:pPr>
              <w:adjustRightInd w:val="0"/>
              <w:snapToGrid w:val="0"/>
              <w:spacing w:line="400" w:lineRule="exact"/>
              <w:jc w:val="center"/>
              <w:rPr>
                <w:rFonts w:ascii="宋体" w:hAnsi="宋体" w:cs="宋体"/>
                <w:szCs w:val="21"/>
              </w:rPr>
            </w:pPr>
            <w:r>
              <w:rPr>
                <w:rFonts w:hint="eastAsia" w:ascii="宋体" w:hAnsi="宋体" w:cs="宋体"/>
                <w:szCs w:val="21"/>
              </w:rPr>
              <w:t>28</w:t>
            </w:r>
          </w:p>
        </w:tc>
        <w:tc>
          <w:tcPr>
            <w:tcW w:w="1418" w:type="dxa"/>
            <w:vAlign w:val="center"/>
          </w:tcPr>
          <w:p w14:paraId="6E96E6BA">
            <w:pPr>
              <w:adjustRightInd w:val="0"/>
              <w:snapToGrid w:val="0"/>
              <w:spacing w:line="400" w:lineRule="exact"/>
              <w:jc w:val="center"/>
              <w:rPr>
                <w:rFonts w:ascii="宋体" w:hAnsi="宋体" w:cs="宋体"/>
                <w:szCs w:val="21"/>
              </w:rPr>
            </w:pPr>
            <w:r>
              <w:rPr>
                <w:rFonts w:ascii="宋体" w:hAnsi="宋体" w:cs="宋体"/>
                <w:szCs w:val="21"/>
              </w:rPr>
              <w:t>17.4.1</w:t>
            </w:r>
          </w:p>
        </w:tc>
        <w:tc>
          <w:tcPr>
            <w:tcW w:w="6832" w:type="dxa"/>
            <w:vAlign w:val="center"/>
          </w:tcPr>
          <w:p w14:paraId="79D29B7E">
            <w:pPr>
              <w:widowControl/>
              <w:spacing w:line="400" w:lineRule="exact"/>
              <w:jc w:val="left"/>
              <w:rPr>
                <w:rFonts w:ascii="宋体" w:hAnsi="宋体" w:cs="宋体"/>
                <w:szCs w:val="21"/>
              </w:rPr>
            </w:pPr>
            <w:r>
              <w:rPr>
                <w:rFonts w:hint="eastAsia" w:ascii="宋体" w:hAnsi="宋体" w:cs="宋体"/>
                <w:szCs w:val="21"/>
              </w:rPr>
              <w:t>质量保证金金额：</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val="en-US" w:eastAsia="zh-CN"/>
              </w:rPr>
              <w:t>勘察设计费用总额、</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工程价款结算总额</w:t>
            </w:r>
          </w:p>
          <w:p w14:paraId="41875DC3">
            <w:pPr>
              <w:widowControl/>
              <w:adjustRightInd w:val="0"/>
              <w:snapToGrid w:val="0"/>
              <w:spacing w:line="400" w:lineRule="exact"/>
              <w:ind w:firstLine="210" w:firstLineChars="100"/>
              <w:jc w:val="left"/>
              <w:rPr>
                <w:rFonts w:ascii="宋体" w:hAnsi="宋体" w:cs="宋体"/>
                <w:szCs w:val="21"/>
              </w:rPr>
            </w:pPr>
            <w:r>
              <w:rPr>
                <w:rFonts w:hint="eastAsia" w:ascii="宋体" w:hAnsi="宋体" w:cs="宋体"/>
                <w:szCs w:val="21"/>
                <w:lang w:val="en-US" w:eastAsia="zh-CN"/>
              </w:rPr>
              <w:t>注：最高不超过</w:t>
            </w:r>
            <w:r>
              <w:rPr>
                <w:rFonts w:hint="eastAsia" w:ascii="宋体" w:hAnsi="宋体" w:cs="宋体"/>
                <w:szCs w:val="21"/>
              </w:rPr>
              <w:t>工程价款结算总额</w:t>
            </w:r>
            <w:r>
              <w:rPr>
                <w:rFonts w:hint="eastAsia" w:ascii="宋体" w:hAnsi="宋体" w:cs="宋体"/>
                <w:szCs w:val="21"/>
                <w:lang w:eastAsia="zh-CN"/>
              </w:rPr>
              <w:t>（</w:t>
            </w:r>
            <w:r>
              <w:rPr>
                <w:rFonts w:hint="eastAsia" w:ascii="宋体" w:hAnsi="宋体" w:cs="宋体"/>
                <w:szCs w:val="21"/>
                <w:lang w:val="en-US" w:eastAsia="zh-CN"/>
              </w:rPr>
              <w:t>或勘察设计费用总额</w:t>
            </w:r>
            <w:r>
              <w:rPr>
                <w:rFonts w:hint="eastAsia" w:ascii="宋体" w:hAnsi="宋体" w:cs="宋体"/>
                <w:szCs w:val="21"/>
                <w:lang w:eastAsia="zh-CN"/>
              </w:rPr>
              <w:t>）</w:t>
            </w:r>
            <w:r>
              <w:rPr>
                <w:rFonts w:hint="eastAsia" w:ascii="宋体" w:hAnsi="宋体" w:cs="宋体"/>
                <w:szCs w:val="21"/>
                <w:lang w:val="en-US" w:eastAsia="zh-CN"/>
              </w:rPr>
              <w:t>的3%。</w:t>
            </w:r>
          </w:p>
          <w:p w14:paraId="5A50658F">
            <w:pPr>
              <w:widowControl/>
              <w:spacing w:line="400" w:lineRule="exact"/>
              <w:jc w:val="left"/>
            </w:pPr>
            <w:r>
              <w:rPr>
                <w:rFonts w:hint="eastAsia" w:ascii="宋体" w:hAnsi="宋体" w:cs="宋体"/>
                <w:kern w:val="0"/>
                <w:szCs w:val="21"/>
                <w:lang w:bidi="ar"/>
              </w:rPr>
              <w:t xml:space="preserve">质量保证金是否计付利息： </w:t>
            </w:r>
          </w:p>
          <w:p w14:paraId="16451577">
            <w:pPr>
              <w:widowControl/>
              <w:spacing w:line="400" w:lineRule="exact"/>
              <w:ind w:firstLine="210" w:firstLineChars="100"/>
              <w:jc w:val="left"/>
              <w:rPr>
                <w:szCs w:val="21"/>
              </w:rPr>
            </w:pPr>
            <w:r>
              <w:rPr>
                <w:rFonts w:hint="eastAsia" w:ascii="宋体" w:hAnsi="宋体" w:cs="宋体"/>
                <w:kern w:val="0"/>
                <w:sz w:val="21"/>
                <w:szCs w:val="21"/>
                <w:lang w:bidi="ar"/>
              </w:rPr>
              <w:t>□</w:t>
            </w:r>
            <w:r>
              <w:rPr>
                <w:rFonts w:hint="eastAsia" w:ascii="宋体" w:hAnsi="宋体" w:cs="宋体"/>
                <w:kern w:val="0"/>
                <w:szCs w:val="21"/>
                <w:lang w:bidi="ar"/>
              </w:rPr>
              <w:t xml:space="preserve"> 是，利息的计算方式：</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 </w:t>
            </w:r>
          </w:p>
          <w:p w14:paraId="68935514">
            <w:pPr>
              <w:widowControl/>
              <w:spacing w:line="400" w:lineRule="exact"/>
              <w:ind w:firstLine="210" w:firstLineChars="100"/>
              <w:jc w:val="left"/>
              <w:rPr>
                <w:rFonts w:ascii="宋体" w:hAnsi="宋体" w:cs="宋体"/>
                <w:szCs w:val="21"/>
              </w:rPr>
            </w:pPr>
            <w:r>
              <w:rPr>
                <w:rFonts w:hint="eastAsia" w:ascii="宋体" w:hAnsi="宋体" w:cs="宋体"/>
                <w:kern w:val="0"/>
                <w:szCs w:val="21"/>
                <w:lang w:bidi="ar"/>
              </w:rPr>
              <w:t>□</w:t>
            </w:r>
            <w:r>
              <w:rPr>
                <w:rFonts w:hint="eastAsia"/>
                <w:kern w:val="0"/>
                <w:szCs w:val="21"/>
                <w:lang w:bidi="ar"/>
              </w:rPr>
              <w:t xml:space="preserve"> </w:t>
            </w:r>
            <w:r>
              <w:rPr>
                <w:rFonts w:hint="eastAsia" w:ascii="宋体" w:hAnsi="宋体" w:cs="宋体"/>
                <w:kern w:val="0"/>
                <w:szCs w:val="21"/>
                <w:lang w:bidi="ar"/>
              </w:rPr>
              <w:t>否</w:t>
            </w:r>
          </w:p>
        </w:tc>
      </w:tr>
      <w:tr w14:paraId="0DA9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9ED773B">
            <w:pPr>
              <w:adjustRightInd w:val="0"/>
              <w:snapToGrid w:val="0"/>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29</w:t>
            </w:r>
          </w:p>
        </w:tc>
        <w:tc>
          <w:tcPr>
            <w:tcW w:w="1418" w:type="dxa"/>
            <w:vAlign w:val="center"/>
          </w:tcPr>
          <w:p w14:paraId="5EEF03F7">
            <w:pPr>
              <w:adjustRightInd w:val="0"/>
              <w:snapToGrid w:val="0"/>
              <w:spacing w:line="400" w:lineRule="exact"/>
              <w:jc w:val="center"/>
              <w:rPr>
                <w:rFonts w:ascii="宋体" w:hAnsi="宋体" w:cs="宋体"/>
                <w:szCs w:val="21"/>
              </w:rPr>
            </w:pPr>
            <w:r>
              <w:rPr>
                <w:rFonts w:ascii="宋体" w:hAnsi="宋体" w:cs="宋体"/>
                <w:szCs w:val="21"/>
              </w:rPr>
              <w:t>17.5.1（1）</w:t>
            </w:r>
          </w:p>
        </w:tc>
        <w:tc>
          <w:tcPr>
            <w:tcW w:w="6832" w:type="dxa"/>
            <w:vAlign w:val="center"/>
          </w:tcPr>
          <w:p w14:paraId="174B16D3">
            <w:pPr>
              <w:adjustRightInd w:val="0"/>
              <w:snapToGrid w:val="0"/>
              <w:spacing w:line="400" w:lineRule="exact"/>
              <w:rPr>
                <w:rFonts w:hint="eastAsia" w:ascii="宋体" w:hAnsi="宋体" w:cs="宋体"/>
                <w:szCs w:val="21"/>
              </w:rPr>
            </w:pPr>
            <w:r>
              <w:rPr>
                <w:rFonts w:hint="eastAsia" w:ascii="宋体" w:hAnsi="宋体" w:cs="宋体"/>
                <w:szCs w:val="21"/>
              </w:rPr>
              <w:t>承包人向监理人提交交工付款申请单（包括相关证明材料）的份数：</w:t>
            </w:r>
            <w:r>
              <w:rPr>
                <w:rFonts w:ascii="宋体" w:hAnsi="宋体" w:cs="宋体"/>
                <w:szCs w:val="21"/>
                <w:u w:val="single"/>
              </w:rPr>
              <w:t xml:space="preserve">   </w:t>
            </w:r>
            <w:r>
              <w:rPr>
                <w:rFonts w:hint="eastAsia" w:ascii="宋体" w:hAnsi="宋体" w:cs="宋体"/>
                <w:szCs w:val="21"/>
              </w:rPr>
              <w:t>份</w:t>
            </w:r>
          </w:p>
          <w:p w14:paraId="7A691B63">
            <w:pPr>
              <w:adjustRightInd w:val="0"/>
              <w:snapToGrid w:val="0"/>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期限：</w:t>
            </w:r>
            <w:r>
              <w:rPr>
                <w:rFonts w:hint="eastAsia" w:ascii="宋体" w:hAnsi="宋体"/>
                <w:sz w:val="21"/>
                <w:szCs w:val="21"/>
                <w:u w:val="single"/>
              </w:rPr>
              <w:t>交工验收证书签发后</w:t>
            </w:r>
            <w:r>
              <w:rPr>
                <w:rFonts w:ascii="宋体" w:hAnsi="宋体"/>
                <w:sz w:val="21"/>
                <w:szCs w:val="21"/>
                <w:u w:val="single"/>
              </w:rPr>
              <w:t>42</w:t>
            </w:r>
            <w:r>
              <w:rPr>
                <w:rFonts w:hint="eastAsia" w:ascii="宋体" w:hAnsi="宋体"/>
                <w:sz w:val="21"/>
                <w:szCs w:val="21"/>
                <w:u w:val="single"/>
              </w:rPr>
              <w:t>天内</w:t>
            </w:r>
            <w:r>
              <w:rPr>
                <w:rFonts w:hint="eastAsia" w:ascii="宋体" w:hAnsi="宋体"/>
                <w:sz w:val="21"/>
                <w:szCs w:val="21"/>
              </w:rPr>
              <w:t>。</w:t>
            </w:r>
          </w:p>
        </w:tc>
      </w:tr>
      <w:tr w14:paraId="14A4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24C2763">
            <w:pPr>
              <w:adjustRightInd w:val="0"/>
              <w:snapToGrid w:val="0"/>
              <w:spacing w:line="400" w:lineRule="exact"/>
              <w:jc w:val="center"/>
              <w:rPr>
                <w:rFonts w:ascii="宋体" w:hAnsi="宋体" w:eastAsia="宋体" w:cs="宋体"/>
                <w:kern w:val="2"/>
                <w:sz w:val="21"/>
                <w:szCs w:val="21"/>
                <w:lang w:val="en-US" w:eastAsia="zh-CN" w:bidi="ar-SA"/>
              </w:rPr>
            </w:pPr>
            <w:r>
              <w:rPr>
                <w:rFonts w:ascii="宋体" w:hAnsi="宋体" w:cs="宋体"/>
                <w:szCs w:val="21"/>
              </w:rPr>
              <w:t>3</w:t>
            </w:r>
            <w:r>
              <w:rPr>
                <w:rFonts w:hint="eastAsia" w:ascii="宋体" w:hAnsi="宋体" w:cs="宋体"/>
                <w:szCs w:val="21"/>
              </w:rPr>
              <w:t>0</w:t>
            </w:r>
          </w:p>
        </w:tc>
        <w:tc>
          <w:tcPr>
            <w:tcW w:w="1418" w:type="dxa"/>
            <w:vAlign w:val="center"/>
          </w:tcPr>
          <w:p w14:paraId="6E1EF0CA">
            <w:pPr>
              <w:adjustRightInd w:val="0"/>
              <w:snapToGrid w:val="0"/>
              <w:spacing w:line="400" w:lineRule="exact"/>
              <w:jc w:val="center"/>
              <w:rPr>
                <w:rFonts w:ascii="宋体" w:hAnsi="宋体" w:cs="宋体"/>
                <w:szCs w:val="21"/>
              </w:rPr>
            </w:pPr>
            <w:r>
              <w:rPr>
                <w:rFonts w:ascii="宋体" w:hAnsi="宋体" w:cs="宋体"/>
                <w:szCs w:val="21"/>
              </w:rPr>
              <w:t>17.6.1（1）</w:t>
            </w:r>
          </w:p>
        </w:tc>
        <w:tc>
          <w:tcPr>
            <w:tcW w:w="6832" w:type="dxa"/>
            <w:vAlign w:val="center"/>
          </w:tcPr>
          <w:p w14:paraId="03BAF69B">
            <w:pPr>
              <w:tabs>
                <w:tab w:val="left" w:pos="700"/>
              </w:tabs>
              <w:adjustRightInd w:val="0"/>
              <w:snapToGrid w:val="0"/>
              <w:spacing w:line="400" w:lineRule="exact"/>
              <w:ind w:firstLine="0" w:firstLineChars="0"/>
              <w:rPr>
                <w:rFonts w:hint="eastAsia" w:ascii="宋体" w:hAnsi="宋体" w:cs="宋体"/>
                <w:szCs w:val="21"/>
              </w:rPr>
            </w:pPr>
            <w:r>
              <w:rPr>
                <w:rFonts w:hint="eastAsia" w:ascii="宋体" w:hAnsi="宋体" w:cs="宋体"/>
                <w:szCs w:val="21"/>
              </w:rPr>
              <w:t>承包人向监理人提交最终结清申请单（包括相关证明材料）的份数：</w:t>
            </w:r>
            <w:r>
              <w:rPr>
                <w:rFonts w:ascii="宋体" w:hAnsi="宋体" w:cs="宋体"/>
                <w:szCs w:val="21"/>
                <w:u w:val="single"/>
              </w:rPr>
              <w:t xml:space="preserve">   </w:t>
            </w:r>
            <w:r>
              <w:rPr>
                <w:rFonts w:hint="eastAsia" w:ascii="宋体" w:hAnsi="宋体" w:cs="宋体"/>
                <w:szCs w:val="21"/>
              </w:rPr>
              <w:t>份</w:t>
            </w:r>
          </w:p>
          <w:p w14:paraId="4A03B32E">
            <w:pPr>
              <w:tabs>
                <w:tab w:val="left" w:pos="700"/>
              </w:tabs>
              <w:adjustRightInd w:val="0"/>
              <w:snapToGrid w:val="0"/>
              <w:spacing w:line="400" w:lineRule="exact"/>
              <w:ind w:firstLine="0" w:firstLineChars="0"/>
              <w:rPr>
                <w:rFonts w:hint="eastAsia" w:ascii="宋体" w:hAnsi="宋体" w:cs="宋体"/>
                <w:szCs w:val="21"/>
              </w:rPr>
            </w:pPr>
            <w:r>
              <w:rPr>
                <w:rFonts w:hint="eastAsia" w:ascii="宋体" w:hAnsi="宋体"/>
                <w:sz w:val="21"/>
                <w:szCs w:val="21"/>
              </w:rPr>
              <w:t>期限：</w:t>
            </w:r>
            <w:r>
              <w:rPr>
                <w:rFonts w:hint="eastAsia" w:ascii="宋体" w:hAnsi="宋体"/>
                <w:sz w:val="21"/>
                <w:szCs w:val="21"/>
                <w:u w:val="single"/>
              </w:rPr>
              <w:t>缺陷责任期终止证书签发后</w:t>
            </w:r>
            <w:r>
              <w:rPr>
                <w:rFonts w:ascii="宋体" w:hAnsi="宋体"/>
                <w:sz w:val="21"/>
                <w:szCs w:val="21"/>
                <w:u w:val="single"/>
              </w:rPr>
              <w:t>28</w:t>
            </w:r>
            <w:r>
              <w:rPr>
                <w:rFonts w:hint="eastAsia" w:ascii="宋体" w:hAnsi="宋体"/>
                <w:sz w:val="21"/>
                <w:szCs w:val="21"/>
                <w:u w:val="single"/>
              </w:rPr>
              <w:t>天内</w:t>
            </w:r>
          </w:p>
        </w:tc>
      </w:tr>
      <w:tr w14:paraId="0CB5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CC9EDEC">
            <w:pPr>
              <w:adjustRightInd w:val="0"/>
              <w:snapToGrid w:val="0"/>
              <w:spacing w:line="400" w:lineRule="exact"/>
              <w:jc w:val="center"/>
              <w:rPr>
                <w:rFonts w:ascii="宋体" w:hAnsi="宋体" w:eastAsia="宋体" w:cs="宋体"/>
                <w:kern w:val="2"/>
                <w:sz w:val="21"/>
                <w:szCs w:val="21"/>
                <w:lang w:val="en-US" w:eastAsia="zh-CN" w:bidi="ar-SA"/>
              </w:rPr>
            </w:pPr>
            <w:r>
              <w:rPr>
                <w:rFonts w:ascii="宋体" w:hAnsi="宋体" w:cs="宋体"/>
                <w:szCs w:val="21"/>
              </w:rPr>
              <w:t>3</w:t>
            </w:r>
            <w:r>
              <w:rPr>
                <w:rFonts w:hint="eastAsia" w:ascii="宋体" w:hAnsi="宋体" w:cs="宋体"/>
                <w:szCs w:val="21"/>
              </w:rPr>
              <w:t>1</w:t>
            </w:r>
          </w:p>
        </w:tc>
        <w:tc>
          <w:tcPr>
            <w:tcW w:w="1418" w:type="dxa"/>
            <w:vAlign w:val="center"/>
          </w:tcPr>
          <w:p w14:paraId="4293BA0C">
            <w:pPr>
              <w:adjustRightInd w:val="0"/>
              <w:snapToGrid w:val="0"/>
              <w:spacing w:line="400" w:lineRule="exact"/>
              <w:jc w:val="center"/>
              <w:rPr>
                <w:rFonts w:ascii="宋体" w:hAnsi="宋体" w:cs="宋体"/>
                <w:szCs w:val="21"/>
              </w:rPr>
            </w:pPr>
            <w:r>
              <w:rPr>
                <w:rFonts w:hint="eastAsia" w:ascii="宋体" w:hAnsi="宋体" w:cs="宋体"/>
                <w:szCs w:val="21"/>
              </w:rPr>
              <w:t>18.1.3</w:t>
            </w:r>
          </w:p>
        </w:tc>
        <w:tc>
          <w:tcPr>
            <w:tcW w:w="6832" w:type="dxa"/>
            <w:vAlign w:val="center"/>
          </w:tcPr>
          <w:p w14:paraId="2F27917A">
            <w:pPr>
              <w:adjustRightInd w:val="0"/>
              <w:snapToGrid w:val="0"/>
              <w:spacing w:line="400" w:lineRule="exact"/>
              <w:rPr>
                <w:rFonts w:ascii="宋体" w:hAnsi="宋体" w:cs="宋体"/>
                <w:szCs w:val="21"/>
                <w:u w:val="single"/>
              </w:rPr>
            </w:pPr>
            <w:r>
              <w:rPr>
                <w:rFonts w:hint="eastAsia" w:ascii="宋体" w:hAnsi="宋体" w:cs="宋体"/>
                <w:szCs w:val="21"/>
              </w:rPr>
              <w:t>本工程及工程设备是否进行试运行：□</w:t>
            </w:r>
            <w:r>
              <w:rPr>
                <w:rFonts w:hint="eastAsia" w:ascii="宋体" w:hAnsi="宋体" w:cs="宋体"/>
                <w:szCs w:val="21"/>
                <w:u w:val="none"/>
              </w:rPr>
              <w:t>是</w:t>
            </w:r>
            <w:r>
              <w:rPr>
                <w:rFonts w:ascii="宋体" w:hAnsi="宋体" w:cs="宋体"/>
                <w:szCs w:val="21"/>
                <w:u w:val="none"/>
              </w:rPr>
              <w:t xml:space="preserve">  </w:t>
            </w:r>
            <w:r>
              <w:rPr>
                <w:rFonts w:hint="eastAsia" w:ascii="宋体" w:hAnsi="宋体" w:cs="宋体"/>
                <w:szCs w:val="21"/>
                <w:u w:val="none"/>
              </w:rPr>
              <w:t>□否</w:t>
            </w:r>
          </w:p>
          <w:p w14:paraId="18DDB80E">
            <w:pPr>
              <w:adjustRightInd w:val="0"/>
              <w:snapToGrid w:val="0"/>
              <w:spacing w:line="400" w:lineRule="exact"/>
              <w:rPr>
                <w:rFonts w:ascii="宋体" w:hAnsi="宋体" w:cs="宋体"/>
                <w:szCs w:val="21"/>
              </w:rPr>
            </w:pPr>
            <w:r>
              <w:rPr>
                <w:rFonts w:hint="eastAsia" w:ascii="宋体" w:hAnsi="宋体" w:cs="宋体"/>
                <w:szCs w:val="21"/>
              </w:rPr>
              <w:t>如本工程及工程设备需要进行试运行，试运行的具体规定如下：</w:t>
            </w:r>
            <w:r>
              <w:rPr>
                <w:rFonts w:ascii="宋体" w:hAnsi="宋体" w:cs="宋体"/>
                <w:szCs w:val="21"/>
                <w:u w:val="single"/>
              </w:rPr>
              <w:t xml:space="preserve">          </w:t>
            </w:r>
          </w:p>
        </w:tc>
      </w:tr>
      <w:tr w14:paraId="1C63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C4D6473">
            <w:pPr>
              <w:adjustRightInd w:val="0"/>
              <w:snapToGrid w:val="0"/>
              <w:spacing w:line="400" w:lineRule="exact"/>
              <w:jc w:val="center"/>
              <w:rPr>
                <w:rFonts w:ascii="宋体" w:hAnsi="宋体" w:eastAsia="宋体" w:cs="宋体"/>
                <w:kern w:val="2"/>
                <w:sz w:val="21"/>
                <w:szCs w:val="21"/>
                <w:lang w:val="en-US" w:eastAsia="zh-CN" w:bidi="ar-SA"/>
              </w:rPr>
            </w:pPr>
            <w:r>
              <w:rPr>
                <w:rFonts w:hint="eastAsia" w:ascii="宋体" w:hAnsi="宋体" w:cs="宋体"/>
                <w:szCs w:val="21"/>
              </w:rPr>
              <w:t>32</w:t>
            </w:r>
          </w:p>
        </w:tc>
        <w:tc>
          <w:tcPr>
            <w:tcW w:w="1418" w:type="dxa"/>
            <w:vAlign w:val="center"/>
          </w:tcPr>
          <w:p w14:paraId="2EFE9755">
            <w:pPr>
              <w:adjustRightInd w:val="0"/>
              <w:snapToGrid w:val="0"/>
              <w:spacing w:line="400" w:lineRule="exact"/>
              <w:jc w:val="center"/>
              <w:rPr>
                <w:rFonts w:ascii="宋体" w:hAnsi="宋体" w:cs="宋体"/>
                <w:szCs w:val="21"/>
              </w:rPr>
            </w:pPr>
            <w:r>
              <w:rPr>
                <w:rFonts w:ascii="宋体" w:hAnsi="宋体" w:cs="宋体"/>
                <w:szCs w:val="21"/>
              </w:rPr>
              <w:t>18.</w:t>
            </w:r>
            <w:r>
              <w:rPr>
                <w:rFonts w:hint="eastAsia" w:ascii="宋体" w:hAnsi="宋体" w:cs="宋体"/>
                <w:szCs w:val="21"/>
              </w:rPr>
              <w:t>6</w:t>
            </w:r>
            <w:r>
              <w:rPr>
                <w:rFonts w:ascii="宋体" w:hAnsi="宋体" w:cs="宋体"/>
                <w:szCs w:val="21"/>
              </w:rPr>
              <w:t>.1</w:t>
            </w:r>
          </w:p>
        </w:tc>
        <w:tc>
          <w:tcPr>
            <w:tcW w:w="6832" w:type="dxa"/>
            <w:vAlign w:val="center"/>
          </w:tcPr>
          <w:p w14:paraId="05E44FA1">
            <w:pPr>
              <w:adjustRightInd w:val="0"/>
              <w:snapToGrid w:val="0"/>
              <w:spacing w:line="400" w:lineRule="exact"/>
              <w:rPr>
                <w:rFonts w:ascii="宋体" w:hAnsi="宋体" w:cs="宋体"/>
                <w:szCs w:val="21"/>
                <w:u w:val="single"/>
              </w:rPr>
            </w:pPr>
            <w:r>
              <w:rPr>
                <w:rFonts w:hint="eastAsia" w:ascii="宋体" w:hAnsi="宋体" w:cs="宋体"/>
                <w:szCs w:val="21"/>
              </w:rPr>
              <w:t>单位工程或工程设备是否需投入施工期运行：□</w:t>
            </w:r>
            <w:r>
              <w:rPr>
                <w:rFonts w:hint="eastAsia" w:ascii="宋体" w:hAnsi="宋体" w:cs="宋体"/>
                <w:szCs w:val="21"/>
                <w:u w:val="none"/>
              </w:rPr>
              <w:t>是</w:t>
            </w:r>
            <w:r>
              <w:rPr>
                <w:rFonts w:hint="eastAsia" w:ascii="宋体" w:hAnsi="宋体" w:cs="宋体"/>
                <w:szCs w:val="21"/>
              </w:rPr>
              <w:t xml:space="preserve">  □否</w:t>
            </w:r>
          </w:p>
          <w:p w14:paraId="58A89D92">
            <w:pPr>
              <w:adjustRightInd w:val="0"/>
              <w:snapToGrid w:val="0"/>
              <w:spacing w:line="400" w:lineRule="exact"/>
              <w:rPr>
                <w:rFonts w:ascii="宋体" w:hAnsi="宋体" w:cs="宋体"/>
                <w:szCs w:val="21"/>
              </w:rPr>
            </w:pPr>
            <w:r>
              <w:rPr>
                <w:rFonts w:hint="eastAsia" w:ascii="宋体" w:hAnsi="宋体" w:cs="宋体"/>
                <w:szCs w:val="21"/>
              </w:rPr>
              <w:t>如单位工程或工程设备需要进行施工期运行，需要施工期运行的单位工程或工程设备规定如下：</w:t>
            </w:r>
            <w:r>
              <w:rPr>
                <w:rFonts w:ascii="宋体" w:hAnsi="宋体" w:cs="宋体"/>
                <w:szCs w:val="21"/>
                <w:u w:val="single"/>
              </w:rPr>
              <w:t xml:space="preserve">          </w:t>
            </w:r>
          </w:p>
        </w:tc>
      </w:tr>
      <w:tr w14:paraId="3790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602F9DE">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33</w:t>
            </w:r>
          </w:p>
        </w:tc>
        <w:tc>
          <w:tcPr>
            <w:tcW w:w="1418" w:type="dxa"/>
            <w:vAlign w:val="center"/>
          </w:tcPr>
          <w:p w14:paraId="5F38EA31">
            <w:pPr>
              <w:adjustRightInd w:val="0"/>
              <w:snapToGrid w:val="0"/>
              <w:spacing w:line="400" w:lineRule="exact"/>
              <w:jc w:val="center"/>
              <w:rPr>
                <w:rFonts w:ascii="宋体" w:hAnsi="宋体" w:cs="宋体"/>
                <w:szCs w:val="21"/>
              </w:rPr>
            </w:pPr>
            <w:r>
              <w:rPr>
                <w:rFonts w:ascii="宋体" w:hAnsi="宋体" w:cs="宋体"/>
                <w:szCs w:val="21"/>
              </w:rPr>
              <w:t>19.7</w:t>
            </w:r>
          </w:p>
        </w:tc>
        <w:tc>
          <w:tcPr>
            <w:tcW w:w="6832" w:type="dxa"/>
            <w:vAlign w:val="center"/>
          </w:tcPr>
          <w:p w14:paraId="11A76651">
            <w:pPr>
              <w:adjustRightInd w:val="0"/>
              <w:snapToGrid w:val="0"/>
              <w:spacing w:line="400" w:lineRule="exact"/>
              <w:rPr>
                <w:rFonts w:hint="eastAsia" w:ascii="宋体" w:hAnsi="宋体" w:cs="宋体"/>
                <w:szCs w:val="21"/>
              </w:rPr>
            </w:pPr>
            <w:r>
              <w:rPr>
                <w:rFonts w:hint="eastAsia" w:ascii="宋体" w:hAnsi="宋体" w:cs="宋体"/>
                <w:szCs w:val="21"/>
              </w:rPr>
              <w:t>保修期：自实际交工日期起计算</w:t>
            </w:r>
            <w:r>
              <w:rPr>
                <w:rFonts w:ascii="宋体" w:hAnsi="宋体" w:cs="宋体"/>
                <w:szCs w:val="21"/>
                <w:u w:val="single"/>
              </w:rPr>
              <w:t xml:space="preserve">     </w:t>
            </w:r>
            <w:r>
              <w:rPr>
                <w:rFonts w:hint="eastAsia" w:ascii="宋体" w:hAnsi="宋体" w:cs="宋体"/>
                <w:szCs w:val="21"/>
                <w:u w:val="none"/>
                <w:lang w:val="en-US" w:eastAsia="zh-CN"/>
              </w:rPr>
              <w:t>个</w:t>
            </w:r>
            <w:r>
              <w:rPr>
                <w:rFonts w:hint="eastAsia" w:ascii="宋体" w:hAnsi="宋体" w:cs="宋体"/>
                <w:szCs w:val="21"/>
              </w:rPr>
              <w:t>月</w:t>
            </w:r>
          </w:p>
          <w:p w14:paraId="19F3A9F5">
            <w:pPr>
              <w:adjustRightInd w:val="0"/>
              <w:snapToGrid w:val="0"/>
              <w:spacing w:line="400" w:lineRule="exact"/>
              <w:ind w:firstLine="210" w:firstLineChars="100"/>
              <w:rPr>
                <w:rFonts w:ascii="宋体" w:hAnsi="宋体" w:cs="宋体"/>
                <w:szCs w:val="21"/>
              </w:rPr>
            </w:pPr>
            <w:r>
              <w:rPr>
                <w:rFonts w:hint="eastAsia" w:ascii="宋体" w:hAnsi="宋体" w:cs="宋体"/>
                <w:szCs w:val="21"/>
              </w:rPr>
              <w:t>注：保修期一般应为自实际交工日期起计算60个月。</w:t>
            </w:r>
          </w:p>
        </w:tc>
      </w:tr>
      <w:tr w14:paraId="5BE4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413DE64">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1418" w:type="dxa"/>
            <w:vAlign w:val="center"/>
          </w:tcPr>
          <w:p w14:paraId="19A5AE61">
            <w:pPr>
              <w:adjustRightInd w:val="0"/>
              <w:snapToGrid w:val="0"/>
              <w:spacing w:line="400" w:lineRule="exact"/>
              <w:jc w:val="center"/>
              <w:rPr>
                <w:rFonts w:hint="default" w:ascii="宋体" w:hAnsi="宋体" w:eastAsia="宋体" w:cs="宋体"/>
                <w:szCs w:val="21"/>
                <w:lang w:val="en-US" w:eastAsia="zh-CN"/>
              </w:rPr>
            </w:pPr>
            <w:r>
              <w:rPr>
                <w:rFonts w:ascii="宋体" w:hAnsi="宋体" w:cs="宋体"/>
                <w:szCs w:val="21"/>
              </w:rPr>
              <w:t>20.1</w:t>
            </w:r>
            <w:r>
              <w:rPr>
                <w:rFonts w:hint="eastAsia" w:ascii="宋体" w:hAnsi="宋体" w:cs="宋体"/>
                <w:szCs w:val="21"/>
                <w:lang w:val="en-US" w:eastAsia="zh-CN"/>
              </w:rPr>
              <w:t>.1</w:t>
            </w:r>
          </w:p>
        </w:tc>
        <w:tc>
          <w:tcPr>
            <w:tcW w:w="6832" w:type="dxa"/>
            <w:vAlign w:val="center"/>
          </w:tcPr>
          <w:p w14:paraId="30A8D198">
            <w:pPr>
              <w:adjustRightInd w:val="0"/>
              <w:snapToGrid w:val="0"/>
              <w:spacing w:line="400" w:lineRule="exact"/>
              <w:rPr>
                <w:rFonts w:ascii="宋体" w:hAnsi="宋体" w:cs="宋体"/>
                <w:szCs w:val="21"/>
              </w:rPr>
            </w:pPr>
            <w:r>
              <w:rPr>
                <w:rFonts w:hint="eastAsia" w:ascii="宋体" w:hAnsi="宋体" w:cs="宋体"/>
                <w:szCs w:val="21"/>
              </w:rPr>
              <w:t>建筑工程一切险的保险费率：</w:t>
            </w:r>
            <w:r>
              <w:rPr>
                <w:rFonts w:ascii="宋体" w:hAnsi="宋体" w:cs="宋体"/>
                <w:szCs w:val="21"/>
                <w:u w:val="single"/>
              </w:rPr>
              <w:t xml:space="preserve">       </w:t>
            </w:r>
            <w:r>
              <w:rPr>
                <w:rFonts w:hint="eastAsia" w:ascii="宋体" w:hAnsi="宋体" w:cs="宋体"/>
                <w:szCs w:val="21"/>
              </w:rPr>
              <w:t>‰</w:t>
            </w:r>
          </w:p>
        </w:tc>
      </w:tr>
      <w:tr w14:paraId="2E4C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20FD62C">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35</w:t>
            </w:r>
          </w:p>
        </w:tc>
        <w:tc>
          <w:tcPr>
            <w:tcW w:w="1418" w:type="dxa"/>
            <w:vAlign w:val="center"/>
          </w:tcPr>
          <w:p w14:paraId="680CC843">
            <w:pPr>
              <w:adjustRightInd w:val="0"/>
              <w:snapToGrid w:val="0"/>
              <w:spacing w:line="400" w:lineRule="exact"/>
              <w:jc w:val="center"/>
              <w:rPr>
                <w:rFonts w:ascii="宋体" w:hAnsi="宋体" w:cs="宋体"/>
                <w:szCs w:val="21"/>
              </w:rPr>
            </w:pPr>
            <w:r>
              <w:rPr>
                <w:rFonts w:ascii="宋体" w:hAnsi="宋体" w:cs="宋体"/>
                <w:szCs w:val="21"/>
              </w:rPr>
              <w:t>20.</w:t>
            </w:r>
            <w:r>
              <w:rPr>
                <w:rFonts w:hint="eastAsia" w:ascii="宋体" w:hAnsi="宋体" w:cs="宋体"/>
                <w:szCs w:val="21"/>
                <w:lang w:val="en-US" w:eastAsia="zh-CN"/>
              </w:rPr>
              <w:t>1</w:t>
            </w:r>
            <w:r>
              <w:rPr>
                <w:rFonts w:ascii="宋体" w:hAnsi="宋体" w:cs="宋体"/>
                <w:szCs w:val="21"/>
              </w:rPr>
              <w:t>.2</w:t>
            </w:r>
          </w:p>
        </w:tc>
        <w:tc>
          <w:tcPr>
            <w:tcW w:w="6832" w:type="dxa"/>
            <w:vAlign w:val="center"/>
          </w:tcPr>
          <w:p w14:paraId="5A69FA8F">
            <w:pPr>
              <w:adjustRightInd w:val="0"/>
              <w:snapToGrid w:val="0"/>
              <w:spacing w:line="400" w:lineRule="exact"/>
              <w:rPr>
                <w:rFonts w:ascii="宋体" w:hAnsi="宋体" w:cs="宋体"/>
                <w:szCs w:val="21"/>
              </w:rPr>
            </w:pPr>
            <w:r>
              <w:rPr>
                <w:rFonts w:hint="eastAsia" w:ascii="宋体" w:hAnsi="宋体" w:cs="宋体"/>
                <w:szCs w:val="21"/>
              </w:rPr>
              <w:t>第三者责任险的最低投保金额：</w:t>
            </w:r>
            <w:r>
              <w:rPr>
                <w:rFonts w:ascii="宋体" w:hAnsi="宋体" w:cs="宋体"/>
                <w:szCs w:val="21"/>
                <w:u w:val="single"/>
              </w:rPr>
              <w:t xml:space="preserve">     </w:t>
            </w:r>
            <w:r>
              <w:rPr>
                <w:rFonts w:hint="eastAsia" w:ascii="宋体" w:hAnsi="宋体" w:cs="宋体"/>
                <w:szCs w:val="21"/>
              </w:rPr>
              <w:t>万元，事故次数不限（不计免赔额）</w:t>
            </w:r>
          </w:p>
          <w:p w14:paraId="7EE46EAC">
            <w:pPr>
              <w:adjustRightInd w:val="0"/>
              <w:snapToGrid w:val="0"/>
              <w:spacing w:line="400" w:lineRule="exact"/>
              <w:rPr>
                <w:rFonts w:ascii="宋体" w:hAnsi="宋体" w:cs="宋体"/>
                <w:szCs w:val="21"/>
              </w:rPr>
            </w:pPr>
            <w:r>
              <w:rPr>
                <w:rFonts w:hint="eastAsia" w:ascii="宋体" w:hAnsi="宋体" w:cs="宋体"/>
                <w:szCs w:val="21"/>
              </w:rPr>
              <w:t>保险费率：</w:t>
            </w:r>
            <w:r>
              <w:rPr>
                <w:rFonts w:ascii="宋体" w:hAnsi="宋体" w:cs="宋体"/>
                <w:szCs w:val="21"/>
                <w:u w:val="single"/>
              </w:rPr>
              <w:t xml:space="preserve">       </w:t>
            </w:r>
            <w:r>
              <w:rPr>
                <w:rFonts w:hint="eastAsia" w:ascii="宋体" w:hAnsi="宋体" w:cs="宋体"/>
                <w:szCs w:val="21"/>
              </w:rPr>
              <w:t>‰</w:t>
            </w:r>
          </w:p>
        </w:tc>
      </w:tr>
      <w:tr w14:paraId="400C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6FCA0DB">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1418" w:type="dxa"/>
            <w:vAlign w:val="center"/>
          </w:tcPr>
          <w:p w14:paraId="51F25DC9">
            <w:pPr>
              <w:adjustRightInd w:val="0"/>
              <w:snapToGrid w:val="0"/>
              <w:spacing w:line="400" w:lineRule="exact"/>
              <w:jc w:val="center"/>
              <w:rPr>
                <w:rFonts w:ascii="宋体" w:hAnsi="宋体" w:cs="宋体"/>
                <w:szCs w:val="21"/>
              </w:rPr>
            </w:pPr>
            <w:r>
              <w:rPr>
                <w:rFonts w:ascii="宋体" w:hAnsi="宋体" w:cs="宋体"/>
                <w:szCs w:val="21"/>
              </w:rPr>
              <w:t>24.1</w:t>
            </w:r>
          </w:p>
        </w:tc>
        <w:tc>
          <w:tcPr>
            <w:tcW w:w="6832" w:type="dxa"/>
            <w:vAlign w:val="center"/>
          </w:tcPr>
          <w:p w14:paraId="793126DC">
            <w:pPr>
              <w:adjustRightInd w:val="0"/>
              <w:snapToGrid w:val="0"/>
              <w:spacing w:line="400" w:lineRule="exact"/>
              <w:rPr>
                <w:rFonts w:ascii="宋体" w:hAnsi="宋体" w:cs="宋体"/>
                <w:szCs w:val="21"/>
                <w:u w:val="single"/>
              </w:rPr>
            </w:pPr>
            <w:r>
              <w:rPr>
                <w:rFonts w:hint="eastAsia" w:ascii="宋体" w:hAnsi="宋体" w:cs="宋体"/>
                <w:szCs w:val="21"/>
              </w:rPr>
              <w:t>争议的最终解决方式：</w:t>
            </w:r>
            <w:r>
              <w:rPr>
                <w:rFonts w:hint="eastAsia" w:ascii="宋体" w:hAnsi="宋体" w:cs="宋体"/>
                <w:b w:val="0"/>
                <w:szCs w:val="21"/>
              </w:rPr>
              <w:t>□</w:t>
            </w:r>
            <w:r>
              <w:rPr>
                <w:rFonts w:hint="eastAsia" w:ascii="宋体" w:hAnsi="宋体" w:cs="宋体"/>
                <w:szCs w:val="21"/>
                <w:u w:val="none"/>
              </w:rPr>
              <w:t>仲裁</w:t>
            </w:r>
            <w:r>
              <w:rPr>
                <w:rFonts w:ascii="宋体" w:hAnsi="宋体" w:cs="宋体"/>
                <w:szCs w:val="21"/>
              </w:rPr>
              <w:t xml:space="preserve">  </w:t>
            </w:r>
            <w:r>
              <w:rPr>
                <w:rFonts w:hint="eastAsia" w:ascii="宋体" w:hAnsi="宋体" w:cs="宋体"/>
                <w:b w:val="0"/>
                <w:szCs w:val="21"/>
              </w:rPr>
              <w:t>□</w:t>
            </w:r>
            <w:r>
              <w:rPr>
                <w:rFonts w:hint="eastAsia" w:ascii="宋体" w:hAnsi="宋体" w:cs="宋体"/>
                <w:szCs w:val="21"/>
                <w:u w:val="none"/>
              </w:rPr>
              <w:t>诉讼</w:t>
            </w:r>
          </w:p>
          <w:p w14:paraId="0EA97B3E">
            <w:pPr>
              <w:adjustRightInd w:val="0"/>
              <w:snapToGrid w:val="0"/>
              <w:spacing w:line="400" w:lineRule="exact"/>
              <w:rPr>
                <w:rFonts w:ascii="宋体" w:hAnsi="宋体" w:cs="宋体"/>
                <w:szCs w:val="21"/>
                <w:u w:val="single"/>
              </w:rPr>
            </w:pPr>
            <w:r>
              <w:rPr>
                <w:rFonts w:hint="eastAsia" w:ascii="宋体" w:hAnsi="宋体" w:cs="宋体"/>
                <w:b w:val="0"/>
                <w:szCs w:val="21"/>
              </w:rPr>
              <w:t>□</w:t>
            </w:r>
            <w:r>
              <w:rPr>
                <w:rFonts w:ascii="宋体" w:hAnsi="宋体" w:cs="宋体"/>
                <w:b w:val="0"/>
                <w:szCs w:val="21"/>
              </w:rPr>
              <w:t xml:space="preserve"> </w:t>
            </w:r>
            <w:r>
              <w:rPr>
                <w:rFonts w:hint="eastAsia" w:ascii="宋体" w:hAnsi="宋体" w:cs="宋体"/>
                <w:szCs w:val="21"/>
              </w:rPr>
              <w:t>如采用仲裁，仲裁委员会名称：</w:t>
            </w:r>
            <w:r>
              <w:rPr>
                <w:rFonts w:ascii="宋体" w:hAnsi="宋体" w:cs="宋体"/>
                <w:szCs w:val="21"/>
                <w:u w:val="single"/>
              </w:rPr>
              <w:t xml:space="preserve">            </w:t>
            </w:r>
          </w:p>
          <w:p w14:paraId="17B25094">
            <w:pPr>
              <w:adjustRightInd w:val="0"/>
              <w:snapToGrid w:val="0"/>
              <w:spacing w:line="400" w:lineRule="exact"/>
              <w:rPr>
                <w:rFonts w:ascii="宋体" w:hAnsi="宋体" w:cs="宋体"/>
                <w:szCs w:val="21"/>
              </w:rPr>
            </w:pPr>
            <w:r>
              <w:rPr>
                <w:rFonts w:hint="eastAsia" w:ascii="宋体" w:hAnsi="宋体" w:cs="宋体"/>
                <w:b w:val="0"/>
                <w:szCs w:val="21"/>
              </w:rPr>
              <w:t>□</w:t>
            </w:r>
            <w:r>
              <w:rPr>
                <w:rFonts w:ascii="宋体" w:hAnsi="宋体" w:cs="宋体"/>
                <w:b w:val="0"/>
                <w:szCs w:val="21"/>
              </w:rPr>
              <w:t xml:space="preserve"> </w:t>
            </w:r>
            <w:r>
              <w:rPr>
                <w:rFonts w:hint="eastAsia" w:ascii="宋体" w:hAnsi="宋体" w:cs="宋体"/>
                <w:szCs w:val="21"/>
              </w:rPr>
              <w:t>如采用诉讼</w:t>
            </w:r>
            <w:r>
              <w:rPr>
                <w:rFonts w:ascii="宋体" w:hAnsi="宋体" w:cs="宋体"/>
                <w:szCs w:val="21"/>
              </w:rPr>
              <w:t>，诉讼机构</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p>
        </w:tc>
      </w:tr>
    </w:tbl>
    <w:p w14:paraId="257B047D">
      <w:pPr>
        <w:snapToGrid w:val="0"/>
        <w:spacing w:before="0" w:after="0" w:line="360" w:lineRule="auto"/>
        <w:ind w:firstLine="557" w:firstLineChars="198"/>
        <w:jc w:val="center"/>
        <w:rPr>
          <w:rFonts w:ascii="楷体" w:hAnsi="楷体" w:eastAsia="楷体" w:cs="宋体"/>
          <w:sz w:val="24"/>
        </w:rPr>
      </w:pPr>
      <w:r>
        <w:rPr>
          <w:rFonts w:ascii="宋体" w:hAnsi="宋体"/>
          <w:b/>
          <w:sz w:val="28"/>
          <w:szCs w:val="28"/>
        </w:rPr>
        <w:br w:type="page"/>
      </w:r>
      <w:bookmarkStart w:id="727" w:name="_Hlk100149863"/>
      <w:r>
        <w:rPr>
          <w:rFonts w:ascii="黑体" w:hAnsi="黑体" w:eastAsia="黑体" w:cs="黑体"/>
          <w:bCs/>
          <w:sz w:val="32"/>
          <w:szCs w:val="32"/>
        </w:rPr>
        <w:t>专用合同条款</w:t>
      </w:r>
      <w:bookmarkEnd w:id="727"/>
    </w:p>
    <w:p w14:paraId="48AE1F55">
      <w:pPr>
        <w:pStyle w:val="2"/>
        <w:spacing w:before="360" w:after="240" w:line="240" w:lineRule="atLeast"/>
        <w:rPr>
          <w:rFonts w:ascii="黑体"/>
          <w:b w:val="0"/>
          <w:sz w:val="28"/>
          <w:szCs w:val="28"/>
        </w:rPr>
      </w:pPr>
      <w:bookmarkStart w:id="728" w:name="_Toc53685718"/>
      <w:r>
        <w:rPr>
          <w:rFonts w:ascii="黑体"/>
          <w:b w:val="0"/>
          <w:sz w:val="28"/>
          <w:szCs w:val="28"/>
        </w:rPr>
        <w:t xml:space="preserve">1. </w:t>
      </w:r>
      <w:r>
        <w:rPr>
          <w:rFonts w:hint="eastAsia" w:ascii="黑体"/>
          <w:b w:val="0"/>
          <w:sz w:val="28"/>
          <w:szCs w:val="28"/>
        </w:rPr>
        <w:t>一般约定</w:t>
      </w:r>
      <w:bookmarkEnd w:id="728"/>
    </w:p>
    <w:p w14:paraId="1FA5E12E">
      <w:pPr>
        <w:pStyle w:val="2"/>
        <w:spacing w:before="0" w:after="0" w:line="360" w:lineRule="auto"/>
        <w:rPr>
          <w:rFonts w:ascii="黑体"/>
          <w:b w:val="0"/>
          <w:sz w:val="24"/>
          <w:szCs w:val="24"/>
        </w:rPr>
      </w:pPr>
      <w:bookmarkStart w:id="729" w:name="_Toc53685719"/>
      <w:r>
        <w:rPr>
          <w:rFonts w:hint="eastAsia" w:ascii="黑体"/>
          <w:b w:val="0"/>
          <w:sz w:val="24"/>
          <w:szCs w:val="24"/>
        </w:rPr>
        <w:t>1.1</w:t>
      </w:r>
      <w:r>
        <w:rPr>
          <w:rFonts w:hint="eastAsia" w:ascii="黑体"/>
          <w:b w:val="0"/>
          <w:sz w:val="24"/>
          <w:szCs w:val="24"/>
          <w:lang w:val="en-US" w:eastAsia="zh-CN"/>
        </w:rPr>
        <w:t xml:space="preserve"> </w:t>
      </w:r>
      <w:r>
        <w:rPr>
          <w:rFonts w:hint="eastAsia" w:ascii="黑体"/>
          <w:b w:val="0"/>
          <w:sz w:val="24"/>
          <w:szCs w:val="24"/>
        </w:rPr>
        <w:t>词语定义</w:t>
      </w:r>
      <w:bookmarkEnd w:id="729"/>
    </w:p>
    <w:p w14:paraId="53EC8E24">
      <w:pPr>
        <w:adjustRightInd w:val="0"/>
        <w:snapToGrid w:val="0"/>
        <w:spacing w:line="360" w:lineRule="auto"/>
        <w:ind w:firstLine="360" w:firstLineChars="150"/>
        <w:rPr>
          <w:rFonts w:ascii="黑体" w:hAnsi="黑体" w:eastAsia="黑体"/>
          <w:sz w:val="24"/>
        </w:rPr>
      </w:pPr>
      <w:r>
        <w:rPr>
          <w:rFonts w:ascii="黑体" w:hAnsi="黑体" w:eastAsia="黑体"/>
          <w:sz w:val="24"/>
        </w:rPr>
        <w:t>1.1.1</w:t>
      </w:r>
      <w:r>
        <w:rPr>
          <w:rFonts w:hint="eastAsia" w:ascii="黑体" w:hAnsi="黑体" w:eastAsia="黑体"/>
          <w:sz w:val="24"/>
          <w:lang w:val="en-US" w:eastAsia="zh-CN"/>
        </w:rPr>
        <w:t xml:space="preserve"> </w:t>
      </w:r>
      <w:r>
        <w:rPr>
          <w:rFonts w:hint="eastAsia" w:ascii="黑体" w:hAnsi="黑体" w:eastAsia="黑体"/>
          <w:sz w:val="24"/>
        </w:rPr>
        <w:t>合同</w:t>
      </w:r>
    </w:p>
    <w:p w14:paraId="2D98930D">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1.1.1.4</w:t>
      </w:r>
      <w:r>
        <w:rPr>
          <w:rFonts w:hint="eastAsia" w:ascii="宋体" w:hAnsi="宋体"/>
          <w:sz w:val="24"/>
        </w:rPr>
        <w:t>目细化为：</w:t>
      </w:r>
    </w:p>
    <w:p w14:paraId="13E69599">
      <w:pPr>
        <w:adjustRightInd w:val="0"/>
        <w:snapToGrid w:val="0"/>
        <w:spacing w:line="360" w:lineRule="auto"/>
        <w:ind w:firstLine="480" w:firstLineChars="200"/>
        <w:rPr>
          <w:rFonts w:ascii="宋体" w:hAnsi="宋体"/>
          <w:sz w:val="24"/>
        </w:rPr>
      </w:pPr>
      <w:r>
        <w:rPr>
          <w:rFonts w:ascii="宋体" w:hAnsi="宋体"/>
          <w:sz w:val="24"/>
        </w:rPr>
        <w:t>投标函</w:t>
      </w:r>
      <w:r>
        <w:rPr>
          <w:rFonts w:hint="eastAsia" w:ascii="宋体" w:hAnsi="宋体"/>
          <w:sz w:val="24"/>
        </w:rPr>
        <w:t>：指构成合同文件组成部分的由承包人填写并签署的投标函（含第一个信封投标函、第二个信封投标函）。</w:t>
      </w:r>
    </w:p>
    <w:p w14:paraId="4E45B481">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1.1.1.7</w:t>
      </w:r>
      <w:r>
        <w:rPr>
          <w:rFonts w:hint="eastAsia" w:ascii="宋体" w:hAnsi="宋体"/>
          <w:sz w:val="24"/>
        </w:rPr>
        <w:t>目细化为：</w:t>
      </w:r>
    </w:p>
    <w:p w14:paraId="54FFA344">
      <w:pPr>
        <w:adjustRightInd w:val="0"/>
        <w:snapToGrid w:val="0"/>
        <w:spacing w:line="360" w:lineRule="auto"/>
        <w:ind w:firstLine="480" w:firstLineChars="200"/>
        <w:rPr>
          <w:rFonts w:ascii="宋体" w:hAnsi="宋体"/>
          <w:sz w:val="24"/>
        </w:rPr>
      </w:pPr>
      <w:r>
        <w:rPr>
          <w:rFonts w:hint="eastAsia" w:ascii="宋体" w:hAnsi="宋体"/>
          <w:sz w:val="24"/>
        </w:rPr>
        <w:t>已标价价格清单：指构成合同文件组成部分的已标明价格、经算术性错误修正及其他错误修正</w:t>
      </w:r>
      <w:r>
        <w:rPr>
          <w:rFonts w:ascii="宋体" w:hAnsi="宋体"/>
          <w:sz w:val="24"/>
        </w:rPr>
        <w:t>(</w:t>
      </w:r>
      <w:r>
        <w:rPr>
          <w:rFonts w:hint="eastAsia" w:ascii="宋体" w:hAnsi="宋体"/>
          <w:sz w:val="24"/>
        </w:rPr>
        <w:t>如有</w:t>
      </w:r>
      <w:r>
        <w:rPr>
          <w:rFonts w:ascii="宋体" w:hAnsi="宋体"/>
          <w:sz w:val="24"/>
        </w:rPr>
        <w:t>)</w:t>
      </w:r>
      <w:r>
        <w:rPr>
          <w:rFonts w:hint="eastAsia" w:ascii="宋体" w:hAnsi="宋体"/>
          <w:sz w:val="24"/>
        </w:rPr>
        <w:t>且承包人已确认的最终的价格清单，包括价格清单说明、投标报价说明、其他说明及价格清单各项表格。</w:t>
      </w:r>
    </w:p>
    <w:p w14:paraId="2A8FA902">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1.1.1.8</w:t>
      </w:r>
      <w:r>
        <w:rPr>
          <w:rFonts w:hint="eastAsia" w:ascii="宋体" w:hAnsi="宋体"/>
          <w:sz w:val="24"/>
        </w:rPr>
        <w:t>目细化为：</w:t>
      </w:r>
    </w:p>
    <w:p w14:paraId="37AF68DE">
      <w:pPr>
        <w:adjustRightInd w:val="0"/>
        <w:snapToGrid w:val="0"/>
        <w:spacing w:line="360" w:lineRule="auto"/>
        <w:ind w:firstLine="480" w:firstLineChars="200"/>
        <w:rPr>
          <w:rFonts w:ascii="宋体" w:hAnsi="宋体"/>
          <w:sz w:val="24"/>
        </w:rPr>
      </w:pPr>
      <w:r>
        <w:rPr>
          <w:rFonts w:hint="eastAsia" w:ascii="宋体" w:hAnsi="宋体"/>
          <w:sz w:val="24"/>
        </w:rPr>
        <w:t>设计施工总承包方案：指构成合同文件组成部分名为设计施工总承包方案的文件。设计施工总承包方案由承包人随同投标函一起递交。设计施工总承包方案应包括承包人的设计图纸及相应说明等设计文件，以及施工组织设计。</w:t>
      </w:r>
    </w:p>
    <w:p w14:paraId="4E3DE6E2">
      <w:pPr>
        <w:adjustRightInd w:val="0"/>
        <w:snapToGrid w:val="0"/>
        <w:spacing w:line="360" w:lineRule="auto"/>
        <w:ind w:firstLine="480" w:firstLineChars="200"/>
        <w:rPr>
          <w:rFonts w:ascii="宋体" w:hAnsi="宋体"/>
          <w:sz w:val="24"/>
        </w:rPr>
      </w:pPr>
      <w:r>
        <w:rPr>
          <w:rFonts w:hint="eastAsia" w:ascii="宋体" w:hAnsi="宋体"/>
          <w:sz w:val="24"/>
        </w:rPr>
        <w:t>补充第</w:t>
      </w:r>
      <w:r>
        <w:rPr>
          <w:rFonts w:ascii="宋体" w:hAnsi="宋体"/>
          <w:sz w:val="24"/>
        </w:rPr>
        <w:t>1.1.1.10</w:t>
      </w:r>
      <w:r>
        <w:rPr>
          <w:rFonts w:hint="eastAsia" w:ascii="宋体" w:hAnsi="宋体"/>
          <w:sz w:val="24"/>
        </w:rPr>
        <w:t>目：</w:t>
      </w:r>
    </w:p>
    <w:p w14:paraId="00663E0D">
      <w:pPr>
        <w:adjustRightInd w:val="0"/>
        <w:snapToGrid w:val="0"/>
        <w:spacing w:line="360" w:lineRule="auto"/>
        <w:ind w:firstLine="480" w:firstLineChars="200"/>
        <w:rPr>
          <w:rFonts w:ascii="宋体" w:hAnsi="宋体"/>
          <w:sz w:val="24"/>
        </w:rPr>
      </w:pPr>
      <w:r>
        <w:rPr>
          <w:rFonts w:ascii="宋体" w:hAnsi="宋体"/>
          <w:sz w:val="24"/>
        </w:rPr>
        <w:t>1.1.1.10</w:t>
      </w:r>
      <w:r>
        <w:rPr>
          <w:rFonts w:hint="eastAsia" w:ascii="宋体" w:hAnsi="宋体"/>
          <w:sz w:val="24"/>
          <w:lang w:val="en-US" w:eastAsia="zh-CN"/>
        </w:rPr>
        <w:t xml:space="preserve"> </w:t>
      </w:r>
      <w:r>
        <w:rPr>
          <w:rFonts w:hint="eastAsia" w:ascii="宋体" w:hAnsi="宋体"/>
          <w:sz w:val="24"/>
        </w:rPr>
        <w:t>技术规范：指本合同所约定的技术标准和要求，是合同文件的组成部分。包括合同双方当事人约定对其所作的修改或补充。</w:t>
      </w:r>
    </w:p>
    <w:p w14:paraId="1070ADBB">
      <w:pPr>
        <w:adjustRightInd w:val="0"/>
        <w:snapToGrid w:val="0"/>
        <w:spacing w:line="360" w:lineRule="auto"/>
        <w:ind w:firstLine="360" w:firstLineChars="150"/>
        <w:rPr>
          <w:rFonts w:ascii="黑体" w:hAnsi="黑体" w:eastAsia="黑体"/>
          <w:sz w:val="24"/>
        </w:rPr>
      </w:pPr>
      <w:r>
        <w:rPr>
          <w:rFonts w:ascii="黑体" w:hAnsi="黑体" w:eastAsia="黑体"/>
          <w:sz w:val="24"/>
        </w:rPr>
        <w:t>1.1.2</w:t>
      </w:r>
      <w:r>
        <w:rPr>
          <w:rFonts w:hint="eastAsia" w:ascii="黑体" w:hAnsi="黑体" w:eastAsia="黑体"/>
          <w:sz w:val="24"/>
          <w:lang w:val="en-US" w:eastAsia="zh-CN"/>
        </w:rPr>
        <w:t xml:space="preserve"> </w:t>
      </w:r>
      <w:r>
        <w:rPr>
          <w:rFonts w:hint="eastAsia" w:ascii="黑体" w:hAnsi="黑体" w:eastAsia="黑体"/>
          <w:sz w:val="24"/>
        </w:rPr>
        <w:t>合同当事人和人员</w:t>
      </w:r>
    </w:p>
    <w:p w14:paraId="4F0F762B">
      <w:pPr>
        <w:adjustRightInd w:val="0"/>
        <w:snapToGrid w:val="0"/>
        <w:spacing w:line="360" w:lineRule="auto"/>
        <w:ind w:firstLine="480" w:firstLineChars="200"/>
        <w:rPr>
          <w:rFonts w:ascii="宋体" w:hAnsi="宋体"/>
          <w:sz w:val="24"/>
        </w:rPr>
      </w:pPr>
      <w:r>
        <w:rPr>
          <w:rFonts w:ascii="宋体" w:hAnsi="宋体"/>
          <w:sz w:val="24"/>
        </w:rPr>
        <w:t>1.1.2.2</w:t>
      </w:r>
      <w:r>
        <w:rPr>
          <w:rFonts w:hint="eastAsia" w:ascii="宋体" w:hAnsi="宋体"/>
          <w:sz w:val="24"/>
          <w:lang w:val="en-US" w:eastAsia="zh-CN"/>
        </w:rPr>
        <w:t xml:space="preserve"> </w:t>
      </w:r>
      <w:r>
        <w:rPr>
          <w:rFonts w:hint="eastAsia" w:ascii="宋体" w:hAnsi="宋体"/>
          <w:sz w:val="24"/>
        </w:rPr>
        <w:t>发包人：与承包人在合同协议书中签字的当事人，本项目发包人见专用合同条款数据表。</w:t>
      </w:r>
    </w:p>
    <w:p w14:paraId="32AFF627">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1.1.2.3</w:t>
      </w:r>
      <w:r>
        <w:rPr>
          <w:rFonts w:hint="eastAsia" w:ascii="宋体" w:hAnsi="宋体"/>
          <w:sz w:val="24"/>
        </w:rPr>
        <w:t>目～第1</w:t>
      </w:r>
      <w:r>
        <w:rPr>
          <w:rFonts w:ascii="宋体" w:hAnsi="宋体"/>
          <w:sz w:val="24"/>
        </w:rPr>
        <w:t>.1.2.</w:t>
      </w:r>
      <w:r>
        <w:rPr>
          <w:rFonts w:hint="eastAsia" w:ascii="宋体" w:hAnsi="宋体"/>
          <w:sz w:val="24"/>
        </w:rPr>
        <w:t>6目、第1.1.2.8目、第1</w:t>
      </w:r>
      <w:r>
        <w:rPr>
          <w:rFonts w:ascii="宋体" w:hAnsi="宋体"/>
          <w:sz w:val="24"/>
        </w:rPr>
        <w:t>.1.2.9</w:t>
      </w:r>
      <w:r>
        <w:rPr>
          <w:rFonts w:hint="eastAsia" w:ascii="宋体" w:hAnsi="宋体"/>
          <w:sz w:val="24"/>
        </w:rPr>
        <w:t>目细化为：</w:t>
      </w:r>
    </w:p>
    <w:p w14:paraId="1948A2D4">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.1.2.3</w:t>
      </w:r>
      <w:r>
        <w:rPr>
          <w:rFonts w:hint="eastAsia" w:ascii="宋体" w:hAnsi="宋体"/>
          <w:sz w:val="24"/>
          <w:lang w:val="en-US" w:eastAsia="zh-CN"/>
        </w:rPr>
        <w:t xml:space="preserve"> </w:t>
      </w:r>
      <w:r>
        <w:rPr>
          <w:rFonts w:hint="eastAsia" w:ascii="宋体" w:hAnsi="宋体"/>
          <w:sz w:val="24"/>
        </w:rPr>
        <w:t>承包人：通过公开招标确定，与发包人签订合同协议书的当事人。联合体投标的，承包人为与发包人在合同协议签章的各方当事人。</w:t>
      </w:r>
    </w:p>
    <w:p w14:paraId="0C797438">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.1.2.4 </w:t>
      </w:r>
      <w:r>
        <w:rPr>
          <w:rFonts w:hint="eastAsia" w:ascii="宋体" w:hAnsi="宋体"/>
          <w:sz w:val="24"/>
        </w:rPr>
        <w:t>项目总负责人：由承包人指定代表承包人履行义务的全权负责人。同通用条款“承包人项目经理”。</w:t>
      </w:r>
    </w:p>
    <w:p w14:paraId="6A7B02EE">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.1.2.5 设计</w:t>
      </w:r>
      <w:r>
        <w:rPr>
          <w:rFonts w:hint="eastAsia" w:ascii="宋体" w:hAnsi="宋体"/>
          <w:sz w:val="24"/>
        </w:rPr>
        <w:t>项目</w:t>
      </w:r>
      <w:r>
        <w:rPr>
          <w:rFonts w:ascii="宋体" w:hAnsi="宋体"/>
          <w:sz w:val="24"/>
        </w:rPr>
        <w:t>负责人</w:t>
      </w:r>
      <w:r>
        <w:rPr>
          <w:rFonts w:hint="eastAsia" w:ascii="宋体" w:hAnsi="宋体"/>
          <w:sz w:val="24"/>
        </w:rPr>
        <w:t>：指由承包人指定负责组织指导协调设计工作并具有相应资格的</w:t>
      </w:r>
      <w:r>
        <w:rPr>
          <w:rFonts w:hint="eastAsia"/>
          <w:sz w:val="24"/>
          <w:szCs w:val="24"/>
        </w:rPr>
        <w:t>人员。</w:t>
      </w:r>
    </w:p>
    <w:p w14:paraId="5BCFF449">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.1.2.6 </w:t>
      </w:r>
      <w:r>
        <w:rPr>
          <w:rFonts w:hint="eastAsia" w:ascii="宋体" w:hAnsi="宋体"/>
          <w:sz w:val="24"/>
        </w:rPr>
        <w:t>项目经理：由承包人指定负责组织指导协调施工工作并具有相应资格的人员。同通用条款“</w:t>
      </w:r>
      <w:r>
        <w:rPr>
          <w:rFonts w:ascii="宋体" w:hAnsi="宋体"/>
          <w:sz w:val="24"/>
        </w:rPr>
        <w:t>施工负责人</w:t>
      </w:r>
      <w:r>
        <w:rPr>
          <w:rFonts w:hint="eastAsia" w:ascii="宋体" w:hAnsi="宋体"/>
          <w:sz w:val="24"/>
        </w:rPr>
        <w:t>”。</w:t>
      </w:r>
    </w:p>
    <w:p w14:paraId="446B357B">
      <w:pPr>
        <w:adjustRightInd w:val="0"/>
        <w:snapToGrid w:val="0"/>
        <w:spacing w:line="360" w:lineRule="auto"/>
        <w:ind w:firstLine="480" w:firstLineChars="200"/>
        <w:rPr>
          <w:rFonts w:ascii="宋体" w:hAnsi="宋体"/>
          <w:sz w:val="24"/>
        </w:rPr>
      </w:pPr>
      <w:r>
        <w:rPr>
          <w:rFonts w:ascii="宋体" w:hAnsi="宋体"/>
          <w:sz w:val="24"/>
        </w:rPr>
        <w:t>1.1.2.</w:t>
      </w:r>
      <w:r>
        <w:rPr>
          <w:rFonts w:hint="eastAsia" w:ascii="宋体" w:hAnsi="宋体"/>
          <w:sz w:val="24"/>
        </w:rPr>
        <w:t>8</w:t>
      </w:r>
      <w:r>
        <w:rPr>
          <w:rFonts w:hint="eastAsia" w:ascii="宋体" w:hAnsi="宋体"/>
          <w:sz w:val="24"/>
          <w:lang w:val="en-US" w:eastAsia="zh-CN"/>
        </w:rPr>
        <w:t xml:space="preserve"> </w:t>
      </w:r>
      <w:r>
        <w:rPr>
          <w:rFonts w:hint="eastAsia" w:ascii="宋体" w:hAnsi="宋体"/>
          <w:sz w:val="24"/>
        </w:rPr>
        <w:t>分包人：指从承包人处分包合同中某一部分工作，并与其签订分包合同的单位（包括勘察设计部分工作或施工部分内容）。</w:t>
      </w:r>
    </w:p>
    <w:p w14:paraId="500C9B8D">
      <w:pPr>
        <w:widowControl/>
        <w:adjustRightInd w:val="0"/>
        <w:snapToGrid w:val="0"/>
        <w:spacing w:line="360" w:lineRule="auto"/>
        <w:ind w:firstLine="480" w:firstLineChars="200"/>
        <w:jc w:val="both"/>
        <w:rPr>
          <w:rFonts w:ascii="宋体" w:hAnsi="宋体"/>
          <w:sz w:val="24"/>
          <w:lang w:bidi="ar"/>
        </w:rPr>
      </w:pPr>
      <w:r>
        <w:rPr>
          <w:rFonts w:ascii="宋体" w:hAnsi="宋体"/>
          <w:sz w:val="24"/>
        </w:rPr>
        <w:t>1.1.2.9</w:t>
      </w:r>
      <w:r>
        <w:rPr>
          <w:rFonts w:hint="eastAsia" w:ascii="宋体" w:hAnsi="宋体"/>
          <w:sz w:val="24"/>
          <w:lang w:val="en-US" w:eastAsia="zh-CN"/>
        </w:rPr>
        <w:t xml:space="preserve"> </w:t>
      </w:r>
      <w:r>
        <w:rPr>
          <w:rFonts w:ascii="宋体" w:hAnsi="宋体"/>
          <w:sz w:val="24"/>
        </w:rPr>
        <w:t>监理人：通过公开招标确定，受发包人委托对合同履约实施管理的法人或其他组织。</w:t>
      </w:r>
      <w:r>
        <w:rPr>
          <w:rFonts w:hint="eastAsia" w:ascii="宋体" w:hAnsi="宋体"/>
          <w:sz w:val="24"/>
          <w:lang w:bidi="ar"/>
        </w:rPr>
        <w:t>监理人受发包人的委托，依照法律、规范标准和监理合同等，对建设工程勘察、设计或施工等阶段进行质量控制、进度控制、投资控制、合同管理、信息管</w:t>
      </w:r>
      <w:r>
        <w:rPr>
          <w:rFonts w:ascii="宋体" w:hAnsi="宋体"/>
          <w:sz w:val="24"/>
          <w:lang w:bidi="ar"/>
        </w:rPr>
        <w:t>理、组织协调和安全监理、环保监理的服务活动的当事人。</w:t>
      </w:r>
    </w:p>
    <w:p w14:paraId="1224EDA7">
      <w:pPr>
        <w:widowControl/>
        <w:adjustRightInd w:val="0"/>
        <w:snapToGrid w:val="0"/>
        <w:spacing w:line="360" w:lineRule="auto"/>
        <w:ind w:firstLine="480" w:firstLineChars="200"/>
        <w:jc w:val="both"/>
        <w:rPr>
          <w:rFonts w:ascii="宋体" w:hAnsi="宋体"/>
          <w:sz w:val="24"/>
        </w:rPr>
      </w:pPr>
      <w:r>
        <w:rPr>
          <w:rFonts w:hint="eastAsia" w:ascii="宋体" w:hAnsi="宋体"/>
          <w:sz w:val="24"/>
        </w:rPr>
        <w:t>本项补充第</w:t>
      </w:r>
      <w:r>
        <w:rPr>
          <w:rFonts w:ascii="宋体" w:hAnsi="宋体"/>
          <w:sz w:val="24"/>
        </w:rPr>
        <w:t>1.1.2.10</w:t>
      </w:r>
      <w:r>
        <w:rPr>
          <w:rFonts w:hint="eastAsia" w:ascii="宋体" w:hAnsi="宋体"/>
          <w:sz w:val="24"/>
        </w:rPr>
        <w:t>目～第</w:t>
      </w:r>
      <w:r>
        <w:rPr>
          <w:rFonts w:ascii="宋体" w:hAnsi="宋体"/>
          <w:sz w:val="24"/>
        </w:rPr>
        <w:t>1.1.2.1</w:t>
      </w:r>
      <w:r>
        <w:rPr>
          <w:rFonts w:hint="eastAsia" w:ascii="宋体" w:hAnsi="宋体"/>
          <w:sz w:val="24"/>
        </w:rPr>
        <w:t>4目：</w:t>
      </w:r>
    </w:p>
    <w:p w14:paraId="7D588E72">
      <w:pPr>
        <w:adjustRightInd w:val="0"/>
        <w:snapToGrid w:val="0"/>
        <w:spacing w:line="360" w:lineRule="auto"/>
        <w:ind w:firstLine="480" w:firstLineChars="200"/>
        <w:rPr>
          <w:rFonts w:ascii="宋体" w:hAnsi="宋体"/>
          <w:sz w:val="24"/>
        </w:rPr>
      </w:pPr>
      <w:r>
        <w:rPr>
          <w:rFonts w:ascii="宋体" w:hAnsi="宋体"/>
          <w:sz w:val="24"/>
        </w:rPr>
        <w:t xml:space="preserve">1.1.2.10 </w:t>
      </w:r>
      <w:r>
        <w:rPr>
          <w:rFonts w:hint="eastAsia" w:ascii="宋体" w:hAnsi="宋体"/>
          <w:sz w:val="24"/>
        </w:rPr>
        <w:t>勘察设计技术负责人或总设计师：指由承包人指定负责</w:t>
      </w:r>
      <w:r>
        <w:rPr>
          <w:rFonts w:hint="eastAsia" w:ascii="宋体" w:hAnsi="宋体"/>
          <w:sz w:val="24"/>
          <w:lang w:val="en-US" w:eastAsia="zh-CN"/>
        </w:rPr>
        <w:t>勘察</w:t>
      </w:r>
      <w:r>
        <w:rPr>
          <w:rFonts w:hint="eastAsia" w:ascii="宋体" w:hAnsi="宋体"/>
          <w:sz w:val="24"/>
        </w:rPr>
        <w:t>设计工作的</w:t>
      </w:r>
      <w:r>
        <w:rPr>
          <w:rFonts w:hint="eastAsia"/>
          <w:sz w:val="24"/>
        </w:rPr>
        <w:t>技术负责人</w:t>
      </w:r>
      <w:r>
        <w:rPr>
          <w:rFonts w:hint="eastAsia" w:ascii="宋体" w:hAnsi="宋体"/>
          <w:sz w:val="24"/>
        </w:rPr>
        <w:t>。</w:t>
      </w:r>
      <w:r>
        <w:rPr>
          <w:rFonts w:ascii="宋体" w:hAnsi="宋体"/>
          <w:sz w:val="24"/>
        </w:rPr>
        <w:t xml:space="preserve"> </w:t>
      </w:r>
    </w:p>
    <w:p w14:paraId="0E87C54C">
      <w:pPr>
        <w:adjustRightInd w:val="0"/>
        <w:snapToGrid w:val="0"/>
        <w:spacing w:line="360" w:lineRule="auto"/>
        <w:ind w:firstLine="480" w:firstLineChars="200"/>
        <w:rPr>
          <w:rFonts w:ascii="宋体" w:hAnsi="宋体"/>
          <w:sz w:val="24"/>
        </w:rPr>
      </w:pPr>
      <w:r>
        <w:rPr>
          <w:rFonts w:ascii="宋体" w:hAnsi="宋体"/>
          <w:sz w:val="24"/>
        </w:rPr>
        <w:t xml:space="preserve">1.1.2.11 </w:t>
      </w:r>
      <w:r>
        <w:rPr>
          <w:rFonts w:hint="eastAsia" w:ascii="宋体" w:hAnsi="宋体"/>
          <w:sz w:val="24"/>
        </w:rPr>
        <w:t>分项负责人：指由设计人任命，并经过发包人认可的各设计专业负责人。</w:t>
      </w:r>
      <w:r>
        <w:rPr>
          <w:rFonts w:ascii="宋体" w:hAnsi="宋体"/>
          <w:sz w:val="24"/>
        </w:rPr>
        <w:t xml:space="preserve"> </w:t>
      </w:r>
    </w:p>
    <w:p w14:paraId="493CEE44">
      <w:pPr>
        <w:adjustRightInd w:val="0"/>
        <w:snapToGrid w:val="0"/>
        <w:spacing w:line="360" w:lineRule="auto"/>
        <w:ind w:firstLine="480" w:firstLineChars="200"/>
        <w:rPr>
          <w:rFonts w:ascii="宋体" w:hAnsi="宋体"/>
          <w:sz w:val="24"/>
        </w:rPr>
      </w:pPr>
      <w:r>
        <w:rPr>
          <w:rFonts w:ascii="宋体" w:hAnsi="宋体"/>
          <w:sz w:val="24"/>
        </w:rPr>
        <w:t>1.1.2.12</w:t>
      </w:r>
      <w:r>
        <w:rPr>
          <w:rFonts w:hint="eastAsia" w:ascii="宋体" w:hAnsi="宋体"/>
          <w:sz w:val="24"/>
          <w:lang w:val="en-US" w:eastAsia="zh-CN"/>
        </w:rPr>
        <w:t xml:space="preserve"> </w:t>
      </w:r>
      <w:r>
        <w:rPr>
          <w:rFonts w:hint="eastAsia" w:ascii="宋体" w:hAnsi="宋体"/>
          <w:sz w:val="24"/>
        </w:rPr>
        <w:t>项目总工：指由承包人书面委派常驻施工现场负责管理本合同施工的</w:t>
      </w:r>
      <w:r>
        <w:rPr>
          <w:rFonts w:hint="eastAsia"/>
          <w:sz w:val="24"/>
        </w:rPr>
        <w:t>总工程师。</w:t>
      </w:r>
    </w:p>
    <w:p w14:paraId="182CB6BB">
      <w:pPr>
        <w:widowControl/>
        <w:adjustRightInd w:val="0"/>
        <w:snapToGrid w:val="0"/>
        <w:spacing w:line="360" w:lineRule="auto"/>
        <w:ind w:firstLine="480" w:firstLineChars="200"/>
        <w:jc w:val="both"/>
        <w:rPr>
          <w:rFonts w:ascii="宋体" w:hAnsi="宋体"/>
          <w:sz w:val="24"/>
        </w:rPr>
      </w:pPr>
      <w:r>
        <w:rPr>
          <w:rFonts w:ascii="宋体" w:hAnsi="宋体"/>
          <w:sz w:val="24"/>
        </w:rPr>
        <w:t>1.1.2.1</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设计咨询审查单位指受发包人委托（或通过招标确定）的第三方单位，对施工图勘察、设计实施咨询审查的法人或其他组织，包括但不限于初步设计单位、地质勘察监理单位。</w:t>
      </w:r>
    </w:p>
    <w:p w14:paraId="260B24F8">
      <w:pPr>
        <w:widowControl/>
        <w:adjustRightInd w:val="0"/>
        <w:snapToGrid w:val="0"/>
        <w:spacing w:line="360" w:lineRule="auto"/>
        <w:ind w:firstLine="480" w:firstLineChars="200"/>
        <w:jc w:val="both"/>
        <w:rPr>
          <w:rFonts w:ascii="宋体" w:hAnsi="宋体"/>
          <w:sz w:val="24"/>
        </w:rPr>
      </w:pPr>
      <w:r>
        <w:rPr>
          <w:rFonts w:ascii="宋体" w:hAnsi="宋体"/>
          <w:sz w:val="24"/>
          <w:lang w:bidi="ar"/>
        </w:rPr>
        <w:t>1.1.2.1</w:t>
      </w:r>
      <w:r>
        <w:rPr>
          <w:rFonts w:hint="eastAsia" w:ascii="宋体" w:hAnsi="宋体"/>
          <w:sz w:val="24"/>
          <w:lang w:bidi="ar"/>
        </w:rPr>
        <w:t>4</w:t>
      </w:r>
      <w:r>
        <w:rPr>
          <w:rFonts w:ascii="宋体" w:hAnsi="宋体"/>
          <w:sz w:val="24"/>
          <w:lang w:bidi="ar"/>
        </w:rPr>
        <w:t xml:space="preserve"> 总监办：指由发包人委派常驻施工场地对合同履行实施管理的管理机构。</w:t>
      </w:r>
    </w:p>
    <w:p w14:paraId="5BE41CF0">
      <w:pPr>
        <w:adjustRightInd w:val="0"/>
        <w:snapToGrid w:val="0"/>
        <w:spacing w:line="360" w:lineRule="auto"/>
        <w:ind w:firstLine="360" w:firstLineChars="150"/>
        <w:rPr>
          <w:rFonts w:ascii="黑体" w:hAnsi="黑体" w:eastAsia="黑体"/>
          <w:sz w:val="24"/>
        </w:rPr>
      </w:pPr>
      <w:r>
        <w:rPr>
          <w:rFonts w:ascii="黑体" w:hAnsi="黑体" w:eastAsia="黑体"/>
          <w:sz w:val="24"/>
        </w:rPr>
        <w:t>1.1.3 工程和设备</w:t>
      </w:r>
    </w:p>
    <w:p w14:paraId="0B770E1A">
      <w:pPr>
        <w:adjustRightInd w:val="0"/>
        <w:snapToGrid w:val="0"/>
        <w:spacing w:line="360" w:lineRule="auto"/>
        <w:ind w:firstLine="480" w:firstLineChars="200"/>
        <w:rPr>
          <w:rFonts w:ascii="宋体" w:hAnsi="宋体"/>
          <w:sz w:val="24"/>
        </w:rPr>
      </w:pPr>
      <w:r>
        <w:rPr>
          <w:rFonts w:hint="eastAsia" w:ascii="宋体" w:hAnsi="宋体"/>
          <w:sz w:val="24"/>
          <w:lang w:val="en-US" w:eastAsia="zh-CN"/>
        </w:rPr>
        <w:t xml:space="preserve">1.1.3.4 </w:t>
      </w:r>
      <w:r>
        <w:rPr>
          <w:rFonts w:hint="eastAsia" w:ascii="宋体" w:hAnsi="宋体"/>
          <w:sz w:val="24"/>
        </w:rPr>
        <w:t>单位工程：标段范围内具有独立施工条件的</w:t>
      </w:r>
      <w:r>
        <w:rPr>
          <w:rFonts w:ascii="宋体" w:hAnsi="宋体" w:cs="宋体"/>
          <w:sz w:val="24"/>
        </w:rPr>
        <w:sym w:font="Wingdings 2" w:char="00A3"/>
      </w:r>
      <w:r>
        <w:rPr>
          <w:rFonts w:hint="eastAsia" w:ascii="宋体" w:hAnsi="宋体" w:cs="宋体"/>
          <w:sz w:val="24"/>
        </w:rPr>
        <w:t>路基、□路面、□桥涵、□隧道、□交通安全设施、□绿化及环境保护设施、□房建、□机电、□其他：</w:t>
      </w:r>
      <w:r>
        <w:rPr>
          <w:rFonts w:ascii="宋体" w:hAnsi="宋体" w:cs="宋体"/>
          <w:sz w:val="24"/>
          <w:u w:val="single"/>
        </w:rPr>
        <w:t xml:space="preserve">       </w:t>
      </w:r>
      <w:r>
        <w:rPr>
          <w:rFonts w:hint="eastAsia" w:ascii="宋体" w:hAnsi="宋体"/>
          <w:sz w:val="24"/>
        </w:rPr>
        <w:t>等永久工程。</w:t>
      </w:r>
    </w:p>
    <w:p w14:paraId="16038667">
      <w:pPr>
        <w:adjustRightInd w:val="0"/>
        <w:snapToGrid w:val="0"/>
        <w:spacing w:line="360" w:lineRule="auto"/>
        <w:ind w:firstLine="480" w:firstLineChars="200"/>
        <w:rPr>
          <w:rFonts w:ascii="宋体" w:hAnsi="宋体"/>
          <w:sz w:val="24"/>
        </w:rPr>
      </w:pPr>
      <w:r>
        <w:rPr>
          <w:rFonts w:hint="eastAsia" w:ascii="宋体" w:hAnsi="宋体"/>
          <w:sz w:val="24"/>
          <w:lang w:val="en-US" w:eastAsia="zh-CN"/>
        </w:rPr>
        <w:t xml:space="preserve">1.1.3.10 </w:t>
      </w:r>
      <w:r>
        <w:rPr>
          <w:rFonts w:hint="eastAsia" w:ascii="宋体" w:hAnsi="宋体"/>
          <w:sz w:val="24"/>
        </w:rPr>
        <w:t>永久占地：指为实施本合同工程而需要的一切永久占用的土地，包括公路两侧路权范围内的用地。</w:t>
      </w:r>
    </w:p>
    <w:p w14:paraId="0BF29FA3">
      <w:pPr>
        <w:adjustRightInd w:val="0"/>
        <w:snapToGrid w:val="0"/>
        <w:spacing w:line="360" w:lineRule="auto"/>
        <w:ind w:firstLine="480" w:firstLineChars="200"/>
        <w:rPr>
          <w:rFonts w:ascii="宋体" w:hAnsi="宋体"/>
          <w:sz w:val="24"/>
        </w:rPr>
      </w:pPr>
      <w:r>
        <w:rPr>
          <w:rFonts w:hint="eastAsia" w:ascii="宋体" w:hAnsi="宋体"/>
          <w:sz w:val="24"/>
          <w:lang w:val="en-US" w:eastAsia="zh-CN"/>
        </w:rPr>
        <w:t xml:space="preserve">1.1.3.11 </w:t>
      </w:r>
      <w:r>
        <w:rPr>
          <w:rFonts w:hint="eastAsia" w:ascii="宋体" w:hAnsi="宋体"/>
          <w:sz w:val="24"/>
        </w:rPr>
        <w:t>临时占地：指为实施本合同工程而需要的一切临时占用的土地，包括承包人驻地建设的办公室、食堂、宿舍、道路和机械设备停放场，材料堆放场地、取土场、弃土场、预制场、拌和场、仓库、进场临时道路、临时便道及便桥等。</w:t>
      </w:r>
    </w:p>
    <w:p w14:paraId="79B9CFCA">
      <w:pPr>
        <w:adjustRightInd w:val="0"/>
        <w:snapToGrid w:val="0"/>
        <w:spacing w:line="360" w:lineRule="auto"/>
        <w:ind w:firstLine="480" w:firstLineChars="200"/>
        <w:rPr>
          <w:rFonts w:ascii="宋体" w:hAnsi="宋体"/>
          <w:sz w:val="24"/>
        </w:rPr>
      </w:pPr>
      <w:r>
        <w:rPr>
          <w:rFonts w:hint="eastAsia" w:ascii="宋体" w:hAnsi="宋体"/>
          <w:sz w:val="24"/>
          <w:lang w:val="en-US" w:eastAsia="zh-CN"/>
        </w:rPr>
        <w:t>本项</w:t>
      </w:r>
      <w:r>
        <w:rPr>
          <w:rFonts w:hint="eastAsia" w:ascii="宋体" w:hAnsi="宋体"/>
          <w:sz w:val="24"/>
        </w:rPr>
        <w:t>补充第</w:t>
      </w:r>
      <w:r>
        <w:rPr>
          <w:rFonts w:ascii="宋体" w:hAnsi="宋体"/>
          <w:sz w:val="24"/>
        </w:rPr>
        <w:t>1.1.3.12</w:t>
      </w:r>
      <w:r>
        <w:rPr>
          <w:rFonts w:hint="eastAsia" w:ascii="宋体" w:hAnsi="宋体"/>
          <w:sz w:val="24"/>
        </w:rPr>
        <w:t>目、第</w:t>
      </w:r>
      <w:r>
        <w:rPr>
          <w:rFonts w:ascii="宋体" w:hAnsi="宋体"/>
          <w:sz w:val="24"/>
        </w:rPr>
        <w:t>1.1.3.13</w:t>
      </w:r>
      <w:r>
        <w:rPr>
          <w:rFonts w:hint="eastAsia" w:ascii="宋体" w:hAnsi="宋体"/>
          <w:sz w:val="24"/>
        </w:rPr>
        <w:t>目：</w:t>
      </w:r>
    </w:p>
    <w:p w14:paraId="1B21BA26">
      <w:pPr>
        <w:adjustRightInd w:val="0"/>
        <w:snapToGrid w:val="0"/>
        <w:spacing w:line="360" w:lineRule="auto"/>
        <w:ind w:firstLine="480" w:firstLineChars="200"/>
        <w:rPr>
          <w:rFonts w:ascii="宋体" w:hAnsi="宋体"/>
          <w:sz w:val="24"/>
        </w:rPr>
      </w:pPr>
      <w:r>
        <w:rPr>
          <w:rFonts w:ascii="宋体" w:hAnsi="宋体"/>
          <w:sz w:val="24"/>
        </w:rPr>
        <w:t>1.1.3.12</w:t>
      </w:r>
      <w:r>
        <w:rPr>
          <w:rFonts w:hint="eastAsia" w:ascii="宋体" w:hAnsi="宋体"/>
          <w:sz w:val="24"/>
          <w:lang w:val="en-US" w:eastAsia="zh-CN"/>
        </w:rPr>
        <w:t xml:space="preserve"> </w:t>
      </w:r>
      <w:r>
        <w:rPr>
          <w:rFonts w:hint="eastAsia" w:ascii="宋体" w:hAnsi="宋体"/>
          <w:sz w:val="24"/>
        </w:rPr>
        <w:t>分部工程指在单位工程中，按结构部位、路段长度及施工特点或施工任务划分的若干个工程。</w:t>
      </w:r>
    </w:p>
    <w:p w14:paraId="6FB5A963">
      <w:pPr>
        <w:adjustRightInd w:val="0"/>
        <w:snapToGrid w:val="0"/>
        <w:spacing w:line="360" w:lineRule="auto"/>
        <w:ind w:firstLine="480" w:firstLineChars="200"/>
        <w:rPr>
          <w:rFonts w:asciiTheme="minorEastAsia" w:hAnsiTheme="minorEastAsia" w:eastAsiaTheme="minorEastAsia"/>
          <w:b/>
          <w:sz w:val="24"/>
        </w:rPr>
      </w:pPr>
      <w:r>
        <w:rPr>
          <w:rFonts w:ascii="宋体" w:hAnsi="宋体"/>
          <w:sz w:val="24"/>
        </w:rPr>
        <w:t>1.1.3.13</w:t>
      </w:r>
      <w:r>
        <w:rPr>
          <w:rFonts w:hint="eastAsia" w:ascii="宋体" w:hAnsi="宋体"/>
          <w:sz w:val="24"/>
          <w:lang w:val="en-US" w:eastAsia="zh-CN"/>
        </w:rPr>
        <w:t xml:space="preserve"> </w:t>
      </w:r>
      <w:r>
        <w:rPr>
          <w:rFonts w:hint="eastAsia" w:ascii="宋体" w:hAnsi="宋体"/>
          <w:sz w:val="24"/>
        </w:rPr>
        <w:t>分项工程指在分部工程中，按不同的施工方法、材料、工序及路段长度等划分的若干工程。</w:t>
      </w:r>
    </w:p>
    <w:p w14:paraId="6EF3ADD1">
      <w:pPr>
        <w:adjustRightInd w:val="0"/>
        <w:snapToGrid w:val="0"/>
        <w:spacing w:line="360" w:lineRule="auto"/>
        <w:ind w:firstLine="360" w:firstLineChars="150"/>
        <w:rPr>
          <w:rFonts w:ascii="黑体" w:hAnsi="黑体" w:eastAsia="黑体"/>
          <w:sz w:val="24"/>
        </w:rPr>
      </w:pPr>
      <w:r>
        <w:rPr>
          <w:rFonts w:ascii="黑体" w:hAnsi="黑体" w:eastAsia="黑体"/>
          <w:sz w:val="24"/>
        </w:rPr>
        <w:t>1.1.4</w:t>
      </w:r>
      <w:r>
        <w:rPr>
          <w:rFonts w:hint="eastAsia" w:ascii="黑体" w:hAnsi="黑体" w:eastAsia="黑体"/>
          <w:sz w:val="24"/>
          <w:lang w:val="en-US" w:eastAsia="zh-CN"/>
        </w:rPr>
        <w:t xml:space="preserve"> </w:t>
      </w:r>
      <w:r>
        <w:rPr>
          <w:rFonts w:hint="eastAsia" w:ascii="黑体" w:hAnsi="黑体" w:eastAsia="黑体"/>
          <w:sz w:val="24"/>
        </w:rPr>
        <w:t>日期、检验和竣工</w:t>
      </w:r>
    </w:p>
    <w:p w14:paraId="2C83DD9F">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1.1.4.2目细化为</w:t>
      </w:r>
      <w:r>
        <w:rPr>
          <w:rFonts w:hint="eastAsia" w:ascii="宋体" w:hAnsi="宋体"/>
          <w:sz w:val="24"/>
        </w:rPr>
        <w:t>：</w:t>
      </w:r>
    </w:p>
    <w:p w14:paraId="2917F337">
      <w:pPr>
        <w:adjustRightInd w:val="0"/>
        <w:snapToGrid w:val="0"/>
        <w:spacing w:line="360" w:lineRule="auto"/>
        <w:ind w:firstLine="480" w:firstLineChars="200"/>
        <w:rPr>
          <w:rFonts w:ascii="宋体" w:hAnsi="宋体"/>
          <w:sz w:val="24"/>
        </w:rPr>
      </w:pPr>
      <w:r>
        <w:rPr>
          <w:rFonts w:hint="eastAsia" w:ascii="宋体" w:hAnsi="宋体"/>
          <w:sz w:val="24"/>
        </w:rPr>
        <w:t>开工日期：具体开工时间以监理工程师下发的开工令为准。</w:t>
      </w:r>
    </w:p>
    <w:p w14:paraId="4C3D1E52">
      <w:pPr>
        <w:adjustRightInd w:val="0"/>
        <w:snapToGrid w:val="0"/>
        <w:spacing w:line="360" w:lineRule="auto"/>
        <w:ind w:firstLine="480" w:firstLineChars="200"/>
        <w:rPr>
          <w:rFonts w:hint="eastAsia" w:ascii="宋体" w:hAnsi="宋体" w:eastAsia="宋体"/>
          <w:sz w:val="24"/>
          <w:lang w:eastAsia="zh-CN"/>
        </w:rPr>
      </w:pPr>
      <w:r>
        <w:rPr>
          <w:rFonts w:ascii="宋体" w:hAnsi="宋体"/>
          <w:sz w:val="24"/>
        </w:rPr>
        <w:t>1.1.4.3</w:t>
      </w:r>
      <w:r>
        <w:rPr>
          <w:rFonts w:hint="eastAsia" w:ascii="宋体" w:hAnsi="宋体"/>
          <w:sz w:val="24"/>
          <w:lang w:val="en-US" w:eastAsia="zh-CN"/>
        </w:rPr>
        <w:t xml:space="preserve"> </w:t>
      </w:r>
      <w:r>
        <w:rPr>
          <w:rFonts w:hint="eastAsia" w:ascii="宋体" w:hAnsi="宋体"/>
          <w:sz w:val="24"/>
        </w:rPr>
        <w:t>工期</w:t>
      </w:r>
      <w:r>
        <w:rPr>
          <w:rFonts w:hint="eastAsia" w:ascii="宋体" w:hAnsi="宋体"/>
          <w:sz w:val="24"/>
          <w:lang w:eastAsia="zh-CN"/>
        </w:rPr>
        <w:t>：</w:t>
      </w:r>
    </w:p>
    <w:p w14:paraId="14B4EC93">
      <w:pPr>
        <w:adjustRightInd w:val="0"/>
        <w:snapToGrid w:val="0"/>
        <w:spacing w:line="360" w:lineRule="auto"/>
        <w:ind w:firstLine="480" w:firstLineChars="200"/>
        <w:rPr>
          <w:rFonts w:ascii="宋体" w:hAnsi="宋体"/>
          <w:sz w:val="24"/>
        </w:rPr>
      </w:pPr>
      <w:r>
        <w:rPr>
          <w:rFonts w:hint="eastAsia" w:ascii="宋体" w:hAnsi="宋体"/>
          <w:sz w:val="24"/>
        </w:rPr>
        <w:t>本目约定为：指本合同工程从开始工作至交（竣）工的时间，从监理人通知承包人开始工作的开工令之日起至交工验收证书上写明的交工日期止。</w:t>
      </w:r>
    </w:p>
    <w:p w14:paraId="0B81F1EC">
      <w:pPr>
        <w:widowControl/>
        <w:adjustRightInd w:val="0"/>
        <w:snapToGrid w:val="0"/>
        <w:spacing w:line="360" w:lineRule="auto"/>
        <w:ind w:firstLine="480" w:firstLineChars="200"/>
        <w:rPr>
          <w:rFonts w:ascii="宋体" w:hAnsi="宋体"/>
          <w:sz w:val="24"/>
        </w:rPr>
      </w:pPr>
      <w:r>
        <w:rPr>
          <w:rFonts w:hint="eastAsia" w:ascii="宋体" w:hAnsi="宋体"/>
          <w:sz w:val="24"/>
          <w:lang w:bidi="ar"/>
        </w:rPr>
        <w:t>总工期包括施工图勘察设计周期、施工工期。其中施工图勘察设计周期指自本合同签订之日起至全部施工图勘察设计文件通过行业主管部门最终审查(批复)之日止的全部时间；施工工期指自施工开工日期至交工日期的全部时间。</w:t>
      </w:r>
    </w:p>
    <w:p w14:paraId="2C820EEF">
      <w:pPr>
        <w:adjustRightInd w:val="0"/>
        <w:snapToGrid w:val="0"/>
        <w:spacing w:line="360" w:lineRule="auto"/>
        <w:ind w:firstLine="480" w:firstLineChars="200"/>
        <w:rPr>
          <w:rFonts w:hint="eastAsia" w:ascii="宋体" w:hAnsi="宋体" w:eastAsia="宋体"/>
          <w:sz w:val="24"/>
          <w:lang w:eastAsia="zh-CN"/>
        </w:rPr>
      </w:pPr>
      <w:r>
        <w:rPr>
          <w:rFonts w:ascii="宋体" w:hAnsi="宋体"/>
          <w:sz w:val="24"/>
        </w:rPr>
        <w:t>1.1.4.4</w:t>
      </w:r>
      <w:r>
        <w:rPr>
          <w:rFonts w:hint="eastAsia" w:ascii="宋体" w:hAnsi="宋体"/>
          <w:sz w:val="24"/>
          <w:lang w:val="en-US" w:eastAsia="zh-CN"/>
        </w:rPr>
        <w:t xml:space="preserve"> </w:t>
      </w:r>
      <w:r>
        <w:rPr>
          <w:rFonts w:hint="eastAsia" w:ascii="宋体" w:hAnsi="宋体"/>
          <w:sz w:val="24"/>
        </w:rPr>
        <w:t>竣工日期</w:t>
      </w:r>
      <w:r>
        <w:rPr>
          <w:rFonts w:hint="eastAsia" w:ascii="宋体" w:hAnsi="宋体"/>
          <w:sz w:val="24"/>
          <w:lang w:eastAsia="zh-CN"/>
        </w:rPr>
        <w:t>：</w:t>
      </w:r>
    </w:p>
    <w:p w14:paraId="02FB3F07">
      <w:pPr>
        <w:adjustRightInd w:val="0"/>
        <w:snapToGrid w:val="0"/>
        <w:spacing w:line="360" w:lineRule="auto"/>
        <w:ind w:firstLine="480" w:firstLineChars="200"/>
        <w:rPr>
          <w:rFonts w:ascii="宋体" w:hAnsi="宋体"/>
          <w:sz w:val="24"/>
        </w:rPr>
      </w:pPr>
      <w:r>
        <w:rPr>
          <w:rFonts w:hint="eastAsia" w:ascii="宋体" w:hAnsi="宋体"/>
          <w:sz w:val="24"/>
        </w:rPr>
        <w:t>本目约定为：指按《公路工程竣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工验收办法》</w:t>
      </w:r>
      <w:r>
        <w:rPr>
          <w:rFonts w:ascii="宋体" w:hAnsi="宋体"/>
          <w:sz w:val="24"/>
        </w:rPr>
        <w:t>（</w:t>
      </w:r>
      <w:r>
        <w:rPr>
          <w:rFonts w:hint="eastAsia" w:ascii="宋体" w:hAnsi="宋体"/>
          <w:sz w:val="24"/>
        </w:rPr>
        <w:t>交通部令</w:t>
      </w:r>
      <w:r>
        <w:rPr>
          <w:rFonts w:ascii="宋体" w:hAnsi="宋体"/>
          <w:sz w:val="24"/>
        </w:rPr>
        <w:t>2004</w:t>
      </w:r>
      <w:r>
        <w:rPr>
          <w:rFonts w:hint="eastAsia" w:ascii="宋体" w:hAnsi="宋体"/>
          <w:sz w:val="24"/>
        </w:rPr>
        <w:t>年第</w:t>
      </w:r>
      <w:r>
        <w:rPr>
          <w:rFonts w:ascii="宋体" w:hAnsi="宋体"/>
          <w:sz w:val="24"/>
        </w:rPr>
        <w:t>3</w:t>
      </w:r>
      <w:r>
        <w:rPr>
          <w:rFonts w:hint="eastAsia" w:ascii="宋体" w:hAnsi="宋体"/>
          <w:sz w:val="24"/>
        </w:rPr>
        <w:t>号</w:t>
      </w:r>
      <w:r>
        <w:rPr>
          <w:rFonts w:ascii="宋体" w:hAnsi="宋体"/>
          <w:sz w:val="24"/>
        </w:rPr>
        <w:t>）</w:t>
      </w:r>
      <w:r>
        <w:rPr>
          <w:rFonts w:hint="eastAsia" w:ascii="宋体" w:hAnsi="宋体"/>
          <w:sz w:val="24"/>
        </w:rPr>
        <w:t>及交通运输部《关于印发公路工程竣交工验收办法实施细则的通知》</w:t>
      </w:r>
      <w:r>
        <w:rPr>
          <w:rFonts w:ascii="宋体" w:hAnsi="宋体"/>
          <w:sz w:val="24"/>
        </w:rPr>
        <w:t>（</w:t>
      </w:r>
      <w:r>
        <w:rPr>
          <w:rFonts w:hint="eastAsia" w:ascii="宋体" w:hAnsi="宋体"/>
          <w:sz w:val="24"/>
        </w:rPr>
        <w:t>交公路发</w:t>
      </w:r>
      <w:r>
        <w:rPr>
          <w:rFonts w:ascii="宋体" w:hAnsi="宋体"/>
          <w:sz w:val="24"/>
        </w:rPr>
        <w:t>〔2010〕65</w:t>
      </w:r>
      <w:r>
        <w:rPr>
          <w:rFonts w:hint="eastAsia" w:ascii="宋体" w:hAnsi="宋体"/>
          <w:sz w:val="24"/>
        </w:rPr>
        <w:t>号</w:t>
      </w:r>
      <w:r>
        <w:rPr>
          <w:rFonts w:ascii="宋体" w:hAnsi="宋体"/>
          <w:sz w:val="24"/>
        </w:rPr>
        <w:t>）</w:t>
      </w:r>
      <w:r>
        <w:rPr>
          <w:rFonts w:hint="eastAsia" w:ascii="宋体" w:hAnsi="宋体"/>
          <w:sz w:val="24"/>
        </w:rPr>
        <w:t>进行竣工验收签发的竣工验收证书的日期。</w:t>
      </w:r>
    </w:p>
    <w:p w14:paraId="1644505A">
      <w:pPr>
        <w:adjustRightInd w:val="0"/>
        <w:snapToGrid w:val="0"/>
        <w:spacing w:line="360" w:lineRule="auto"/>
        <w:ind w:firstLine="480" w:firstLineChars="200"/>
        <w:rPr>
          <w:rFonts w:hint="eastAsia" w:ascii="宋体" w:hAnsi="宋体" w:eastAsia="宋体"/>
          <w:sz w:val="24"/>
          <w:lang w:eastAsia="zh-CN"/>
        </w:rPr>
      </w:pPr>
      <w:r>
        <w:rPr>
          <w:rFonts w:ascii="宋体" w:hAnsi="宋体"/>
          <w:sz w:val="24"/>
        </w:rPr>
        <w:t>1.1.4.5</w:t>
      </w:r>
      <w:r>
        <w:rPr>
          <w:rFonts w:hint="eastAsia" w:ascii="宋体" w:hAnsi="宋体"/>
          <w:sz w:val="24"/>
          <w:lang w:val="en-US" w:eastAsia="zh-CN"/>
        </w:rPr>
        <w:t xml:space="preserve"> </w:t>
      </w:r>
      <w:r>
        <w:rPr>
          <w:rFonts w:hint="eastAsia" w:ascii="宋体" w:hAnsi="宋体"/>
          <w:sz w:val="24"/>
        </w:rPr>
        <w:t>缺陷责任期</w:t>
      </w:r>
      <w:r>
        <w:rPr>
          <w:rFonts w:hint="eastAsia" w:ascii="宋体" w:hAnsi="宋体"/>
          <w:sz w:val="24"/>
          <w:lang w:eastAsia="zh-CN"/>
        </w:rPr>
        <w:t>：</w:t>
      </w:r>
    </w:p>
    <w:p w14:paraId="4AAB151D">
      <w:pPr>
        <w:adjustRightInd w:val="0"/>
        <w:snapToGrid w:val="0"/>
        <w:spacing w:line="360" w:lineRule="auto"/>
        <w:ind w:firstLine="480" w:firstLineChars="200"/>
        <w:rPr>
          <w:rFonts w:ascii="宋体" w:hAnsi="宋体"/>
          <w:sz w:val="24"/>
        </w:rPr>
      </w:pPr>
      <w:r>
        <w:rPr>
          <w:rFonts w:hint="eastAsia" w:ascii="宋体" w:hAnsi="宋体"/>
          <w:sz w:val="24"/>
        </w:rPr>
        <w:t>本目补充：签发了交工验收证书后工程进入缺陷责任期，本合同工程缺陷责任期在专用合同条款数据表中列明。</w:t>
      </w:r>
    </w:p>
    <w:p w14:paraId="5A8E76DF">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.1.4.8 交工试验</w:t>
      </w:r>
      <w:r>
        <w:rPr>
          <w:rFonts w:hint="eastAsia" w:ascii="宋体" w:hAnsi="宋体"/>
          <w:sz w:val="24"/>
        </w:rPr>
        <w:t>：是指在工程交工验收前，根据第</w:t>
      </w:r>
      <w:r>
        <w:rPr>
          <w:rFonts w:ascii="宋体" w:hAnsi="宋体"/>
          <w:sz w:val="24"/>
        </w:rPr>
        <w:t>18.1款要求进行的试验。</w:t>
      </w:r>
    </w:p>
    <w:p w14:paraId="4F2D16CC">
      <w:pPr>
        <w:adjustRightInd w:val="0"/>
        <w:snapToGrid w:val="0"/>
        <w:spacing w:line="360" w:lineRule="auto"/>
        <w:ind w:firstLine="480" w:firstLineChars="200"/>
        <w:rPr>
          <w:rFonts w:ascii="宋体" w:hAnsi="宋体"/>
          <w:sz w:val="24"/>
        </w:rPr>
      </w:pPr>
      <w:r>
        <w:rPr>
          <w:rFonts w:ascii="宋体" w:hAnsi="宋体"/>
          <w:sz w:val="24"/>
        </w:rPr>
        <w:t>1.1.4.9</w:t>
      </w:r>
      <w:r>
        <w:rPr>
          <w:rFonts w:hint="eastAsia" w:ascii="宋体" w:hAnsi="宋体"/>
          <w:sz w:val="24"/>
          <w:lang w:val="en-US" w:eastAsia="zh-CN"/>
        </w:rPr>
        <w:t xml:space="preserve"> </w:t>
      </w:r>
      <w:r>
        <w:rPr>
          <w:rFonts w:hint="eastAsia" w:ascii="宋体" w:hAnsi="宋体"/>
          <w:sz w:val="24"/>
        </w:rPr>
        <w:t>交工验收</w:t>
      </w:r>
      <w:r>
        <w:rPr>
          <w:rFonts w:hint="eastAsia" w:ascii="宋体" w:hAnsi="宋体"/>
          <w:sz w:val="24"/>
          <w:lang w:eastAsia="zh-CN"/>
        </w:rPr>
        <w:t>：</w:t>
      </w:r>
      <w:r>
        <w:rPr>
          <w:rFonts w:hint="eastAsia" w:ascii="宋体" w:hAnsi="宋体"/>
          <w:sz w:val="24"/>
        </w:rPr>
        <w:t>指《公路工程竣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工验收办法》</w:t>
      </w:r>
      <w:r>
        <w:rPr>
          <w:rFonts w:ascii="宋体" w:hAnsi="宋体"/>
          <w:sz w:val="24"/>
        </w:rPr>
        <w:t>(</w:t>
      </w:r>
      <w:r>
        <w:rPr>
          <w:rFonts w:hint="eastAsia" w:ascii="宋体" w:hAnsi="宋体"/>
          <w:sz w:val="24"/>
        </w:rPr>
        <w:t>交通部令</w:t>
      </w:r>
      <w:r>
        <w:rPr>
          <w:rFonts w:ascii="宋体" w:hAnsi="宋体"/>
          <w:sz w:val="24"/>
        </w:rPr>
        <w:t>2004</w:t>
      </w:r>
      <w:r>
        <w:rPr>
          <w:rFonts w:hint="eastAsia" w:ascii="宋体" w:hAnsi="宋体"/>
          <w:sz w:val="24"/>
        </w:rPr>
        <w:t>年第</w:t>
      </w:r>
      <w:r>
        <w:rPr>
          <w:rFonts w:ascii="宋体" w:hAnsi="宋体"/>
          <w:sz w:val="24"/>
        </w:rPr>
        <w:t>3</w:t>
      </w:r>
      <w:r>
        <w:rPr>
          <w:rFonts w:hint="eastAsia" w:ascii="宋体" w:hAnsi="宋体"/>
          <w:sz w:val="24"/>
        </w:rPr>
        <w:t>号</w:t>
      </w:r>
      <w:r>
        <w:rPr>
          <w:rFonts w:ascii="宋体" w:hAnsi="宋体"/>
          <w:sz w:val="24"/>
        </w:rPr>
        <w:t xml:space="preserve">) </w:t>
      </w:r>
      <w:r>
        <w:rPr>
          <w:rFonts w:hint="eastAsia" w:ascii="宋体" w:hAnsi="宋体"/>
          <w:sz w:val="24"/>
        </w:rPr>
        <w:t>及《关于印发公路工程竣交工验收办法实施细则的通知》（交公路发〔</w:t>
      </w:r>
      <w:r>
        <w:rPr>
          <w:rFonts w:ascii="宋体" w:hAnsi="宋体"/>
          <w:sz w:val="24"/>
        </w:rPr>
        <w:t>2010</w:t>
      </w:r>
      <w:r>
        <w:rPr>
          <w:rFonts w:hint="eastAsia" w:ascii="宋体" w:hAnsi="宋体"/>
          <w:sz w:val="24"/>
        </w:rPr>
        <w:t>〕</w:t>
      </w:r>
      <w:r>
        <w:rPr>
          <w:rFonts w:ascii="宋体" w:hAnsi="宋体"/>
          <w:sz w:val="24"/>
        </w:rPr>
        <w:t>65</w:t>
      </w:r>
      <w:r>
        <w:rPr>
          <w:rFonts w:hint="eastAsia" w:ascii="宋体" w:hAnsi="宋体"/>
          <w:sz w:val="24"/>
        </w:rPr>
        <w:t>号）中的交工验收。通用合同条款中“竣工验收”一词具有相同含义。</w:t>
      </w:r>
    </w:p>
    <w:p w14:paraId="4446A758">
      <w:pPr>
        <w:adjustRightInd w:val="0"/>
        <w:snapToGrid w:val="0"/>
        <w:spacing w:line="360" w:lineRule="auto"/>
        <w:ind w:firstLine="480" w:firstLineChars="200"/>
        <w:rPr>
          <w:rFonts w:ascii="宋体" w:hAnsi="宋体"/>
          <w:sz w:val="24"/>
        </w:rPr>
      </w:pPr>
      <w:r>
        <w:rPr>
          <w:rFonts w:ascii="宋体" w:hAnsi="宋体"/>
          <w:sz w:val="24"/>
        </w:rPr>
        <w:t>1.1.4.11</w:t>
      </w:r>
      <w:r>
        <w:rPr>
          <w:rFonts w:hint="eastAsia" w:ascii="宋体" w:hAnsi="宋体"/>
          <w:sz w:val="24"/>
          <w:lang w:val="en-US" w:eastAsia="zh-CN"/>
        </w:rPr>
        <w:t xml:space="preserve"> </w:t>
      </w:r>
      <w:r>
        <w:rPr>
          <w:rFonts w:hint="eastAsia" w:ascii="宋体" w:hAnsi="宋体"/>
          <w:sz w:val="24"/>
        </w:rPr>
        <w:t>竣工验收</w:t>
      </w:r>
      <w:r>
        <w:rPr>
          <w:rFonts w:hint="eastAsia" w:ascii="宋体" w:hAnsi="宋体"/>
          <w:sz w:val="24"/>
          <w:lang w:eastAsia="zh-CN"/>
        </w:rPr>
        <w:t>：</w:t>
      </w:r>
      <w:r>
        <w:rPr>
          <w:rFonts w:hint="eastAsia" w:ascii="宋体" w:hAnsi="宋体"/>
          <w:sz w:val="24"/>
        </w:rPr>
        <w:t>指《公路工程竣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工验收办法》</w:t>
      </w:r>
      <w:r>
        <w:rPr>
          <w:rFonts w:ascii="宋体" w:hAnsi="宋体"/>
          <w:sz w:val="24"/>
        </w:rPr>
        <w:t>(</w:t>
      </w:r>
      <w:r>
        <w:rPr>
          <w:rFonts w:hint="eastAsia" w:ascii="宋体" w:hAnsi="宋体"/>
          <w:sz w:val="24"/>
        </w:rPr>
        <w:t>交通部令</w:t>
      </w:r>
      <w:r>
        <w:rPr>
          <w:rFonts w:ascii="宋体" w:hAnsi="宋体"/>
          <w:sz w:val="24"/>
        </w:rPr>
        <w:t>2004</w:t>
      </w:r>
      <w:r>
        <w:rPr>
          <w:rFonts w:hint="eastAsia" w:ascii="宋体" w:hAnsi="宋体"/>
          <w:sz w:val="24"/>
        </w:rPr>
        <w:t>年第</w:t>
      </w:r>
      <w:r>
        <w:rPr>
          <w:rFonts w:ascii="宋体" w:hAnsi="宋体"/>
          <w:sz w:val="24"/>
        </w:rPr>
        <w:t>3</w:t>
      </w:r>
      <w:r>
        <w:rPr>
          <w:rFonts w:hint="eastAsia" w:ascii="宋体" w:hAnsi="宋体"/>
          <w:sz w:val="24"/>
        </w:rPr>
        <w:t>号</w:t>
      </w:r>
      <w:r>
        <w:rPr>
          <w:rFonts w:ascii="宋体" w:hAnsi="宋体"/>
          <w:sz w:val="24"/>
        </w:rPr>
        <w:t>)</w:t>
      </w:r>
      <w:r>
        <w:rPr>
          <w:rFonts w:hint="eastAsia" w:ascii="宋体" w:hAnsi="宋体"/>
          <w:sz w:val="24"/>
        </w:rPr>
        <w:t>及《关于印发公路工程竣交工验收办法实施细则的通知》（交公路发〔</w:t>
      </w:r>
      <w:r>
        <w:rPr>
          <w:rFonts w:ascii="宋体" w:hAnsi="宋体"/>
          <w:sz w:val="24"/>
        </w:rPr>
        <w:t>2010</w:t>
      </w:r>
      <w:r>
        <w:rPr>
          <w:rFonts w:hint="eastAsia" w:ascii="宋体" w:hAnsi="宋体"/>
          <w:sz w:val="24"/>
        </w:rPr>
        <w:t>〕</w:t>
      </w:r>
      <w:r>
        <w:rPr>
          <w:rFonts w:ascii="宋体" w:hAnsi="宋体"/>
          <w:sz w:val="24"/>
        </w:rPr>
        <w:t>65</w:t>
      </w:r>
      <w:r>
        <w:rPr>
          <w:rFonts w:hint="eastAsia" w:ascii="宋体" w:hAnsi="宋体"/>
          <w:sz w:val="24"/>
        </w:rPr>
        <w:t>号）中的竣工验收。通用合同条款中“国家验收”一词具有相同含义。</w:t>
      </w:r>
    </w:p>
    <w:p w14:paraId="357A11FC">
      <w:pPr>
        <w:adjustRightInd w:val="0"/>
        <w:snapToGrid w:val="0"/>
        <w:spacing w:line="360" w:lineRule="auto"/>
        <w:ind w:firstLine="480" w:firstLineChars="200"/>
        <w:rPr>
          <w:rFonts w:ascii="宋体" w:hAnsi="宋体"/>
          <w:sz w:val="24"/>
        </w:rPr>
      </w:pPr>
      <w:r>
        <w:rPr>
          <w:rFonts w:hint="eastAsia" w:ascii="宋体" w:hAnsi="宋体"/>
          <w:sz w:val="24"/>
          <w:lang w:val="en-US" w:eastAsia="zh-CN"/>
        </w:rPr>
        <w:t>本项</w:t>
      </w:r>
      <w:r>
        <w:rPr>
          <w:rFonts w:hint="eastAsia" w:ascii="宋体" w:hAnsi="宋体"/>
          <w:sz w:val="24"/>
        </w:rPr>
        <w:t>补充第</w:t>
      </w:r>
      <w:r>
        <w:rPr>
          <w:rFonts w:ascii="宋体" w:hAnsi="宋体"/>
          <w:sz w:val="24"/>
        </w:rPr>
        <w:t>1.1.4.12</w:t>
      </w:r>
      <w:r>
        <w:rPr>
          <w:rFonts w:hint="eastAsia" w:ascii="宋体" w:hAnsi="宋体"/>
          <w:sz w:val="24"/>
        </w:rPr>
        <w:t>目：</w:t>
      </w:r>
    </w:p>
    <w:p w14:paraId="2A0B2BC2">
      <w:pPr>
        <w:adjustRightInd w:val="0"/>
        <w:snapToGrid w:val="0"/>
        <w:spacing w:line="360" w:lineRule="auto"/>
        <w:ind w:firstLine="480" w:firstLineChars="200"/>
        <w:rPr>
          <w:rFonts w:ascii="宋体" w:hAnsi="宋体"/>
          <w:sz w:val="24"/>
        </w:rPr>
      </w:pPr>
      <w:r>
        <w:rPr>
          <w:rFonts w:ascii="宋体" w:hAnsi="宋体"/>
          <w:sz w:val="24"/>
        </w:rPr>
        <w:t>1.1.4.12</w:t>
      </w:r>
      <w:r>
        <w:rPr>
          <w:rFonts w:hint="eastAsia" w:ascii="宋体" w:hAnsi="宋体"/>
          <w:sz w:val="24"/>
          <w:lang w:val="en-US" w:eastAsia="zh-CN"/>
        </w:rPr>
        <w:t xml:space="preserve"> </w:t>
      </w:r>
      <w:r>
        <w:rPr>
          <w:rFonts w:hint="eastAsia" w:ascii="宋体" w:hAnsi="宋体"/>
          <w:sz w:val="24"/>
        </w:rPr>
        <w:t>交工日期</w:t>
      </w:r>
    </w:p>
    <w:p w14:paraId="52095043">
      <w:pPr>
        <w:adjustRightInd w:val="0"/>
        <w:snapToGrid w:val="0"/>
        <w:spacing w:line="360" w:lineRule="auto"/>
        <w:ind w:firstLine="480" w:firstLineChars="200"/>
        <w:rPr>
          <w:rFonts w:ascii="宋体" w:hAnsi="宋体"/>
          <w:sz w:val="24"/>
        </w:rPr>
      </w:pPr>
      <w:r>
        <w:rPr>
          <w:rFonts w:hint="eastAsia" w:ascii="宋体" w:hAnsi="宋体"/>
          <w:sz w:val="24"/>
        </w:rPr>
        <w:t>指实质上完成本合同工程施工合格通过交工验收后，在发给的交工验收证书上写明的日期（签发交工验收证书的日期）。</w:t>
      </w:r>
    </w:p>
    <w:p w14:paraId="20E026EC">
      <w:pPr>
        <w:adjustRightInd w:val="0"/>
        <w:snapToGrid w:val="0"/>
        <w:spacing w:line="360" w:lineRule="auto"/>
        <w:ind w:firstLine="360" w:firstLineChars="150"/>
        <w:rPr>
          <w:rFonts w:ascii="黑体" w:hAnsi="黑体" w:eastAsia="黑体"/>
          <w:sz w:val="24"/>
        </w:rPr>
      </w:pPr>
      <w:r>
        <w:rPr>
          <w:rFonts w:ascii="黑体" w:hAnsi="黑体" w:eastAsia="黑体"/>
          <w:sz w:val="24"/>
        </w:rPr>
        <w:t>1.1.</w:t>
      </w:r>
      <w:r>
        <w:rPr>
          <w:rFonts w:hint="eastAsia" w:ascii="黑体" w:hAnsi="黑体" w:eastAsia="黑体"/>
          <w:sz w:val="24"/>
        </w:rPr>
        <w:t>5</w:t>
      </w:r>
      <w:r>
        <w:rPr>
          <w:rFonts w:hint="eastAsia" w:ascii="黑体" w:hAnsi="黑体" w:eastAsia="黑体"/>
          <w:sz w:val="24"/>
          <w:lang w:val="en-US" w:eastAsia="zh-CN"/>
        </w:rPr>
        <w:t xml:space="preserve"> </w:t>
      </w:r>
      <w:r>
        <w:rPr>
          <w:rFonts w:hint="eastAsia" w:ascii="黑体" w:hAnsi="黑体" w:eastAsia="黑体"/>
          <w:sz w:val="24"/>
        </w:rPr>
        <w:t>合同价格和费用</w:t>
      </w:r>
    </w:p>
    <w:p w14:paraId="68BA8AAC">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1.1.5.4</w:t>
      </w:r>
      <w:r>
        <w:rPr>
          <w:rFonts w:hint="eastAsia" w:ascii="宋体" w:hAnsi="宋体"/>
          <w:sz w:val="24"/>
        </w:rPr>
        <w:t>目、第</w:t>
      </w:r>
      <w:r>
        <w:rPr>
          <w:rFonts w:ascii="宋体" w:hAnsi="宋体"/>
          <w:sz w:val="24"/>
        </w:rPr>
        <w:t>1.1.5.5</w:t>
      </w:r>
      <w:r>
        <w:rPr>
          <w:rFonts w:hint="eastAsia" w:ascii="宋体" w:hAnsi="宋体"/>
          <w:sz w:val="24"/>
        </w:rPr>
        <w:t>目细化为：</w:t>
      </w:r>
    </w:p>
    <w:p w14:paraId="6C0D88D4">
      <w:pPr>
        <w:adjustRightInd w:val="0"/>
        <w:snapToGrid w:val="0"/>
        <w:spacing w:line="360" w:lineRule="auto"/>
        <w:ind w:firstLine="480" w:firstLineChars="200"/>
        <w:rPr>
          <w:rFonts w:ascii="宋体" w:hAnsi="宋体"/>
          <w:sz w:val="24"/>
        </w:rPr>
      </w:pPr>
      <w:r>
        <w:rPr>
          <w:rFonts w:ascii="宋体" w:hAnsi="宋体"/>
          <w:sz w:val="24"/>
        </w:rPr>
        <w:t xml:space="preserve">1.1.5.4 </w:t>
      </w:r>
      <w:r>
        <w:rPr>
          <w:rFonts w:hint="eastAsia" w:ascii="宋体" w:hAnsi="宋体"/>
          <w:sz w:val="24"/>
        </w:rPr>
        <w:t>暂列金额：指招标文件中给定的，用于在签订协议书时尚未确定或不可预见变更的设计、施工及其所需材料、工程设备、服务等的金额，包括以计日工方式支付的金额，暂列金额主要用于发包人风险范围内发生的费用。</w:t>
      </w:r>
    </w:p>
    <w:p w14:paraId="5528C49F">
      <w:pPr>
        <w:adjustRightInd w:val="0"/>
        <w:snapToGrid w:val="0"/>
        <w:spacing w:line="360" w:lineRule="auto"/>
        <w:ind w:firstLine="480" w:firstLineChars="200"/>
        <w:rPr>
          <w:rFonts w:ascii="宋体" w:hAnsi="宋体"/>
          <w:sz w:val="24"/>
        </w:rPr>
      </w:pPr>
      <w:r>
        <w:rPr>
          <w:rFonts w:ascii="宋体" w:hAnsi="宋体"/>
          <w:sz w:val="24"/>
        </w:rPr>
        <w:t xml:space="preserve">1.1.5.5 </w:t>
      </w:r>
      <w:r>
        <w:rPr>
          <w:rFonts w:hint="eastAsia" w:ascii="宋体" w:hAnsi="宋体"/>
          <w:sz w:val="24"/>
        </w:rPr>
        <w:t>暂估价：指发包人在价格清单中给定用于支付必然发生但暂时不能确定价格的材料、工程设备以及专业工程的价格。</w:t>
      </w:r>
    </w:p>
    <w:p w14:paraId="18E8659C">
      <w:pPr>
        <w:adjustRightInd w:val="0"/>
        <w:snapToGrid w:val="0"/>
        <w:spacing w:line="360" w:lineRule="auto"/>
        <w:ind w:firstLine="360" w:firstLineChars="150"/>
        <w:rPr>
          <w:rFonts w:ascii="黑体" w:hAnsi="黑体" w:eastAsia="黑体"/>
          <w:sz w:val="24"/>
        </w:rPr>
      </w:pPr>
      <w:r>
        <w:rPr>
          <w:rFonts w:ascii="黑体" w:hAnsi="黑体" w:eastAsia="黑体"/>
          <w:sz w:val="24"/>
        </w:rPr>
        <w:t>1.1.6</w:t>
      </w:r>
      <w:r>
        <w:rPr>
          <w:rFonts w:hint="eastAsia" w:ascii="黑体" w:hAnsi="黑体" w:eastAsia="黑体"/>
          <w:sz w:val="24"/>
          <w:lang w:val="en-US" w:eastAsia="zh-CN"/>
        </w:rPr>
        <w:t xml:space="preserve"> </w:t>
      </w:r>
      <w:r>
        <w:rPr>
          <w:rFonts w:ascii="黑体" w:hAnsi="黑体" w:eastAsia="黑体"/>
          <w:sz w:val="24"/>
        </w:rPr>
        <w:t>其他</w:t>
      </w:r>
    </w:p>
    <w:p w14:paraId="31D36F42">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项</w:t>
      </w:r>
      <w:r>
        <w:rPr>
          <w:rFonts w:asciiTheme="minorEastAsia" w:hAnsiTheme="minorEastAsia" w:eastAsiaTheme="minorEastAsia"/>
          <w:sz w:val="24"/>
        </w:rPr>
        <w:t>补充</w:t>
      </w:r>
      <w:r>
        <w:rPr>
          <w:rFonts w:hint="eastAsia" w:asciiTheme="minorEastAsia" w:hAnsiTheme="minorEastAsia" w:eastAsiaTheme="minorEastAsia"/>
          <w:sz w:val="24"/>
        </w:rPr>
        <w:t>第</w:t>
      </w:r>
      <w:r>
        <w:rPr>
          <w:rFonts w:asciiTheme="minorEastAsia" w:hAnsiTheme="minorEastAsia" w:eastAsiaTheme="minorEastAsia"/>
          <w:sz w:val="24"/>
        </w:rPr>
        <w:t>1.1.6.4</w:t>
      </w:r>
      <w:r>
        <w:rPr>
          <w:rFonts w:hint="eastAsia" w:asciiTheme="minorEastAsia" w:hAnsiTheme="minorEastAsia" w:eastAsiaTheme="minorEastAsia"/>
          <w:sz w:val="24"/>
        </w:rPr>
        <w:t>目～第</w:t>
      </w:r>
      <w:r>
        <w:rPr>
          <w:rFonts w:asciiTheme="minorEastAsia" w:hAnsiTheme="minorEastAsia" w:eastAsiaTheme="minorEastAsia"/>
          <w:sz w:val="24"/>
        </w:rPr>
        <w:t>1.1.6.8</w:t>
      </w:r>
      <w:r>
        <w:rPr>
          <w:rFonts w:hint="eastAsia" w:asciiTheme="minorEastAsia" w:hAnsiTheme="minorEastAsia" w:eastAsiaTheme="minorEastAsia"/>
          <w:sz w:val="24"/>
        </w:rPr>
        <w:t>目</w:t>
      </w:r>
      <w:r>
        <w:rPr>
          <w:rFonts w:asciiTheme="minorEastAsia" w:hAnsiTheme="minorEastAsia" w:eastAsiaTheme="minorEastAsia"/>
          <w:sz w:val="24"/>
        </w:rPr>
        <w:t>：</w:t>
      </w:r>
    </w:p>
    <w:p w14:paraId="7342CA35">
      <w:pPr>
        <w:adjustRightInd w:val="0"/>
        <w:snapToGrid w:val="0"/>
        <w:spacing w:line="360" w:lineRule="auto"/>
        <w:ind w:firstLine="480" w:firstLineChars="200"/>
        <w:rPr>
          <w:rFonts w:ascii="宋体" w:hAnsi="宋体"/>
          <w:sz w:val="24"/>
        </w:rPr>
      </w:pPr>
      <w:r>
        <w:rPr>
          <w:rFonts w:ascii="宋体" w:hAnsi="宋体"/>
          <w:sz w:val="24"/>
        </w:rPr>
        <w:t>1.1.6.4</w:t>
      </w:r>
      <w:r>
        <w:rPr>
          <w:rFonts w:hint="eastAsia" w:ascii="宋体" w:hAnsi="宋体"/>
          <w:sz w:val="24"/>
          <w:lang w:val="en-US" w:eastAsia="zh-CN"/>
        </w:rPr>
        <w:t xml:space="preserve"> </w:t>
      </w:r>
      <w:r>
        <w:rPr>
          <w:rFonts w:hint="eastAsia" w:ascii="宋体" w:hAnsi="宋体"/>
          <w:sz w:val="24"/>
        </w:rPr>
        <w:t>转包：指承包人违反法律和不履行合同规定的责任和义务，将中标工程全部委托或以分包的名义将中标工程肢解后全部委托给其他施工企业施工的行为。</w:t>
      </w:r>
    </w:p>
    <w:p w14:paraId="37EBEE4D">
      <w:pPr>
        <w:adjustRightInd w:val="0"/>
        <w:snapToGrid w:val="0"/>
        <w:spacing w:line="360" w:lineRule="auto"/>
        <w:ind w:firstLine="480" w:firstLineChars="200"/>
        <w:rPr>
          <w:rFonts w:ascii="宋体" w:hAnsi="宋体"/>
          <w:sz w:val="24"/>
        </w:rPr>
      </w:pPr>
      <w:r>
        <w:rPr>
          <w:rFonts w:ascii="宋体" w:hAnsi="宋体"/>
          <w:sz w:val="24"/>
        </w:rPr>
        <w:t xml:space="preserve">1.1.6.5 </w:t>
      </w:r>
      <w:r>
        <w:rPr>
          <w:rFonts w:hint="default" w:ascii="宋体" w:hAnsi="宋体"/>
          <w:sz w:val="24"/>
          <w:lang w:val="en-US"/>
        </w:rPr>
        <w:t>专业</w:t>
      </w:r>
      <w:r>
        <w:rPr>
          <w:rFonts w:ascii="宋体" w:hAnsi="宋体"/>
          <w:sz w:val="24"/>
        </w:rPr>
        <w:t>分包：</w:t>
      </w:r>
    </w:p>
    <w:p w14:paraId="58F8B416">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承包人将其所承包工程中</w:t>
      </w:r>
      <w:r>
        <w:rPr>
          <w:rFonts w:hint="eastAsia" w:asciiTheme="minorEastAsia" w:hAnsiTheme="minorEastAsia" w:eastAsiaTheme="minorEastAsia"/>
          <w:sz w:val="24"/>
        </w:rPr>
        <w:t>的</w:t>
      </w:r>
      <w:r>
        <w:rPr>
          <w:rFonts w:asciiTheme="minorEastAsia" w:hAnsiTheme="minorEastAsia" w:eastAsiaTheme="minorEastAsia"/>
          <w:sz w:val="24"/>
        </w:rPr>
        <w:t>适合专业化队伍施工的专项工程、专业工程和综合工程</w:t>
      </w:r>
      <w:r>
        <w:rPr>
          <w:rFonts w:hint="eastAsia" w:asciiTheme="minorEastAsia" w:hAnsiTheme="minorEastAsia" w:eastAsiaTheme="minorEastAsia"/>
          <w:sz w:val="24"/>
        </w:rPr>
        <w:t>按照交通运输部</w:t>
      </w:r>
      <w:bookmarkStart w:id="730" w:name="_Hlk94093131"/>
      <w:r>
        <w:rPr>
          <w:rFonts w:hint="eastAsia" w:asciiTheme="minorEastAsia" w:hAnsiTheme="minorEastAsia" w:eastAsiaTheme="minorEastAsia"/>
          <w:sz w:val="24"/>
        </w:rPr>
        <w:t>关于</w:t>
      </w:r>
      <w:r>
        <w:rPr>
          <w:rFonts w:hint="eastAsia" w:asciiTheme="minorEastAsia" w:hAnsiTheme="minorEastAsia" w:eastAsiaTheme="minorEastAsia"/>
          <w:sz w:val="24"/>
          <w:lang w:val="en-US" w:eastAsia="zh-CN"/>
        </w:rPr>
        <w:t>印发</w:t>
      </w:r>
      <w:r>
        <w:rPr>
          <w:rFonts w:hint="eastAsia" w:asciiTheme="minorEastAsia" w:hAnsiTheme="minorEastAsia" w:eastAsiaTheme="minorEastAsia"/>
          <w:sz w:val="24"/>
        </w:rPr>
        <w:t>《公路工程施工分包管理办法》的通知（交公路规〔2024〕2号</w:t>
      </w:r>
      <w:r>
        <w:rPr>
          <w:rFonts w:asciiTheme="minorEastAsia" w:hAnsiTheme="minorEastAsia" w:eastAsiaTheme="minorEastAsia"/>
          <w:sz w:val="24"/>
        </w:rPr>
        <w:t>）</w:t>
      </w:r>
      <w:bookmarkEnd w:id="730"/>
      <w:r>
        <w:rPr>
          <w:rFonts w:asciiTheme="minorEastAsia" w:hAnsiTheme="minorEastAsia" w:eastAsiaTheme="minorEastAsia"/>
          <w:sz w:val="24"/>
        </w:rPr>
        <w:t>及四川省交通运输厅《四川省公路工程施工分包和劳务合作管理实施细则》（</w:t>
      </w:r>
      <w:r>
        <w:rPr>
          <w:rFonts w:hint="eastAsia" w:asciiTheme="minorEastAsia" w:hAnsiTheme="minorEastAsia" w:eastAsiaTheme="minorEastAsia"/>
          <w:sz w:val="24"/>
        </w:rPr>
        <w:t>川交规〔202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号）、《四川省公路水运建设工程勘察设计分包管理暂行办法》（2022年12月1日施行）</w:t>
      </w:r>
      <w:r>
        <w:rPr>
          <w:rFonts w:asciiTheme="minorEastAsia" w:hAnsiTheme="minorEastAsia" w:eastAsiaTheme="minorEastAsia"/>
          <w:sz w:val="24"/>
        </w:rPr>
        <w:t>的规定分包给具有相应资格的单位</w:t>
      </w:r>
      <w:r>
        <w:rPr>
          <w:rFonts w:hint="eastAsia" w:asciiTheme="minorEastAsia" w:hAnsiTheme="minorEastAsia" w:eastAsiaTheme="minorEastAsia"/>
          <w:sz w:val="24"/>
        </w:rPr>
        <w:t>的活动，</w:t>
      </w:r>
      <w:r>
        <w:rPr>
          <w:rFonts w:asciiTheme="minorEastAsia" w:hAnsiTheme="minorEastAsia" w:eastAsiaTheme="minorEastAsia"/>
          <w:sz w:val="24"/>
        </w:rPr>
        <w:t>按整体结算。分包人应当依据分包合同的约定，组织分包工程的施工，对分包工程的质量、安全、环保和进度等实施有效控制。分包人对其分包的工程向承包人负责，并就所分包的工程向发包人承担连带责任。分包人不得将承接的分包工程再进行分包。</w:t>
      </w:r>
    </w:p>
    <w:p w14:paraId="75F19525">
      <w:pPr>
        <w:adjustRightInd w:val="0"/>
        <w:snapToGrid w:val="0"/>
        <w:spacing w:line="360" w:lineRule="auto"/>
        <w:ind w:firstLine="480" w:firstLineChars="200"/>
        <w:rPr>
          <w:rFonts w:ascii="宋体" w:hAnsi="宋体"/>
          <w:sz w:val="24"/>
        </w:rPr>
      </w:pPr>
      <w:bookmarkStart w:id="731" w:name="_Hlk94093145"/>
      <w:r>
        <w:rPr>
          <w:rFonts w:hint="eastAsia" w:asciiTheme="minorEastAsia" w:hAnsiTheme="minorEastAsia" w:eastAsiaTheme="minorEastAsia"/>
          <w:sz w:val="24"/>
        </w:rPr>
        <w:t>承包人和分包人应当按照交通运输主管部门制定的统一格式依法签订分包合同，并履行合同约定的义务。分包合同必须遵循承包合同的各项原则，满足承包合同中的质量、安全、进度、环保以及其他技术、经济等要求。承包人应在工程实施前，将经监理审查同意后的分包合同报发包人备案。</w:t>
      </w:r>
      <w:bookmarkEnd w:id="731"/>
    </w:p>
    <w:p w14:paraId="36395046">
      <w:pPr>
        <w:adjustRightInd w:val="0"/>
        <w:snapToGrid w:val="0"/>
        <w:spacing w:line="360" w:lineRule="auto"/>
        <w:ind w:firstLine="480" w:firstLineChars="200"/>
        <w:rPr>
          <w:rFonts w:asciiTheme="minorEastAsia" w:hAnsiTheme="minorEastAsia" w:eastAsiaTheme="minorEastAsia"/>
          <w:sz w:val="24"/>
        </w:rPr>
      </w:pPr>
      <w:r>
        <w:rPr>
          <w:rFonts w:ascii="宋体" w:hAnsi="宋体"/>
          <w:sz w:val="24"/>
        </w:rPr>
        <w:t>1.1.6.6</w:t>
      </w:r>
      <w:r>
        <w:rPr>
          <w:rFonts w:hint="eastAsia" w:ascii="宋体" w:hAnsi="宋体"/>
          <w:sz w:val="24"/>
          <w:lang w:val="en-US" w:eastAsia="zh-CN"/>
        </w:rPr>
        <w:t xml:space="preserve"> </w:t>
      </w:r>
      <w:r>
        <w:rPr>
          <w:rFonts w:ascii="宋体" w:hAnsi="宋体"/>
          <w:sz w:val="24"/>
        </w:rPr>
        <w:t>劳务合作：</w:t>
      </w:r>
      <w:r>
        <w:rPr>
          <w:rFonts w:asciiTheme="minorEastAsia" w:hAnsiTheme="minorEastAsia" w:eastAsiaTheme="minorEastAsia"/>
          <w:sz w:val="24"/>
        </w:rPr>
        <w:t>由承包人负责主要材料采购以及施工组织、相关试验检测、工程测量、工程资料、质量安全管理等工作，与具备企业法人资格的劳务合作企业合作完成的以劳务为主的施工活动。</w:t>
      </w:r>
    </w:p>
    <w:p w14:paraId="7E66282F">
      <w:pPr>
        <w:adjustRightInd w:val="0"/>
        <w:snapToGrid w:val="0"/>
        <w:spacing w:line="360" w:lineRule="auto"/>
        <w:ind w:firstLine="480" w:firstLineChars="200"/>
        <w:rPr>
          <w:rFonts w:ascii="宋体" w:hAnsi="宋体"/>
          <w:sz w:val="24"/>
        </w:rPr>
      </w:pPr>
      <w:r>
        <w:rPr>
          <w:rFonts w:ascii="宋体" w:hAnsi="宋体"/>
          <w:sz w:val="24"/>
        </w:rPr>
        <w:t>1.1.6.7</w:t>
      </w:r>
      <w:r>
        <w:rPr>
          <w:rFonts w:hint="eastAsia" w:ascii="宋体" w:hAnsi="宋体"/>
          <w:sz w:val="24"/>
          <w:lang w:val="en-US" w:eastAsia="zh-CN"/>
        </w:rPr>
        <w:t xml:space="preserve"> </w:t>
      </w:r>
      <w:r>
        <w:rPr>
          <w:rFonts w:ascii="宋体" w:hAnsi="宋体"/>
          <w:sz w:val="24"/>
        </w:rPr>
        <w:t>雇佣农民工：指承包人及其分包人、劳务合作单位与具有相应劳动能力的自然人签订劳动合同，由承包人统一组织管理，从事分项工程施工或配套工程施工的行为。原条款中“雇佣民工”修改为“农民工”。</w:t>
      </w:r>
    </w:p>
    <w:p w14:paraId="530B905A">
      <w:pPr>
        <w:widowControl/>
        <w:adjustRightInd w:val="0"/>
        <w:snapToGrid w:val="0"/>
        <w:spacing w:line="360" w:lineRule="auto"/>
        <w:ind w:firstLine="480" w:firstLineChars="200"/>
        <w:jc w:val="both"/>
        <w:rPr>
          <w:rFonts w:ascii="宋体" w:hAnsi="宋体"/>
          <w:sz w:val="24"/>
        </w:rPr>
      </w:pPr>
      <w:r>
        <w:rPr>
          <w:rFonts w:ascii="宋体" w:hAnsi="宋体"/>
          <w:sz w:val="24"/>
        </w:rPr>
        <w:t>1.1.6.8</w:t>
      </w:r>
      <w:r>
        <w:rPr>
          <w:rFonts w:hint="eastAsia" w:ascii="宋体" w:hAnsi="宋体"/>
          <w:sz w:val="24"/>
          <w:lang w:val="en-US" w:eastAsia="zh-CN"/>
        </w:rPr>
        <w:t xml:space="preserve"> </w:t>
      </w:r>
      <w:r>
        <w:rPr>
          <w:rFonts w:ascii="宋体" w:hAnsi="宋体"/>
          <w:sz w:val="24"/>
        </w:rPr>
        <w:t>总承包风险费</w:t>
      </w:r>
      <w:r>
        <w:rPr>
          <w:rFonts w:hint="eastAsia" w:ascii="宋体" w:hAnsi="宋体"/>
          <w:sz w:val="24"/>
        </w:rPr>
        <w:t>：</w:t>
      </w:r>
      <w:r>
        <w:rPr>
          <w:rFonts w:ascii="宋体" w:hAnsi="宋体"/>
          <w:sz w:val="24"/>
        </w:rPr>
        <w:t>指合同条款中明示和暗示的所有由承包人应承担的全部风险费用。</w:t>
      </w:r>
      <w:r>
        <w:rPr>
          <w:rFonts w:hint="eastAsia" w:ascii="宋体" w:hAnsi="宋体"/>
          <w:sz w:val="24"/>
          <w:lang w:bidi="ar"/>
        </w:rPr>
        <w:t>总承包风险费在“3.4施工清单”的第100章（价格清单方式不同的，也应在相应的位置列明</w:t>
      </w:r>
      <w:r>
        <w:rPr>
          <w:rFonts w:hint="eastAsia" w:ascii="宋体" w:hAnsi="宋体"/>
          <w:sz w:val="24"/>
          <w:lang w:val="en-US" w:eastAsia="zh-CN" w:bidi="ar"/>
        </w:rPr>
        <w:t>总承包风险费</w:t>
      </w:r>
      <w:r>
        <w:rPr>
          <w:rFonts w:hint="eastAsia" w:ascii="宋体" w:hAnsi="宋体"/>
          <w:sz w:val="24"/>
          <w:lang w:bidi="ar"/>
        </w:rPr>
        <w:t>）中列入，包干使用。</w:t>
      </w:r>
    </w:p>
    <w:p w14:paraId="56C5703A">
      <w:pPr>
        <w:pStyle w:val="2"/>
        <w:spacing w:before="240" w:after="240" w:line="240" w:lineRule="atLeast"/>
        <w:rPr>
          <w:rFonts w:ascii="黑体"/>
          <w:b w:val="0"/>
          <w:sz w:val="24"/>
          <w:szCs w:val="24"/>
        </w:rPr>
      </w:pPr>
      <w:r>
        <w:rPr>
          <w:rFonts w:ascii="黑体"/>
          <w:b w:val="0"/>
          <w:sz w:val="24"/>
          <w:szCs w:val="24"/>
        </w:rPr>
        <w:t>1.4</w:t>
      </w:r>
      <w:r>
        <w:rPr>
          <w:rFonts w:hint="eastAsia" w:ascii="黑体"/>
          <w:b w:val="0"/>
          <w:sz w:val="24"/>
          <w:szCs w:val="24"/>
          <w:lang w:val="en-US" w:eastAsia="zh-CN"/>
        </w:rPr>
        <w:t xml:space="preserve"> </w:t>
      </w:r>
      <w:r>
        <w:rPr>
          <w:rFonts w:hint="eastAsia" w:ascii="黑体"/>
          <w:b w:val="0"/>
          <w:sz w:val="24"/>
          <w:szCs w:val="24"/>
        </w:rPr>
        <w:t>合同文件的优先顺序</w:t>
      </w:r>
    </w:p>
    <w:p w14:paraId="109D8105">
      <w:pPr>
        <w:adjustRightInd w:val="0"/>
        <w:snapToGrid w:val="0"/>
        <w:spacing w:line="360" w:lineRule="auto"/>
        <w:ind w:firstLine="480" w:firstLineChars="200"/>
        <w:rPr>
          <w:rFonts w:ascii="宋体" w:hAnsi="宋体"/>
          <w:sz w:val="24"/>
        </w:rPr>
      </w:pPr>
      <w:r>
        <w:rPr>
          <w:rFonts w:hint="eastAsia" w:ascii="宋体" w:hAnsi="宋体"/>
          <w:sz w:val="24"/>
        </w:rPr>
        <w:t>本款约定为：</w:t>
      </w:r>
    </w:p>
    <w:p w14:paraId="3316888A">
      <w:pPr>
        <w:adjustRightInd w:val="0"/>
        <w:snapToGrid w:val="0"/>
        <w:spacing w:line="360" w:lineRule="auto"/>
        <w:ind w:firstLine="480" w:firstLineChars="200"/>
        <w:rPr>
          <w:rFonts w:ascii="宋体" w:hAnsi="宋体"/>
          <w:sz w:val="24"/>
        </w:rPr>
      </w:pPr>
      <w:r>
        <w:rPr>
          <w:rFonts w:hint="eastAsia" w:ascii="宋体" w:hAnsi="宋体"/>
          <w:sz w:val="24"/>
        </w:rPr>
        <w:t>组成合同的各项文件应互相解释，互为说明。解释合同文件的优先顺序如下：</w:t>
      </w:r>
    </w:p>
    <w:p w14:paraId="38B3D0EA">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）合同协议书及各种合同附件（含评标期间和合同谈判过程中的澄清文件和补充资料）；</w:t>
      </w:r>
    </w:p>
    <w:p w14:paraId="59DF0707">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）中标通知书；</w:t>
      </w:r>
    </w:p>
    <w:p w14:paraId="355BCDE2">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）投标函（含</w:t>
      </w:r>
      <w:r>
        <w:rPr>
          <w:rFonts w:ascii="宋体" w:hAnsi="宋体"/>
          <w:sz w:val="24"/>
        </w:rPr>
        <w:t>第二个信封</w:t>
      </w:r>
      <w:r>
        <w:rPr>
          <w:rFonts w:hint="eastAsia" w:ascii="宋体" w:hAnsi="宋体"/>
          <w:sz w:val="24"/>
        </w:rPr>
        <w:t>投标函）及投标函附录；</w:t>
      </w:r>
    </w:p>
    <w:p w14:paraId="1FAFD79F">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）专用合同条款；</w:t>
      </w:r>
    </w:p>
    <w:p w14:paraId="496D5462">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）通用合同条款；</w:t>
      </w:r>
    </w:p>
    <w:p w14:paraId="316AFB22">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）发包人要求；</w:t>
      </w:r>
    </w:p>
    <w:p w14:paraId="307AF982">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）价格清单；</w:t>
      </w:r>
    </w:p>
    <w:p w14:paraId="5A1205E7">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w:t>
      </w:r>
      <w:r>
        <w:rPr>
          <w:rFonts w:ascii="宋体" w:hAnsi="宋体"/>
          <w:sz w:val="24"/>
        </w:rPr>
        <w:t>设计施工总承包方案</w:t>
      </w:r>
      <w:r>
        <w:rPr>
          <w:rFonts w:hint="eastAsia" w:ascii="宋体" w:hAnsi="宋体"/>
          <w:sz w:val="24"/>
        </w:rPr>
        <w:t>；</w:t>
      </w:r>
    </w:p>
    <w:p w14:paraId="1896A148">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）其他合同文件</w:t>
      </w:r>
      <w:r>
        <w:rPr>
          <w:rFonts w:ascii="宋体" w:hAnsi="宋体"/>
          <w:sz w:val="24"/>
        </w:rPr>
        <w:t>（补遗书具体内容分别归入上述各项文件中）</w:t>
      </w:r>
      <w:r>
        <w:rPr>
          <w:rFonts w:hint="eastAsia" w:ascii="宋体" w:hAnsi="宋体"/>
          <w:sz w:val="24"/>
        </w:rPr>
        <w:t>。</w:t>
      </w:r>
    </w:p>
    <w:p w14:paraId="77663287">
      <w:pPr>
        <w:pStyle w:val="2"/>
        <w:spacing w:before="240" w:after="240" w:line="240" w:lineRule="atLeast"/>
        <w:rPr>
          <w:rFonts w:ascii="黑体"/>
          <w:b w:val="0"/>
          <w:sz w:val="24"/>
          <w:szCs w:val="24"/>
        </w:rPr>
      </w:pPr>
      <w:bookmarkStart w:id="732" w:name="_Toc53685721"/>
      <w:bookmarkStart w:id="733" w:name="_Toc53685723"/>
      <w:r>
        <w:rPr>
          <w:rFonts w:ascii="黑体"/>
          <w:b w:val="0"/>
          <w:sz w:val="24"/>
          <w:szCs w:val="24"/>
        </w:rPr>
        <w:t>1.5</w:t>
      </w:r>
      <w:r>
        <w:rPr>
          <w:rFonts w:hint="eastAsia" w:ascii="黑体"/>
          <w:b w:val="0"/>
          <w:sz w:val="24"/>
          <w:szCs w:val="24"/>
          <w:lang w:val="en-US" w:eastAsia="zh-CN"/>
        </w:rPr>
        <w:t xml:space="preserve"> </w:t>
      </w:r>
      <w:r>
        <w:rPr>
          <w:rFonts w:hint="eastAsia" w:ascii="黑体"/>
          <w:b w:val="0"/>
          <w:sz w:val="24"/>
          <w:szCs w:val="24"/>
        </w:rPr>
        <w:t>合同协议书</w:t>
      </w:r>
      <w:bookmarkEnd w:id="732"/>
    </w:p>
    <w:p w14:paraId="590ED586">
      <w:pPr>
        <w:adjustRightInd w:val="0"/>
        <w:snapToGrid w:val="0"/>
        <w:spacing w:line="360" w:lineRule="auto"/>
        <w:ind w:firstLine="480" w:firstLineChars="200"/>
        <w:rPr>
          <w:rFonts w:ascii="宋体" w:hAnsi="宋体"/>
          <w:sz w:val="24"/>
        </w:rPr>
      </w:pPr>
      <w:r>
        <w:rPr>
          <w:rFonts w:hint="eastAsia" w:ascii="宋体" w:hAnsi="宋体"/>
          <w:sz w:val="24"/>
        </w:rPr>
        <w:t>本款</w:t>
      </w:r>
      <w:r>
        <w:rPr>
          <w:rFonts w:hint="eastAsia" w:ascii="宋体" w:hAnsi="宋体"/>
          <w:sz w:val="24"/>
          <w:lang w:val="en-US" w:eastAsia="zh-CN"/>
        </w:rPr>
        <w:t>细化为</w:t>
      </w:r>
      <w:r>
        <w:rPr>
          <w:rFonts w:hint="eastAsia" w:ascii="宋体" w:hAnsi="宋体"/>
          <w:sz w:val="24"/>
        </w:rPr>
        <w:t>：</w:t>
      </w:r>
    </w:p>
    <w:p w14:paraId="766688AB">
      <w:pPr>
        <w:adjustRightInd w:val="0"/>
        <w:snapToGrid w:val="0"/>
        <w:spacing w:line="360" w:lineRule="auto"/>
        <w:ind w:firstLine="480" w:firstLineChars="200"/>
        <w:rPr>
          <w:rFonts w:ascii="宋体" w:hAnsi="宋体"/>
          <w:sz w:val="24"/>
        </w:rPr>
      </w:pPr>
      <w:r>
        <w:rPr>
          <w:rFonts w:hint="eastAsia" w:ascii="宋体" w:hAnsi="宋体"/>
          <w:sz w:val="24"/>
        </w:rPr>
        <w:t>制备合同文件的费用承担方在第二章“投标人须知”前附表中约定，合同文件的份数视需要由发包人与承包人协商确定。在合同协议书签订之前，投标文件和中标通知书将约束双方。</w:t>
      </w:r>
    </w:p>
    <w:p w14:paraId="698B958E">
      <w:pPr>
        <w:pStyle w:val="2"/>
        <w:spacing w:before="240" w:after="240" w:line="240" w:lineRule="atLeast"/>
        <w:rPr>
          <w:rFonts w:ascii="黑体"/>
          <w:b w:val="0"/>
          <w:sz w:val="24"/>
          <w:szCs w:val="24"/>
        </w:rPr>
      </w:pPr>
      <w:bookmarkStart w:id="734" w:name="_Toc53685722"/>
      <w:r>
        <w:rPr>
          <w:rFonts w:ascii="黑体"/>
          <w:b w:val="0"/>
          <w:sz w:val="24"/>
          <w:szCs w:val="24"/>
        </w:rPr>
        <w:t>1.6</w:t>
      </w:r>
      <w:r>
        <w:rPr>
          <w:rFonts w:hint="eastAsia" w:ascii="黑体"/>
          <w:b w:val="0"/>
          <w:sz w:val="24"/>
          <w:szCs w:val="24"/>
          <w:lang w:val="en-US" w:eastAsia="zh-CN"/>
        </w:rPr>
        <w:t xml:space="preserve"> </w:t>
      </w:r>
      <w:r>
        <w:rPr>
          <w:rFonts w:hint="eastAsia" w:ascii="黑体"/>
          <w:b w:val="0"/>
          <w:sz w:val="24"/>
          <w:szCs w:val="24"/>
        </w:rPr>
        <w:t>文件</w:t>
      </w:r>
      <w:bookmarkEnd w:id="734"/>
      <w:r>
        <w:rPr>
          <w:rFonts w:hint="eastAsia" w:ascii="黑体"/>
          <w:b w:val="0"/>
          <w:sz w:val="24"/>
          <w:szCs w:val="24"/>
        </w:rPr>
        <w:t>的提供和照管</w:t>
      </w:r>
    </w:p>
    <w:p w14:paraId="14247163">
      <w:pPr>
        <w:adjustRightInd w:val="0"/>
        <w:snapToGrid w:val="0"/>
        <w:spacing w:line="360" w:lineRule="auto"/>
        <w:ind w:firstLine="360" w:firstLineChars="150"/>
        <w:rPr>
          <w:rFonts w:ascii="黑体" w:hAnsi="黑体" w:eastAsia="黑体"/>
          <w:sz w:val="24"/>
        </w:rPr>
      </w:pPr>
      <w:r>
        <w:rPr>
          <w:rFonts w:ascii="黑体" w:hAnsi="黑体" w:eastAsia="黑体"/>
          <w:sz w:val="24"/>
        </w:rPr>
        <w:t>1.6.1</w:t>
      </w:r>
      <w:r>
        <w:rPr>
          <w:rFonts w:hint="eastAsia" w:ascii="黑体" w:hAnsi="黑体" w:eastAsia="黑体"/>
          <w:sz w:val="24"/>
          <w:lang w:val="en-US" w:eastAsia="zh-CN"/>
        </w:rPr>
        <w:t xml:space="preserve"> </w:t>
      </w:r>
      <w:r>
        <w:rPr>
          <w:rFonts w:hint="eastAsia" w:ascii="黑体" w:hAnsi="黑体" w:eastAsia="黑体"/>
          <w:sz w:val="24"/>
        </w:rPr>
        <w:t>承包人文件的提供</w:t>
      </w:r>
    </w:p>
    <w:p w14:paraId="32013B42">
      <w:pPr>
        <w:adjustRightInd w:val="0"/>
        <w:snapToGrid w:val="0"/>
        <w:spacing w:line="360" w:lineRule="auto"/>
        <w:ind w:firstLine="480" w:firstLineChars="200"/>
        <w:rPr>
          <w:rFonts w:hAnsi="宋体"/>
          <w:sz w:val="24"/>
        </w:rPr>
      </w:pPr>
      <w:r>
        <w:rPr>
          <w:rFonts w:hint="eastAsia" w:ascii="宋体" w:hAnsi="宋体"/>
          <w:sz w:val="24"/>
        </w:rPr>
        <w:t>本项最后补充：</w:t>
      </w:r>
      <w:r>
        <w:rPr>
          <w:rFonts w:ascii="宋体" w:hAnsi="宋体"/>
          <w:sz w:val="24"/>
        </w:rPr>
        <w:t xml:space="preserve"> </w:t>
      </w:r>
    </w:p>
    <w:p w14:paraId="30957915">
      <w:pPr>
        <w:adjustRightInd w:val="0"/>
        <w:snapToGrid w:val="0"/>
        <w:spacing w:line="360" w:lineRule="auto"/>
        <w:ind w:firstLine="480" w:firstLineChars="200"/>
        <w:rPr>
          <w:rFonts w:ascii="宋体" w:hAnsi="宋体"/>
          <w:sz w:val="24"/>
        </w:rPr>
      </w:pPr>
      <w:r>
        <w:rPr>
          <w:rFonts w:hint="eastAsia" w:ascii="宋体" w:hAnsi="宋体"/>
          <w:sz w:val="24"/>
        </w:rPr>
        <w:t>在项目施工过程中产生的文件资料应按要求提交给监理人。监理人在收到由承包人提交的有关文件资料后</w:t>
      </w:r>
      <w:r>
        <w:rPr>
          <w:rFonts w:ascii="宋体" w:hAnsi="宋体"/>
          <w:sz w:val="24"/>
        </w:rPr>
        <w:t>14</w:t>
      </w:r>
      <w:r>
        <w:rPr>
          <w:rFonts w:hint="eastAsia" w:ascii="宋体" w:hAnsi="宋体"/>
          <w:sz w:val="24"/>
        </w:rPr>
        <w:t>天内应予批准或提出修改要求，承包人应按监理人提出的要求作出修改，重新向监理人提交，监理人应在</w:t>
      </w:r>
      <w:r>
        <w:rPr>
          <w:rFonts w:ascii="宋体" w:hAnsi="宋体"/>
          <w:sz w:val="24"/>
        </w:rPr>
        <w:t>7</w:t>
      </w:r>
      <w:r>
        <w:rPr>
          <w:rFonts w:hint="eastAsia" w:ascii="宋体" w:hAnsi="宋体"/>
          <w:sz w:val="24"/>
        </w:rPr>
        <w:t>天内批准或提出进一步的修改意见。承包人的设计文件的提供和审查按第</w:t>
      </w:r>
      <w:r>
        <w:rPr>
          <w:rFonts w:ascii="宋体" w:hAnsi="宋体"/>
          <w:sz w:val="24"/>
        </w:rPr>
        <w:t>5.3</w:t>
      </w:r>
      <w:r>
        <w:rPr>
          <w:rFonts w:hint="eastAsia" w:ascii="宋体" w:hAnsi="宋体"/>
          <w:sz w:val="24"/>
        </w:rPr>
        <w:t>款和第</w:t>
      </w:r>
      <w:r>
        <w:rPr>
          <w:rFonts w:ascii="宋体" w:hAnsi="宋体"/>
          <w:sz w:val="24"/>
        </w:rPr>
        <w:t>5.5</w:t>
      </w:r>
      <w:r>
        <w:rPr>
          <w:rFonts w:hint="eastAsia" w:ascii="宋体" w:hAnsi="宋体"/>
          <w:sz w:val="24"/>
        </w:rPr>
        <w:t>款的约定执行。</w:t>
      </w:r>
    </w:p>
    <w:p w14:paraId="1B533DA5">
      <w:pPr>
        <w:pStyle w:val="2"/>
        <w:spacing w:before="240" w:after="240" w:line="240" w:lineRule="atLeast"/>
        <w:rPr>
          <w:rFonts w:ascii="黑体"/>
          <w:b w:val="0"/>
          <w:sz w:val="24"/>
          <w:szCs w:val="24"/>
        </w:rPr>
      </w:pPr>
      <w:r>
        <w:rPr>
          <w:rFonts w:ascii="黑体"/>
          <w:b w:val="0"/>
          <w:sz w:val="24"/>
          <w:szCs w:val="24"/>
        </w:rPr>
        <w:t>1.9</w:t>
      </w:r>
      <w:r>
        <w:rPr>
          <w:rFonts w:hint="eastAsia" w:ascii="黑体"/>
          <w:b w:val="0"/>
          <w:sz w:val="24"/>
          <w:szCs w:val="24"/>
          <w:lang w:val="en-US" w:eastAsia="zh-CN"/>
        </w:rPr>
        <w:t xml:space="preserve"> </w:t>
      </w:r>
      <w:r>
        <w:rPr>
          <w:rFonts w:hint="eastAsia" w:ascii="黑体"/>
          <w:b w:val="0"/>
          <w:sz w:val="24"/>
          <w:szCs w:val="24"/>
        </w:rPr>
        <w:t>严禁贿赂</w:t>
      </w:r>
    </w:p>
    <w:p w14:paraId="6FD9F34F">
      <w:pPr>
        <w:adjustRightInd w:val="0"/>
        <w:snapToGrid w:val="0"/>
        <w:spacing w:line="360" w:lineRule="auto"/>
        <w:ind w:firstLine="480" w:firstLineChars="200"/>
        <w:rPr>
          <w:rFonts w:ascii="宋体" w:hAnsi="宋体"/>
          <w:sz w:val="24"/>
        </w:rPr>
      </w:pPr>
      <w:r>
        <w:rPr>
          <w:rFonts w:hint="eastAsia" w:ascii="宋体" w:hAnsi="宋体"/>
          <w:sz w:val="24"/>
        </w:rPr>
        <w:t>本款补充：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1D37AE55">
      <w:pPr>
        <w:pStyle w:val="2"/>
        <w:keepNext w:val="0"/>
        <w:keepLines w:val="0"/>
        <w:widowControl/>
        <w:spacing w:before="240" w:after="240" w:line="240" w:lineRule="atLeast"/>
        <w:jc w:val="left"/>
        <w:rPr>
          <w:rFonts w:ascii="黑体"/>
          <w:b w:val="0"/>
          <w:sz w:val="24"/>
          <w:szCs w:val="24"/>
        </w:rPr>
      </w:pPr>
      <w:r>
        <w:rPr>
          <w:rFonts w:hint="eastAsia" w:ascii="黑体"/>
          <w:b w:val="0"/>
          <w:sz w:val="24"/>
          <w:szCs w:val="24"/>
          <w:lang w:bidi="ar"/>
        </w:rPr>
        <w:t xml:space="preserve">1.12 文件及信息的保密 </w:t>
      </w:r>
    </w:p>
    <w:p w14:paraId="7105C5BE">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本款补充第1.12.1项～</w:t>
      </w:r>
      <w:r>
        <w:rPr>
          <w:rFonts w:hint="eastAsia" w:ascii="宋体" w:hAnsi="宋体"/>
          <w:sz w:val="24"/>
          <w:lang w:val="en-US" w:eastAsia="zh-CN" w:bidi="ar"/>
        </w:rPr>
        <w:t>第</w:t>
      </w:r>
      <w:r>
        <w:rPr>
          <w:rFonts w:hint="eastAsia" w:ascii="宋体" w:hAnsi="宋体"/>
          <w:sz w:val="24"/>
          <w:lang w:bidi="ar"/>
        </w:rPr>
        <w:t xml:space="preserve">1.12.3项： </w:t>
      </w:r>
    </w:p>
    <w:p w14:paraId="7EDCD739">
      <w:pPr>
        <w:widowControl/>
        <w:adjustRightInd w:val="0"/>
        <w:snapToGrid w:val="0"/>
        <w:spacing w:line="360" w:lineRule="auto"/>
        <w:ind w:firstLine="480" w:firstLineChars="200"/>
        <w:jc w:val="both"/>
        <w:rPr>
          <w:rFonts w:ascii="宋体" w:hAnsi="宋体"/>
          <w:sz w:val="24"/>
        </w:rPr>
      </w:pPr>
      <w:r>
        <w:rPr>
          <w:rFonts w:hint="eastAsia" w:ascii="宋体" w:hAnsi="宋体"/>
          <w:sz w:val="24"/>
          <w:lang w:bidi="ar"/>
        </w:rPr>
        <w:t xml:space="preserve">1.12.1 发包人提供的招标文件、初步设计（或深化设计文件）、技术文件等文件，未经发包人同意，承包人不得为合同以外的目的泄露给他人或公开发表与引用（法律法规规定的除外）。 </w:t>
      </w:r>
    </w:p>
    <w:p w14:paraId="7C3A58BA">
      <w:pPr>
        <w:widowControl/>
        <w:adjustRightInd w:val="0"/>
        <w:snapToGrid w:val="0"/>
        <w:spacing w:line="360" w:lineRule="auto"/>
        <w:ind w:firstLine="480" w:firstLineChars="200"/>
        <w:jc w:val="both"/>
        <w:rPr>
          <w:rFonts w:ascii="宋体" w:hAnsi="宋体"/>
          <w:sz w:val="24"/>
        </w:rPr>
      </w:pPr>
      <w:r>
        <w:rPr>
          <w:rFonts w:hint="eastAsia" w:ascii="宋体" w:hAnsi="宋体"/>
          <w:sz w:val="24"/>
          <w:lang w:bidi="ar"/>
        </w:rPr>
        <w:t xml:space="preserve">1.12.2 承包人提供的文件，未经承包人同意，发包人和监理人不得为合同以外的目的泄露给他人或公开发表与引用（法律法规规定的除外）。 </w:t>
      </w:r>
    </w:p>
    <w:p w14:paraId="5689DA45">
      <w:pPr>
        <w:widowControl/>
        <w:adjustRightInd w:val="0"/>
        <w:snapToGrid w:val="0"/>
        <w:spacing w:line="360" w:lineRule="auto"/>
        <w:ind w:firstLine="480" w:firstLineChars="200"/>
        <w:jc w:val="both"/>
        <w:rPr>
          <w:rFonts w:ascii="宋体" w:hAnsi="宋体"/>
          <w:sz w:val="24"/>
          <w:lang w:bidi="ar"/>
        </w:rPr>
      </w:pPr>
      <w:r>
        <w:rPr>
          <w:rFonts w:hint="eastAsia" w:ascii="宋体" w:hAnsi="宋体"/>
          <w:sz w:val="24"/>
          <w:lang w:bidi="ar"/>
        </w:rPr>
        <w:t>1.12.3 发包人和承包人应严格遵守《中华人民共和国保守国家秘密法》，依法分级妥善保存有关图纸、文件及数据，不得以任何形式泄露国家秘密。</w:t>
      </w:r>
    </w:p>
    <w:p w14:paraId="7FC34929">
      <w:pPr>
        <w:pStyle w:val="2"/>
        <w:keepNext w:val="0"/>
        <w:keepLines w:val="0"/>
        <w:widowControl/>
        <w:spacing w:before="240" w:after="240" w:line="240" w:lineRule="atLeast"/>
        <w:jc w:val="both"/>
        <w:rPr>
          <w:rFonts w:ascii="黑体"/>
          <w:b w:val="0"/>
          <w:sz w:val="24"/>
          <w:szCs w:val="24"/>
          <w:lang w:bidi="ar"/>
        </w:rPr>
      </w:pPr>
      <w:r>
        <w:rPr>
          <w:rFonts w:hint="eastAsia" w:ascii="黑体"/>
          <w:b w:val="0"/>
          <w:sz w:val="24"/>
          <w:szCs w:val="24"/>
          <w:lang w:bidi="ar"/>
        </w:rPr>
        <w:t xml:space="preserve">1.13 发包人要求中的错误 </w:t>
      </w:r>
    </w:p>
    <w:p w14:paraId="581CCF4B">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第1.13.1项最后补充：设计图纸不属于发包人要求中的错误。</w:t>
      </w:r>
    </w:p>
    <w:p w14:paraId="069C4539">
      <w:pPr>
        <w:widowControl/>
        <w:adjustRightInd w:val="0"/>
        <w:snapToGrid w:val="0"/>
        <w:spacing w:line="360" w:lineRule="auto"/>
        <w:ind w:firstLine="480" w:firstLineChars="200"/>
        <w:jc w:val="left"/>
        <w:rPr>
          <w:rFonts w:ascii="宋体" w:hAnsi="宋体"/>
          <w:sz w:val="24"/>
          <w:lang w:bidi="ar"/>
        </w:rPr>
      </w:pPr>
      <w:r>
        <w:rPr>
          <w:rFonts w:hint="eastAsia" w:ascii="宋体" w:hAnsi="宋体"/>
          <w:b w:val="0"/>
          <w:sz w:val="24"/>
          <w:lang w:bidi="ar"/>
        </w:rPr>
        <w:t>发包人要求中的错误责任分担</w:t>
      </w:r>
      <w:r>
        <w:rPr>
          <w:rFonts w:hint="eastAsia" w:ascii="宋体" w:hAnsi="宋体"/>
          <w:sz w:val="24"/>
        </w:rPr>
        <w:t>约定为：</w:t>
      </w:r>
      <w:r>
        <w:rPr>
          <w:rFonts w:ascii="宋体" w:hAnsi="宋体"/>
          <w:sz w:val="24"/>
          <w:u w:val="single"/>
        </w:rPr>
        <w:t xml:space="preserve">                  </w:t>
      </w:r>
      <w:r>
        <w:rPr>
          <w:rFonts w:hint="eastAsia" w:ascii="宋体" w:hAnsi="宋体"/>
          <w:sz w:val="24"/>
        </w:rPr>
        <w:t>。</w:t>
      </w:r>
    </w:p>
    <w:p w14:paraId="6254112C">
      <w:pPr>
        <w:pStyle w:val="2"/>
        <w:spacing w:before="360" w:after="240" w:line="240" w:lineRule="atLeast"/>
        <w:rPr>
          <w:rFonts w:ascii="黑体"/>
          <w:b w:val="0"/>
          <w:sz w:val="28"/>
          <w:szCs w:val="28"/>
        </w:rPr>
      </w:pPr>
      <w:r>
        <w:rPr>
          <w:rFonts w:ascii="黑体"/>
          <w:b w:val="0"/>
          <w:sz w:val="28"/>
          <w:szCs w:val="28"/>
        </w:rPr>
        <w:t xml:space="preserve">2. </w:t>
      </w:r>
      <w:r>
        <w:rPr>
          <w:rFonts w:hint="eastAsia" w:ascii="黑体"/>
          <w:b w:val="0"/>
          <w:sz w:val="28"/>
          <w:szCs w:val="28"/>
        </w:rPr>
        <w:t>发包人义务</w:t>
      </w:r>
      <w:bookmarkEnd w:id="733"/>
    </w:p>
    <w:p w14:paraId="66BAC661">
      <w:pPr>
        <w:pStyle w:val="2"/>
        <w:spacing w:before="240" w:after="240" w:line="240" w:lineRule="atLeast"/>
        <w:rPr>
          <w:rFonts w:ascii="黑体"/>
          <w:b w:val="0"/>
          <w:sz w:val="24"/>
          <w:szCs w:val="24"/>
        </w:rPr>
      </w:pPr>
      <w:bookmarkStart w:id="735" w:name="_Toc53685724"/>
      <w:bookmarkStart w:id="736" w:name="_Hlk100158869"/>
      <w:r>
        <w:rPr>
          <w:rFonts w:ascii="黑体"/>
          <w:b w:val="0"/>
          <w:sz w:val="24"/>
          <w:szCs w:val="24"/>
        </w:rPr>
        <w:t>2.3</w:t>
      </w:r>
      <w:r>
        <w:rPr>
          <w:rFonts w:hint="eastAsia" w:ascii="黑体"/>
          <w:b w:val="0"/>
          <w:sz w:val="24"/>
          <w:szCs w:val="24"/>
          <w:lang w:val="en-US" w:eastAsia="zh-CN"/>
        </w:rPr>
        <w:t xml:space="preserve"> </w:t>
      </w:r>
      <w:r>
        <w:rPr>
          <w:rFonts w:hint="eastAsia" w:ascii="黑体"/>
          <w:b w:val="0"/>
          <w:sz w:val="24"/>
          <w:szCs w:val="24"/>
        </w:rPr>
        <w:t>提供施工场地</w:t>
      </w:r>
      <w:bookmarkEnd w:id="735"/>
    </w:p>
    <w:p w14:paraId="1F5ED07B">
      <w:pPr>
        <w:adjustRightInd w:val="0"/>
        <w:snapToGrid w:val="0"/>
        <w:spacing w:line="360" w:lineRule="auto"/>
        <w:ind w:firstLine="480" w:firstLineChars="200"/>
        <w:rPr>
          <w:rFonts w:ascii="宋体" w:hAnsi="宋体"/>
          <w:sz w:val="24"/>
        </w:rPr>
      </w:pPr>
      <w:r>
        <w:rPr>
          <w:rFonts w:hint="eastAsia" w:ascii="宋体" w:hAnsi="宋体"/>
          <w:sz w:val="24"/>
        </w:rPr>
        <w:t>本款补</w:t>
      </w:r>
      <w:bookmarkEnd w:id="736"/>
      <w:r>
        <w:rPr>
          <w:rFonts w:hint="eastAsia" w:ascii="宋体" w:hAnsi="宋体"/>
          <w:sz w:val="24"/>
        </w:rPr>
        <w:t>充：</w:t>
      </w:r>
    </w:p>
    <w:p w14:paraId="1E0B69C2">
      <w:pPr>
        <w:spacing w:line="360" w:lineRule="auto"/>
        <w:ind w:firstLine="480" w:firstLineChars="200"/>
        <w:rPr>
          <w:rFonts w:ascii="宋体" w:hAnsi="宋体"/>
          <w:sz w:val="24"/>
        </w:rPr>
      </w:pPr>
      <w:r>
        <w:rPr>
          <w:rFonts w:hint="eastAsia" w:ascii="宋体" w:hAnsi="宋体"/>
          <w:sz w:val="24"/>
        </w:rPr>
        <w:t>临时占地由承包人</w:t>
      </w:r>
      <w:bookmarkStart w:id="737" w:name="_Hlk94093299"/>
      <w:r>
        <w:rPr>
          <w:rFonts w:hint="eastAsia" w:ascii="宋体" w:hAnsi="宋体"/>
          <w:sz w:val="24"/>
        </w:rPr>
        <w:t>按照第</w:t>
      </w:r>
      <w:r>
        <w:rPr>
          <w:rFonts w:ascii="宋体" w:hAnsi="宋体"/>
          <w:sz w:val="24"/>
        </w:rPr>
        <w:t>4.1.10</w:t>
      </w:r>
      <w:r>
        <w:rPr>
          <w:rFonts w:hint="eastAsia" w:ascii="宋体" w:hAnsi="宋体"/>
          <w:sz w:val="24"/>
          <w:lang w:val="en-US" w:eastAsia="zh-CN"/>
        </w:rPr>
        <w:t>项</w:t>
      </w:r>
      <w:r>
        <w:rPr>
          <w:rFonts w:hint="eastAsia" w:ascii="宋体" w:hAnsi="宋体"/>
          <w:sz w:val="24"/>
        </w:rPr>
        <w:t>（</w:t>
      </w:r>
      <w:r>
        <w:rPr>
          <w:rFonts w:ascii="宋体" w:hAnsi="宋体"/>
          <w:sz w:val="24"/>
        </w:rPr>
        <w:t>1</w:t>
      </w:r>
      <w:r>
        <w:rPr>
          <w:rFonts w:hint="eastAsia" w:ascii="宋体" w:hAnsi="宋体"/>
          <w:sz w:val="24"/>
        </w:rPr>
        <w:t>）目要求</w:t>
      </w:r>
      <w:bookmarkEnd w:id="737"/>
      <w:bookmarkStart w:id="738" w:name="_Hlk94093305"/>
      <w:r>
        <w:rPr>
          <w:rFonts w:hint="eastAsia" w:ascii="宋体" w:hAnsi="宋体"/>
          <w:sz w:val="24"/>
        </w:rPr>
        <w:t>自行负责办理</w:t>
      </w:r>
      <w:bookmarkEnd w:id="738"/>
      <w:r>
        <w:rPr>
          <w:rFonts w:hint="eastAsia" w:ascii="宋体" w:hAnsi="宋体"/>
          <w:sz w:val="24"/>
        </w:rPr>
        <w:t>。</w:t>
      </w:r>
    </w:p>
    <w:p w14:paraId="227B8F3D">
      <w:pPr>
        <w:pStyle w:val="2"/>
        <w:spacing w:before="240" w:after="240" w:line="240" w:lineRule="atLeast"/>
        <w:rPr>
          <w:rFonts w:ascii="黑体"/>
          <w:sz w:val="24"/>
        </w:rPr>
      </w:pPr>
      <w:r>
        <w:rPr>
          <w:rFonts w:ascii="黑体"/>
          <w:b w:val="0"/>
          <w:sz w:val="24"/>
          <w:szCs w:val="24"/>
        </w:rPr>
        <w:t>2.5</w:t>
      </w:r>
      <w:r>
        <w:rPr>
          <w:rFonts w:hint="eastAsia" w:ascii="黑体"/>
          <w:b w:val="0"/>
          <w:sz w:val="24"/>
          <w:szCs w:val="24"/>
          <w:lang w:val="en-US" w:eastAsia="zh-CN"/>
        </w:rPr>
        <w:t xml:space="preserve"> </w:t>
      </w:r>
      <w:r>
        <w:rPr>
          <w:rFonts w:hint="eastAsia" w:ascii="黑体"/>
          <w:b w:val="0"/>
          <w:sz w:val="24"/>
          <w:szCs w:val="24"/>
        </w:rPr>
        <w:t>支付合同价款</w:t>
      </w:r>
    </w:p>
    <w:p w14:paraId="6BAE9F1E">
      <w:pPr>
        <w:spacing w:line="360" w:lineRule="auto"/>
        <w:ind w:firstLine="480" w:firstLineChars="200"/>
        <w:rPr>
          <w:rFonts w:ascii="宋体" w:hAnsi="宋体"/>
          <w:sz w:val="24"/>
        </w:rPr>
      </w:pPr>
      <w:r>
        <w:rPr>
          <w:rFonts w:hint="eastAsia" w:ascii="宋体" w:hAnsi="宋体"/>
          <w:sz w:val="24"/>
        </w:rPr>
        <w:t>发包人工程款支付担保约定为：</w:t>
      </w:r>
      <w:r>
        <w:rPr>
          <w:rFonts w:ascii="宋体" w:hAnsi="宋体"/>
          <w:sz w:val="24"/>
          <w:u w:val="single"/>
        </w:rPr>
        <w:t xml:space="preserve">                         </w:t>
      </w:r>
      <w:r>
        <w:rPr>
          <w:rFonts w:hint="eastAsia" w:ascii="宋体" w:hAnsi="宋体"/>
          <w:sz w:val="24"/>
        </w:rPr>
        <w:t>。</w:t>
      </w:r>
    </w:p>
    <w:p w14:paraId="092E6B56">
      <w:pPr>
        <w:pStyle w:val="2"/>
        <w:spacing w:before="240" w:after="240" w:line="240" w:lineRule="atLeast"/>
        <w:rPr>
          <w:rFonts w:ascii="黑体"/>
          <w:b w:val="0"/>
          <w:sz w:val="24"/>
          <w:szCs w:val="24"/>
        </w:rPr>
      </w:pPr>
      <w:r>
        <w:rPr>
          <w:rFonts w:ascii="黑体"/>
          <w:b w:val="0"/>
          <w:sz w:val="24"/>
          <w:szCs w:val="24"/>
        </w:rPr>
        <w:t>2.6</w:t>
      </w:r>
      <w:r>
        <w:rPr>
          <w:rFonts w:hint="eastAsia" w:ascii="黑体"/>
          <w:b w:val="0"/>
          <w:sz w:val="24"/>
          <w:szCs w:val="24"/>
          <w:lang w:val="en-US" w:eastAsia="zh-CN"/>
        </w:rPr>
        <w:t xml:space="preserve"> </w:t>
      </w:r>
      <w:r>
        <w:rPr>
          <w:rFonts w:hint="eastAsia" w:ascii="黑体"/>
          <w:b w:val="0"/>
          <w:sz w:val="24"/>
          <w:szCs w:val="24"/>
        </w:rPr>
        <w:t>组织交工、竣工验收</w:t>
      </w:r>
    </w:p>
    <w:p w14:paraId="56DC5C7C">
      <w:pPr>
        <w:spacing w:line="360" w:lineRule="auto"/>
        <w:ind w:firstLine="480" w:firstLineChars="200"/>
        <w:rPr>
          <w:rFonts w:ascii="宋体" w:hAnsi="宋体"/>
          <w:sz w:val="24"/>
        </w:rPr>
      </w:pPr>
      <w:r>
        <w:rPr>
          <w:rFonts w:hint="eastAsia" w:ascii="宋体" w:hAnsi="宋体"/>
          <w:sz w:val="24"/>
        </w:rPr>
        <w:t>发包人应按合同约定及时组织交工、竣工验收。</w:t>
      </w:r>
    </w:p>
    <w:p w14:paraId="0C944306">
      <w:pPr>
        <w:pStyle w:val="2"/>
        <w:keepNext w:val="0"/>
        <w:keepLines w:val="0"/>
        <w:widowControl/>
        <w:spacing w:before="240" w:after="240" w:line="240" w:lineRule="atLeast"/>
        <w:jc w:val="left"/>
        <w:rPr>
          <w:rFonts w:ascii="黑体"/>
          <w:b w:val="0"/>
          <w:sz w:val="24"/>
          <w:szCs w:val="24"/>
        </w:rPr>
      </w:pPr>
      <w:r>
        <w:rPr>
          <w:rFonts w:hint="eastAsia" w:ascii="黑体"/>
          <w:b w:val="0"/>
          <w:sz w:val="24"/>
          <w:szCs w:val="24"/>
          <w:lang w:bidi="ar"/>
        </w:rPr>
        <w:t xml:space="preserve">2.7 其他义务 </w:t>
      </w:r>
    </w:p>
    <w:p w14:paraId="4F38353E">
      <w:pPr>
        <w:widowControl/>
        <w:spacing w:line="360" w:lineRule="auto"/>
        <w:ind w:firstLine="480" w:firstLineChars="200"/>
        <w:jc w:val="left"/>
        <w:rPr>
          <w:rFonts w:ascii="宋体" w:hAnsi="宋体"/>
          <w:sz w:val="24"/>
        </w:rPr>
      </w:pPr>
      <w:r>
        <w:rPr>
          <w:rFonts w:hint="eastAsia" w:ascii="宋体" w:hAnsi="宋体"/>
          <w:sz w:val="24"/>
          <w:lang w:bidi="ar"/>
        </w:rPr>
        <w:t>本款约定为：</w:t>
      </w:r>
      <w:r>
        <w:rPr>
          <w:rFonts w:ascii="宋体" w:hAnsi="宋体"/>
          <w:sz w:val="24"/>
          <w:u w:val="single"/>
        </w:rPr>
        <w:t xml:space="preserve">                         </w:t>
      </w:r>
      <w:r>
        <w:rPr>
          <w:rFonts w:hint="eastAsia" w:ascii="宋体" w:hAnsi="宋体"/>
          <w:sz w:val="24"/>
        </w:rPr>
        <w:t>。</w:t>
      </w:r>
      <w:r>
        <w:rPr>
          <w:rFonts w:hint="eastAsia" w:ascii="宋体" w:hAnsi="宋体"/>
          <w:sz w:val="24"/>
          <w:lang w:bidi="ar"/>
        </w:rPr>
        <w:t xml:space="preserve"> </w:t>
      </w:r>
    </w:p>
    <w:p w14:paraId="22E7DDCD">
      <w:pPr>
        <w:pStyle w:val="2"/>
        <w:numPr>
          <w:ilvl w:val="0"/>
          <w:numId w:val="5"/>
        </w:numPr>
        <w:spacing w:before="360" w:after="240" w:line="240" w:lineRule="atLeast"/>
        <w:rPr>
          <w:rFonts w:ascii="黑体"/>
          <w:b w:val="0"/>
          <w:sz w:val="28"/>
          <w:szCs w:val="28"/>
        </w:rPr>
      </w:pPr>
      <w:bookmarkStart w:id="739" w:name="_Toc53685725"/>
      <w:r>
        <w:rPr>
          <w:rFonts w:hint="eastAsia" w:ascii="黑体"/>
          <w:b w:val="0"/>
          <w:sz w:val="28"/>
          <w:szCs w:val="28"/>
        </w:rPr>
        <w:t>监理人</w:t>
      </w:r>
      <w:bookmarkEnd w:id="739"/>
    </w:p>
    <w:p w14:paraId="5CF526DE">
      <w:pPr>
        <w:pStyle w:val="2"/>
        <w:spacing w:before="240" w:after="240" w:line="240" w:lineRule="atLeast"/>
        <w:rPr>
          <w:rFonts w:ascii="黑体"/>
          <w:b w:val="0"/>
          <w:sz w:val="24"/>
          <w:szCs w:val="24"/>
        </w:rPr>
      </w:pPr>
      <w:bookmarkStart w:id="740" w:name="_Toc53685726"/>
      <w:r>
        <w:rPr>
          <w:rFonts w:ascii="黑体"/>
          <w:b w:val="0"/>
          <w:sz w:val="24"/>
          <w:szCs w:val="24"/>
        </w:rPr>
        <w:t>3.1</w:t>
      </w:r>
      <w:r>
        <w:rPr>
          <w:rFonts w:hint="eastAsia" w:ascii="黑体"/>
          <w:b w:val="0"/>
          <w:sz w:val="24"/>
          <w:szCs w:val="24"/>
          <w:lang w:val="en-US" w:eastAsia="zh-CN"/>
        </w:rPr>
        <w:t xml:space="preserve"> </w:t>
      </w:r>
      <w:r>
        <w:rPr>
          <w:rFonts w:hint="eastAsia" w:ascii="黑体"/>
          <w:b w:val="0"/>
          <w:sz w:val="24"/>
          <w:szCs w:val="24"/>
        </w:rPr>
        <w:t>监理人的职责和权力</w:t>
      </w:r>
      <w:bookmarkEnd w:id="740"/>
    </w:p>
    <w:p w14:paraId="18A5DF51">
      <w:pPr>
        <w:pStyle w:val="26"/>
        <w:snapToGrid w:val="0"/>
        <w:spacing w:line="360" w:lineRule="auto"/>
        <w:ind w:firstLine="470" w:firstLineChars="196"/>
        <w:rPr>
          <w:rFonts w:hAnsi="宋体"/>
          <w:sz w:val="24"/>
          <w:szCs w:val="24"/>
        </w:rPr>
      </w:pPr>
      <w:r>
        <w:rPr>
          <w:rFonts w:hint="eastAsia" w:hAnsi="宋体"/>
          <w:bCs/>
          <w:sz w:val="24"/>
          <w:szCs w:val="24"/>
        </w:rPr>
        <w:t>第</w:t>
      </w:r>
      <w:r>
        <w:rPr>
          <w:rFonts w:hAnsi="宋体"/>
          <w:bCs/>
          <w:sz w:val="24"/>
          <w:szCs w:val="24"/>
        </w:rPr>
        <w:t>3.1.1</w:t>
      </w:r>
      <w:r>
        <w:rPr>
          <w:rFonts w:hint="eastAsia" w:hAnsi="宋体"/>
          <w:bCs/>
          <w:sz w:val="24"/>
          <w:szCs w:val="24"/>
        </w:rPr>
        <w:t>项</w:t>
      </w:r>
      <w:r>
        <w:rPr>
          <w:rFonts w:hint="eastAsia" w:hAnsi="宋体"/>
          <w:sz w:val="24"/>
          <w:szCs w:val="24"/>
        </w:rPr>
        <w:t>（</w:t>
      </w:r>
      <w:r>
        <w:rPr>
          <w:rFonts w:hAnsi="宋体"/>
          <w:sz w:val="24"/>
          <w:szCs w:val="24"/>
        </w:rPr>
        <w:t>6</w:t>
      </w:r>
      <w:r>
        <w:rPr>
          <w:rFonts w:hint="eastAsia" w:hAnsi="宋体"/>
          <w:sz w:val="24"/>
          <w:szCs w:val="24"/>
        </w:rPr>
        <w:t>）</w:t>
      </w:r>
      <w:r>
        <w:rPr>
          <w:rFonts w:hint="eastAsia" w:hAnsi="宋体" w:cs="宋体"/>
          <w:sz w:val="24"/>
          <w:szCs w:val="24"/>
        </w:rPr>
        <w:t>～</w:t>
      </w:r>
      <w:r>
        <w:rPr>
          <w:rFonts w:hint="eastAsia" w:hAnsi="宋体"/>
          <w:sz w:val="24"/>
          <w:szCs w:val="24"/>
        </w:rPr>
        <w:t>（</w:t>
      </w:r>
      <w:r>
        <w:rPr>
          <w:rFonts w:hAnsi="宋体"/>
          <w:sz w:val="24"/>
          <w:szCs w:val="24"/>
        </w:rPr>
        <w:t>10</w:t>
      </w:r>
      <w:r>
        <w:rPr>
          <w:rFonts w:hint="eastAsia" w:hAnsi="宋体"/>
          <w:sz w:val="24"/>
          <w:szCs w:val="24"/>
        </w:rPr>
        <w:t>）目约定为：</w:t>
      </w:r>
    </w:p>
    <w:p w14:paraId="724084F7">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）针对变更工程，监理人的权力范围：按照交通运输部、四川省交通运输厅、发包人上级单位及发包人有关管理办法执行。</w:t>
      </w:r>
    </w:p>
    <w:p w14:paraId="61AC72C6">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w:t>
      </w:r>
      <w:r>
        <w:rPr>
          <w:rFonts w:ascii="宋体" w:hAnsi="宋体"/>
          <w:sz w:val="24"/>
        </w:rPr>
        <w:t>7</w:t>
      </w:r>
      <w:r>
        <w:rPr>
          <w:rFonts w:hint="eastAsia" w:ascii="宋体" w:hAnsi="宋体"/>
          <w:sz w:val="24"/>
        </w:rPr>
        <w:t>）审查第</w:t>
      </w:r>
      <w:r>
        <w:rPr>
          <w:rFonts w:ascii="宋体" w:hAnsi="宋体"/>
          <w:sz w:val="24"/>
        </w:rPr>
        <w:t>15.3</w:t>
      </w:r>
      <w:r>
        <w:rPr>
          <w:rFonts w:hint="eastAsia" w:ascii="宋体" w:hAnsi="宋体"/>
          <w:sz w:val="24"/>
        </w:rPr>
        <w:t>款下变更工作的单价</w:t>
      </w:r>
      <w:r>
        <w:rPr>
          <w:rFonts w:hint="eastAsia" w:ascii="宋体" w:hAnsi="宋体"/>
          <w:sz w:val="24"/>
          <w:lang w:eastAsia="zh-CN"/>
        </w:rPr>
        <w:t>；</w:t>
      </w:r>
    </w:p>
    <w:p w14:paraId="78F51A66">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w:t>
      </w:r>
      <w:r>
        <w:rPr>
          <w:rFonts w:ascii="宋体" w:hAnsi="宋体"/>
          <w:sz w:val="24"/>
        </w:rPr>
        <w:t>8</w:t>
      </w:r>
      <w:r>
        <w:rPr>
          <w:rFonts w:hint="eastAsia" w:ascii="宋体" w:hAnsi="宋体"/>
          <w:sz w:val="24"/>
        </w:rPr>
        <w:t>）按照第</w:t>
      </w:r>
      <w:r>
        <w:rPr>
          <w:rFonts w:ascii="宋体" w:hAnsi="宋体"/>
          <w:sz w:val="24"/>
        </w:rPr>
        <w:t>15.4</w:t>
      </w:r>
      <w:r>
        <w:rPr>
          <w:rFonts w:hint="eastAsia" w:ascii="宋体" w:hAnsi="宋体"/>
          <w:sz w:val="24"/>
        </w:rPr>
        <w:t>款审查有关暂列金额的使用</w:t>
      </w:r>
      <w:r>
        <w:rPr>
          <w:rFonts w:hint="eastAsia" w:ascii="宋体" w:hAnsi="宋体"/>
          <w:sz w:val="24"/>
          <w:lang w:eastAsia="zh-CN"/>
        </w:rPr>
        <w:t>；</w:t>
      </w:r>
    </w:p>
    <w:p w14:paraId="491AB15B">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w:t>
      </w:r>
      <w:r>
        <w:rPr>
          <w:rFonts w:ascii="宋体" w:hAnsi="宋体"/>
          <w:sz w:val="24"/>
        </w:rPr>
        <w:t>9</w:t>
      </w:r>
      <w:r>
        <w:rPr>
          <w:rFonts w:hint="eastAsia" w:ascii="宋体" w:hAnsi="宋体"/>
          <w:sz w:val="24"/>
        </w:rPr>
        <w:t>）审查第</w:t>
      </w:r>
      <w:r>
        <w:rPr>
          <w:rFonts w:ascii="宋体" w:hAnsi="宋体"/>
          <w:sz w:val="24"/>
        </w:rPr>
        <w:t>15.6</w:t>
      </w:r>
      <w:r>
        <w:rPr>
          <w:rFonts w:hint="eastAsia" w:ascii="宋体" w:hAnsi="宋体"/>
          <w:sz w:val="24"/>
        </w:rPr>
        <w:t>款下的暂估价金额</w:t>
      </w:r>
      <w:r>
        <w:rPr>
          <w:rFonts w:hint="eastAsia" w:ascii="宋体" w:hAnsi="宋体"/>
          <w:sz w:val="24"/>
          <w:lang w:eastAsia="zh-CN"/>
        </w:rPr>
        <w:t>；</w:t>
      </w:r>
    </w:p>
    <w:p w14:paraId="5852F63E">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）审查第</w:t>
      </w:r>
      <w:r>
        <w:rPr>
          <w:rFonts w:ascii="宋体" w:hAnsi="宋体"/>
          <w:sz w:val="24"/>
        </w:rPr>
        <w:t>23.1</w:t>
      </w:r>
      <w:r>
        <w:rPr>
          <w:rFonts w:hint="eastAsia" w:ascii="宋体" w:hAnsi="宋体"/>
          <w:sz w:val="24"/>
        </w:rPr>
        <w:t>款下的索赔金额。</w:t>
      </w:r>
    </w:p>
    <w:p w14:paraId="2A14FF76">
      <w:pPr>
        <w:adjustRightInd w:val="0"/>
        <w:snapToGrid w:val="0"/>
        <w:spacing w:line="360" w:lineRule="auto"/>
        <w:ind w:right="210"/>
        <w:rPr>
          <w:rFonts w:ascii="宋体" w:hAnsi="宋体"/>
          <w:sz w:val="24"/>
        </w:rPr>
      </w:pPr>
      <w:r>
        <w:rPr>
          <w:rFonts w:ascii="黑体"/>
          <w:sz w:val="24"/>
        </w:rPr>
        <w:t>3.</w:t>
      </w:r>
      <w:r>
        <w:rPr>
          <w:rFonts w:hint="eastAsia" w:ascii="黑体"/>
          <w:sz w:val="24"/>
        </w:rPr>
        <w:t>4</w:t>
      </w:r>
      <w:r>
        <w:rPr>
          <w:rFonts w:ascii="黑体"/>
          <w:sz w:val="24"/>
        </w:rPr>
        <w:t xml:space="preserve"> </w:t>
      </w:r>
      <w:r>
        <w:rPr>
          <w:rFonts w:hint="eastAsia" w:ascii="黑体"/>
          <w:sz w:val="24"/>
        </w:rPr>
        <w:t>监理人的指示</w:t>
      </w:r>
    </w:p>
    <w:p w14:paraId="62F5CA86">
      <w:pPr>
        <w:widowControl/>
        <w:adjustRightInd w:val="0"/>
        <w:snapToGrid w:val="0"/>
        <w:spacing w:line="360" w:lineRule="auto"/>
        <w:ind w:left="0" w:right="210" w:firstLine="480" w:firstLineChars="200"/>
        <w:jc w:val="both"/>
        <w:rPr>
          <w:rFonts w:hint="eastAsia" w:ascii="宋体" w:hAnsi="宋体"/>
          <w:sz w:val="24"/>
          <w:lang w:bidi="ar"/>
        </w:rPr>
      </w:pPr>
      <w:r>
        <w:rPr>
          <w:rFonts w:hint="eastAsia" w:ascii="宋体" w:hAnsi="宋体"/>
          <w:sz w:val="24"/>
          <w:lang w:bidi="ar"/>
        </w:rPr>
        <w:t>第3.4.1项补充：</w:t>
      </w:r>
    </w:p>
    <w:p w14:paraId="3ECDA43F">
      <w:pPr>
        <w:widowControl/>
        <w:adjustRightInd w:val="0"/>
        <w:snapToGrid w:val="0"/>
        <w:spacing w:line="360" w:lineRule="auto"/>
        <w:ind w:left="0" w:right="210" w:firstLine="480" w:firstLineChars="200"/>
        <w:jc w:val="both"/>
        <w:rPr>
          <w:rFonts w:ascii="宋体" w:hAnsi="宋体"/>
          <w:sz w:val="24"/>
        </w:rPr>
      </w:pPr>
      <w:r>
        <w:rPr>
          <w:rFonts w:hint="eastAsia" w:ascii="宋体" w:hAnsi="宋体"/>
          <w:sz w:val="24"/>
          <w:lang w:bidi="ar"/>
        </w:rPr>
        <w:t xml:space="preserve">监理人发出的现场口头指示，承包人应立即执行，但监理人应补发正式指令。 </w:t>
      </w:r>
    </w:p>
    <w:p w14:paraId="552213FE">
      <w:pPr>
        <w:widowControl/>
        <w:adjustRightInd w:val="0"/>
        <w:snapToGrid w:val="0"/>
        <w:spacing w:line="360" w:lineRule="auto"/>
        <w:ind w:left="0" w:right="210" w:firstLine="480" w:firstLineChars="200"/>
        <w:jc w:val="both"/>
        <w:rPr>
          <w:rFonts w:hint="eastAsia" w:ascii="宋体" w:hAnsi="宋体"/>
          <w:sz w:val="24"/>
          <w:lang w:bidi="ar"/>
        </w:rPr>
      </w:pPr>
      <w:r>
        <w:rPr>
          <w:rFonts w:hint="eastAsia" w:ascii="宋体" w:hAnsi="宋体"/>
          <w:sz w:val="24"/>
          <w:lang w:bidi="ar"/>
        </w:rPr>
        <w:t>第3.4.4项补充：</w:t>
      </w:r>
    </w:p>
    <w:p w14:paraId="7D8987CD">
      <w:pPr>
        <w:widowControl/>
        <w:adjustRightInd w:val="0"/>
        <w:snapToGrid w:val="0"/>
        <w:spacing w:line="360" w:lineRule="auto"/>
        <w:ind w:left="0" w:right="210" w:firstLine="480" w:firstLineChars="200"/>
        <w:jc w:val="both"/>
        <w:rPr>
          <w:rFonts w:ascii="宋体" w:hAnsi="宋体"/>
          <w:sz w:val="24"/>
        </w:rPr>
      </w:pPr>
      <w:r>
        <w:rPr>
          <w:rFonts w:hint="eastAsia" w:ascii="宋体" w:hAnsi="宋体"/>
          <w:sz w:val="24"/>
          <w:lang w:bidi="ar"/>
        </w:rPr>
        <w:t xml:space="preserve">承包人还应执行发包人及上级主管部门的指示。 </w:t>
      </w:r>
    </w:p>
    <w:p w14:paraId="69309E6F">
      <w:pPr>
        <w:widowControl/>
        <w:adjustRightInd w:val="0"/>
        <w:snapToGrid w:val="0"/>
        <w:spacing w:line="360" w:lineRule="auto"/>
        <w:ind w:left="0" w:right="210" w:firstLine="480" w:firstLineChars="200"/>
        <w:jc w:val="both"/>
        <w:rPr>
          <w:rFonts w:hint="eastAsia" w:ascii="宋体" w:hAnsi="宋体"/>
          <w:sz w:val="24"/>
          <w:lang w:bidi="ar"/>
        </w:rPr>
      </w:pPr>
      <w:r>
        <w:rPr>
          <w:rFonts w:hint="eastAsia" w:ascii="宋体" w:hAnsi="宋体"/>
          <w:sz w:val="24"/>
          <w:lang w:bidi="ar"/>
        </w:rPr>
        <w:t>第3.4.5项细化为：</w:t>
      </w:r>
    </w:p>
    <w:p w14:paraId="5A846EE3">
      <w:pPr>
        <w:widowControl/>
        <w:adjustRightInd w:val="0"/>
        <w:snapToGrid w:val="0"/>
        <w:spacing w:line="360" w:lineRule="auto"/>
        <w:ind w:left="0" w:right="210" w:firstLine="480" w:firstLineChars="200"/>
        <w:jc w:val="both"/>
        <w:rPr>
          <w:rFonts w:ascii="宋体" w:hAnsi="宋体"/>
          <w:sz w:val="24"/>
        </w:rPr>
      </w:pPr>
      <w:r>
        <w:rPr>
          <w:rFonts w:hint="eastAsia" w:ascii="宋体" w:hAnsi="宋体"/>
          <w:sz w:val="24"/>
          <w:lang w:bidi="ar"/>
        </w:rPr>
        <w:t>由于监理人未能按合同约定发出指示、指示延误或指示错误而导致承包人费用增加和（或）工期延误的，发包人应承担由此增加的费用和（或）工期延误。</w:t>
      </w:r>
    </w:p>
    <w:p w14:paraId="1DD232C3">
      <w:pPr>
        <w:pStyle w:val="2"/>
        <w:spacing w:before="240" w:after="240" w:line="240" w:lineRule="atLeast"/>
        <w:rPr>
          <w:rFonts w:ascii="黑体"/>
          <w:sz w:val="24"/>
          <w:szCs w:val="24"/>
        </w:rPr>
      </w:pPr>
      <w:r>
        <w:rPr>
          <w:rFonts w:ascii="黑体"/>
          <w:b w:val="0"/>
          <w:sz w:val="24"/>
          <w:szCs w:val="24"/>
        </w:rPr>
        <w:t xml:space="preserve">3.5 </w:t>
      </w:r>
      <w:r>
        <w:rPr>
          <w:rFonts w:hint="eastAsia" w:ascii="黑体"/>
          <w:b w:val="0"/>
          <w:sz w:val="24"/>
          <w:szCs w:val="24"/>
        </w:rPr>
        <w:t>商定或确定</w:t>
      </w:r>
      <w:r>
        <w:rPr>
          <w:rFonts w:ascii="黑体"/>
          <w:b w:val="0"/>
          <w:sz w:val="24"/>
          <w:szCs w:val="24"/>
        </w:rPr>
        <w:t xml:space="preserve"> </w:t>
      </w:r>
    </w:p>
    <w:p w14:paraId="2629FF09">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3.5.1</w:t>
      </w:r>
      <w:r>
        <w:rPr>
          <w:rFonts w:hint="eastAsia" w:ascii="宋体" w:hAnsi="宋体"/>
          <w:sz w:val="24"/>
        </w:rPr>
        <w:t>项补充：</w:t>
      </w:r>
      <w:r>
        <w:rPr>
          <w:rFonts w:ascii="宋体" w:hAnsi="宋体"/>
          <w:sz w:val="24"/>
        </w:rPr>
        <w:t xml:space="preserve"> </w:t>
      </w:r>
    </w:p>
    <w:p w14:paraId="12551AB5">
      <w:pPr>
        <w:adjustRightInd w:val="0"/>
        <w:snapToGrid w:val="0"/>
        <w:spacing w:line="360" w:lineRule="auto"/>
        <w:ind w:firstLine="480" w:firstLineChars="200"/>
        <w:rPr>
          <w:rFonts w:ascii="宋体" w:hAnsi="宋体"/>
          <w:sz w:val="24"/>
        </w:rPr>
      </w:pPr>
      <w:r>
        <w:rPr>
          <w:rFonts w:hint="eastAsia" w:ascii="宋体" w:hAnsi="宋体"/>
          <w:sz w:val="24"/>
        </w:rPr>
        <w:t>如果这项商定或确定导致费用增加和（或）工期延长，或者涉及确定变更工程的价格，则总监理工程师在发出通知前，应征得发包人的同意。</w:t>
      </w:r>
    </w:p>
    <w:p w14:paraId="4E7257A0">
      <w:pPr>
        <w:pStyle w:val="2"/>
        <w:numPr>
          <w:ilvl w:val="0"/>
          <w:numId w:val="5"/>
        </w:numPr>
        <w:spacing w:before="360" w:after="240" w:line="240" w:lineRule="atLeast"/>
        <w:ind w:left="0" w:firstLine="0"/>
        <w:rPr>
          <w:rFonts w:ascii="黑体"/>
          <w:b w:val="0"/>
          <w:sz w:val="28"/>
          <w:szCs w:val="28"/>
        </w:rPr>
      </w:pPr>
      <w:bookmarkStart w:id="741" w:name="_Toc53685727"/>
      <w:r>
        <w:rPr>
          <w:rFonts w:hint="eastAsia" w:ascii="黑体"/>
          <w:b w:val="0"/>
          <w:sz w:val="28"/>
          <w:szCs w:val="28"/>
        </w:rPr>
        <w:t>承包人</w:t>
      </w:r>
      <w:bookmarkEnd w:id="741"/>
    </w:p>
    <w:p w14:paraId="32BD598B">
      <w:pPr>
        <w:pStyle w:val="2"/>
        <w:spacing w:before="240" w:after="240" w:line="240" w:lineRule="atLeast"/>
        <w:rPr>
          <w:rFonts w:ascii="黑体"/>
          <w:b w:val="0"/>
          <w:sz w:val="24"/>
          <w:szCs w:val="24"/>
        </w:rPr>
      </w:pPr>
      <w:bookmarkStart w:id="742" w:name="_Toc53685728"/>
      <w:r>
        <w:rPr>
          <w:rFonts w:ascii="黑体"/>
          <w:b w:val="0"/>
          <w:sz w:val="24"/>
          <w:szCs w:val="24"/>
        </w:rPr>
        <w:t>4.1</w:t>
      </w:r>
      <w:r>
        <w:rPr>
          <w:rFonts w:hint="eastAsia" w:ascii="黑体"/>
          <w:b w:val="0"/>
          <w:sz w:val="24"/>
          <w:szCs w:val="24"/>
          <w:lang w:val="en-US" w:eastAsia="zh-CN"/>
        </w:rPr>
        <w:t xml:space="preserve"> </w:t>
      </w:r>
      <w:r>
        <w:rPr>
          <w:rFonts w:hint="eastAsia" w:ascii="黑体"/>
          <w:b w:val="0"/>
          <w:sz w:val="24"/>
          <w:szCs w:val="24"/>
        </w:rPr>
        <w:t>承包人的一般义务</w:t>
      </w:r>
      <w:bookmarkEnd w:id="742"/>
    </w:p>
    <w:p w14:paraId="676F37D5">
      <w:pPr>
        <w:adjustRightInd w:val="0"/>
        <w:snapToGrid w:val="0"/>
        <w:spacing w:line="360" w:lineRule="auto"/>
        <w:ind w:firstLine="360" w:firstLineChars="150"/>
        <w:rPr>
          <w:rFonts w:ascii="黑体" w:hAnsi="黑体" w:eastAsia="黑体"/>
          <w:sz w:val="24"/>
        </w:rPr>
      </w:pPr>
      <w:r>
        <w:rPr>
          <w:rFonts w:ascii="黑体" w:hAnsi="黑体" w:eastAsia="黑体"/>
          <w:sz w:val="24"/>
        </w:rPr>
        <w:t>4.1.1</w:t>
      </w:r>
      <w:r>
        <w:rPr>
          <w:rFonts w:hint="eastAsia" w:ascii="黑体" w:hAnsi="黑体" w:eastAsia="黑体"/>
          <w:sz w:val="24"/>
          <w:lang w:val="en-US" w:eastAsia="zh-CN"/>
        </w:rPr>
        <w:t xml:space="preserve"> </w:t>
      </w:r>
      <w:r>
        <w:rPr>
          <w:rFonts w:hint="eastAsia" w:ascii="黑体" w:hAnsi="黑体" w:eastAsia="黑体"/>
          <w:sz w:val="24"/>
        </w:rPr>
        <w:t>遵守法律</w:t>
      </w:r>
    </w:p>
    <w:p w14:paraId="73391450">
      <w:pPr>
        <w:adjustRightInd w:val="0"/>
        <w:snapToGrid w:val="0"/>
        <w:spacing w:line="360" w:lineRule="auto"/>
        <w:ind w:firstLine="480" w:firstLineChars="200"/>
        <w:rPr>
          <w:rFonts w:ascii="宋体" w:hAnsi="宋体"/>
          <w:sz w:val="24"/>
        </w:rPr>
      </w:pPr>
      <w:r>
        <w:rPr>
          <w:rFonts w:hint="eastAsia" w:ascii="宋体" w:hAnsi="宋体"/>
          <w:sz w:val="24"/>
        </w:rPr>
        <w:t>本项补充：</w:t>
      </w:r>
    </w:p>
    <w:p w14:paraId="5CBDC08F">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）承包人应遵守现行的所有法律，不论是国家、省、市</w:t>
      </w:r>
      <w:r>
        <w:rPr>
          <w:rFonts w:hint="eastAsia" w:ascii="宋体" w:hAnsi="宋体"/>
          <w:sz w:val="24"/>
          <w:lang w:val="en-US" w:eastAsia="zh-CN"/>
        </w:rPr>
        <w:t>的</w:t>
      </w:r>
      <w:r>
        <w:rPr>
          <w:rFonts w:hint="eastAsia" w:ascii="宋体" w:hAnsi="宋体"/>
          <w:sz w:val="24"/>
        </w:rPr>
        <w:t>还是影响合同执行并对承包人有约束的法律。如果因承包人或其派遣人员违反了这些法律，从而导致债务、损失、索赔、罚金、处罚等费用，不论其性质如何，由承包人自行承担。</w:t>
      </w:r>
    </w:p>
    <w:p w14:paraId="24663143">
      <w:pPr>
        <w:adjustRightInd w:val="0"/>
        <w:snapToGrid w:val="0"/>
        <w:spacing w:line="360" w:lineRule="auto"/>
        <w:ind w:firstLine="480" w:firstLineChars="200"/>
        <w:rPr>
          <w:rFonts w:asciiTheme="minorEastAsia" w:hAnsiTheme="minorEastAsia" w:eastAsiaTheme="minorEastAsia"/>
          <w:b/>
          <w:sz w:val="24"/>
        </w:rPr>
      </w:pPr>
      <w:r>
        <w:rPr>
          <w:rFonts w:hint="eastAsia" w:ascii="宋体" w:hAnsi="宋体"/>
          <w:sz w:val="24"/>
        </w:rPr>
        <w:t>（</w:t>
      </w:r>
      <w:r>
        <w:rPr>
          <w:rFonts w:ascii="宋体" w:hAnsi="宋体"/>
          <w:sz w:val="24"/>
        </w:rPr>
        <w:t>2</w:t>
      </w:r>
      <w:r>
        <w:rPr>
          <w:rFonts w:hint="eastAsia" w:ascii="宋体" w:hAnsi="宋体"/>
          <w:sz w:val="24"/>
        </w:rPr>
        <w:t>）承包人应保护和保障发包人免于承担由于承包人的疏忽不当行为造成的所有索赔、诉讼、损害赔偿、诉讼费、收费及其他的责任。</w:t>
      </w:r>
    </w:p>
    <w:p w14:paraId="477D8580">
      <w:pPr>
        <w:adjustRightInd w:val="0"/>
        <w:snapToGrid w:val="0"/>
        <w:spacing w:line="360" w:lineRule="auto"/>
        <w:ind w:firstLine="360" w:firstLineChars="150"/>
        <w:rPr>
          <w:rFonts w:ascii="黑体" w:hAnsi="黑体" w:eastAsia="黑体"/>
          <w:sz w:val="24"/>
        </w:rPr>
      </w:pPr>
      <w:r>
        <w:rPr>
          <w:rFonts w:ascii="黑体" w:hAnsi="黑体" w:eastAsia="黑体"/>
          <w:sz w:val="24"/>
        </w:rPr>
        <w:t>4.1.2</w:t>
      </w:r>
      <w:r>
        <w:rPr>
          <w:rFonts w:hint="eastAsia" w:ascii="黑体" w:hAnsi="黑体" w:eastAsia="黑体"/>
          <w:sz w:val="24"/>
          <w:lang w:val="en-US" w:eastAsia="zh-CN"/>
        </w:rPr>
        <w:t xml:space="preserve"> </w:t>
      </w:r>
      <w:r>
        <w:rPr>
          <w:rFonts w:hint="eastAsia" w:ascii="黑体" w:hAnsi="黑体" w:eastAsia="黑体"/>
          <w:sz w:val="24"/>
        </w:rPr>
        <w:t>依法纳税</w:t>
      </w:r>
    </w:p>
    <w:p w14:paraId="593EC0EC">
      <w:pPr>
        <w:adjustRightInd w:val="0"/>
        <w:snapToGrid w:val="0"/>
        <w:spacing w:line="360" w:lineRule="auto"/>
        <w:ind w:firstLine="480" w:firstLineChars="200"/>
        <w:rPr>
          <w:rFonts w:hint="eastAsia" w:ascii="宋体" w:hAnsi="宋体"/>
          <w:sz w:val="24"/>
        </w:rPr>
      </w:pPr>
      <w:r>
        <w:rPr>
          <w:rFonts w:hint="eastAsia" w:ascii="宋体" w:hAnsi="宋体"/>
          <w:sz w:val="24"/>
        </w:rPr>
        <w:t>本项细化为：</w:t>
      </w:r>
      <w:bookmarkStart w:id="743" w:name="_Hlk98429633"/>
    </w:p>
    <w:p w14:paraId="229DEDFC">
      <w:pPr>
        <w:adjustRightInd w:val="0"/>
        <w:snapToGrid w:val="0"/>
        <w:spacing w:line="360" w:lineRule="auto"/>
        <w:ind w:firstLine="480" w:firstLineChars="200"/>
        <w:rPr>
          <w:rFonts w:hAnsi="宋体"/>
          <w:sz w:val="24"/>
        </w:rPr>
      </w:pPr>
      <w:r>
        <w:rPr>
          <w:rFonts w:hint="eastAsia" w:ascii="宋体" w:hAnsi="宋体"/>
          <w:sz w:val="24"/>
        </w:rPr>
        <w:t>承包人应按照有关法律法规规定缴纳一切税、费，应缴纳的税、费包含在其合同价格内。工程量清单相关子目单价、总额价和投标总报价均为包括增值税及各种附加在内的全部税、费</w:t>
      </w:r>
      <w:bookmarkEnd w:id="743"/>
      <w:r>
        <w:rPr>
          <w:rFonts w:hint="eastAsia" w:ascii="宋体" w:hAnsi="宋体"/>
          <w:sz w:val="24"/>
        </w:rPr>
        <w:t>。</w:t>
      </w:r>
    </w:p>
    <w:p w14:paraId="4B74541C">
      <w:pPr>
        <w:adjustRightInd w:val="0"/>
        <w:snapToGrid w:val="0"/>
        <w:spacing w:line="360" w:lineRule="auto"/>
        <w:ind w:firstLine="480" w:firstLineChars="200"/>
        <w:rPr>
          <w:rFonts w:hint="eastAsia" w:ascii="宋体" w:hAnsi="宋体"/>
          <w:sz w:val="24"/>
        </w:rPr>
      </w:pPr>
      <w:r>
        <w:rPr>
          <w:rFonts w:hint="eastAsia" w:ascii="宋体" w:hAnsi="宋体"/>
          <w:sz w:val="24"/>
        </w:rPr>
        <w:t>承包人按照税务机关认定的计税方法向发包人提供合规的增值税发票后，发包人才向承包人支付工程价款。如承包人提供的增值税专用发票不规范、不合法或涉嫌虚开，承包人须承担赔偿责任，同时不免除其开具合法增值税专用发票的义务。</w:t>
      </w:r>
    </w:p>
    <w:p w14:paraId="3D306F5E">
      <w:pPr>
        <w:adjustRightInd w:val="0"/>
        <w:snapToGrid w:val="0"/>
        <w:spacing w:line="360" w:lineRule="auto"/>
        <w:ind w:firstLine="480" w:firstLineChars="200"/>
        <w:rPr>
          <w:rFonts w:ascii="宋体" w:hAnsi="宋体" w:eastAsia="黑体"/>
          <w:sz w:val="24"/>
        </w:rPr>
      </w:pPr>
      <w:r>
        <w:rPr>
          <w:rFonts w:hint="eastAsia" w:ascii="宋体" w:hAnsi="宋体" w:cs="宋体"/>
          <w:sz w:val="24"/>
        </w:rPr>
        <w:t>一般情形下增值</w:t>
      </w:r>
      <w:r>
        <w:rPr>
          <w:rFonts w:hint="eastAsia" w:hAnsi="宋体"/>
          <w:sz w:val="24"/>
        </w:rPr>
        <w:t>税调整的，合同价格不进行调整。发包人若有特别约定的，具体约定为：</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int="eastAsia" w:hAnsi="宋体"/>
          <w:sz w:val="24"/>
        </w:rPr>
        <w:t>。</w:t>
      </w:r>
    </w:p>
    <w:p w14:paraId="39F79939">
      <w:pPr>
        <w:adjustRightInd w:val="0"/>
        <w:snapToGrid w:val="0"/>
        <w:spacing w:line="360" w:lineRule="auto"/>
        <w:ind w:firstLine="360" w:firstLineChars="150"/>
        <w:rPr>
          <w:rFonts w:ascii="黑体" w:hAnsi="黑体" w:eastAsia="黑体"/>
          <w:sz w:val="24"/>
        </w:rPr>
      </w:pPr>
      <w:r>
        <w:rPr>
          <w:rFonts w:ascii="黑体" w:hAnsi="黑体" w:eastAsia="黑体"/>
          <w:sz w:val="24"/>
        </w:rPr>
        <w:t>4.1.8</w:t>
      </w:r>
      <w:r>
        <w:rPr>
          <w:rFonts w:hint="eastAsia" w:ascii="黑体" w:hAnsi="黑体" w:eastAsia="黑体"/>
          <w:sz w:val="24"/>
          <w:lang w:val="en-US" w:eastAsia="zh-CN"/>
        </w:rPr>
        <w:t xml:space="preserve"> </w:t>
      </w:r>
      <w:r>
        <w:rPr>
          <w:rFonts w:hint="eastAsia" w:ascii="黑体" w:hAnsi="黑体" w:eastAsia="黑体"/>
          <w:sz w:val="24"/>
        </w:rPr>
        <w:t>为他人提供方便</w:t>
      </w:r>
    </w:p>
    <w:p w14:paraId="1FB4338B">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本项补充：</w:t>
      </w:r>
    </w:p>
    <w:p w14:paraId="47B5D697">
      <w:pPr>
        <w:spacing w:line="360" w:lineRule="auto"/>
        <w:ind w:firstLine="480" w:firstLineChars="200"/>
        <w:rPr>
          <w:rFonts w:ascii="宋体" w:hAnsi="宋体"/>
          <w:sz w:val="24"/>
        </w:rPr>
      </w:pPr>
      <w:r>
        <w:rPr>
          <w:rFonts w:hint="eastAsia" w:ascii="宋体" w:hAnsi="宋体"/>
          <w:sz w:val="24"/>
        </w:rPr>
        <w:t>（</w:t>
      </w:r>
      <w:r>
        <w:rPr>
          <w:rFonts w:ascii="宋体" w:hAnsi="宋体"/>
          <w:sz w:val="24"/>
        </w:rPr>
        <w:t>1）承包人除按合同规定承担本工程实施、完成及修复缺陷外，还应配合经发</w:t>
      </w:r>
      <w:r>
        <w:rPr>
          <w:rFonts w:hint="eastAsia" w:ascii="宋体" w:hAnsi="宋体"/>
          <w:sz w:val="24"/>
        </w:rPr>
        <w:t>包人接受的其他承包人的施工，对施工有交叉、有衔接的施工项目，承包人应按监理人、发包人要求做好配合工作。若出现矛盾或纠纷，承包人应无条件服从监理人或发包人的安排协调，由此产生的费用由承包人自行承担。若承包人在配合工作中，由于自身原因造成已实施工程损坏的，承包人应承担全部责任和费用。</w:t>
      </w:r>
    </w:p>
    <w:p w14:paraId="78288DAD">
      <w:pPr>
        <w:adjustRightInd w:val="0"/>
        <w:snapToGrid w:val="0"/>
        <w:spacing w:line="360" w:lineRule="auto"/>
        <w:ind w:firstLine="422"/>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）与第三方</w:t>
      </w:r>
      <w:r>
        <w:rPr>
          <w:rFonts w:ascii="宋体" w:hAnsi="宋体"/>
          <w:sz w:val="24"/>
        </w:rPr>
        <w:t>单位（</w:t>
      </w:r>
      <w:r>
        <w:rPr>
          <w:rFonts w:hint="eastAsia" w:ascii="宋体" w:hAnsi="宋体"/>
          <w:sz w:val="24"/>
        </w:rPr>
        <w:t>包括检测、监控、科研单位等</w:t>
      </w:r>
      <w:r>
        <w:rPr>
          <w:rFonts w:ascii="宋体" w:hAnsi="宋体"/>
          <w:sz w:val="24"/>
        </w:rPr>
        <w:t>）的配合</w:t>
      </w:r>
      <w:r>
        <w:rPr>
          <w:rFonts w:hint="eastAsia" w:ascii="宋体" w:hAnsi="宋体"/>
          <w:sz w:val="24"/>
        </w:rPr>
        <w:t>（如有）：</w:t>
      </w:r>
    </w:p>
    <w:p w14:paraId="3253368B">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承包人应协助本项目</w:t>
      </w:r>
      <w:r>
        <w:rPr>
          <w:rFonts w:ascii="宋体" w:hAnsi="宋体"/>
          <w:sz w:val="24"/>
        </w:rPr>
        <w:t>施工有关的</w:t>
      </w:r>
      <w:r>
        <w:rPr>
          <w:rFonts w:hint="eastAsia" w:ascii="宋体" w:hAnsi="宋体"/>
          <w:sz w:val="24"/>
        </w:rPr>
        <w:t>第三方单位的工作，委派专人积极做好配合工作；</w:t>
      </w:r>
    </w:p>
    <w:p w14:paraId="152D975F">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承包人应熟悉第三方单位的检测、监控、科研实施方案和流程，对此提出相应的配合工作方案，并须经监理人审批同意；</w:t>
      </w:r>
    </w:p>
    <w:p w14:paraId="2BB7BC9D">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施工检测、监控、科研过程中，在监理人的统一调配下，承包人应尽可能地提供人员、材料、设备的便利，以便施工检测、监控、科研工作顺利地进行；</w:t>
      </w:r>
    </w:p>
    <w:p w14:paraId="6F3238FC">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4 \* GB3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承包人应参与检测、监控、科研资料的总结与分析工作；</w:t>
      </w:r>
    </w:p>
    <w:p w14:paraId="08483E79">
      <w:pPr>
        <w:adjustRightInd w:val="0"/>
        <w:snapToGrid w:val="0"/>
        <w:spacing w:line="360" w:lineRule="auto"/>
        <w:ind w:firstLine="472" w:firstLineChars="197"/>
        <w:rPr>
          <w:rFonts w:ascii="宋体" w:hAnsi="宋体"/>
          <w:sz w:val="24"/>
        </w:rPr>
      </w:pPr>
      <w:r>
        <w:rPr>
          <w:rFonts w:ascii="宋体" w:hAnsi="宋体"/>
          <w:sz w:val="24"/>
        </w:rPr>
        <w:fldChar w:fldCharType="begin"/>
      </w:r>
      <w:r>
        <w:rPr>
          <w:rFonts w:ascii="宋体" w:hAnsi="宋体"/>
          <w:sz w:val="24"/>
        </w:rPr>
        <w:instrText xml:space="preserve"> = 5 \* GB3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承包人对科研项目进行辅助、协调、配合工作，所发生的关于科研项目辅助、协调、配合工作的工作量及费用</w:t>
      </w:r>
      <w:bookmarkStart w:id="744" w:name="_Hlk98429738"/>
      <w:r>
        <w:rPr>
          <w:rFonts w:hint="eastAsia" w:ascii="宋体" w:hAnsi="宋体"/>
          <w:sz w:val="24"/>
        </w:rPr>
        <w:t>约定为：</w:t>
      </w:r>
      <w:r>
        <w:rPr>
          <w:rFonts w:ascii="宋体" w:hAnsi="宋体"/>
          <w:sz w:val="24"/>
          <w:u w:val="single"/>
        </w:rPr>
        <w:t xml:space="preserve">          </w:t>
      </w:r>
      <w:r>
        <w:rPr>
          <w:rFonts w:hint="eastAsia" w:ascii="宋体" w:hAnsi="宋体"/>
          <w:sz w:val="24"/>
        </w:rPr>
        <w:t>。</w:t>
      </w:r>
      <w:bookmarkEnd w:id="744"/>
    </w:p>
    <w:p w14:paraId="6DD332B1">
      <w:pPr>
        <w:adjustRightInd w:val="0"/>
        <w:snapToGrid w:val="0"/>
        <w:spacing w:line="360" w:lineRule="auto"/>
        <w:ind w:firstLine="472" w:firstLineChars="197"/>
        <w:rPr>
          <w:rFonts w:ascii="宋体" w:hAnsi="宋体"/>
          <w:sz w:val="24"/>
        </w:rPr>
      </w:pPr>
      <w:bookmarkStart w:id="745" w:name="_Hlk98429756"/>
      <w:r>
        <w:rPr>
          <w:rFonts w:hint="eastAsia" w:ascii="宋体" w:hAnsi="宋体"/>
          <w:sz w:val="24"/>
        </w:rPr>
        <w:t>承包人须充分认识和考虑由于科研项目造成其施工作业的暂时中断或者产生相关费用对承包人的影响，承包人不得以此作为工期、费用的索赔依据。</w:t>
      </w:r>
      <w:bookmarkEnd w:id="745"/>
    </w:p>
    <w:p w14:paraId="4F20323B">
      <w:pPr>
        <w:adjustRightInd w:val="0"/>
        <w:snapToGrid w:val="0"/>
        <w:spacing w:line="360" w:lineRule="auto"/>
        <w:ind w:firstLine="472" w:firstLineChars="197"/>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）与</w:t>
      </w:r>
      <w:r>
        <w:rPr>
          <w:rFonts w:ascii="宋体" w:hAnsi="宋体"/>
          <w:sz w:val="24"/>
        </w:rPr>
        <w:t>项目审计（</w:t>
      </w:r>
      <w:r>
        <w:rPr>
          <w:rFonts w:hint="eastAsia" w:ascii="宋体" w:hAnsi="宋体"/>
          <w:sz w:val="24"/>
        </w:rPr>
        <w:t>含跟踪审计</w:t>
      </w:r>
      <w:r>
        <w:rPr>
          <w:rFonts w:ascii="宋体" w:hAnsi="宋体"/>
          <w:sz w:val="24"/>
        </w:rPr>
        <w:t>）</w:t>
      </w:r>
      <w:r>
        <w:rPr>
          <w:rFonts w:hint="eastAsia" w:ascii="宋体" w:hAnsi="宋体"/>
          <w:sz w:val="24"/>
        </w:rPr>
        <w:t>、</w:t>
      </w:r>
      <w:r>
        <w:rPr>
          <w:rFonts w:ascii="宋体" w:hAnsi="宋体"/>
          <w:sz w:val="24"/>
        </w:rPr>
        <w:t>稽查</w:t>
      </w:r>
      <w:r>
        <w:rPr>
          <w:rFonts w:hint="eastAsia" w:ascii="宋体" w:hAnsi="宋体"/>
          <w:sz w:val="24"/>
        </w:rPr>
        <w:t>、</w:t>
      </w:r>
      <w:r>
        <w:rPr>
          <w:rFonts w:ascii="宋体" w:hAnsi="宋体"/>
          <w:sz w:val="24"/>
        </w:rPr>
        <w:t>检查、汇报等的</w:t>
      </w:r>
      <w:r>
        <w:rPr>
          <w:rFonts w:hint="eastAsia" w:ascii="宋体" w:hAnsi="宋体"/>
          <w:sz w:val="24"/>
        </w:rPr>
        <w:t>配合：</w:t>
      </w:r>
    </w:p>
    <w:p w14:paraId="38391C08">
      <w:pPr>
        <w:tabs>
          <w:tab w:val="left" w:pos="700"/>
        </w:tabs>
        <w:adjustRightInd w:val="0"/>
        <w:snapToGrid w:val="0"/>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rFonts w:hint="eastAsia"/>
          <w:sz w:val="24"/>
        </w:rPr>
        <w:t>与项目相关的审计和稽查，承包人应高度重视并委派专人积极予以配合、服从；</w:t>
      </w:r>
    </w:p>
    <w:p w14:paraId="41EA423E">
      <w:pPr>
        <w:tabs>
          <w:tab w:val="left" w:pos="700"/>
        </w:tabs>
        <w:adjustRightInd w:val="0"/>
        <w:snapToGrid w:val="0"/>
        <w:spacing w:line="360" w:lineRule="auto"/>
        <w:ind w:firstLine="480" w:firstLineChars="200"/>
        <w:rPr>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rFonts w:hint="eastAsia"/>
          <w:sz w:val="24"/>
        </w:rPr>
        <w:t>项目有关的各类统计报表、汇报材料包括交（竣）工验收和项目后评价报告等，承包人有义务配合发包人做好编制工作并提供相应的资料；</w:t>
      </w:r>
    </w:p>
    <w:p w14:paraId="4EBA57BF">
      <w:pPr>
        <w:tabs>
          <w:tab w:val="left" w:pos="700"/>
        </w:tabs>
        <w:adjustRightInd w:val="0"/>
        <w:snapToGrid w:val="0"/>
        <w:spacing w:line="360" w:lineRule="auto"/>
        <w:ind w:firstLine="480" w:firstLineChars="200"/>
        <w:rPr>
          <w:sz w:val="24"/>
        </w:rPr>
      </w:pPr>
      <w:r>
        <w:rPr>
          <w:sz w:val="24"/>
        </w:rPr>
        <w:fldChar w:fldCharType="begin"/>
      </w:r>
      <w:r>
        <w:rPr>
          <w:sz w:val="24"/>
        </w:rPr>
        <w:instrText xml:space="preserve"> = 3 \* GB3 </w:instrText>
      </w:r>
      <w:r>
        <w:rPr>
          <w:sz w:val="24"/>
        </w:rPr>
        <w:fldChar w:fldCharType="separate"/>
      </w:r>
      <w:r>
        <w:rPr>
          <w:rFonts w:hint="eastAsia"/>
          <w:sz w:val="24"/>
        </w:rPr>
        <w:t>③</w:t>
      </w:r>
      <w:r>
        <w:rPr>
          <w:sz w:val="24"/>
        </w:rPr>
        <w:fldChar w:fldCharType="end"/>
      </w:r>
      <w:r>
        <w:rPr>
          <w:rFonts w:hint="eastAsia"/>
          <w:sz w:val="24"/>
        </w:rPr>
        <w:t>承</w:t>
      </w:r>
      <w:bookmarkStart w:id="746" w:name="_Hlk98429784"/>
      <w:r>
        <w:rPr>
          <w:rFonts w:hint="eastAsia"/>
          <w:sz w:val="24"/>
        </w:rPr>
        <w:t>包人应按发包人、监理人和有关文件要求，建立相应的计量、支付和变更台账，并保持其持续有效直至工程决算完成</w:t>
      </w:r>
      <w:bookmarkEnd w:id="746"/>
      <w:r>
        <w:rPr>
          <w:rFonts w:hint="eastAsia"/>
          <w:sz w:val="24"/>
        </w:rPr>
        <w:t>；</w:t>
      </w:r>
    </w:p>
    <w:p w14:paraId="681D6F04">
      <w:pPr>
        <w:adjustRightInd w:val="0"/>
        <w:snapToGrid w:val="0"/>
        <w:spacing w:line="360" w:lineRule="auto"/>
        <w:ind w:firstLine="480" w:firstLineChars="200"/>
        <w:rPr>
          <w:rFonts w:asciiTheme="minorEastAsia" w:hAnsiTheme="minorEastAsia" w:eastAsiaTheme="minorEastAsia"/>
          <w:b/>
          <w:sz w:val="24"/>
        </w:rPr>
      </w:pPr>
      <w:r>
        <w:rPr>
          <w:sz w:val="24"/>
        </w:rPr>
        <w:fldChar w:fldCharType="begin"/>
      </w:r>
      <w:r>
        <w:rPr>
          <w:sz w:val="24"/>
        </w:rPr>
        <w:instrText xml:space="preserve"> = 4 \* GB3 </w:instrText>
      </w:r>
      <w:r>
        <w:rPr>
          <w:sz w:val="24"/>
        </w:rPr>
        <w:fldChar w:fldCharType="separate"/>
      </w:r>
      <w:r>
        <w:rPr>
          <w:rFonts w:hint="eastAsia"/>
          <w:sz w:val="24"/>
        </w:rPr>
        <w:t>④</w:t>
      </w:r>
      <w:r>
        <w:rPr>
          <w:sz w:val="24"/>
        </w:rPr>
        <w:fldChar w:fldCharType="end"/>
      </w:r>
      <w:bookmarkStart w:id="747" w:name="_Hlk98429812"/>
      <w:r>
        <w:rPr>
          <w:rFonts w:hint="eastAsia"/>
          <w:sz w:val="24"/>
        </w:rPr>
        <w:t>承包人应按发包人要求将本合同工程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bookmarkEnd w:id="747"/>
      <w:r>
        <w:rPr>
          <w:rFonts w:hint="eastAsia"/>
          <w:sz w:val="24"/>
        </w:rPr>
        <w:t>。</w:t>
      </w:r>
    </w:p>
    <w:p w14:paraId="2F23EA4B">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4.1.9 </w:t>
      </w:r>
      <w:r>
        <w:rPr>
          <w:rFonts w:hint="eastAsia" w:ascii="黑体" w:hAnsi="黑体" w:eastAsia="黑体"/>
          <w:sz w:val="24"/>
        </w:rPr>
        <w:t>工程的维护和照管</w:t>
      </w:r>
      <w:r>
        <w:rPr>
          <w:rFonts w:ascii="黑体" w:hAnsi="黑体" w:eastAsia="黑体"/>
          <w:sz w:val="24"/>
        </w:rPr>
        <w:t xml:space="preserve"> </w:t>
      </w:r>
    </w:p>
    <w:p w14:paraId="4C8194AA">
      <w:pPr>
        <w:adjustRightInd w:val="0"/>
        <w:snapToGrid w:val="0"/>
        <w:spacing w:line="360" w:lineRule="auto"/>
        <w:ind w:firstLine="360" w:firstLineChars="150"/>
        <w:rPr>
          <w:rFonts w:ascii="黑体" w:hAnsi="黑体" w:eastAsia="黑体"/>
          <w:sz w:val="24"/>
        </w:rPr>
      </w:pPr>
      <w:r>
        <w:rPr>
          <w:rFonts w:hint="eastAsia" w:ascii="宋体" w:cs="宋体"/>
          <w:kern w:val="0"/>
          <w:sz w:val="24"/>
          <w:szCs w:val="24"/>
        </w:rPr>
        <w:t>本项细化为：</w:t>
      </w:r>
    </w:p>
    <w:p w14:paraId="5450CBDE">
      <w:pPr>
        <w:spacing w:line="360" w:lineRule="auto"/>
        <w:ind w:firstLine="480" w:firstLineChars="200"/>
        <w:rPr>
          <w:rFonts w:hAnsi="宋体"/>
          <w:sz w:val="24"/>
        </w:rPr>
      </w:pPr>
      <w:r>
        <w:rPr>
          <w:rFonts w:hint="eastAsia" w:ascii="宋体" w:hAnsi="宋体"/>
          <w:sz w:val="24"/>
        </w:rPr>
        <w:t>（</w:t>
      </w:r>
      <w:r>
        <w:rPr>
          <w:rFonts w:ascii="宋体" w:hAnsi="宋体"/>
          <w:sz w:val="24"/>
        </w:rPr>
        <w:t>1</w:t>
      </w:r>
      <w:r>
        <w:rPr>
          <w:rFonts w:hint="eastAsia" w:ascii="宋体" w:hAnsi="宋体"/>
          <w:sz w:val="24"/>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r>
        <w:rPr>
          <w:rFonts w:ascii="宋体" w:hAnsi="宋体"/>
          <w:sz w:val="24"/>
        </w:rPr>
        <w:t xml:space="preserve"> </w:t>
      </w:r>
    </w:p>
    <w:p w14:paraId="21275BBB">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）在承包人负责照管与维护期间，如果本工程或材料、设备等发生损失或损害，除不可抗力原因之外，承包人均应自费弥补，并达到合同要求。承包人还应对按第</w:t>
      </w:r>
      <w:r>
        <w:rPr>
          <w:rFonts w:ascii="宋体" w:hAnsi="宋体"/>
          <w:sz w:val="24"/>
        </w:rPr>
        <w:t>19</w:t>
      </w:r>
      <w:r>
        <w:rPr>
          <w:rFonts w:hint="eastAsia" w:ascii="宋体" w:hAnsi="宋体"/>
          <w:sz w:val="24"/>
        </w:rPr>
        <w:t>条规定而实施作业过程中由承包人造成的对工程的任何损失或损害负责。</w:t>
      </w:r>
    </w:p>
    <w:p w14:paraId="67F94DDB">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4.1.10 </w:t>
      </w:r>
      <w:r>
        <w:rPr>
          <w:rFonts w:hint="eastAsia" w:ascii="黑体" w:hAnsi="黑体" w:eastAsia="黑体"/>
          <w:sz w:val="24"/>
        </w:rPr>
        <w:t>其他义务</w:t>
      </w:r>
    </w:p>
    <w:p w14:paraId="1417D253">
      <w:pPr>
        <w:spacing w:line="360" w:lineRule="auto"/>
        <w:ind w:firstLine="480" w:firstLineChars="200"/>
        <w:rPr>
          <w:rFonts w:ascii="宋体" w:hAnsi="宋体"/>
          <w:sz w:val="24"/>
        </w:rPr>
      </w:pPr>
      <w:r>
        <w:rPr>
          <w:rFonts w:hint="eastAsia" w:ascii="宋体" w:hAnsi="宋体"/>
          <w:sz w:val="24"/>
          <w:lang w:val="en-US" w:eastAsia="zh-CN"/>
        </w:rPr>
        <w:t xml:space="preserve">   </w:t>
      </w:r>
      <w:r>
        <w:rPr>
          <w:rFonts w:hint="eastAsia" w:ascii="宋体" w:hAnsi="宋体"/>
          <w:sz w:val="24"/>
        </w:rPr>
        <w:t>本项第（</w:t>
      </w:r>
      <w:r>
        <w:rPr>
          <w:rFonts w:ascii="宋体" w:hAnsi="宋体"/>
          <w:sz w:val="24"/>
        </w:rPr>
        <w:t>1）目中</w:t>
      </w:r>
      <w:r>
        <w:rPr>
          <w:rFonts w:hint="eastAsia" w:ascii="宋体" w:hAnsi="宋体"/>
          <w:sz w:val="24"/>
        </w:rPr>
        <w:t>“</w:t>
      </w:r>
      <w:r>
        <w:rPr>
          <w:rFonts w:ascii="宋体" w:hAnsi="宋体"/>
          <w:sz w:val="24"/>
        </w:rPr>
        <w:t>临时占地的退还</w:t>
      </w:r>
      <w:r>
        <w:rPr>
          <w:rFonts w:hint="eastAsia" w:ascii="宋体" w:hAnsi="宋体"/>
          <w:sz w:val="24"/>
        </w:rPr>
        <w:t>”</w:t>
      </w:r>
      <w:r>
        <w:rPr>
          <w:rFonts w:ascii="宋体" w:hAnsi="宋体"/>
          <w:sz w:val="24"/>
        </w:rPr>
        <w:t>约定为：</w:t>
      </w:r>
    </w:p>
    <w:p w14:paraId="5AF96CFF">
      <w:pPr>
        <w:adjustRightInd w:val="0"/>
        <w:snapToGrid w:val="0"/>
        <w:spacing w:line="360" w:lineRule="auto"/>
        <w:ind w:firstLine="472" w:firstLineChars="197"/>
        <w:rPr>
          <w:rFonts w:ascii="宋体" w:hAnsi="宋体"/>
          <w:sz w:val="24"/>
        </w:rPr>
      </w:pPr>
      <w:r>
        <w:rPr>
          <w:rFonts w:hint="eastAsia" w:ascii="宋体" w:hAnsi="宋体"/>
          <w:sz w:val="24"/>
        </w:rPr>
        <w:t>临时占地退还前，承包人应自费恢复和处理，与当地政府办理权属移交手续，并将移交协议等报发包人备案。如因承包人撤离后未按要求对临时占地进行恢复或虽进行了恢复但未达到标准的，将由发包人委托第三方对其恢复，在不解除本合同规定的承包人责任和义务的同时，承包人应承担因此所增加的一切费用。</w:t>
      </w:r>
    </w:p>
    <w:p w14:paraId="2BB15F81">
      <w:pPr>
        <w:adjustRightInd w:val="0"/>
        <w:snapToGrid w:val="0"/>
        <w:spacing w:line="360" w:lineRule="auto"/>
        <w:ind w:firstLine="472" w:firstLineChars="197"/>
        <w:rPr>
          <w:rFonts w:ascii="宋体" w:hAnsi="宋体"/>
          <w:sz w:val="24"/>
        </w:rPr>
      </w:pPr>
      <w:r>
        <w:rPr>
          <w:rFonts w:hint="eastAsia" w:ascii="宋体" w:hAnsi="宋体"/>
          <w:sz w:val="24"/>
        </w:rPr>
        <w:t>第（6</w:t>
      </w:r>
      <w:r>
        <w:rPr>
          <w:rFonts w:ascii="宋体" w:hAnsi="宋体"/>
          <w:sz w:val="24"/>
        </w:rPr>
        <w:t>）</w:t>
      </w:r>
      <w:r>
        <w:rPr>
          <w:rFonts w:hint="eastAsia" w:ascii="宋体" w:hAnsi="宋体"/>
          <w:sz w:val="24"/>
        </w:rPr>
        <w:t>目细化为：</w:t>
      </w:r>
    </w:p>
    <w:p w14:paraId="0E49D995">
      <w:pPr>
        <w:numPr>
          <w:ilvl w:val="255"/>
          <w:numId w:val="0"/>
        </w:numPr>
        <w:adjustRightInd w:val="0"/>
        <w:snapToGrid w:val="0"/>
        <w:spacing w:line="360" w:lineRule="auto"/>
        <w:ind w:firstLine="480" w:firstLineChars="200"/>
        <w:rPr>
          <w:rFonts w:ascii="宋体" w:hAnsi="宋体"/>
          <w:sz w:val="24"/>
        </w:rPr>
      </w:pPr>
      <w:r>
        <w:rPr>
          <w:rFonts w:hint="eastAsia" w:ascii="宋体" w:hAnsi="宋体"/>
          <w:sz w:val="24"/>
        </w:rPr>
        <w:t>（6）未经发包人事先批准，承包人不得在任何报纸、商业或技术文献上刊登或披露任何与本合同或与本工程有关的详细资料。承包人不应在现场或施工设施上展示或允许展示任何贸易和商业性广告。在工地现场张贴广告，应事先得到发包人、监理人的批准，当发包人、监理人指示撤除时，应立即执行。</w:t>
      </w:r>
    </w:p>
    <w:p w14:paraId="2D35E09B">
      <w:pPr>
        <w:adjustRightInd w:val="0"/>
        <w:snapToGrid w:val="0"/>
        <w:spacing w:line="360" w:lineRule="auto"/>
        <w:ind w:firstLine="472" w:firstLineChars="197"/>
        <w:rPr>
          <w:rFonts w:ascii="宋体" w:hAnsi="宋体"/>
          <w:bCs/>
          <w:sz w:val="24"/>
        </w:rPr>
      </w:pPr>
      <w:r>
        <w:rPr>
          <w:rFonts w:hint="eastAsia" w:ascii="宋体" w:hAnsi="宋体"/>
          <w:sz w:val="24"/>
        </w:rPr>
        <w:t>（7）</w:t>
      </w:r>
      <w:r>
        <w:rPr>
          <w:rFonts w:ascii="宋体" w:hAnsi="宋体"/>
          <w:sz w:val="24"/>
        </w:rPr>
        <w:t>承包人应履行的其他义务</w:t>
      </w:r>
      <w:r>
        <w:rPr>
          <w:rFonts w:hint="eastAsia" w:ascii="宋体" w:hAnsi="宋体"/>
          <w:sz w:val="24"/>
        </w:rPr>
        <w:t>：</w:t>
      </w:r>
      <w:r>
        <w:rPr>
          <w:rFonts w:ascii="宋体" w:hAnsi="宋体"/>
          <w:sz w:val="24"/>
          <w:u w:val="single"/>
        </w:rPr>
        <w:t xml:space="preserve">                    </w:t>
      </w:r>
      <w:r>
        <w:rPr>
          <w:rFonts w:hint="eastAsia" w:ascii="宋体" w:hAnsi="宋体"/>
          <w:sz w:val="24"/>
        </w:rPr>
        <w:t>。</w:t>
      </w:r>
    </w:p>
    <w:p w14:paraId="0B32B784">
      <w:pPr>
        <w:adjustRightInd w:val="0"/>
        <w:snapToGrid w:val="0"/>
        <w:spacing w:line="360" w:lineRule="auto"/>
        <w:ind w:firstLine="472" w:firstLineChars="197"/>
        <w:rPr>
          <w:rFonts w:ascii="宋体" w:hAnsi="宋体"/>
          <w:bCs/>
          <w:sz w:val="24"/>
        </w:rPr>
      </w:pPr>
      <w:r>
        <w:rPr>
          <w:rFonts w:hint="eastAsia" w:ascii="宋体" w:hAnsi="宋体"/>
          <w:bCs/>
          <w:sz w:val="24"/>
        </w:rPr>
        <w:t>本款补充第</w:t>
      </w:r>
      <w:r>
        <w:rPr>
          <w:rFonts w:ascii="宋体" w:hAnsi="宋体"/>
          <w:bCs/>
          <w:sz w:val="24"/>
        </w:rPr>
        <w:t>4.1.11项～第4.1.13项</w:t>
      </w:r>
      <w:r>
        <w:rPr>
          <w:rFonts w:hint="eastAsia" w:ascii="宋体" w:hAnsi="宋体"/>
          <w:bCs/>
          <w:sz w:val="24"/>
        </w:rPr>
        <w:t>：</w:t>
      </w:r>
      <w:bookmarkStart w:id="748" w:name="_Hlk94093872"/>
    </w:p>
    <w:p w14:paraId="0679B88B">
      <w:pPr>
        <w:adjustRightInd w:val="0"/>
        <w:snapToGrid w:val="0"/>
        <w:spacing w:line="360" w:lineRule="auto"/>
        <w:ind w:firstLine="360" w:firstLineChars="150"/>
        <w:rPr>
          <w:rFonts w:ascii="黑体" w:hAnsi="黑体" w:eastAsia="黑体"/>
          <w:sz w:val="24"/>
        </w:rPr>
      </w:pPr>
      <w:r>
        <w:rPr>
          <w:rFonts w:ascii="黑体" w:hAnsi="黑体" w:eastAsia="黑体"/>
          <w:sz w:val="24"/>
        </w:rPr>
        <w:t>4.1.11</w:t>
      </w:r>
      <w:r>
        <w:rPr>
          <w:rFonts w:hint="eastAsia" w:ascii="黑体" w:hAnsi="黑体" w:eastAsia="黑体"/>
          <w:sz w:val="24"/>
          <w:lang w:val="en-US" w:eastAsia="zh-CN"/>
        </w:rPr>
        <w:t xml:space="preserve"> </w:t>
      </w:r>
      <w:r>
        <w:rPr>
          <w:rFonts w:hint="eastAsia" w:ascii="黑体" w:hAnsi="黑体" w:eastAsia="黑体"/>
          <w:sz w:val="24"/>
        </w:rPr>
        <w:t>品质工程及“五化”建设要求</w:t>
      </w:r>
    </w:p>
    <w:p w14:paraId="64893096">
      <w:pPr>
        <w:adjustRightInd w:val="0"/>
        <w:snapToGrid w:val="0"/>
        <w:spacing w:line="360" w:lineRule="auto"/>
        <w:ind w:firstLine="480" w:firstLineChars="200"/>
        <w:rPr>
          <w:rFonts w:ascii="宋体" w:hAnsi="宋体"/>
          <w:kern w:val="0"/>
          <w:sz w:val="24"/>
        </w:rPr>
      </w:pPr>
      <w:r>
        <w:rPr>
          <w:rFonts w:ascii="宋体" w:hAnsi="宋体"/>
          <w:kern w:val="0"/>
          <w:sz w:val="24"/>
        </w:rPr>
        <w:t>在</w:t>
      </w:r>
      <w:r>
        <w:rPr>
          <w:rFonts w:hint="eastAsia" w:ascii="宋体" w:hAnsi="宋体"/>
          <w:kern w:val="0"/>
          <w:sz w:val="24"/>
        </w:rPr>
        <w:t>项目实施过程中，参建各方应认真贯彻落实</w:t>
      </w:r>
      <w:bookmarkStart w:id="749" w:name="_Hlk94017535"/>
      <w:r>
        <w:rPr>
          <w:rFonts w:hint="eastAsia" w:ascii="宋体" w:hAnsi="宋体"/>
          <w:kern w:val="0"/>
          <w:sz w:val="24"/>
        </w:rPr>
        <w:t>交通运输部“品质工程”指导意见、</w:t>
      </w:r>
      <w:bookmarkStart w:id="750" w:name="_Hlk93915170"/>
      <w:r>
        <w:rPr>
          <w:rFonts w:ascii="宋体" w:hAnsi="宋体"/>
          <w:kern w:val="0"/>
          <w:sz w:val="24"/>
        </w:rPr>
        <w:t>四川省交通运输厅</w:t>
      </w:r>
      <w:r>
        <w:rPr>
          <w:rFonts w:hint="eastAsia" w:ascii="宋体" w:hAnsi="宋体"/>
          <w:kern w:val="0"/>
          <w:sz w:val="24"/>
        </w:rPr>
        <w:t>“品质工程”建设实施意见</w:t>
      </w:r>
      <w:bookmarkEnd w:id="750"/>
      <w:r>
        <w:rPr>
          <w:rFonts w:hint="eastAsia" w:ascii="宋体" w:hAnsi="宋体"/>
          <w:kern w:val="0"/>
          <w:sz w:val="24"/>
        </w:rPr>
        <w:t>、上级主管部门出台的相关标准化</w:t>
      </w:r>
      <w:r>
        <w:rPr>
          <w:rFonts w:ascii="宋体" w:hAnsi="宋体"/>
          <w:kern w:val="0"/>
          <w:sz w:val="24"/>
        </w:rPr>
        <w:t>建设</w:t>
      </w:r>
      <w:r>
        <w:rPr>
          <w:rFonts w:hint="eastAsia" w:ascii="宋体" w:hAnsi="宋体"/>
          <w:kern w:val="0"/>
          <w:sz w:val="24"/>
        </w:rPr>
        <w:t>和</w:t>
      </w:r>
      <w:r>
        <w:rPr>
          <w:rFonts w:ascii="宋体" w:hAnsi="宋体"/>
          <w:kern w:val="0"/>
          <w:sz w:val="24"/>
        </w:rPr>
        <w:t>品质工程</w:t>
      </w:r>
      <w:r>
        <w:rPr>
          <w:rFonts w:hint="eastAsia" w:ascii="宋体" w:hAnsi="宋体"/>
          <w:kern w:val="0"/>
          <w:sz w:val="24"/>
        </w:rPr>
        <w:t>以及发包人制定的相关管理办法要求。</w:t>
      </w:r>
      <w:bookmarkEnd w:id="749"/>
    </w:p>
    <w:p w14:paraId="4CB74BCD">
      <w:pPr>
        <w:adjustRightInd w:val="0"/>
        <w:snapToGrid w:val="0"/>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1</w:t>
      </w:r>
      <w:r>
        <w:rPr>
          <w:rFonts w:hint="eastAsia" w:ascii="宋体" w:hAnsi="宋体"/>
          <w:bCs/>
          <w:sz w:val="24"/>
          <w:lang w:eastAsia="zh-CN"/>
        </w:rPr>
        <w:t>）</w:t>
      </w:r>
      <w:r>
        <w:rPr>
          <w:rFonts w:hint="eastAsia" w:ascii="宋体" w:hAnsi="宋体" w:eastAsia="宋体"/>
          <w:bCs/>
          <w:color w:val="auto"/>
          <w:sz w:val="24"/>
          <w:szCs w:val="24"/>
        </w:rPr>
        <w:t>项目管理专业化</w:t>
      </w:r>
    </w:p>
    <w:p w14:paraId="6D096C9D">
      <w:pPr>
        <w:adjustRightInd w:val="0"/>
        <w:snapToGrid w:val="0"/>
        <w:spacing w:line="360" w:lineRule="auto"/>
        <w:ind w:firstLine="480" w:firstLineChars="200"/>
        <w:rPr>
          <w:rFonts w:ascii="宋体" w:hAnsi="宋体"/>
          <w:bCs/>
          <w:sz w:val="24"/>
        </w:rPr>
      </w:pPr>
      <w:r>
        <w:rPr>
          <w:rFonts w:hint="eastAsia" w:ascii="宋体" w:hAnsi="宋体" w:cs="Times New Roman"/>
          <w:bCs/>
          <w:color w:val="auto"/>
          <w:sz w:val="24"/>
          <w:shd w:val="clear" w:color="auto" w:fill="auto"/>
        </w:rPr>
        <w:t>组建</w:t>
      </w:r>
      <w:r>
        <w:rPr>
          <w:rFonts w:ascii="宋体" w:hAnsi="宋体" w:cs="Times New Roman"/>
          <w:bCs/>
          <w:color w:val="auto"/>
          <w:sz w:val="24"/>
          <w:shd w:val="clear" w:color="auto" w:fill="auto"/>
        </w:rPr>
        <w:t>专业的管理人员、专业的施工队伍、专业的施工设备，</w:t>
      </w:r>
      <w:r>
        <w:rPr>
          <w:rFonts w:hint="eastAsia" w:ascii="宋体" w:hAnsi="宋体"/>
          <w:bCs/>
          <w:color w:val="auto"/>
          <w:sz w:val="24"/>
          <w:shd w:val="clear" w:color="auto" w:fill="auto"/>
        </w:rPr>
        <w:t>提高专业化施工能力。</w:t>
      </w:r>
      <w:r>
        <w:rPr>
          <w:rFonts w:ascii="宋体" w:hAnsi="宋体"/>
          <w:bCs/>
          <w:color w:val="auto"/>
          <w:spacing w:val="0"/>
          <w:sz w:val="24"/>
          <w:shd w:val="clear" w:color="auto" w:fill="auto"/>
        </w:rPr>
        <w:t>配备具有项目管理、技术管理、施工组织等方面成熟经验的人员参与到现场管理</w:t>
      </w:r>
      <w:r>
        <w:rPr>
          <w:rFonts w:hint="eastAsia" w:ascii="宋体" w:hAnsi="宋体"/>
          <w:bCs/>
          <w:color w:val="auto"/>
          <w:spacing w:val="0"/>
          <w:sz w:val="24"/>
          <w:shd w:val="clear" w:color="auto" w:fill="auto"/>
        </w:rPr>
        <w:t>；组建</w:t>
      </w:r>
      <w:r>
        <w:rPr>
          <w:rFonts w:hint="eastAsia" w:ascii="宋体" w:hAnsi="宋体"/>
          <w:bCs/>
          <w:color w:val="auto"/>
          <w:sz w:val="24"/>
        </w:rPr>
        <w:t>不同专业特长的专业化队伍分工协作，实行专业化施工；要加大施工设备的投入，</w:t>
      </w:r>
      <w:r>
        <w:rPr>
          <w:rFonts w:ascii="宋体" w:hAnsi="宋体" w:cs="Times New Roman"/>
          <w:bCs/>
          <w:color w:val="auto"/>
          <w:sz w:val="24"/>
          <w:shd w:val="clear" w:color="auto" w:fill="auto"/>
        </w:rPr>
        <w:t>实现“工厂化生产、流水化作业。</w:t>
      </w:r>
    </w:p>
    <w:p w14:paraId="0F412BB7">
      <w:pPr>
        <w:adjustRightInd w:val="0"/>
        <w:snapToGrid w:val="0"/>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2</w:t>
      </w:r>
      <w:r>
        <w:rPr>
          <w:rFonts w:hint="eastAsia" w:ascii="宋体" w:hAnsi="宋体"/>
          <w:bCs/>
          <w:sz w:val="24"/>
          <w:lang w:eastAsia="zh-CN"/>
        </w:rPr>
        <w:t>）</w:t>
      </w:r>
      <w:r>
        <w:rPr>
          <w:rFonts w:hint="eastAsia" w:ascii="宋体" w:hAnsi="宋体"/>
          <w:bCs/>
          <w:sz w:val="24"/>
        </w:rPr>
        <w:t>项目施工标准化</w:t>
      </w:r>
    </w:p>
    <w:p w14:paraId="5F0B1CB2">
      <w:pPr>
        <w:adjustRightInd w:val="0"/>
        <w:snapToGrid w:val="0"/>
        <w:spacing w:line="360" w:lineRule="auto"/>
        <w:ind w:firstLine="480" w:firstLineChars="200"/>
        <w:rPr>
          <w:rFonts w:ascii="宋体" w:hAnsi="宋体"/>
          <w:bCs/>
          <w:sz w:val="24"/>
        </w:rPr>
      </w:pPr>
      <w:r>
        <w:rPr>
          <w:rFonts w:hint="eastAsia" w:ascii="宋体" w:hAnsi="宋体"/>
          <w:bCs/>
          <w:sz w:val="24"/>
        </w:rPr>
        <w:t>承包人应本着以人为本的理念，减少人工作业，提高机械化施工程度；切实关心参建人员，重视劳务用工权益保障，</w:t>
      </w:r>
      <w:r>
        <w:rPr>
          <w:rFonts w:ascii="宋体" w:hAnsi="宋体"/>
          <w:bCs/>
          <w:sz w:val="24"/>
        </w:rPr>
        <w:t>做到施工工艺标准化</w:t>
      </w:r>
      <w:r>
        <w:rPr>
          <w:rFonts w:hint="eastAsia" w:ascii="宋体" w:hAnsi="宋体"/>
          <w:bCs/>
          <w:sz w:val="24"/>
        </w:rPr>
        <w:t>。</w:t>
      </w:r>
    </w:p>
    <w:p w14:paraId="09B0DE4F">
      <w:pPr>
        <w:widowControl/>
        <w:snapToGrid w:val="0"/>
        <w:spacing w:line="360" w:lineRule="auto"/>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1 \* GB3 \* MERGEFORMAT </w:instrText>
      </w:r>
      <w:r>
        <w:rPr>
          <w:rFonts w:hint="eastAsia" w:ascii="宋体" w:hAnsi="宋体"/>
          <w:bCs/>
          <w:sz w:val="24"/>
        </w:rPr>
        <w:fldChar w:fldCharType="separate"/>
      </w:r>
      <w:r>
        <w:rPr>
          <w:sz w:val="24"/>
        </w:rPr>
        <w:t>①</w:t>
      </w:r>
      <w:r>
        <w:rPr>
          <w:rFonts w:hint="eastAsia" w:ascii="宋体" w:hAnsi="宋体"/>
          <w:bCs/>
          <w:sz w:val="24"/>
        </w:rPr>
        <w:fldChar w:fldCharType="end"/>
      </w:r>
      <w:r>
        <w:rPr>
          <w:rFonts w:hint="eastAsia" w:ascii="宋体" w:hAnsi="宋体"/>
          <w:bCs/>
          <w:sz w:val="24"/>
        </w:rPr>
        <w:t>为进一步提升项目公路施工标准化程度，强化工程质量管理工作。依据四川省交通运输厅《关于推行钢筋数控集中加工等四项施工标准化专项技术的通知》（川交函〔</w:t>
      </w:r>
      <w:r>
        <w:rPr>
          <w:rFonts w:ascii="宋体" w:hAnsi="宋体"/>
          <w:bCs/>
          <w:sz w:val="24"/>
        </w:rPr>
        <w:t>2015</w:t>
      </w:r>
      <w:r>
        <w:rPr>
          <w:rFonts w:hint="eastAsia" w:ascii="宋体" w:hAnsi="宋体"/>
          <w:bCs/>
          <w:sz w:val="24"/>
        </w:rPr>
        <w:t>〕</w:t>
      </w:r>
      <w:r>
        <w:rPr>
          <w:rFonts w:ascii="宋体" w:hAnsi="宋体"/>
          <w:bCs/>
          <w:sz w:val="24"/>
        </w:rPr>
        <w:t>349</w:t>
      </w:r>
      <w:r>
        <w:rPr>
          <w:rFonts w:hint="eastAsia" w:ascii="宋体" w:hAnsi="宋体"/>
          <w:bCs/>
          <w:sz w:val="24"/>
        </w:rPr>
        <w:t>号）、《</w:t>
      </w:r>
      <w:r>
        <w:rPr>
          <w:rFonts w:ascii="宋体" w:hAnsi="宋体"/>
          <w:bCs/>
          <w:sz w:val="24"/>
        </w:rPr>
        <w:t>四川省交通运输厅</w:t>
      </w:r>
      <w:r>
        <w:rPr>
          <w:rFonts w:hint="eastAsia" w:ascii="宋体" w:hAnsi="宋体"/>
          <w:bCs/>
          <w:sz w:val="24"/>
        </w:rPr>
        <w:t>关于加快推进公路水运“品质工程”建设的实施意见》（川交函〔</w:t>
      </w:r>
      <w:r>
        <w:rPr>
          <w:rFonts w:ascii="宋体" w:hAnsi="宋体"/>
          <w:bCs/>
          <w:sz w:val="24"/>
        </w:rPr>
        <w:t>2018〕184</w:t>
      </w:r>
      <w:r>
        <w:rPr>
          <w:rFonts w:hint="eastAsia" w:ascii="宋体" w:hAnsi="宋体"/>
          <w:bCs/>
          <w:sz w:val="24"/>
        </w:rPr>
        <w:t>号）等要求进行建设管理。同时建设期间，执行发包人根据建设需要推行的标准化建设管理的新标准、新要求以及推广“四新技术”，全面落实“四新技术”。</w:t>
      </w:r>
    </w:p>
    <w:p w14:paraId="2DF75EC1">
      <w:pPr>
        <w:widowControl/>
        <w:snapToGrid w:val="0"/>
        <w:spacing w:line="360" w:lineRule="auto"/>
        <w:ind w:firstLine="480" w:firstLineChars="200"/>
        <w:rPr>
          <w:rFonts w:ascii="宋体" w:hAnsi="宋体"/>
          <w:bCs/>
          <w:sz w:val="24"/>
          <w:szCs w:val="24"/>
        </w:rPr>
      </w:pPr>
      <w:r>
        <w:rPr>
          <w:rFonts w:hint="eastAsia" w:ascii="宋体" w:hAnsi="宋体"/>
          <w:bCs/>
          <w:sz w:val="24"/>
        </w:rPr>
        <w:fldChar w:fldCharType="begin"/>
      </w:r>
      <w:r>
        <w:rPr>
          <w:rFonts w:hint="eastAsia" w:ascii="宋体" w:hAnsi="宋体"/>
          <w:bCs/>
          <w:sz w:val="24"/>
        </w:rPr>
        <w:instrText xml:space="preserve"> = 2 \* GB3 \* MERGEFORMAT </w:instrText>
      </w:r>
      <w:r>
        <w:rPr>
          <w:rFonts w:hint="eastAsia" w:ascii="宋体" w:hAnsi="宋体"/>
          <w:bCs/>
          <w:sz w:val="24"/>
        </w:rPr>
        <w:fldChar w:fldCharType="separate"/>
      </w:r>
      <w:r>
        <w:rPr>
          <w:sz w:val="24"/>
        </w:rPr>
        <w:t>②</w:t>
      </w:r>
      <w:r>
        <w:rPr>
          <w:rFonts w:hint="eastAsia" w:ascii="宋体" w:hAnsi="宋体"/>
          <w:bCs/>
          <w:sz w:val="24"/>
        </w:rPr>
        <w:fldChar w:fldCharType="end"/>
      </w:r>
      <w:r>
        <w:rPr>
          <w:rFonts w:hint="eastAsia" w:ascii="宋体" w:hAnsi="宋体"/>
          <w:bCs/>
          <w:sz w:val="24"/>
        </w:rPr>
        <w:t>实施</w:t>
      </w:r>
      <w:r>
        <w:rPr>
          <w:rFonts w:hint="eastAsia"/>
          <w:kern w:val="0"/>
          <w:sz w:val="24"/>
        </w:rPr>
        <w:t>首件工程认可制（包括工艺流程、技术指标、验收标准），通过首件工程认可的工程才能进行全段、大规模的推广建设。</w:t>
      </w:r>
    </w:p>
    <w:p w14:paraId="6F809BBA">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3 \* GB3 \* MERGEFORMAT </w:instrText>
      </w:r>
      <w:r>
        <w:rPr>
          <w:rFonts w:hint="eastAsia" w:ascii="宋体" w:hAnsi="宋体"/>
          <w:bCs/>
          <w:sz w:val="24"/>
        </w:rPr>
        <w:fldChar w:fldCharType="separate"/>
      </w:r>
      <w:r>
        <w:rPr>
          <w:sz w:val="24"/>
        </w:rPr>
        <w:t>③</w:t>
      </w:r>
      <w:r>
        <w:rPr>
          <w:rFonts w:hint="eastAsia" w:ascii="宋体" w:hAnsi="宋体"/>
          <w:bCs/>
          <w:sz w:val="24"/>
        </w:rPr>
        <w:fldChar w:fldCharType="end"/>
      </w:r>
      <w:r>
        <w:rPr>
          <w:rFonts w:hint="eastAsia" w:ascii="宋体" w:hAnsi="宋体"/>
          <w:bCs/>
          <w:sz w:val="24"/>
        </w:rPr>
        <w:t>强化原材料与产品质量管理，承包人应加强原材料料源、材质、加工工艺、生产能力、稳定性、保管、运管、仓管、质检等环节的控制。对工程项目中使用的主要材料严把材料或产品的质检关，加强原材料或产品的自检及抽检工作，所有进场材料</w:t>
      </w:r>
      <w:r>
        <w:rPr>
          <w:rFonts w:ascii="宋体" w:hAnsi="宋体"/>
          <w:bCs/>
          <w:sz w:val="24"/>
        </w:rPr>
        <w:t>都应分批次进行检验</w:t>
      </w:r>
      <w:r>
        <w:rPr>
          <w:rFonts w:hint="eastAsia" w:ascii="宋体" w:hAnsi="宋体"/>
          <w:bCs/>
          <w:sz w:val="24"/>
        </w:rPr>
        <w:t>，在源头杜绝伪劣、低劣、不合格材料或产品进入工程实体。</w:t>
      </w:r>
    </w:p>
    <w:p w14:paraId="1B895F3C">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4 \* GB3 \* MERGEFORMAT </w:instrText>
      </w:r>
      <w:r>
        <w:rPr>
          <w:rFonts w:hint="eastAsia" w:ascii="宋体" w:hAnsi="宋体"/>
          <w:bCs/>
          <w:sz w:val="24"/>
        </w:rPr>
        <w:fldChar w:fldCharType="separate"/>
      </w:r>
      <w:r>
        <w:rPr>
          <w:sz w:val="24"/>
        </w:rPr>
        <w:t>④</w:t>
      </w:r>
      <w:r>
        <w:rPr>
          <w:rFonts w:hint="eastAsia" w:ascii="宋体" w:hAnsi="宋体"/>
          <w:bCs/>
          <w:sz w:val="24"/>
        </w:rPr>
        <w:fldChar w:fldCharType="end"/>
      </w:r>
      <w:r>
        <w:rPr>
          <w:rFonts w:hint="eastAsia" w:ascii="宋体" w:hAnsi="宋体"/>
          <w:bCs/>
          <w:sz w:val="24"/>
        </w:rPr>
        <w:t>承包人应加强全员、全方位、全过程安全管理，加强安全生产技术的调研及创新，做到安全生产标准化建设的规范化和制度化，切实提升其安全管理水平。对于危险作业“机械化换人、自动化减人”，安全防护设备设施工具化、定型化、装配化。</w:t>
      </w:r>
    </w:p>
    <w:p w14:paraId="518C529F">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5 \* GB3 \* MERGEFORMAT </w:instrText>
      </w:r>
      <w:r>
        <w:rPr>
          <w:rFonts w:hint="eastAsia" w:ascii="宋体" w:hAnsi="宋体"/>
          <w:bCs/>
          <w:sz w:val="24"/>
        </w:rPr>
        <w:fldChar w:fldCharType="separate"/>
      </w:r>
      <w:r>
        <w:rPr>
          <w:sz w:val="24"/>
        </w:rPr>
        <w:t>⑤</w:t>
      </w:r>
      <w:r>
        <w:rPr>
          <w:rFonts w:hint="eastAsia" w:ascii="宋体" w:hAnsi="宋体"/>
          <w:bCs/>
          <w:sz w:val="24"/>
        </w:rPr>
        <w:fldChar w:fldCharType="end"/>
      </w:r>
      <w:r>
        <w:rPr>
          <w:rFonts w:hint="eastAsia" w:ascii="宋体" w:hAnsi="宋体"/>
          <w:bCs/>
          <w:sz w:val="24"/>
        </w:rPr>
        <w:t>承包人应从项目人员管理、施工现场作业、施工设施设备等方面采取文明施工的相关措施，加强施工环保管理。做好临时工程的规划和选址，统筹布设施工临时便道、驻地、预制场等，工地建设“两区三厂”（生活区、办公区、钢筋加工场、拌</w:t>
      </w:r>
      <w:r>
        <w:rPr>
          <w:rFonts w:hint="eastAsia" w:ascii="宋体" w:hAnsi="宋体"/>
          <w:bCs/>
          <w:sz w:val="24"/>
          <w:lang w:val="en-US" w:eastAsia="zh-CN"/>
        </w:rPr>
        <w:t>和场</w:t>
      </w:r>
      <w:r>
        <w:rPr>
          <w:rFonts w:hint="eastAsia" w:ascii="宋体" w:hAnsi="宋体"/>
          <w:bCs/>
          <w:sz w:val="24"/>
        </w:rPr>
        <w:t>、预制场）标准化，充分利用、减少重复建设，减少对周边环境破坏。严格落实环境保护，采取必要的水、气、声、渣控制措施，降低施工现场环境污染，营造文明施工良好环境。</w:t>
      </w:r>
    </w:p>
    <w:p w14:paraId="5F7A164F">
      <w:pPr>
        <w:adjustRightInd w:val="0"/>
        <w:snapToGrid w:val="0"/>
        <w:spacing w:line="360" w:lineRule="auto"/>
        <w:ind w:firstLine="420" w:firstLineChars="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3</w:t>
      </w:r>
      <w:r>
        <w:rPr>
          <w:rFonts w:hint="eastAsia" w:ascii="宋体" w:hAnsi="宋体"/>
          <w:bCs/>
          <w:sz w:val="24"/>
          <w:lang w:eastAsia="zh-CN"/>
        </w:rPr>
        <w:t>）</w:t>
      </w:r>
      <w:r>
        <w:rPr>
          <w:rFonts w:hint="eastAsia" w:ascii="宋体" w:hAnsi="宋体"/>
          <w:bCs/>
          <w:sz w:val="24"/>
        </w:rPr>
        <w:t>工程管理</w:t>
      </w:r>
      <w:r>
        <w:rPr>
          <w:rFonts w:ascii="宋体" w:hAnsi="宋体"/>
          <w:bCs/>
          <w:sz w:val="24"/>
        </w:rPr>
        <w:t>精细化</w:t>
      </w:r>
    </w:p>
    <w:p w14:paraId="2E5010CE">
      <w:pPr>
        <w:widowControl/>
        <w:adjustRightInd w:val="0"/>
        <w:snapToGrid w:val="0"/>
        <w:spacing w:line="360" w:lineRule="auto"/>
        <w:ind w:firstLine="420" w:firstLineChars="0"/>
        <w:jc w:val="left"/>
        <w:rPr>
          <w:rFonts w:ascii="宋体" w:hAnsi="宋体"/>
          <w:bCs/>
          <w:kern w:val="2"/>
          <w:sz w:val="24"/>
        </w:rPr>
      </w:pPr>
      <w:r>
        <w:rPr>
          <w:rFonts w:hint="eastAsia" w:ascii="宋体" w:hAnsi="宋体"/>
          <w:bCs/>
          <w:color w:val="auto"/>
          <w:sz w:val="24"/>
          <w:shd w:val="clear" w:color="auto" w:fill="auto"/>
        </w:rPr>
        <w:t>倡导工程全寿命周期集成化管理，强化施工精细化管理，推动实施精益建造，提升工程整体质量。建立“实施有标准、操作有程序、过程有控制、结果有考核”的标准化管理体系。</w:t>
      </w:r>
      <w:r>
        <w:rPr>
          <w:rFonts w:ascii="宋体" w:hAnsi="宋体" w:cs="Times New Roman"/>
          <w:bCs/>
          <w:color w:val="auto"/>
          <w:sz w:val="24"/>
          <w:shd w:val="clear" w:color="auto" w:fill="auto"/>
        </w:rPr>
        <w:t>保证每个施工环节受控，每个施工细节都符合标准。</w:t>
      </w:r>
    </w:p>
    <w:p w14:paraId="5701D78C">
      <w:pPr>
        <w:widowControl/>
        <w:adjustRightInd w:val="0"/>
        <w:snapToGrid w:val="0"/>
        <w:spacing w:line="360" w:lineRule="auto"/>
        <w:ind w:firstLine="420" w:firstLineChars="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4</w:t>
      </w:r>
      <w:r>
        <w:rPr>
          <w:rFonts w:hint="eastAsia" w:ascii="宋体" w:hAnsi="宋体"/>
          <w:bCs/>
          <w:sz w:val="24"/>
          <w:lang w:eastAsia="zh-CN"/>
        </w:rPr>
        <w:t>）</w:t>
      </w:r>
      <w:r>
        <w:rPr>
          <w:rFonts w:hint="eastAsia" w:ascii="宋体" w:hAnsi="宋体"/>
          <w:bCs/>
          <w:sz w:val="24"/>
        </w:rPr>
        <w:t>项目管理信息化</w:t>
      </w:r>
    </w:p>
    <w:p w14:paraId="6026AD05">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1 \* GB3 \* MERGEFORMAT </w:instrText>
      </w:r>
      <w:r>
        <w:rPr>
          <w:rFonts w:hint="eastAsia" w:ascii="宋体" w:hAnsi="宋体"/>
          <w:bCs/>
          <w:sz w:val="24"/>
        </w:rPr>
        <w:fldChar w:fldCharType="separate"/>
      </w:r>
      <w:r>
        <w:rPr>
          <w:sz w:val="24"/>
        </w:rPr>
        <w:t>①</w:t>
      </w:r>
      <w:r>
        <w:rPr>
          <w:rFonts w:hint="eastAsia" w:ascii="宋体" w:hAnsi="宋体"/>
          <w:bCs/>
          <w:sz w:val="24"/>
        </w:rPr>
        <w:fldChar w:fldCharType="end"/>
      </w:r>
      <w:r>
        <w:rPr>
          <w:rFonts w:hint="eastAsia" w:ascii="宋体" w:hAnsi="宋体"/>
          <w:bCs/>
          <w:sz w:val="24"/>
        </w:rPr>
        <w:t>项目采用信息管理系统进行信息化管理。承包人应安排专人负责配合发包人完善和维护该系统，及时办理各类文件的编制、审核、归档，同时还应将建设期间有关的基础资料、数据及图纸录入发包人指定的系统。</w:t>
      </w:r>
      <w:r>
        <w:rPr>
          <w:rFonts w:ascii="宋体" w:hAnsi="宋体"/>
          <w:bCs/>
          <w:sz w:val="24"/>
        </w:rPr>
        <w:t xml:space="preserve"> </w:t>
      </w:r>
    </w:p>
    <w:p w14:paraId="316EAF75">
      <w:pPr>
        <w:adjustRightInd w:val="0"/>
        <w:snapToGrid w:val="0"/>
        <w:spacing w:line="360" w:lineRule="auto"/>
        <w:ind w:firstLine="42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2 \* GB3 \* MERGEFORMAT </w:instrText>
      </w:r>
      <w:r>
        <w:rPr>
          <w:rFonts w:hint="eastAsia" w:ascii="宋体" w:hAnsi="宋体"/>
          <w:bCs/>
          <w:sz w:val="24"/>
        </w:rPr>
        <w:fldChar w:fldCharType="separate"/>
      </w:r>
      <w:r>
        <w:rPr>
          <w:sz w:val="24"/>
        </w:rPr>
        <w:t>②</w:t>
      </w:r>
      <w:r>
        <w:rPr>
          <w:rFonts w:hint="eastAsia" w:ascii="宋体" w:hAnsi="宋体"/>
          <w:bCs/>
          <w:sz w:val="24"/>
        </w:rPr>
        <w:fldChar w:fldCharType="end"/>
      </w:r>
      <w:r>
        <w:rPr>
          <w:rFonts w:hint="eastAsia" w:ascii="宋体" w:hAnsi="宋体"/>
          <w:bCs/>
          <w:sz w:val="24"/>
        </w:rPr>
        <w:t>发包人搭建基于BIM技术的项目管理平台，改进技术复杂工程项目各参建单位的技术交流方式，压缩管理层次，提升管理效率，提高管理水平。为后期养护、运营管理工作提供数据和技术支撑。</w:t>
      </w:r>
      <w:r>
        <w:rPr>
          <w:rFonts w:ascii="宋体" w:hAnsi="宋体"/>
          <w:bCs/>
          <w:sz w:val="24"/>
        </w:rPr>
        <w:t xml:space="preserve"> </w:t>
      </w:r>
    </w:p>
    <w:p w14:paraId="0ECA5B70">
      <w:pPr>
        <w:adjustRightInd w:val="0"/>
        <w:snapToGrid w:val="0"/>
        <w:spacing w:line="360" w:lineRule="auto"/>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3 \* GB3 \* MERGEFORMAT </w:instrText>
      </w:r>
      <w:r>
        <w:rPr>
          <w:rFonts w:hint="eastAsia" w:ascii="宋体" w:hAnsi="宋体"/>
          <w:bCs/>
          <w:sz w:val="24"/>
        </w:rPr>
        <w:fldChar w:fldCharType="separate"/>
      </w:r>
      <w:r>
        <w:rPr>
          <w:sz w:val="24"/>
        </w:rPr>
        <w:t>③</w:t>
      </w:r>
      <w:r>
        <w:rPr>
          <w:rFonts w:hint="eastAsia" w:ascii="宋体" w:hAnsi="宋体"/>
          <w:bCs/>
          <w:sz w:val="24"/>
        </w:rPr>
        <w:fldChar w:fldCharType="end"/>
      </w:r>
      <w:r>
        <w:rPr>
          <w:rFonts w:hint="eastAsia" w:ascii="宋体" w:hAnsi="宋体"/>
          <w:bCs/>
          <w:sz w:val="24"/>
        </w:rPr>
        <w:t>严格落实拌</w:t>
      </w:r>
      <w:r>
        <w:rPr>
          <w:rFonts w:hint="eastAsia" w:ascii="宋体" w:hAnsi="宋体"/>
          <w:bCs/>
          <w:sz w:val="24"/>
          <w:lang w:val="en-US" w:eastAsia="zh-CN"/>
        </w:rPr>
        <w:t>和场</w:t>
      </w:r>
      <w:r>
        <w:rPr>
          <w:rFonts w:hint="eastAsia" w:ascii="宋体" w:hAnsi="宋体"/>
          <w:bCs/>
          <w:sz w:val="24"/>
        </w:rPr>
        <w:t>、工地试验室等试验数据实施上传，重点工点远程视频监控等技术。</w:t>
      </w:r>
    </w:p>
    <w:p w14:paraId="77E38637">
      <w:pPr>
        <w:adjustRightInd w:val="0"/>
        <w:snapToGrid w:val="0"/>
        <w:spacing w:line="360" w:lineRule="auto"/>
        <w:ind w:firstLine="480" w:firstLineChars="200"/>
        <w:rPr>
          <w:rFonts w:ascii="宋体" w:hAnsi="宋体"/>
          <w:bCs/>
          <w:sz w:val="24"/>
        </w:rPr>
      </w:pPr>
      <w:r>
        <w:rPr>
          <w:rFonts w:hint="eastAsia" w:ascii="宋体" w:hAnsi="宋体"/>
          <w:bCs/>
          <w:sz w:val="24"/>
        </w:rPr>
        <w:fldChar w:fldCharType="begin"/>
      </w:r>
      <w:r>
        <w:rPr>
          <w:rFonts w:hint="eastAsia" w:ascii="宋体" w:hAnsi="宋体"/>
          <w:bCs/>
          <w:sz w:val="24"/>
        </w:rPr>
        <w:instrText xml:space="preserve"> = 4 \* GB3 \* MERGEFORMAT </w:instrText>
      </w:r>
      <w:r>
        <w:rPr>
          <w:rFonts w:hint="eastAsia" w:ascii="宋体" w:hAnsi="宋体"/>
          <w:bCs/>
          <w:sz w:val="24"/>
        </w:rPr>
        <w:fldChar w:fldCharType="separate"/>
      </w:r>
      <w:r>
        <w:rPr>
          <w:sz w:val="24"/>
        </w:rPr>
        <w:t>④</w:t>
      </w:r>
      <w:r>
        <w:rPr>
          <w:rFonts w:hint="eastAsia" w:ascii="宋体" w:hAnsi="宋体"/>
          <w:bCs/>
          <w:sz w:val="24"/>
        </w:rPr>
        <w:fldChar w:fldCharType="end"/>
      </w:r>
      <w:r>
        <w:rPr>
          <w:rFonts w:hint="eastAsia" w:ascii="宋体" w:hAnsi="宋体"/>
          <w:bCs/>
          <w:sz w:val="24"/>
        </w:rPr>
        <w:t>项目将对重要质量把控环节（路基试验室、路面试验室、桥梁预应力智能张拉、循环压浆、混凝土拌合站、数字化</w:t>
      </w:r>
      <w:r>
        <w:rPr>
          <w:rFonts w:ascii="宋体" w:hAnsi="宋体"/>
          <w:bCs/>
          <w:sz w:val="24"/>
        </w:rPr>
        <w:t>软基处理</w:t>
      </w:r>
      <w:r>
        <w:rPr>
          <w:rFonts w:hint="eastAsia" w:ascii="宋体" w:hAnsi="宋体"/>
          <w:bCs/>
          <w:sz w:val="24"/>
        </w:rPr>
        <w:t>、隧道掘进施工等）等进行实时质量管控，实现过程透明化，确保产品质量，承包人自购的各类质量智能管控产品必须满足相关规范要求及发包人整体需求，并将质量管控数据接入发包人建设管理系统。</w:t>
      </w:r>
      <w:r>
        <w:rPr>
          <w:rFonts w:ascii="宋体" w:hAnsi="宋体"/>
          <w:bCs/>
          <w:sz w:val="24"/>
        </w:rPr>
        <w:t xml:space="preserve"> </w:t>
      </w:r>
    </w:p>
    <w:p w14:paraId="2E11C356">
      <w:pPr>
        <w:adjustRightInd w:val="0"/>
        <w:snapToGrid w:val="0"/>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5</w:t>
      </w:r>
      <w:r>
        <w:rPr>
          <w:rFonts w:hint="eastAsia" w:ascii="宋体" w:hAnsi="宋体"/>
          <w:bCs/>
          <w:sz w:val="24"/>
          <w:lang w:eastAsia="zh-CN"/>
        </w:rPr>
        <w:t>）</w:t>
      </w:r>
      <w:r>
        <w:rPr>
          <w:rFonts w:hint="eastAsia" w:ascii="宋体" w:hAnsi="宋体"/>
          <w:bCs/>
          <w:sz w:val="24"/>
        </w:rPr>
        <w:t>班组管理规范化</w:t>
      </w:r>
    </w:p>
    <w:p w14:paraId="7AA79CCD">
      <w:pPr>
        <w:adjustRightInd w:val="0"/>
        <w:snapToGrid w:val="0"/>
        <w:spacing w:line="360" w:lineRule="auto"/>
        <w:ind w:firstLine="480" w:firstLineChars="200"/>
        <w:rPr>
          <w:rFonts w:ascii="宋体" w:hAnsi="宋体"/>
          <w:sz w:val="24"/>
        </w:rPr>
      </w:pPr>
      <w:r>
        <w:rPr>
          <w:rFonts w:hint="eastAsia" w:hAnsi="宋体"/>
          <w:sz w:val="24"/>
          <w:szCs w:val="24"/>
        </w:rPr>
        <w:t>贯彻</w:t>
      </w:r>
      <w:r>
        <w:rPr>
          <w:rFonts w:hAnsi="宋体"/>
          <w:sz w:val="24"/>
          <w:szCs w:val="24"/>
        </w:rPr>
        <w:t>落实</w:t>
      </w:r>
      <w:r>
        <w:rPr>
          <w:rFonts w:hint="eastAsia" w:hAnsi="宋体"/>
          <w:sz w:val="24"/>
          <w:szCs w:val="24"/>
        </w:rPr>
        <w:t>《</w:t>
      </w:r>
      <w:r>
        <w:rPr>
          <w:rFonts w:hAnsi="宋体"/>
          <w:sz w:val="24"/>
          <w:szCs w:val="24"/>
        </w:rPr>
        <w:t>四川省交通</w:t>
      </w:r>
      <w:r>
        <w:rPr>
          <w:rFonts w:hint="eastAsia" w:ascii="宋体" w:hAnsi="宋体" w:cs="宋体"/>
          <w:sz w:val="24"/>
          <w:szCs w:val="24"/>
        </w:rPr>
        <w:t>运输厅关于在全省重点交通建设领域推行施工班组规范化管理的指导意见》（川交函〔2018〕185号</w:t>
      </w:r>
      <w:r>
        <w:rPr>
          <w:rFonts w:hAnsi="宋体"/>
          <w:sz w:val="24"/>
          <w:szCs w:val="24"/>
        </w:rPr>
        <w:t>），建立健全施工班组管理制度，落实全员班组化</w:t>
      </w:r>
      <w:r>
        <w:rPr>
          <w:rFonts w:hint="eastAsia" w:hAnsi="宋体"/>
          <w:sz w:val="24"/>
          <w:szCs w:val="24"/>
        </w:rPr>
        <w:t>，推行班组作业信息化，</w:t>
      </w:r>
      <w:r>
        <w:rPr>
          <w:rFonts w:hAnsi="宋体"/>
          <w:sz w:val="24"/>
          <w:szCs w:val="24"/>
        </w:rPr>
        <w:t>严格履行班组准入制</w:t>
      </w:r>
      <w:r>
        <w:rPr>
          <w:rFonts w:hint="eastAsia" w:hAnsi="宋体"/>
          <w:sz w:val="24"/>
          <w:szCs w:val="24"/>
        </w:rPr>
        <w:t>，</w:t>
      </w:r>
      <w:r>
        <w:rPr>
          <w:rFonts w:hAnsi="宋体"/>
          <w:sz w:val="24"/>
          <w:szCs w:val="24"/>
        </w:rPr>
        <w:t>强化班组长负责制</w:t>
      </w:r>
      <w:r>
        <w:rPr>
          <w:rFonts w:hint="eastAsia" w:hAnsi="宋体"/>
          <w:sz w:val="24"/>
          <w:szCs w:val="24"/>
        </w:rPr>
        <w:t>，落实</w:t>
      </w:r>
      <w:r>
        <w:rPr>
          <w:rFonts w:hAnsi="宋体"/>
          <w:sz w:val="24"/>
        </w:rPr>
        <w:t>农民工全员班组化</w:t>
      </w:r>
      <w:r>
        <w:rPr>
          <w:rFonts w:hint="eastAsia" w:hAnsi="宋体"/>
          <w:sz w:val="24"/>
        </w:rPr>
        <w:t>，</w:t>
      </w:r>
      <w:r>
        <w:rPr>
          <w:rFonts w:hint="eastAsia" w:hAnsi="宋体"/>
          <w:sz w:val="24"/>
          <w:szCs w:val="24"/>
        </w:rPr>
        <w:t>实行</w:t>
      </w:r>
      <w:r>
        <w:rPr>
          <w:rFonts w:hAnsi="宋体"/>
          <w:sz w:val="24"/>
          <w:szCs w:val="24"/>
        </w:rPr>
        <w:t>班组日常作业标准化</w:t>
      </w:r>
      <w:r>
        <w:rPr>
          <w:rFonts w:hint="eastAsia" w:hAnsi="宋体"/>
          <w:sz w:val="24"/>
          <w:szCs w:val="24"/>
        </w:rPr>
        <w:t>，夯实基层基础工作。承包人应定期对班组员工开展</w:t>
      </w:r>
      <w:r>
        <w:rPr>
          <w:rFonts w:hAnsi="宋体"/>
          <w:sz w:val="24"/>
        </w:rPr>
        <w:t>培训教育</w:t>
      </w:r>
      <w:r>
        <w:rPr>
          <w:rFonts w:hint="eastAsia" w:hAnsi="宋体"/>
          <w:sz w:val="24"/>
        </w:rPr>
        <w:t>，</w:t>
      </w:r>
      <w:r>
        <w:rPr>
          <w:rFonts w:hAnsi="宋体"/>
          <w:sz w:val="24"/>
        </w:rPr>
        <w:t>提升班组员工知识素养。</w:t>
      </w:r>
      <w:r>
        <w:rPr>
          <w:rFonts w:hint="eastAsia" w:hAnsi="宋体"/>
          <w:sz w:val="24"/>
        </w:rPr>
        <w:t>实施管理规范化的的核心内容</w:t>
      </w:r>
      <w:r>
        <w:rPr>
          <w:rFonts w:hint="eastAsia" w:hAnsi="宋体"/>
          <w:sz w:val="24"/>
          <w:lang w:val="en-US" w:eastAsia="zh-CN"/>
        </w:rPr>
        <w:t>之一</w:t>
      </w:r>
      <w:r>
        <w:rPr>
          <w:rFonts w:hint="eastAsia" w:hAnsi="宋体"/>
          <w:sz w:val="24"/>
        </w:rPr>
        <w:t>就是打造</w:t>
      </w:r>
      <w:r>
        <w:rPr>
          <w:rFonts w:hAnsi="宋体"/>
          <w:sz w:val="24"/>
        </w:rPr>
        <w:t>班组文化</w:t>
      </w:r>
      <w:r>
        <w:rPr>
          <w:rFonts w:hint="eastAsia" w:hAnsi="宋体"/>
          <w:sz w:val="24"/>
        </w:rPr>
        <w:t>，</w:t>
      </w:r>
      <w:r>
        <w:rPr>
          <w:rFonts w:ascii="宋体" w:hAnsi="宋体"/>
          <w:sz w:val="24"/>
        </w:rPr>
        <w:t>增强班组凝聚力和归属感。定期对各班组的管理、教育、施工安全</w:t>
      </w:r>
      <w:r>
        <w:rPr>
          <w:rFonts w:hint="eastAsia" w:ascii="宋体" w:hAnsi="宋体"/>
          <w:sz w:val="24"/>
        </w:rPr>
        <w:t>、</w:t>
      </w:r>
      <w:r>
        <w:rPr>
          <w:rFonts w:ascii="宋体" w:hAnsi="宋体"/>
          <w:sz w:val="24"/>
        </w:rPr>
        <w:t>质量等进行考核，鼓励施工班组和一线人员开展工艺、设备、工法、管理等“微创新</w:t>
      </w:r>
      <w:r>
        <w:rPr>
          <w:rFonts w:hint="eastAsia" w:ascii="宋体" w:hAnsi="宋体"/>
          <w:sz w:val="24"/>
          <w:lang w:eastAsia="zh-CN"/>
        </w:rPr>
        <w:t>”</w:t>
      </w:r>
      <w:r>
        <w:rPr>
          <w:rFonts w:ascii="宋体" w:hAnsi="宋体"/>
          <w:sz w:val="24"/>
        </w:rPr>
        <w:t>。</w:t>
      </w:r>
    </w:p>
    <w:p w14:paraId="3D1FEA9D">
      <w:pPr>
        <w:adjustRightInd w:val="0"/>
        <w:snapToGrid w:val="0"/>
        <w:spacing w:line="360" w:lineRule="auto"/>
        <w:ind w:firstLine="360" w:firstLineChars="150"/>
        <w:rPr>
          <w:rFonts w:ascii="黑体" w:hAnsi="黑体" w:eastAsia="黑体"/>
          <w:sz w:val="24"/>
        </w:rPr>
      </w:pPr>
      <w:r>
        <w:rPr>
          <w:rFonts w:ascii="黑体" w:hAnsi="黑体" w:eastAsia="黑体"/>
          <w:sz w:val="24"/>
        </w:rPr>
        <w:t>4.1.12</w:t>
      </w:r>
      <w:r>
        <w:rPr>
          <w:rFonts w:hint="eastAsia" w:ascii="黑体" w:hAnsi="黑体" w:eastAsia="黑体"/>
          <w:sz w:val="24"/>
          <w:lang w:val="en-US" w:eastAsia="zh-CN"/>
        </w:rPr>
        <w:t xml:space="preserve"> </w:t>
      </w:r>
      <w:r>
        <w:rPr>
          <w:rFonts w:hint="eastAsia" w:ascii="黑体" w:hAnsi="黑体" w:eastAsia="黑体"/>
          <w:sz w:val="24"/>
        </w:rPr>
        <w:t>绿色交通建设</w:t>
      </w:r>
    </w:p>
    <w:p w14:paraId="43097A49">
      <w:pPr>
        <w:spacing w:line="360" w:lineRule="auto"/>
        <w:ind w:firstLine="480" w:firstLineChars="200"/>
        <w:rPr>
          <w:rFonts w:hint="eastAsia" w:ascii="宋体" w:hAnsi="宋体"/>
          <w:sz w:val="24"/>
        </w:rPr>
      </w:pPr>
      <w:r>
        <w:rPr>
          <w:rFonts w:hint="eastAsia" w:ascii="宋体" w:hAnsi="宋体"/>
          <w:sz w:val="24"/>
        </w:rPr>
        <w:t>为践行绿色交通，推进绿色公路建设，实现公路建设健康可持续发展，承包人应按照《交通运输部关于实施绿色公路建设的指导意见》</w:t>
      </w:r>
      <w:r>
        <w:rPr>
          <w:rFonts w:hint="eastAsia" w:ascii="宋体" w:hAnsi="宋体"/>
          <w:sz w:val="24"/>
          <w:lang w:eastAsia="zh-CN"/>
        </w:rPr>
        <w:t>（</w:t>
      </w:r>
      <w:r>
        <w:rPr>
          <w:rFonts w:hint="eastAsia" w:ascii="宋体" w:hAnsi="宋体"/>
          <w:sz w:val="24"/>
          <w:lang w:val="en-US" w:eastAsia="zh-CN"/>
        </w:rPr>
        <w:t>交办公路</w:t>
      </w:r>
      <w:r>
        <w:rPr>
          <w:rFonts w:hint="eastAsia" w:ascii="宋体" w:hAnsi="宋体" w:cs="宋体"/>
          <w:sz w:val="24"/>
          <w:lang w:val="en-US" w:eastAsia="zh-CN"/>
        </w:rPr>
        <w:t>〔</w:t>
      </w:r>
      <w:r>
        <w:rPr>
          <w:rFonts w:hint="eastAsia" w:ascii="宋体" w:hAnsi="宋体" w:eastAsia="宋体" w:cs="宋体"/>
          <w:sz w:val="24"/>
          <w:lang w:val="en-US" w:eastAsia="zh-CN"/>
        </w:rPr>
        <w:t>2016</w:t>
      </w:r>
      <w:r>
        <w:rPr>
          <w:rFonts w:hint="eastAsia" w:ascii="宋体" w:hAnsi="宋体" w:cs="宋体"/>
          <w:sz w:val="24"/>
          <w:lang w:val="en-US" w:eastAsia="zh-CN"/>
        </w:rPr>
        <w:t>〕</w:t>
      </w:r>
      <w:r>
        <w:rPr>
          <w:rFonts w:hint="eastAsia" w:ascii="宋体" w:hAnsi="宋体" w:eastAsia="宋体" w:cs="宋体"/>
          <w:sz w:val="24"/>
          <w:lang w:val="en-US" w:eastAsia="zh-CN"/>
        </w:rPr>
        <w:t>93号</w:t>
      </w:r>
      <w:r>
        <w:rPr>
          <w:rFonts w:hint="eastAsia" w:ascii="宋体" w:hAnsi="宋体"/>
          <w:sz w:val="24"/>
          <w:lang w:eastAsia="zh-CN"/>
        </w:rPr>
        <w:t>）</w:t>
      </w:r>
      <w:r>
        <w:rPr>
          <w:rFonts w:hint="eastAsia" w:ascii="宋体" w:hAnsi="宋体"/>
          <w:sz w:val="24"/>
        </w:rPr>
        <w:t>，坚持可持续发展、统筹协调、创新驱动、因地制宜，建设绿色公路。</w:t>
      </w:r>
    </w:p>
    <w:p w14:paraId="3DC9EDE8">
      <w:pPr>
        <w:adjustRightInd w:val="0"/>
        <w:snapToGrid w:val="0"/>
        <w:spacing w:line="360" w:lineRule="auto"/>
        <w:ind w:firstLine="360" w:firstLineChars="150"/>
        <w:rPr>
          <w:rFonts w:ascii="黑体" w:hAnsi="黑体" w:eastAsia="黑体"/>
          <w:sz w:val="24"/>
        </w:rPr>
      </w:pPr>
      <w:r>
        <w:rPr>
          <w:rFonts w:ascii="黑体" w:hAnsi="黑体" w:eastAsia="黑体"/>
          <w:sz w:val="24"/>
        </w:rPr>
        <w:t>4.1.13工程收尾</w:t>
      </w:r>
    </w:p>
    <w:p w14:paraId="1688F97A">
      <w:pPr>
        <w:adjustRightInd w:val="0"/>
        <w:snapToGrid w:val="0"/>
        <w:spacing w:line="360" w:lineRule="auto"/>
        <w:ind w:firstLine="480" w:firstLineChars="200"/>
        <w:rPr>
          <w:rFonts w:hint="eastAsia" w:ascii="宋体" w:hAnsi="宋体"/>
          <w:sz w:val="24"/>
        </w:rPr>
      </w:pPr>
      <w:r>
        <w:rPr>
          <w:rFonts w:hint="eastAsia" w:ascii="宋体" w:hAnsi="宋体"/>
          <w:bCs/>
          <w:sz w:val="24"/>
        </w:rPr>
        <w:t>工程实施末期，承包人应积极主动地处理和解决所在标段收尾的问题（如劳务用工工资、零星扫尾工程、临时设施的拆除及完工机械设备的撤场、影响沿线群众生产生活等）。</w:t>
      </w:r>
      <w:r>
        <w:rPr>
          <w:rFonts w:ascii="宋体" w:hAnsi="宋体"/>
          <w:bCs/>
          <w:sz w:val="24"/>
        </w:rPr>
        <w:t>属</w:t>
      </w:r>
      <w:r>
        <w:rPr>
          <w:rFonts w:hint="eastAsia" w:ascii="宋体" w:hAnsi="宋体"/>
          <w:bCs/>
          <w:sz w:val="24"/>
        </w:rPr>
        <w:t>承包人</w:t>
      </w:r>
      <w:r>
        <w:rPr>
          <w:rFonts w:ascii="宋体" w:hAnsi="宋体"/>
          <w:bCs/>
          <w:sz w:val="24"/>
        </w:rPr>
        <w:t>责任的，</w:t>
      </w:r>
      <w:r>
        <w:rPr>
          <w:rFonts w:hint="eastAsia" w:ascii="宋体" w:hAnsi="宋体"/>
          <w:bCs/>
          <w:sz w:val="24"/>
        </w:rPr>
        <w:t>相关费用由</w:t>
      </w:r>
      <w:r>
        <w:rPr>
          <w:rFonts w:ascii="宋体" w:hAnsi="宋体"/>
          <w:bCs/>
          <w:sz w:val="24"/>
        </w:rPr>
        <w:t>承包人承担</w:t>
      </w:r>
      <w:r>
        <w:rPr>
          <w:rFonts w:hint="eastAsia" w:ascii="宋体" w:hAnsi="宋体"/>
          <w:bCs/>
          <w:sz w:val="24"/>
        </w:rPr>
        <w:t>。若承包人在发包人规定的期限内不能妥善处理上述问题，监理人应对此提出处理意见，发包人可将发生的费用从应付或到期应付给承包人的任何款项中或采用其他方法扣除。</w:t>
      </w:r>
    </w:p>
    <w:bookmarkEnd w:id="748"/>
    <w:p w14:paraId="03A06719">
      <w:pPr>
        <w:pStyle w:val="2"/>
        <w:spacing w:before="240" w:after="240" w:line="240" w:lineRule="atLeast"/>
        <w:rPr>
          <w:rFonts w:ascii="黑体"/>
          <w:b w:val="0"/>
          <w:sz w:val="24"/>
          <w:szCs w:val="24"/>
        </w:rPr>
      </w:pPr>
      <w:bookmarkStart w:id="751" w:name="_Toc53685729"/>
      <w:r>
        <w:rPr>
          <w:rFonts w:ascii="黑体"/>
          <w:b w:val="0"/>
          <w:sz w:val="24"/>
          <w:szCs w:val="24"/>
        </w:rPr>
        <w:t>4.2</w:t>
      </w:r>
      <w:r>
        <w:rPr>
          <w:rFonts w:hint="eastAsia" w:ascii="黑体"/>
          <w:b w:val="0"/>
          <w:sz w:val="24"/>
          <w:szCs w:val="24"/>
          <w:lang w:val="en-US" w:eastAsia="zh-CN"/>
        </w:rPr>
        <w:t xml:space="preserve"> </w:t>
      </w:r>
      <w:r>
        <w:rPr>
          <w:rFonts w:hint="eastAsia" w:ascii="黑体"/>
          <w:b w:val="0"/>
          <w:sz w:val="24"/>
          <w:szCs w:val="24"/>
        </w:rPr>
        <w:t>履约保证金</w:t>
      </w:r>
      <w:bookmarkEnd w:id="751"/>
    </w:p>
    <w:p w14:paraId="06762977">
      <w:pPr>
        <w:adjustRightInd w:val="0"/>
        <w:snapToGrid w:val="0"/>
        <w:spacing w:line="360" w:lineRule="auto"/>
        <w:ind w:firstLine="480" w:firstLineChars="200"/>
        <w:rPr>
          <w:rFonts w:ascii="宋体" w:hAnsi="宋体"/>
          <w:bCs/>
          <w:sz w:val="24"/>
        </w:rPr>
      </w:pPr>
      <w:r>
        <w:rPr>
          <w:rFonts w:hint="eastAsia" w:ascii="宋体" w:hAnsi="宋体"/>
          <w:bCs/>
          <w:sz w:val="24"/>
        </w:rPr>
        <w:t>第4</w:t>
      </w:r>
      <w:r>
        <w:rPr>
          <w:rFonts w:ascii="宋体" w:hAnsi="宋体"/>
          <w:bCs/>
          <w:sz w:val="24"/>
        </w:rPr>
        <w:t>.2.1</w:t>
      </w:r>
      <w:r>
        <w:rPr>
          <w:rFonts w:hint="eastAsia" w:ascii="宋体" w:hAnsi="宋体"/>
          <w:bCs/>
          <w:sz w:val="24"/>
        </w:rPr>
        <w:t>项细化为：</w:t>
      </w:r>
    </w:p>
    <w:p w14:paraId="5BCB6891">
      <w:pPr>
        <w:adjustRightInd w:val="0"/>
        <w:snapToGrid w:val="0"/>
        <w:spacing w:line="360" w:lineRule="auto"/>
        <w:ind w:firstLine="360" w:firstLineChars="150"/>
        <w:rPr>
          <w:rFonts w:ascii="宋体" w:hAnsi="宋体" w:cs="宋体"/>
          <w:spacing w:val="-4"/>
          <w:sz w:val="24"/>
        </w:rPr>
      </w:pPr>
      <w:r>
        <w:rPr>
          <w:rFonts w:hint="eastAsia" w:ascii="宋体" w:hAnsi="宋体" w:cs="宋体"/>
          <w:sz w:val="24"/>
        </w:rPr>
        <w:t>（</w:t>
      </w:r>
      <w:r>
        <w:rPr>
          <w:rFonts w:ascii="宋体" w:hAnsi="宋体" w:cs="宋体"/>
          <w:sz w:val="24"/>
        </w:rPr>
        <w:t>1）承包人的履约现金担保（若有）应由发包人设立银行专户储存，履约现金担保所产生的活期存款利息归承包人所有</w:t>
      </w:r>
      <w:r>
        <w:rPr>
          <w:rFonts w:hint="eastAsia" w:ascii="宋体" w:hAnsi="宋体" w:cs="宋体"/>
          <w:spacing w:val="-4"/>
          <w:sz w:val="24"/>
        </w:rPr>
        <w:t>。</w:t>
      </w:r>
    </w:p>
    <w:p w14:paraId="6BD9940F">
      <w:pPr>
        <w:adjustRightInd w:val="0"/>
        <w:snapToGrid w:val="0"/>
        <w:spacing w:line="360" w:lineRule="auto"/>
        <w:ind w:firstLine="360" w:firstLineChars="150"/>
        <w:rPr>
          <w:rFonts w:ascii="宋体" w:hAnsi="宋体" w:cs="宋体"/>
          <w:spacing w:val="-4"/>
          <w:sz w:val="24"/>
        </w:rPr>
      </w:pPr>
      <w:r>
        <w:rPr>
          <w:rFonts w:hint="eastAsia" w:ascii="宋体" w:hAnsi="宋体" w:cs="宋体"/>
          <w:sz w:val="24"/>
        </w:rPr>
        <w:t>（</w:t>
      </w:r>
      <w:r>
        <w:rPr>
          <w:rFonts w:ascii="宋体" w:hAnsi="宋体" w:cs="宋体"/>
          <w:sz w:val="24"/>
        </w:rPr>
        <w:t>2）</w:t>
      </w:r>
      <w:r>
        <w:rPr>
          <w:rFonts w:hint="eastAsia" w:ascii="宋体" w:hAnsi="宋体" w:cs="宋体"/>
          <w:spacing w:val="-4"/>
          <w:sz w:val="24"/>
        </w:rPr>
        <w:t>如果该承包人在本工程项目中不严格履行合同，根据监理人建议，发包人可动用履约保证金解决对发包人利益可能带来风险的有关问题。</w:t>
      </w:r>
    </w:p>
    <w:p w14:paraId="1B05690C">
      <w:pPr>
        <w:adjustRightInd w:val="0"/>
        <w:snapToGrid w:val="0"/>
        <w:spacing w:line="360" w:lineRule="auto"/>
        <w:ind w:firstLine="360" w:firstLineChars="150"/>
        <w:rPr>
          <w:rFonts w:ascii="宋体" w:hAnsi="宋体" w:cs="宋体"/>
          <w:sz w:val="24"/>
        </w:rPr>
      </w:pPr>
      <w:r>
        <w:rPr>
          <w:rFonts w:hint="eastAsia" w:ascii="宋体" w:hAnsi="宋体" w:cs="宋体"/>
          <w:sz w:val="24"/>
        </w:rPr>
        <w:t>（</w:t>
      </w:r>
      <w:r>
        <w:rPr>
          <w:rFonts w:ascii="宋体" w:hAnsi="宋体" w:cs="宋体"/>
          <w:sz w:val="24"/>
        </w:rPr>
        <w:t>3）当承包人在工程实施过程中，因安全、质量、进度、环保、农民工工资等问</w:t>
      </w:r>
      <w:r>
        <w:rPr>
          <w:rFonts w:hint="eastAsia" w:ascii="宋体" w:hAnsi="宋体" w:cs="宋体"/>
          <w:sz w:val="24"/>
        </w:rPr>
        <w:t>题发生，</w:t>
      </w:r>
      <w:r>
        <w:rPr>
          <w:rFonts w:hint="eastAsia" w:ascii="宋体" w:hAnsi="宋体" w:cs="宋体"/>
          <w:spacing w:val="-4"/>
          <w:sz w:val="24"/>
        </w:rPr>
        <w:t>根据监理人建议，</w:t>
      </w:r>
      <w:r>
        <w:rPr>
          <w:rFonts w:hint="eastAsia" w:ascii="宋体" w:hAnsi="宋体" w:cs="宋体"/>
          <w:sz w:val="24"/>
        </w:rPr>
        <w:t>发包人可动用承包人履约保证金督促承包人采取措施完成合同。</w:t>
      </w:r>
    </w:p>
    <w:p w14:paraId="59EB415E">
      <w:pPr>
        <w:adjustRightInd w:val="0"/>
        <w:snapToGrid w:val="0"/>
        <w:spacing w:line="360" w:lineRule="auto"/>
        <w:ind w:firstLine="360" w:firstLineChars="150"/>
        <w:rPr>
          <w:rFonts w:ascii="宋体" w:hAnsi="宋体" w:cs="宋体"/>
          <w:sz w:val="24"/>
        </w:rPr>
      </w:pPr>
      <w:r>
        <w:rPr>
          <w:rFonts w:hint="eastAsia" w:ascii="宋体" w:hAnsi="宋体" w:cs="宋体"/>
          <w:sz w:val="24"/>
        </w:rPr>
        <w:t>（</w:t>
      </w:r>
      <w:r>
        <w:rPr>
          <w:rFonts w:ascii="宋体" w:hAnsi="宋体" w:cs="宋体"/>
          <w:sz w:val="24"/>
        </w:rPr>
        <w:t>4）承包人应保证其</w:t>
      </w:r>
      <w:r>
        <w:rPr>
          <w:rFonts w:hint="eastAsia" w:ascii="宋体" w:hAnsi="宋体" w:cs="宋体"/>
          <w:sz w:val="24"/>
        </w:rPr>
        <w:t>履约保证金（保函）在发包人颁发工程交工证书前一直有效。</w:t>
      </w:r>
    </w:p>
    <w:p w14:paraId="43A7DE05">
      <w:pPr>
        <w:adjustRightInd w:val="0"/>
        <w:snapToGrid w:val="0"/>
        <w:spacing w:line="360" w:lineRule="auto"/>
        <w:ind w:firstLine="360" w:firstLineChars="150"/>
        <w:rPr>
          <w:rFonts w:ascii="宋体" w:hAnsi="宋体" w:cs="宋体"/>
          <w:sz w:val="24"/>
          <w:u w:val="single"/>
        </w:rPr>
      </w:pPr>
      <w:r>
        <w:rPr>
          <w:rFonts w:hint="eastAsia" w:ascii="宋体" w:hAnsi="宋体" w:cs="宋体"/>
          <w:sz w:val="24"/>
        </w:rPr>
        <w:t>（</w:t>
      </w:r>
      <w:r>
        <w:rPr>
          <w:rFonts w:ascii="宋体" w:hAnsi="宋体" w:cs="宋体"/>
          <w:sz w:val="24"/>
        </w:rPr>
        <w:t>5）履约保证金的退还：</w:t>
      </w:r>
      <w:r>
        <w:rPr>
          <w:rFonts w:hint="eastAsia" w:hAnsi="宋体"/>
          <w:sz w:val="24"/>
          <w:u w:val="single"/>
          <w:lang w:val="en-US" w:eastAsia="zh-CN"/>
        </w:rPr>
        <w:t xml:space="preserve">                  </w:t>
      </w:r>
    </w:p>
    <w:p w14:paraId="5B98A032">
      <w:pPr>
        <w:pStyle w:val="2"/>
        <w:spacing w:before="240" w:after="240" w:line="240" w:lineRule="atLeast"/>
        <w:rPr>
          <w:rFonts w:ascii="黑体"/>
          <w:b w:val="0"/>
          <w:sz w:val="24"/>
          <w:szCs w:val="24"/>
        </w:rPr>
      </w:pPr>
      <w:bookmarkStart w:id="752" w:name="_Toc53685730"/>
      <w:r>
        <w:rPr>
          <w:rFonts w:ascii="黑体"/>
          <w:b w:val="0"/>
          <w:sz w:val="24"/>
          <w:szCs w:val="24"/>
        </w:rPr>
        <w:t>4.3</w:t>
      </w:r>
      <w:r>
        <w:rPr>
          <w:rFonts w:hint="eastAsia" w:ascii="黑体"/>
          <w:b w:val="0"/>
          <w:sz w:val="24"/>
          <w:szCs w:val="24"/>
          <w:lang w:val="en-US" w:eastAsia="zh-CN"/>
        </w:rPr>
        <w:t xml:space="preserve"> </w:t>
      </w:r>
      <w:r>
        <w:rPr>
          <w:rFonts w:hint="eastAsia" w:ascii="黑体"/>
          <w:b w:val="0"/>
          <w:sz w:val="24"/>
          <w:szCs w:val="24"/>
        </w:rPr>
        <w:t>分包</w:t>
      </w:r>
      <w:bookmarkEnd w:id="752"/>
      <w:r>
        <w:rPr>
          <w:rFonts w:hint="eastAsia" w:ascii="黑体"/>
          <w:b w:val="0"/>
          <w:sz w:val="24"/>
          <w:szCs w:val="24"/>
        </w:rPr>
        <w:t>和不得转包</w:t>
      </w:r>
    </w:p>
    <w:p w14:paraId="2D918FEF">
      <w:pPr>
        <w:adjustRightInd w:val="0"/>
        <w:snapToGrid w:val="0"/>
        <w:spacing w:line="360" w:lineRule="auto"/>
        <w:ind w:firstLine="470" w:firstLineChars="196"/>
        <w:rPr>
          <w:rFonts w:ascii="宋体" w:hAnsi="宋体"/>
          <w:bCs/>
          <w:sz w:val="24"/>
        </w:rPr>
      </w:pPr>
      <w:r>
        <w:rPr>
          <w:rFonts w:hint="eastAsia" w:ascii="宋体" w:hAnsi="宋体"/>
          <w:bCs/>
          <w:sz w:val="24"/>
        </w:rPr>
        <w:t>第4</w:t>
      </w:r>
      <w:r>
        <w:rPr>
          <w:rFonts w:ascii="宋体" w:hAnsi="宋体"/>
          <w:bCs/>
          <w:sz w:val="24"/>
        </w:rPr>
        <w:t>.3.2</w:t>
      </w:r>
      <w:r>
        <w:rPr>
          <w:rFonts w:hint="eastAsia" w:ascii="宋体" w:hAnsi="宋体"/>
          <w:bCs/>
          <w:sz w:val="24"/>
        </w:rPr>
        <w:t>项最后补充：经发包人同意，承包人可将工程的其他部分或工作分包给第三人。</w:t>
      </w:r>
    </w:p>
    <w:p w14:paraId="448FAC26">
      <w:pPr>
        <w:adjustRightInd w:val="0"/>
        <w:snapToGrid w:val="0"/>
        <w:spacing w:line="360" w:lineRule="auto"/>
        <w:ind w:firstLine="470" w:firstLineChars="196"/>
        <w:rPr>
          <w:rFonts w:ascii="宋体" w:hAnsi="宋体"/>
          <w:sz w:val="24"/>
        </w:rPr>
      </w:pPr>
      <w:r>
        <w:rPr>
          <w:rFonts w:hint="eastAsia" w:ascii="宋体" w:hAnsi="宋体"/>
          <w:sz w:val="24"/>
        </w:rPr>
        <w:t>本款补充4</w:t>
      </w:r>
      <w:r>
        <w:rPr>
          <w:rFonts w:ascii="宋体" w:hAnsi="宋体"/>
          <w:sz w:val="24"/>
        </w:rPr>
        <w:t>.3.5</w:t>
      </w:r>
      <w:r>
        <w:rPr>
          <w:rFonts w:hint="eastAsia" w:ascii="宋体" w:hAnsi="宋体"/>
          <w:sz w:val="24"/>
        </w:rPr>
        <w:t>项</w:t>
      </w:r>
      <w:r>
        <w:rPr>
          <w:rFonts w:hint="eastAsia" w:ascii="宋体" w:hAnsi="宋体" w:cs="宋体"/>
          <w:sz w:val="24"/>
        </w:rPr>
        <w:t>～</w:t>
      </w:r>
      <w:r>
        <w:rPr>
          <w:rFonts w:hint="eastAsia" w:ascii="宋体" w:hAnsi="宋体"/>
          <w:sz w:val="24"/>
        </w:rPr>
        <w:t>第4.3.8项：</w:t>
      </w:r>
    </w:p>
    <w:p w14:paraId="3FD4AE0D">
      <w:pPr>
        <w:adjustRightInd w:val="0"/>
        <w:snapToGrid w:val="0"/>
        <w:spacing w:line="360" w:lineRule="auto"/>
        <w:ind w:firstLine="360" w:firstLineChars="150"/>
        <w:rPr>
          <w:rFonts w:ascii="黑体" w:hAnsi="黑体" w:eastAsia="黑体"/>
          <w:sz w:val="24"/>
        </w:rPr>
      </w:pPr>
      <w:r>
        <w:rPr>
          <w:rFonts w:ascii="黑体" w:hAnsi="黑体" w:eastAsia="黑体"/>
          <w:sz w:val="24"/>
        </w:rPr>
        <w:t>4.3.5</w:t>
      </w:r>
      <w:r>
        <w:rPr>
          <w:rFonts w:hint="eastAsia" w:ascii="黑体" w:hAnsi="黑体" w:eastAsia="黑体"/>
          <w:sz w:val="24"/>
          <w:lang w:val="en-US" w:eastAsia="zh-CN"/>
        </w:rPr>
        <w:t xml:space="preserve"> </w:t>
      </w:r>
      <w:r>
        <w:rPr>
          <w:rFonts w:hint="eastAsia" w:ascii="黑体" w:hAnsi="黑体" w:eastAsia="黑体"/>
          <w:sz w:val="24"/>
        </w:rPr>
        <w:t>专业分包</w:t>
      </w:r>
    </w:p>
    <w:p w14:paraId="0A98E23A">
      <w:pPr>
        <w:adjustRightInd w:val="0"/>
        <w:snapToGrid w:val="0"/>
        <w:spacing w:line="360" w:lineRule="auto"/>
        <w:ind w:firstLine="470" w:firstLineChars="196"/>
        <w:rPr>
          <w:rFonts w:hAnsi="宋体"/>
          <w:bCs/>
          <w:sz w:val="24"/>
        </w:rPr>
      </w:pPr>
      <w:r>
        <w:rPr>
          <w:rFonts w:hint="eastAsia" w:ascii="宋体" w:hAnsi="宋体"/>
          <w:bCs/>
          <w:sz w:val="24"/>
        </w:rPr>
        <w:t>在工程施工过程中，承包人进行专业分包必须遵守</w:t>
      </w:r>
      <w:r>
        <w:rPr>
          <w:rFonts w:hint="eastAsia" w:asciiTheme="minorEastAsia" w:hAnsiTheme="minorEastAsia" w:eastAsiaTheme="minorEastAsia"/>
          <w:sz w:val="24"/>
        </w:rPr>
        <w:t>《交通运输部关于</w:t>
      </w:r>
      <w:r>
        <w:rPr>
          <w:rFonts w:hint="eastAsia" w:asciiTheme="minorEastAsia" w:hAnsiTheme="minorEastAsia" w:eastAsiaTheme="minorEastAsia"/>
          <w:sz w:val="24"/>
          <w:lang w:val="en-US" w:eastAsia="zh-CN"/>
        </w:rPr>
        <w:t>印发</w:t>
      </w:r>
      <w:r>
        <w:rPr>
          <w:rFonts w:hint="eastAsia" w:ascii="宋体" w:hAnsi="宋体" w:eastAsia="宋体" w:cs="宋体"/>
          <w:sz w:val="24"/>
          <w:lang w:eastAsia="zh-CN"/>
        </w:rPr>
        <w:t>〈</w:t>
      </w:r>
      <w:r>
        <w:rPr>
          <w:rFonts w:hint="eastAsia" w:ascii="宋体" w:hAnsi="宋体" w:eastAsia="宋体" w:cs="宋体"/>
          <w:sz w:val="24"/>
        </w:rPr>
        <w:t>公路工程施工分包管理办法</w:t>
      </w:r>
      <w:r>
        <w:rPr>
          <w:rFonts w:hint="eastAsia" w:ascii="宋体" w:hAnsi="宋体" w:eastAsia="宋体" w:cs="宋体"/>
          <w:sz w:val="24"/>
          <w:lang w:eastAsia="zh-CN"/>
        </w:rPr>
        <w:t>〉</w:t>
      </w:r>
      <w:r>
        <w:rPr>
          <w:rFonts w:hint="eastAsia" w:ascii="宋体" w:hAnsi="宋体" w:eastAsia="宋体" w:cs="宋体"/>
          <w:sz w:val="24"/>
        </w:rPr>
        <w:t>的通</w:t>
      </w:r>
      <w:r>
        <w:rPr>
          <w:rFonts w:hint="eastAsia" w:asciiTheme="minorEastAsia" w:hAnsiTheme="minorEastAsia" w:eastAsiaTheme="minorEastAsia"/>
          <w:sz w:val="24"/>
        </w:rPr>
        <w:t>知</w:t>
      </w:r>
      <w:r>
        <w:rPr>
          <w:rFonts w:hint="eastAsia" w:ascii="宋体" w:hAnsi="宋体" w:eastAsia="宋体" w:cs="宋体"/>
          <w:sz w:val="24"/>
        </w:rPr>
        <w:t>》</w:t>
      </w:r>
      <w:r>
        <w:rPr>
          <w:rFonts w:hint="eastAsia" w:asciiTheme="minorEastAsia" w:hAnsiTheme="minorEastAsia" w:eastAsiaTheme="minorEastAsia"/>
          <w:sz w:val="24"/>
        </w:rPr>
        <w:t>（交公路规</w:t>
      </w:r>
      <w:r>
        <w:rPr>
          <w:rFonts w:ascii="宋体" w:hAnsi="宋体"/>
          <w:sz w:val="24"/>
        </w:rPr>
        <w:t>〔2024〕2</w:t>
      </w:r>
      <w:r>
        <w:rPr>
          <w:rFonts w:asciiTheme="minorEastAsia" w:hAnsiTheme="minorEastAsia" w:eastAsiaTheme="minorEastAsia"/>
          <w:sz w:val="24"/>
        </w:rPr>
        <w:t>号）及四川省交通运输厅《四川省公路工程施工分包和劳务合作管理实施细则》（</w:t>
      </w:r>
      <w:r>
        <w:rPr>
          <w:rFonts w:hint="eastAsia" w:asciiTheme="minorEastAsia" w:hAnsiTheme="minorEastAsia" w:eastAsiaTheme="minorEastAsia"/>
          <w:sz w:val="24"/>
        </w:rPr>
        <w:t>川交规〔202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号）、《四川省公路水运建设工程勘察设计分包管理暂行办法》（2022年12月1日施行）</w:t>
      </w:r>
      <w:r>
        <w:rPr>
          <w:rFonts w:asciiTheme="minorEastAsia" w:hAnsiTheme="minorEastAsia" w:eastAsiaTheme="minorEastAsia"/>
          <w:sz w:val="24"/>
        </w:rPr>
        <w:t>的规定</w:t>
      </w:r>
      <w:r>
        <w:rPr>
          <w:rFonts w:hint="eastAsia" w:ascii="宋体" w:hAnsi="宋体"/>
          <w:bCs/>
          <w:sz w:val="24"/>
        </w:rPr>
        <w:t>。</w:t>
      </w:r>
    </w:p>
    <w:p w14:paraId="611CD5F0">
      <w:pPr>
        <w:adjustRightInd w:val="0"/>
        <w:snapToGrid w:val="0"/>
        <w:spacing w:line="360" w:lineRule="auto"/>
        <w:ind w:firstLine="360" w:firstLineChars="150"/>
        <w:rPr>
          <w:rFonts w:ascii="黑体" w:hAnsi="黑体" w:eastAsia="黑体"/>
          <w:bCs w:val="0"/>
          <w:sz w:val="24"/>
        </w:rPr>
      </w:pPr>
      <w:r>
        <w:rPr>
          <w:rFonts w:hint="eastAsia" w:ascii="黑体" w:hAnsi="黑体" w:eastAsia="黑体"/>
          <w:sz w:val="24"/>
        </w:rPr>
        <w:t>4.3.6</w:t>
      </w:r>
      <w:r>
        <w:rPr>
          <w:rFonts w:hint="default" w:ascii="黑体" w:hAnsi="黑体" w:eastAsia="黑体"/>
          <w:sz w:val="24"/>
          <w:lang w:val="en-US" w:eastAsia="zh-CN"/>
        </w:rPr>
        <w:t xml:space="preserve"> </w:t>
      </w:r>
      <w:r>
        <w:rPr>
          <w:rFonts w:hint="eastAsia" w:ascii="黑体" w:hAnsi="黑体" w:eastAsia="黑体"/>
          <w:sz w:val="24"/>
        </w:rPr>
        <w:t>劳务合作</w:t>
      </w:r>
    </w:p>
    <w:p w14:paraId="142B1F87">
      <w:pPr>
        <w:adjustRightInd w:val="0"/>
        <w:snapToGrid w:val="0"/>
        <w:spacing w:line="360" w:lineRule="auto"/>
        <w:ind w:firstLine="470" w:firstLineChars="196"/>
        <w:rPr>
          <w:rFonts w:hAnsi="宋体"/>
          <w:bCs/>
          <w:sz w:val="24"/>
        </w:rPr>
      </w:pPr>
      <w:r>
        <w:rPr>
          <w:rFonts w:hint="eastAsia" w:ascii="宋体" w:hAnsi="宋体"/>
          <w:bCs/>
          <w:sz w:val="24"/>
        </w:rPr>
        <w:t>承包人开展劳务合作必须遵守</w:t>
      </w:r>
      <w:r>
        <w:rPr>
          <w:rFonts w:hint="eastAsia" w:asciiTheme="minorEastAsia" w:hAnsiTheme="minorEastAsia" w:eastAsiaTheme="minorEastAsia"/>
          <w:sz w:val="24"/>
        </w:rPr>
        <w:t>《交通运输部关于</w:t>
      </w:r>
      <w:r>
        <w:rPr>
          <w:rFonts w:hint="eastAsia" w:asciiTheme="minorEastAsia" w:hAnsiTheme="minorEastAsia" w:eastAsiaTheme="minorEastAsia"/>
          <w:sz w:val="24"/>
          <w:lang w:val="en-US" w:eastAsia="zh-CN"/>
        </w:rPr>
        <w:t>印发</w:t>
      </w:r>
      <w:r>
        <w:rPr>
          <w:rFonts w:hint="eastAsia" w:ascii="宋体" w:hAnsi="宋体" w:eastAsia="宋体" w:cs="宋体"/>
          <w:sz w:val="24"/>
          <w:lang w:eastAsia="zh-CN"/>
        </w:rPr>
        <w:t>〈</w:t>
      </w:r>
      <w:r>
        <w:rPr>
          <w:rFonts w:hint="eastAsia" w:ascii="宋体" w:hAnsi="宋体" w:eastAsia="宋体" w:cs="宋体"/>
          <w:sz w:val="24"/>
        </w:rPr>
        <w:t>公路工程施工分包管理办法</w:t>
      </w:r>
      <w:r>
        <w:rPr>
          <w:rFonts w:hint="eastAsia" w:ascii="宋体" w:hAnsi="宋体" w:eastAsia="宋体" w:cs="宋体"/>
          <w:sz w:val="24"/>
          <w:lang w:eastAsia="zh-CN"/>
        </w:rPr>
        <w:t>〉</w:t>
      </w:r>
      <w:r>
        <w:rPr>
          <w:rFonts w:hint="eastAsia" w:ascii="宋体" w:hAnsi="宋体" w:eastAsia="宋体" w:cs="宋体"/>
          <w:sz w:val="24"/>
        </w:rPr>
        <w:t>的通</w:t>
      </w:r>
      <w:r>
        <w:rPr>
          <w:rFonts w:hint="eastAsia" w:asciiTheme="minorEastAsia" w:hAnsiTheme="minorEastAsia" w:eastAsiaTheme="minorEastAsia"/>
          <w:sz w:val="24"/>
        </w:rPr>
        <w:t>知</w:t>
      </w:r>
      <w:r>
        <w:rPr>
          <w:rFonts w:hint="eastAsia" w:ascii="宋体" w:hAnsi="宋体" w:eastAsia="宋体" w:cs="宋体"/>
          <w:sz w:val="24"/>
        </w:rPr>
        <w:t>》</w:t>
      </w:r>
      <w:r>
        <w:rPr>
          <w:rFonts w:hint="eastAsia" w:asciiTheme="minorEastAsia" w:hAnsiTheme="minorEastAsia" w:eastAsiaTheme="minorEastAsia"/>
          <w:sz w:val="24"/>
        </w:rPr>
        <w:t>（</w:t>
      </w:r>
      <w:r>
        <w:rPr>
          <w:rFonts w:ascii="宋体" w:hAnsi="宋体"/>
          <w:sz w:val="24"/>
        </w:rPr>
        <w:t>交公路规〔2024〕2号</w:t>
      </w:r>
      <w:r>
        <w:rPr>
          <w:rFonts w:asciiTheme="minorEastAsia" w:hAnsiTheme="minorEastAsia" w:eastAsiaTheme="minorEastAsia"/>
          <w:sz w:val="24"/>
        </w:rPr>
        <w:t>）</w:t>
      </w:r>
      <w:r>
        <w:rPr>
          <w:rFonts w:hint="eastAsia" w:asciiTheme="minorEastAsia" w:hAnsiTheme="minorEastAsia" w:eastAsiaTheme="minorEastAsia"/>
          <w:sz w:val="24"/>
          <w:lang w:eastAsia="zh-CN"/>
        </w:rPr>
        <w:t>、</w:t>
      </w:r>
      <w:r>
        <w:rPr>
          <w:rFonts w:ascii="宋体" w:hAnsi="宋体"/>
          <w:sz w:val="24"/>
        </w:rPr>
        <w:t>《交通运输部办公厅关于印发</w:t>
      </w:r>
      <w:r>
        <w:rPr>
          <w:rFonts w:hint="eastAsia" w:ascii="宋体" w:hAnsi="宋体" w:cs="宋体"/>
          <w:sz w:val="24"/>
        </w:rPr>
        <w:t>&lt;</w:t>
      </w:r>
      <w:r>
        <w:rPr>
          <w:rFonts w:ascii="宋体" w:hAnsi="宋体"/>
          <w:sz w:val="24"/>
        </w:rPr>
        <w:t>公路工程施工分包负面清单</w:t>
      </w:r>
      <w:r>
        <w:rPr>
          <w:rFonts w:hint="eastAsia" w:ascii="宋体" w:hAnsi="宋体"/>
          <w:sz w:val="24"/>
        </w:rPr>
        <w:t>（2024年版）</w:t>
      </w:r>
      <w:r>
        <w:rPr>
          <w:rFonts w:hint="eastAsia" w:ascii="宋体" w:hAnsi="宋体" w:cs="宋体"/>
          <w:sz w:val="24"/>
        </w:rPr>
        <w:t>&gt;</w:t>
      </w:r>
      <w:r>
        <w:rPr>
          <w:rFonts w:hint="eastAsia" w:ascii="宋体" w:hAnsi="宋体"/>
          <w:sz w:val="24"/>
        </w:rPr>
        <w:t>的通知</w:t>
      </w:r>
      <w:r>
        <w:rPr>
          <w:rFonts w:ascii="宋体" w:hAnsi="宋体"/>
          <w:sz w:val="24"/>
        </w:rPr>
        <w:t>》（交办公规〔2024〕6号）</w:t>
      </w:r>
      <w:r>
        <w:rPr>
          <w:rFonts w:asciiTheme="minorEastAsia" w:hAnsiTheme="minorEastAsia" w:eastAsiaTheme="minorEastAsia"/>
          <w:sz w:val="24"/>
        </w:rPr>
        <w:t>及四川省交通运输厅《四川省公路工程施工分包和劳务合作管理实施细则》（</w:t>
      </w:r>
      <w:r>
        <w:rPr>
          <w:rFonts w:hint="eastAsia" w:asciiTheme="minorEastAsia" w:hAnsiTheme="minorEastAsia" w:eastAsiaTheme="minorEastAsia"/>
          <w:sz w:val="24"/>
        </w:rPr>
        <w:t>川交规〔202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号）、《四川省公路水运建设工程勘察设计分包管理暂行办法》（2022年12月1日施行）</w:t>
      </w:r>
      <w:r>
        <w:rPr>
          <w:rFonts w:asciiTheme="minorEastAsia" w:hAnsiTheme="minorEastAsia" w:eastAsiaTheme="minorEastAsia"/>
          <w:sz w:val="24"/>
        </w:rPr>
        <w:t>的规定</w:t>
      </w:r>
      <w:r>
        <w:rPr>
          <w:rFonts w:hint="eastAsia" w:asciiTheme="minorEastAsia" w:hAnsiTheme="minorEastAsia" w:eastAsiaTheme="minorEastAsia"/>
          <w:sz w:val="24"/>
        </w:rPr>
        <w:t>。</w:t>
      </w:r>
      <w:r>
        <w:rPr>
          <w:rFonts w:ascii="宋体" w:hAnsi="宋体"/>
          <w:bCs/>
          <w:sz w:val="24"/>
        </w:rPr>
        <w:t xml:space="preserve"> </w:t>
      </w:r>
    </w:p>
    <w:p w14:paraId="56A6B996">
      <w:pPr>
        <w:adjustRightInd w:val="0"/>
        <w:snapToGrid w:val="0"/>
        <w:spacing w:line="360" w:lineRule="auto"/>
        <w:ind w:firstLine="470" w:firstLineChars="196"/>
        <w:rPr>
          <w:rFonts w:hAnsi="宋体"/>
          <w:bCs/>
          <w:sz w:val="24"/>
        </w:rPr>
      </w:pPr>
      <w:r>
        <w:rPr>
          <w:rFonts w:ascii="宋体" w:hAnsi="宋体"/>
          <w:bCs/>
          <w:sz w:val="24"/>
        </w:rPr>
        <w:t>4.3.</w:t>
      </w:r>
      <w:r>
        <w:rPr>
          <w:rFonts w:hint="eastAsia" w:ascii="宋体" w:hAnsi="宋体"/>
          <w:bCs/>
          <w:sz w:val="24"/>
        </w:rPr>
        <w:t>7</w:t>
      </w:r>
      <w:r>
        <w:rPr>
          <w:rFonts w:ascii="宋体" w:hAnsi="宋体"/>
          <w:bCs/>
          <w:sz w:val="24"/>
        </w:rPr>
        <w:t xml:space="preserve"> </w:t>
      </w:r>
      <w:r>
        <w:rPr>
          <w:rFonts w:hint="eastAsia" w:ascii="宋体" w:hAnsi="宋体"/>
          <w:bCs/>
          <w:sz w:val="24"/>
        </w:rPr>
        <w:t>发包人对承包人与分包人之间的法律与经济纠纷不承担任何责任和义务。</w:t>
      </w:r>
      <w:r>
        <w:rPr>
          <w:rFonts w:ascii="宋体" w:hAnsi="宋体"/>
          <w:bCs/>
          <w:sz w:val="24"/>
        </w:rPr>
        <w:t xml:space="preserve"> </w:t>
      </w:r>
    </w:p>
    <w:p w14:paraId="7F53A9D4">
      <w:pPr>
        <w:widowControl/>
        <w:adjustRightInd w:val="0"/>
        <w:snapToGrid w:val="0"/>
        <w:spacing w:line="360" w:lineRule="auto"/>
        <w:ind w:firstLine="470" w:firstLineChars="196"/>
        <w:jc w:val="left"/>
        <w:rPr>
          <w:rFonts w:ascii="宋体" w:hAnsi="宋体"/>
          <w:bCs/>
          <w:sz w:val="24"/>
        </w:rPr>
      </w:pPr>
      <w:bookmarkStart w:id="753" w:name="_Toc53685736"/>
      <w:r>
        <w:rPr>
          <w:rFonts w:hint="eastAsia" w:ascii="宋体" w:hAnsi="宋体"/>
          <w:bCs/>
          <w:sz w:val="24"/>
          <w:lang w:bidi="ar"/>
        </w:rPr>
        <w:t xml:space="preserve">本款补充第4.3.8项： </w:t>
      </w:r>
    </w:p>
    <w:p w14:paraId="62233B20">
      <w:pPr>
        <w:widowControl/>
        <w:adjustRightInd w:val="0"/>
        <w:snapToGrid w:val="0"/>
        <w:spacing w:line="360" w:lineRule="auto"/>
        <w:ind w:firstLine="360" w:firstLineChars="150"/>
        <w:jc w:val="left"/>
        <w:rPr>
          <w:rFonts w:ascii="黑体" w:hAnsi="黑体" w:eastAsia="黑体"/>
          <w:sz w:val="24"/>
        </w:rPr>
      </w:pPr>
      <w:r>
        <w:rPr>
          <w:rFonts w:hint="eastAsia" w:ascii="黑体" w:hAnsi="黑体" w:eastAsia="黑体"/>
          <w:sz w:val="24"/>
          <w:lang w:bidi="ar"/>
        </w:rPr>
        <w:t xml:space="preserve">4.3.8 承包人的工程技术服务外委 </w:t>
      </w:r>
    </w:p>
    <w:p w14:paraId="291CD95E">
      <w:pPr>
        <w:widowControl/>
        <w:adjustRightInd w:val="0"/>
        <w:snapToGrid w:val="0"/>
        <w:spacing w:line="360" w:lineRule="auto"/>
        <w:ind w:firstLine="470" w:firstLineChars="196"/>
        <w:jc w:val="left"/>
        <w:rPr>
          <w:rFonts w:ascii="宋体" w:hAnsi="宋体"/>
          <w:bCs/>
          <w:sz w:val="24"/>
          <w:lang w:bidi="ar"/>
        </w:rPr>
      </w:pPr>
      <w:r>
        <w:rPr>
          <w:rFonts w:hint="eastAsia" w:ascii="宋体" w:hAnsi="宋体"/>
          <w:bCs/>
          <w:sz w:val="24"/>
          <w:lang w:bidi="ar"/>
        </w:rPr>
        <w:t>如承包人不具备实施本项目某些专业工程技术服务、试验检测或专题研究的资质，或者虽具备资质但为保证研究质量需引入其他专业队伍，或者某些专题研究工作有特殊要求，承包人可将本项目与工程实施有关的技术服务进行外委，但须报发包人和监理人备案认可后才能实施</w:t>
      </w:r>
      <w:r>
        <w:rPr>
          <w:rFonts w:hint="eastAsia" w:ascii="宋体" w:hAnsi="宋体"/>
          <w:bCs/>
          <w:sz w:val="24"/>
          <w:lang w:eastAsia="zh-CN" w:bidi="ar"/>
        </w:rPr>
        <w:t>，</w:t>
      </w:r>
      <w:r>
        <w:rPr>
          <w:rFonts w:hint="eastAsia" w:ascii="宋体" w:hAnsi="宋体"/>
          <w:bCs/>
          <w:sz w:val="24"/>
          <w:lang w:bidi="ar"/>
        </w:rPr>
        <w:t xml:space="preserve">且投标人中标后的服务外委应满足第4.3款的相关要求。服务外委的实施方案、实施成果必须经发包人和监理人批准后，才能按清单细目进行计量支付。 </w:t>
      </w:r>
    </w:p>
    <w:p w14:paraId="23919250">
      <w:pPr>
        <w:widowControl/>
        <w:adjustRightInd w:val="0"/>
        <w:snapToGrid w:val="0"/>
        <w:spacing w:line="360" w:lineRule="auto"/>
        <w:ind w:firstLine="470" w:firstLineChars="196"/>
        <w:jc w:val="left"/>
        <w:rPr>
          <w:rFonts w:ascii="宋体" w:hAnsi="宋体"/>
          <w:bCs/>
          <w:sz w:val="24"/>
          <w:lang w:bidi="ar"/>
        </w:rPr>
      </w:pPr>
      <w:r>
        <w:rPr>
          <w:rFonts w:hint="eastAsia" w:ascii="宋体" w:hAnsi="宋体"/>
          <w:bCs/>
          <w:sz w:val="24"/>
          <w:lang w:bidi="ar"/>
        </w:rPr>
        <w:t>技术服务外委服务人虽经发包人同意，但合同履约中该服务人不能按期提供合同规定的服务或在合同实施过程中发现方案缺陷或深度不够或不能令发包人满意时，发包人可以指定另外的服务人完成相应的技术服务，费用由承包人承担。如承包人拒绝支付或延期支付，发包人有权按服务合同中相应报价项目价格直接支付给指定服务人，并从承包人的合同总价中扣除，由此产生一切后果均由承包人承担。</w:t>
      </w:r>
    </w:p>
    <w:p w14:paraId="7DB4DC20">
      <w:pPr>
        <w:pStyle w:val="2"/>
        <w:spacing w:before="240" w:after="240" w:line="240" w:lineRule="atLeast"/>
        <w:rPr>
          <w:rFonts w:ascii="黑体"/>
          <w:sz w:val="24"/>
          <w:szCs w:val="24"/>
        </w:rPr>
      </w:pPr>
      <w:r>
        <w:rPr>
          <w:rFonts w:ascii="黑体"/>
          <w:b w:val="0"/>
          <w:sz w:val="24"/>
          <w:szCs w:val="24"/>
        </w:rPr>
        <w:t xml:space="preserve">4.4 </w:t>
      </w:r>
      <w:r>
        <w:rPr>
          <w:rFonts w:hint="eastAsia" w:ascii="黑体"/>
          <w:b w:val="0"/>
          <w:sz w:val="24"/>
          <w:szCs w:val="24"/>
        </w:rPr>
        <w:t>联合体</w:t>
      </w:r>
      <w:r>
        <w:rPr>
          <w:rFonts w:ascii="黑体"/>
          <w:b w:val="0"/>
          <w:sz w:val="24"/>
          <w:szCs w:val="24"/>
        </w:rPr>
        <w:t xml:space="preserve"> </w:t>
      </w:r>
    </w:p>
    <w:p w14:paraId="071F9D59">
      <w:pPr>
        <w:widowControl/>
        <w:adjustRightInd w:val="0"/>
        <w:snapToGrid w:val="0"/>
        <w:spacing w:line="360" w:lineRule="auto"/>
        <w:ind w:firstLine="470" w:firstLineChars="196"/>
        <w:jc w:val="left"/>
        <w:rPr>
          <w:rFonts w:ascii="宋体" w:hAnsi="宋体"/>
          <w:bCs/>
          <w:sz w:val="24"/>
          <w:lang w:bidi="ar"/>
        </w:rPr>
      </w:pPr>
      <w:r>
        <w:rPr>
          <w:rFonts w:hint="eastAsia" w:ascii="宋体" w:hAnsi="宋体"/>
          <w:bCs/>
          <w:sz w:val="24"/>
          <w:lang w:bidi="ar"/>
        </w:rPr>
        <w:t>本款补充第</w:t>
      </w:r>
      <w:r>
        <w:rPr>
          <w:rFonts w:ascii="宋体" w:hAnsi="宋体"/>
          <w:bCs/>
          <w:sz w:val="24"/>
          <w:lang w:bidi="ar"/>
        </w:rPr>
        <w:t>4.4.4项</w:t>
      </w:r>
      <w:r>
        <w:rPr>
          <w:rFonts w:hint="eastAsia" w:ascii="宋体" w:hAnsi="宋体"/>
          <w:bCs/>
          <w:sz w:val="24"/>
          <w:lang w:bidi="ar"/>
        </w:rPr>
        <w:t>～第</w:t>
      </w:r>
      <w:r>
        <w:rPr>
          <w:rFonts w:ascii="宋体" w:hAnsi="宋体"/>
          <w:bCs/>
          <w:sz w:val="24"/>
          <w:lang w:bidi="ar"/>
        </w:rPr>
        <w:t>4.4.6项</w:t>
      </w:r>
      <w:r>
        <w:rPr>
          <w:rFonts w:hint="eastAsia" w:ascii="宋体" w:hAnsi="宋体"/>
          <w:bCs/>
          <w:sz w:val="24"/>
          <w:lang w:bidi="ar"/>
        </w:rPr>
        <w:t>：</w:t>
      </w:r>
      <w:r>
        <w:rPr>
          <w:rFonts w:ascii="宋体" w:hAnsi="宋体"/>
          <w:bCs/>
          <w:sz w:val="24"/>
          <w:lang w:bidi="ar"/>
        </w:rPr>
        <w:t xml:space="preserve"> </w:t>
      </w:r>
    </w:p>
    <w:p w14:paraId="5642F350">
      <w:pPr>
        <w:widowControl/>
        <w:adjustRightInd w:val="0"/>
        <w:snapToGrid w:val="0"/>
        <w:spacing w:before="0" w:after="0" w:line="360" w:lineRule="auto"/>
        <w:ind w:firstLine="470" w:firstLineChars="196"/>
        <w:jc w:val="left"/>
        <w:rPr>
          <w:rFonts w:ascii="宋体" w:hAnsi="宋体"/>
          <w:bCs/>
          <w:sz w:val="24"/>
          <w:lang w:bidi="ar"/>
        </w:rPr>
      </w:pPr>
      <w:r>
        <w:rPr>
          <w:rFonts w:ascii="宋体" w:hAnsi="宋体"/>
          <w:bCs/>
          <w:sz w:val="24"/>
          <w:lang w:bidi="ar"/>
        </w:rPr>
        <w:t>4.4.4</w:t>
      </w:r>
      <w:r>
        <w:rPr>
          <w:rFonts w:hint="eastAsia" w:ascii="宋体" w:hAnsi="宋体"/>
          <w:bCs/>
          <w:sz w:val="24"/>
          <w:lang w:val="en-US" w:eastAsia="zh-CN" w:bidi="ar"/>
        </w:rPr>
        <w:t xml:space="preserve"> </w:t>
      </w:r>
      <w:r>
        <w:rPr>
          <w:rFonts w:ascii="宋体" w:hAnsi="宋体"/>
          <w:bCs/>
          <w:sz w:val="24"/>
          <w:lang w:bidi="ar"/>
        </w:rPr>
        <w:t>未经发包人事先同意，联合体的组成与结构不得变动。</w:t>
      </w:r>
    </w:p>
    <w:p w14:paraId="43FF9C4A">
      <w:pPr>
        <w:widowControl/>
        <w:adjustRightInd w:val="0"/>
        <w:snapToGrid w:val="0"/>
        <w:spacing w:line="360" w:lineRule="auto"/>
        <w:ind w:firstLine="470" w:firstLineChars="196"/>
        <w:jc w:val="left"/>
        <w:rPr>
          <w:rFonts w:ascii="宋体" w:hAnsi="宋体"/>
          <w:bCs/>
          <w:sz w:val="24"/>
          <w:lang w:bidi="ar"/>
        </w:rPr>
      </w:pPr>
      <w:r>
        <w:rPr>
          <w:rFonts w:ascii="宋体" w:hAnsi="宋体"/>
          <w:bCs/>
          <w:sz w:val="24"/>
          <w:lang w:bidi="ar"/>
        </w:rPr>
        <w:t>4.4.5</w:t>
      </w:r>
      <w:r>
        <w:rPr>
          <w:rFonts w:hint="eastAsia" w:ascii="宋体" w:hAnsi="宋体"/>
          <w:bCs/>
          <w:sz w:val="24"/>
          <w:lang w:val="en-US" w:eastAsia="zh-CN" w:bidi="ar"/>
        </w:rPr>
        <w:t xml:space="preserve"> </w:t>
      </w:r>
      <w:r>
        <w:rPr>
          <w:rFonts w:ascii="宋体" w:hAnsi="宋体"/>
          <w:bCs/>
          <w:sz w:val="24"/>
          <w:lang w:bidi="ar"/>
        </w:rPr>
        <w:t xml:space="preserve">联合体牵头人应负责收集、汇总、整理联合体成员为完成本合同工程的一切有关资料与竣工文件档案，报监理人与发包人审查批复后由联合体牵头人负责归档。 </w:t>
      </w:r>
    </w:p>
    <w:p w14:paraId="1AF5FC77">
      <w:pPr>
        <w:widowControl/>
        <w:adjustRightInd w:val="0"/>
        <w:snapToGrid w:val="0"/>
        <w:spacing w:before="0" w:after="0" w:line="360" w:lineRule="auto"/>
        <w:ind w:firstLine="470" w:firstLineChars="196"/>
        <w:jc w:val="left"/>
        <w:rPr>
          <w:rFonts w:ascii="宋体" w:hAnsi="宋体"/>
          <w:bCs/>
          <w:sz w:val="24"/>
          <w:lang w:bidi="ar"/>
        </w:rPr>
      </w:pPr>
      <w:r>
        <w:rPr>
          <w:rFonts w:ascii="宋体" w:hAnsi="宋体"/>
          <w:bCs/>
          <w:sz w:val="24"/>
          <w:lang w:bidi="ar"/>
        </w:rPr>
        <w:t xml:space="preserve">4.4.6 </w:t>
      </w:r>
      <w:r>
        <w:rPr>
          <w:rFonts w:hint="eastAsia" w:ascii="宋体" w:hAnsi="宋体"/>
          <w:bCs/>
          <w:sz w:val="24"/>
          <w:lang w:bidi="ar"/>
        </w:rPr>
        <w:t>在本项目实施过程中，发包人或监理人仅对联合体牵头人发出指示，联合体牵头人负责所有承包人文件（包括设计文件）的上报、联合体成员内部的管理和协调。</w:t>
      </w:r>
      <w:r>
        <w:rPr>
          <w:rFonts w:ascii="宋体" w:hAnsi="宋体"/>
          <w:bCs/>
          <w:sz w:val="24"/>
          <w:lang w:bidi="ar"/>
        </w:rPr>
        <w:t xml:space="preserve">  </w:t>
      </w:r>
      <w:bookmarkEnd w:id="753"/>
    </w:p>
    <w:p w14:paraId="4900F87B">
      <w:pPr>
        <w:pStyle w:val="2"/>
        <w:spacing w:before="240" w:after="240" w:line="240" w:lineRule="atLeast"/>
        <w:rPr>
          <w:rFonts w:ascii="黑体"/>
          <w:b w:val="0"/>
          <w:sz w:val="24"/>
          <w:szCs w:val="24"/>
        </w:rPr>
      </w:pPr>
      <w:bookmarkStart w:id="754" w:name="_Toc53685731"/>
      <w:bookmarkStart w:id="755" w:name="_Hlk94094303"/>
      <w:r>
        <w:rPr>
          <w:rFonts w:ascii="黑体"/>
          <w:b w:val="0"/>
          <w:sz w:val="24"/>
          <w:szCs w:val="24"/>
        </w:rPr>
        <w:t>4.</w:t>
      </w:r>
      <w:r>
        <w:rPr>
          <w:rFonts w:hint="eastAsia" w:ascii="黑体"/>
          <w:b w:val="0"/>
          <w:sz w:val="24"/>
          <w:szCs w:val="24"/>
        </w:rPr>
        <w:t>5</w:t>
      </w:r>
      <w:r>
        <w:rPr>
          <w:rFonts w:hint="eastAsia" w:ascii="黑体"/>
          <w:b w:val="0"/>
          <w:sz w:val="24"/>
          <w:szCs w:val="24"/>
          <w:lang w:val="en-US" w:eastAsia="zh-CN"/>
        </w:rPr>
        <w:t xml:space="preserve"> </w:t>
      </w:r>
      <w:r>
        <w:rPr>
          <w:rFonts w:hint="eastAsia" w:ascii="黑体"/>
          <w:b w:val="0"/>
          <w:sz w:val="24"/>
          <w:szCs w:val="24"/>
        </w:rPr>
        <w:t>承包人项目总负责人</w:t>
      </w:r>
    </w:p>
    <w:p w14:paraId="6BFE43AA">
      <w:pPr>
        <w:widowControl/>
        <w:adjustRightInd w:val="0"/>
        <w:snapToGrid w:val="0"/>
        <w:spacing w:line="360" w:lineRule="auto"/>
        <w:ind w:left="0" w:leftChars="0" w:firstLine="480" w:firstLineChars="200"/>
        <w:rPr>
          <w:rFonts w:ascii="宋体" w:hAnsi="宋体"/>
          <w:bCs/>
          <w:sz w:val="24"/>
          <w:lang w:bidi="ar"/>
        </w:rPr>
      </w:pPr>
      <w:r>
        <w:rPr>
          <w:rFonts w:hint="eastAsia" w:ascii="宋体" w:hAnsi="宋体"/>
          <w:bCs/>
          <w:sz w:val="24"/>
          <w:highlight w:val="none"/>
          <w:lang w:bidi="ar"/>
        </w:rPr>
        <w:t>本合同中“项目总负责人”指通用合同条款中“项目经理”</w:t>
      </w:r>
      <w:r>
        <w:rPr>
          <w:rFonts w:hint="eastAsia" w:ascii="宋体" w:hAnsi="宋体"/>
          <w:bCs/>
          <w:sz w:val="24"/>
          <w:lang w:bidi="ar"/>
        </w:rPr>
        <w:t>。</w:t>
      </w:r>
    </w:p>
    <w:p w14:paraId="64259CEC">
      <w:pPr>
        <w:widowControl/>
        <w:adjustRightInd w:val="0"/>
        <w:snapToGrid w:val="0"/>
        <w:spacing w:line="360" w:lineRule="auto"/>
        <w:ind w:firstLine="480" w:firstLineChars="200"/>
        <w:rPr>
          <w:rFonts w:ascii="宋体" w:hAnsi="宋体"/>
          <w:bCs/>
          <w:sz w:val="24"/>
          <w:lang w:bidi="ar"/>
        </w:rPr>
      </w:pPr>
      <w:r>
        <w:rPr>
          <w:rFonts w:hint="eastAsia" w:ascii="宋体" w:hAnsi="宋体"/>
          <w:bCs/>
          <w:sz w:val="24"/>
          <w:lang w:bidi="ar"/>
        </w:rPr>
        <w:t xml:space="preserve">第4.5.1项细化为： </w:t>
      </w:r>
    </w:p>
    <w:p w14:paraId="0C26BE41">
      <w:pPr>
        <w:widowControl/>
        <w:adjustRightInd w:val="0"/>
        <w:snapToGrid w:val="0"/>
        <w:spacing w:line="360" w:lineRule="auto"/>
        <w:ind w:firstLine="480" w:firstLineChars="200"/>
        <w:rPr>
          <w:rFonts w:ascii="宋体" w:hAnsi="宋体"/>
          <w:bCs/>
          <w:sz w:val="24"/>
          <w:lang w:bidi="ar"/>
        </w:rPr>
      </w:pPr>
      <w:r>
        <w:rPr>
          <w:rFonts w:hint="eastAsia" w:ascii="宋体" w:hAnsi="宋体"/>
          <w:bCs/>
          <w:sz w:val="24"/>
          <w:lang w:bidi="ar"/>
        </w:rPr>
        <w:t>承包人应安排在投标文件中承诺的项目总负责人在约定的期限内到职。在项目实施过程中不得变更项目总负责人。承包人更换项目总负责人或根据第4.7款撤换项目总负责人，承包人应事先向发包人提出申请，发包人审查合格后方能更换。</w:t>
      </w:r>
    </w:p>
    <w:p w14:paraId="2EF32C94">
      <w:pPr>
        <w:widowControl/>
        <w:adjustRightInd w:val="0"/>
        <w:snapToGrid w:val="0"/>
        <w:spacing w:line="360" w:lineRule="auto"/>
        <w:ind w:firstLine="480" w:firstLineChars="200"/>
        <w:jc w:val="left"/>
        <w:rPr>
          <w:rFonts w:ascii="宋体" w:hAnsi="宋体"/>
          <w:bCs/>
          <w:sz w:val="24"/>
          <w:lang w:bidi="ar"/>
        </w:rPr>
      </w:pPr>
      <w:r>
        <w:rPr>
          <w:rFonts w:hint="eastAsia" w:ascii="宋体" w:hAnsi="宋体"/>
          <w:bCs/>
          <w:sz w:val="24"/>
          <w:lang w:bidi="ar"/>
        </w:rPr>
        <w:t>承包人更换项目总负责人按照下述约定处理：</w:t>
      </w:r>
      <w:r>
        <w:rPr>
          <w:rFonts w:hint="eastAsia" w:ascii="宋体" w:hAnsi="宋体"/>
          <w:bCs/>
          <w:sz w:val="24"/>
          <w:u w:val="single"/>
          <w:lang w:bidi="ar"/>
        </w:rPr>
        <w:t xml:space="preserve">                 </w:t>
      </w:r>
      <w:r>
        <w:rPr>
          <w:rFonts w:hint="eastAsia" w:ascii="宋体" w:hAnsi="宋体"/>
          <w:bCs/>
          <w:sz w:val="24"/>
          <w:lang w:bidi="ar"/>
        </w:rPr>
        <w:t>。</w:t>
      </w:r>
    </w:p>
    <w:p w14:paraId="4B670A87">
      <w:pPr>
        <w:pStyle w:val="2"/>
        <w:spacing w:before="240" w:after="240" w:line="240" w:lineRule="atLeast"/>
        <w:rPr>
          <w:rFonts w:ascii="黑体"/>
          <w:b w:val="0"/>
          <w:sz w:val="24"/>
          <w:szCs w:val="24"/>
        </w:rPr>
      </w:pPr>
      <w:r>
        <w:rPr>
          <w:rFonts w:ascii="黑体"/>
          <w:b w:val="0"/>
          <w:sz w:val="24"/>
          <w:szCs w:val="24"/>
        </w:rPr>
        <w:t>4.6</w:t>
      </w:r>
      <w:r>
        <w:rPr>
          <w:rFonts w:hint="eastAsia" w:ascii="黑体"/>
          <w:b w:val="0"/>
          <w:sz w:val="24"/>
          <w:szCs w:val="24"/>
          <w:lang w:val="en-US" w:eastAsia="zh-CN"/>
        </w:rPr>
        <w:t xml:space="preserve"> </w:t>
      </w:r>
      <w:r>
        <w:rPr>
          <w:rFonts w:hint="eastAsia" w:ascii="黑体"/>
          <w:b w:val="0"/>
          <w:sz w:val="24"/>
          <w:szCs w:val="24"/>
        </w:rPr>
        <w:t>承包人人员的管理</w:t>
      </w:r>
      <w:bookmarkEnd w:id="754"/>
    </w:p>
    <w:p w14:paraId="78A176E4">
      <w:pPr>
        <w:widowControl/>
        <w:adjustRightInd w:val="0"/>
        <w:snapToGrid w:val="0"/>
        <w:spacing w:line="360" w:lineRule="auto"/>
        <w:ind w:firstLine="480" w:firstLineChars="200"/>
        <w:jc w:val="left"/>
        <w:rPr>
          <w:rFonts w:ascii="宋体" w:hAnsi="宋体"/>
          <w:bCs/>
          <w:sz w:val="24"/>
          <w:lang w:bidi="ar"/>
        </w:rPr>
      </w:pPr>
      <w:r>
        <w:rPr>
          <w:rFonts w:hint="eastAsia" w:ascii="宋体" w:hAnsi="宋体"/>
          <w:bCs/>
          <w:sz w:val="24"/>
          <w:lang w:bidi="ar"/>
        </w:rPr>
        <w:t>第</w:t>
      </w:r>
      <w:r>
        <w:rPr>
          <w:rFonts w:ascii="宋体" w:hAnsi="宋体"/>
          <w:bCs/>
          <w:sz w:val="24"/>
          <w:lang w:bidi="ar"/>
        </w:rPr>
        <w:t>4.6.1项补充：</w:t>
      </w:r>
    </w:p>
    <w:p w14:paraId="671F63CF">
      <w:pPr>
        <w:widowControl/>
        <w:adjustRightInd w:val="0"/>
        <w:snapToGrid w:val="0"/>
        <w:spacing w:line="360" w:lineRule="auto"/>
        <w:ind w:firstLine="480" w:firstLineChars="200"/>
        <w:jc w:val="both"/>
        <w:rPr>
          <w:rFonts w:ascii="宋体" w:hAnsi="宋体"/>
          <w:bCs/>
          <w:sz w:val="24"/>
          <w:lang w:bidi="ar"/>
        </w:rPr>
      </w:pPr>
      <w:r>
        <w:rPr>
          <w:rFonts w:hint="eastAsia" w:ascii="宋体" w:hAnsi="宋体"/>
          <w:sz w:val="24"/>
        </w:rPr>
        <w:t>承包人派驻到项目所在地履行合同的主要管理人员及技术人员应与投标文件的承诺和合同协议书的约定</w:t>
      </w:r>
      <w:r>
        <w:rPr>
          <w:rFonts w:ascii="宋体" w:hAnsi="宋体"/>
          <w:sz w:val="24"/>
        </w:rPr>
        <w:t>一致</w:t>
      </w:r>
      <w:r>
        <w:rPr>
          <w:rFonts w:hint="eastAsia" w:ascii="宋体" w:hAnsi="宋体"/>
          <w:sz w:val="24"/>
        </w:rPr>
        <w:t>。</w:t>
      </w:r>
      <w:r>
        <w:rPr>
          <w:rFonts w:hint="eastAsia" w:ascii="宋体" w:hAnsi="宋体" w:cs="宋体"/>
          <w:sz w:val="24"/>
        </w:rPr>
        <w:t>合同签订后，承包人</w:t>
      </w:r>
      <w:r>
        <w:rPr>
          <w:rFonts w:hint="eastAsia" w:ascii="宋体" w:hAnsi="宋体"/>
          <w:sz w:val="24"/>
        </w:rPr>
        <w:t>更换主要人员，需报请发包人批准，替换者应有与原人员相当或更好的资格和经历。承包人更换主要人员的，发包人按违约处理，同时将上报交通运输行政主管部门按信用管理办法处理</w:t>
      </w:r>
      <w:r>
        <w:rPr>
          <w:rFonts w:hint="eastAsia" w:ascii="宋体" w:hAnsi="宋体"/>
          <w:bCs/>
          <w:sz w:val="24"/>
          <w:lang w:bidi="ar"/>
        </w:rPr>
        <w:t>。</w:t>
      </w:r>
    </w:p>
    <w:p w14:paraId="3A96605E">
      <w:pPr>
        <w:widowControl/>
        <w:adjustRightInd w:val="0"/>
        <w:snapToGrid w:val="0"/>
        <w:spacing w:line="360" w:lineRule="auto"/>
        <w:ind w:firstLine="480" w:firstLineChars="200"/>
        <w:jc w:val="both"/>
        <w:rPr>
          <w:rFonts w:ascii="宋体" w:hAnsi="宋体"/>
          <w:bCs/>
          <w:sz w:val="24"/>
        </w:rPr>
      </w:pPr>
      <w:r>
        <w:rPr>
          <w:rFonts w:hint="eastAsia" w:ascii="宋体" w:hAnsi="宋体"/>
          <w:bCs/>
          <w:sz w:val="24"/>
          <w:lang w:bidi="ar"/>
        </w:rPr>
        <w:t>第</w:t>
      </w:r>
      <w:r>
        <w:rPr>
          <w:rFonts w:ascii="宋体" w:hAnsi="宋体"/>
          <w:bCs/>
          <w:sz w:val="24"/>
          <w:lang w:bidi="ar"/>
        </w:rPr>
        <w:t xml:space="preserve">4.6.3项补充： </w:t>
      </w:r>
    </w:p>
    <w:p w14:paraId="1BC5DC8C">
      <w:pPr>
        <w:widowControl/>
        <w:adjustRightInd w:val="0"/>
        <w:snapToGrid w:val="0"/>
        <w:spacing w:line="360" w:lineRule="auto"/>
        <w:ind w:firstLine="480" w:firstLineChars="200"/>
        <w:jc w:val="both"/>
        <w:rPr>
          <w:rFonts w:ascii="宋体" w:hAnsi="宋体"/>
          <w:bCs/>
          <w:sz w:val="24"/>
        </w:rPr>
      </w:pPr>
      <w:r>
        <w:rPr>
          <w:rFonts w:ascii="宋体" w:hAnsi="宋体"/>
          <w:bCs/>
          <w:sz w:val="24"/>
          <w:lang w:bidi="ar"/>
        </w:rPr>
        <w:t xml:space="preserve">承包人应根据工程进度，保证相应专业的设计人员常驻现场进行设计服务。承包人的工作进度没有达到承包人书面承诺的进度计划时，发包人有权要求增加设计人员，承包人应立即安排，其费用包含在签约合同价之中，发包人不另行支付。 </w:t>
      </w:r>
    </w:p>
    <w:p w14:paraId="2966B583">
      <w:pPr>
        <w:adjustRightInd w:val="0"/>
        <w:snapToGrid w:val="0"/>
        <w:spacing w:line="360" w:lineRule="auto"/>
        <w:ind w:firstLine="480" w:firstLineChars="200"/>
        <w:rPr>
          <w:rFonts w:ascii="宋体" w:hAnsi="宋体"/>
          <w:bCs/>
          <w:sz w:val="24"/>
        </w:rPr>
      </w:pPr>
      <w:r>
        <w:rPr>
          <w:rFonts w:hint="eastAsia" w:ascii="宋体" w:hAnsi="宋体"/>
          <w:bCs/>
          <w:sz w:val="24"/>
        </w:rPr>
        <w:t>第</w:t>
      </w:r>
      <w:r>
        <w:rPr>
          <w:rFonts w:ascii="宋体" w:hAnsi="宋体"/>
          <w:bCs/>
          <w:sz w:val="24"/>
        </w:rPr>
        <w:t>4.6.5</w:t>
      </w:r>
      <w:r>
        <w:rPr>
          <w:rFonts w:hint="eastAsia" w:ascii="宋体" w:hAnsi="宋体"/>
          <w:bCs/>
          <w:sz w:val="24"/>
        </w:rPr>
        <w:t>项细化为：</w:t>
      </w:r>
    </w:p>
    <w:p w14:paraId="02BB5A38">
      <w:pPr>
        <w:adjustRightInd w:val="0"/>
        <w:snapToGrid w:val="0"/>
        <w:spacing w:line="360" w:lineRule="auto"/>
        <w:ind w:firstLine="480" w:firstLineChars="200"/>
        <w:rPr>
          <w:rFonts w:ascii="宋体" w:hAnsi="宋体"/>
          <w:sz w:val="24"/>
        </w:rPr>
      </w:pPr>
      <w:r>
        <w:rPr>
          <w:rFonts w:hint="eastAsia" w:ascii="宋体" w:hAnsi="宋体"/>
          <w:sz w:val="24"/>
        </w:rPr>
        <w:t>承包人主要施工管理人员及技术人员应与合同约定一致，否则将按《四川省重点公路建设从业单位信用管理办法》规定处理。如有必要更换主要施工管理人员及技术人员，需报请发包人批准，替换者应有与原推荐人相当或更好的资格和经历。</w:t>
      </w:r>
    </w:p>
    <w:p w14:paraId="178055DC">
      <w:pPr>
        <w:adjustRightInd w:val="0"/>
        <w:snapToGrid w:val="0"/>
        <w:spacing w:line="360" w:lineRule="auto"/>
        <w:ind w:firstLine="480" w:firstLineChars="200"/>
        <w:rPr>
          <w:rFonts w:ascii="宋体" w:hAnsi="宋体"/>
          <w:sz w:val="24"/>
        </w:rPr>
      </w:pPr>
      <w:r>
        <w:rPr>
          <w:rFonts w:hint="eastAsia" w:ascii="宋体" w:hAnsi="宋体"/>
          <w:sz w:val="24"/>
        </w:rPr>
        <w:t>承包人更换主要人员约定为：</w:t>
      </w:r>
      <w:r>
        <w:rPr>
          <w:rFonts w:ascii="宋体" w:hAnsi="宋体"/>
          <w:sz w:val="24"/>
          <w:u w:val="single"/>
        </w:rPr>
        <w:t xml:space="preserve">             </w:t>
      </w:r>
      <w:r>
        <w:rPr>
          <w:rFonts w:hint="eastAsia" w:ascii="宋体" w:hAnsi="宋体"/>
          <w:sz w:val="24"/>
        </w:rPr>
        <w:t>。</w:t>
      </w:r>
    </w:p>
    <w:p w14:paraId="5EA0B66F">
      <w:pPr>
        <w:spacing w:line="360" w:lineRule="auto"/>
        <w:ind w:firstLine="480" w:firstLineChars="200"/>
        <w:rPr>
          <w:rFonts w:ascii="宋体" w:hAnsi="宋体"/>
          <w:sz w:val="24"/>
        </w:rPr>
      </w:pPr>
      <w:r>
        <w:rPr>
          <w:rFonts w:hint="eastAsia" w:ascii="宋体" w:hAnsi="宋体"/>
          <w:sz w:val="24"/>
        </w:rPr>
        <w:t>本款补充第</w:t>
      </w:r>
      <w:r>
        <w:rPr>
          <w:rFonts w:ascii="宋体" w:hAnsi="宋体"/>
          <w:sz w:val="24"/>
        </w:rPr>
        <w:t>4.6.6</w:t>
      </w:r>
      <w:r>
        <w:rPr>
          <w:rFonts w:hint="eastAsia" w:ascii="宋体" w:hAnsi="宋体"/>
          <w:sz w:val="24"/>
        </w:rPr>
        <w:t>项：</w:t>
      </w:r>
      <w:r>
        <w:rPr>
          <w:rFonts w:ascii="宋体" w:hAnsi="宋体"/>
          <w:sz w:val="24"/>
        </w:rPr>
        <w:t xml:space="preserve"> </w:t>
      </w:r>
    </w:p>
    <w:p w14:paraId="29F7BCE6">
      <w:pPr>
        <w:spacing w:line="360" w:lineRule="auto"/>
        <w:ind w:firstLine="480" w:firstLineChars="200"/>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6</w:t>
      </w:r>
      <w:r>
        <w:rPr>
          <w:rFonts w:hint="eastAsia" w:ascii="宋体" w:hAnsi="宋体"/>
          <w:sz w:val="24"/>
          <w:lang w:val="en-US" w:eastAsia="zh-CN"/>
        </w:rPr>
        <w:t xml:space="preserve"> </w:t>
      </w:r>
      <w:r>
        <w:rPr>
          <w:rFonts w:hint="eastAsia" w:ascii="宋体" w:hAnsi="宋体"/>
          <w:sz w:val="24"/>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076B02BC">
      <w:pPr>
        <w:pStyle w:val="2"/>
        <w:spacing w:before="240" w:after="240" w:line="240" w:lineRule="atLeast"/>
        <w:rPr>
          <w:rFonts w:ascii="黑体"/>
          <w:b w:val="0"/>
          <w:sz w:val="24"/>
          <w:szCs w:val="24"/>
        </w:rPr>
      </w:pPr>
      <w:bookmarkStart w:id="756" w:name="_Toc53685732"/>
      <w:r>
        <w:rPr>
          <w:rFonts w:ascii="黑体"/>
          <w:b w:val="0"/>
          <w:sz w:val="24"/>
          <w:szCs w:val="24"/>
        </w:rPr>
        <w:t xml:space="preserve">4.7 </w:t>
      </w:r>
      <w:r>
        <w:rPr>
          <w:rFonts w:hint="eastAsia" w:ascii="黑体"/>
          <w:b w:val="0"/>
          <w:sz w:val="24"/>
          <w:szCs w:val="24"/>
        </w:rPr>
        <w:t>撤换承包人项目总负责人和其他人员</w:t>
      </w:r>
      <w:bookmarkEnd w:id="756"/>
    </w:p>
    <w:p w14:paraId="143D54C4">
      <w:pPr>
        <w:adjustRightInd w:val="0"/>
        <w:snapToGrid w:val="0"/>
        <w:spacing w:line="360" w:lineRule="auto"/>
        <w:ind w:firstLine="480" w:firstLineChars="200"/>
        <w:rPr>
          <w:rFonts w:hint="eastAsia" w:ascii="宋体" w:hAnsi="宋体"/>
          <w:sz w:val="24"/>
        </w:rPr>
      </w:pPr>
      <w:r>
        <w:rPr>
          <w:rFonts w:hint="eastAsia" w:ascii="宋体" w:hAnsi="宋体"/>
          <w:sz w:val="24"/>
        </w:rPr>
        <w:t>本款补充：</w:t>
      </w:r>
    </w:p>
    <w:p w14:paraId="3BDAFDD2">
      <w:pPr>
        <w:adjustRightInd w:val="0"/>
        <w:snapToGrid w:val="0"/>
        <w:spacing w:line="360" w:lineRule="auto"/>
        <w:ind w:firstLine="480" w:firstLineChars="200"/>
        <w:rPr>
          <w:rFonts w:ascii="宋体" w:hAnsi="宋体"/>
          <w:sz w:val="24"/>
        </w:rPr>
      </w:pPr>
      <w:r>
        <w:rPr>
          <w:rFonts w:hint="eastAsia" w:ascii="宋体" w:hAnsi="宋体"/>
          <w:sz w:val="24"/>
        </w:rPr>
        <w:t>因上述原因撤换承包人主要人员的，</w:t>
      </w:r>
      <w:r>
        <w:rPr>
          <w:rFonts w:hint="eastAsia" w:ascii="宋体" w:hAnsi="宋体"/>
          <w:sz w:val="24"/>
          <w:lang w:val="en-US" w:eastAsia="zh-CN"/>
        </w:rPr>
        <w:t>按照</w:t>
      </w:r>
      <w:r>
        <w:rPr>
          <w:rFonts w:hint="eastAsia" w:ascii="宋体" w:hAnsi="宋体"/>
          <w:sz w:val="24"/>
        </w:rPr>
        <w:t>第22.1款中约定</w:t>
      </w:r>
      <w:r>
        <w:rPr>
          <w:rFonts w:hint="eastAsia" w:ascii="宋体" w:hAnsi="宋体"/>
          <w:sz w:val="24"/>
          <w:lang w:eastAsia="zh-CN"/>
        </w:rPr>
        <w:t>，</w:t>
      </w:r>
      <w:r>
        <w:rPr>
          <w:rFonts w:hint="eastAsia" w:ascii="宋体" w:hAnsi="宋体"/>
          <w:sz w:val="24"/>
          <w:lang w:val="en-US" w:eastAsia="zh-CN"/>
        </w:rPr>
        <w:t>承包人</w:t>
      </w:r>
      <w:r>
        <w:rPr>
          <w:rFonts w:hint="eastAsia" w:ascii="宋体" w:hAnsi="宋体"/>
          <w:sz w:val="24"/>
        </w:rPr>
        <w:t>将</w:t>
      </w:r>
      <w:r>
        <w:rPr>
          <w:rFonts w:hint="default" w:ascii="宋体" w:hAnsi="宋体"/>
          <w:sz w:val="24"/>
          <w:lang w:val="en-US"/>
        </w:rPr>
        <w:t>按</w:t>
      </w:r>
      <w:r>
        <w:rPr>
          <w:rFonts w:hint="eastAsia" w:ascii="宋体" w:hAnsi="宋体"/>
          <w:sz w:val="24"/>
        </w:rPr>
        <w:t>违约处理。</w:t>
      </w:r>
    </w:p>
    <w:p w14:paraId="2B9BCBDE">
      <w:pPr>
        <w:pStyle w:val="2"/>
        <w:spacing w:before="240" w:after="240" w:line="240" w:lineRule="atLeast"/>
        <w:rPr>
          <w:rFonts w:ascii="黑体"/>
          <w:b w:val="0"/>
          <w:sz w:val="24"/>
          <w:szCs w:val="24"/>
        </w:rPr>
      </w:pPr>
      <w:bookmarkStart w:id="757" w:name="_Toc53685733"/>
      <w:r>
        <w:rPr>
          <w:rFonts w:ascii="黑体"/>
          <w:b w:val="0"/>
          <w:sz w:val="24"/>
          <w:szCs w:val="24"/>
        </w:rPr>
        <w:t xml:space="preserve">4.8 </w:t>
      </w:r>
      <w:r>
        <w:rPr>
          <w:rFonts w:hint="eastAsia" w:ascii="黑体"/>
          <w:b w:val="0"/>
          <w:sz w:val="24"/>
          <w:szCs w:val="24"/>
        </w:rPr>
        <w:t>保障承包人人员的合法权益</w:t>
      </w:r>
      <w:bookmarkEnd w:id="757"/>
    </w:p>
    <w:p w14:paraId="6CF60B70">
      <w:pPr>
        <w:adjustRightInd w:val="0"/>
        <w:snapToGrid w:val="0"/>
        <w:spacing w:line="360" w:lineRule="auto"/>
        <w:ind w:firstLine="480" w:firstLineChars="200"/>
        <w:rPr>
          <w:rFonts w:ascii="宋体" w:hAnsi="宋体"/>
          <w:bCs/>
          <w:sz w:val="24"/>
        </w:rPr>
      </w:pPr>
      <w:r>
        <w:rPr>
          <w:rFonts w:hint="eastAsia" w:ascii="宋体" w:hAnsi="宋体"/>
          <w:bCs/>
          <w:sz w:val="24"/>
          <w:lang w:val="en-US" w:eastAsia="zh-CN"/>
        </w:rPr>
        <w:t>本款</w:t>
      </w:r>
      <w:r>
        <w:rPr>
          <w:rFonts w:hint="eastAsia" w:ascii="宋体" w:hAnsi="宋体"/>
          <w:bCs/>
          <w:sz w:val="24"/>
        </w:rPr>
        <w:t>补充第</w:t>
      </w:r>
      <w:r>
        <w:rPr>
          <w:rFonts w:ascii="宋体" w:hAnsi="宋体"/>
          <w:bCs/>
          <w:sz w:val="24"/>
        </w:rPr>
        <w:t>4.8.7项：</w:t>
      </w:r>
    </w:p>
    <w:p w14:paraId="44DF2134">
      <w:pPr>
        <w:adjustRightInd w:val="0"/>
        <w:snapToGrid w:val="0"/>
        <w:spacing w:line="360" w:lineRule="auto"/>
        <w:ind w:firstLine="360" w:firstLineChars="150"/>
        <w:rPr>
          <w:rFonts w:ascii="黑体" w:hAnsi="黑体" w:eastAsia="黑体"/>
          <w:sz w:val="24"/>
        </w:rPr>
      </w:pPr>
      <w:r>
        <w:rPr>
          <w:rFonts w:hint="eastAsia" w:ascii="黑体" w:hAnsi="黑体" w:eastAsia="黑体"/>
          <w:sz w:val="24"/>
        </w:rPr>
        <w:t>4.8.</w:t>
      </w:r>
      <w:r>
        <w:rPr>
          <w:rFonts w:ascii="黑体" w:hAnsi="黑体" w:eastAsia="黑体"/>
          <w:sz w:val="24"/>
        </w:rPr>
        <w:t>7</w:t>
      </w:r>
      <w:r>
        <w:rPr>
          <w:rFonts w:hint="eastAsia" w:ascii="黑体" w:hAnsi="黑体" w:eastAsia="黑体"/>
          <w:sz w:val="24"/>
          <w:lang w:val="en-US" w:eastAsia="zh-CN"/>
        </w:rPr>
        <w:t xml:space="preserve"> </w:t>
      </w:r>
      <w:r>
        <w:rPr>
          <w:rFonts w:hint="eastAsia" w:ascii="黑体" w:hAnsi="黑体" w:eastAsia="黑体"/>
          <w:sz w:val="24"/>
        </w:rPr>
        <w:t>农民工管理</w:t>
      </w:r>
    </w:p>
    <w:p w14:paraId="539B8069">
      <w:pPr>
        <w:adjustRightInd w:val="0"/>
        <w:snapToGrid w:val="0"/>
        <w:spacing w:line="360" w:lineRule="auto"/>
        <w:ind w:firstLine="480" w:firstLineChars="200"/>
        <w:jc w:val="left"/>
        <w:rPr>
          <w:rFonts w:ascii="宋体" w:hAnsi="宋体"/>
          <w:sz w:val="24"/>
        </w:rPr>
      </w:pPr>
      <w:r>
        <w:rPr>
          <w:rFonts w:hint="eastAsia" w:ascii="宋体" w:hAnsi="宋体"/>
          <w:bCs/>
          <w:sz w:val="24"/>
        </w:rPr>
        <w:t>承包人必须</w:t>
      </w:r>
      <w:r>
        <w:rPr>
          <w:rFonts w:ascii="宋体" w:hAnsi="宋体" w:cs="宋体"/>
          <w:bCs/>
          <w:sz w:val="24"/>
        </w:rPr>
        <w:t>在工程项目部配备劳资专管员，</w:t>
      </w:r>
      <w:r>
        <w:rPr>
          <w:rFonts w:hint="eastAsia" w:ascii="宋体" w:hAnsi="宋体"/>
          <w:bCs/>
          <w:sz w:val="24"/>
        </w:rPr>
        <w:t>对参与项目建设的农民工进行全面管理。承包人对其所管理的农民工行为向发包人承担全部责任，监理人负责对农民工</w:t>
      </w:r>
      <w:r>
        <w:rPr>
          <w:rFonts w:hint="eastAsia" w:ascii="宋体" w:hAnsi="宋体"/>
          <w:sz w:val="24"/>
        </w:rPr>
        <w:t>合法权益的监督管理。同时应积极推广《</w:t>
      </w:r>
      <w:r>
        <w:rPr>
          <w:rFonts w:hint="eastAsia" w:ascii="宋体" w:hAnsi="宋体"/>
          <w:bCs/>
          <w:sz w:val="24"/>
        </w:rPr>
        <w:t>交通运输部办公厅</w:t>
      </w:r>
      <w:r>
        <w:rPr>
          <w:rFonts w:hint="eastAsia" w:ascii="宋体" w:hAnsi="宋体" w:cs="宋体"/>
          <w:bCs/>
          <w:sz w:val="24"/>
        </w:rPr>
        <w:t>&lt;</w:t>
      </w:r>
      <w:r>
        <w:rPr>
          <w:rFonts w:hint="eastAsia" w:ascii="宋体" w:hAnsi="宋体"/>
          <w:bCs/>
          <w:sz w:val="24"/>
        </w:rPr>
        <w:t>关于做好交通运输基础设施建设和管护领域推广以工代赈工作</w:t>
      </w:r>
      <w:r>
        <w:rPr>
          <w:rFonts w:hint="eastAsia" w:ascii="宋体" w:hAnsi="宋体" w:cs="宋体"/>
          <w:bCs/>
          <w:sz w:val="24"/>
        </w:rPr>
        <w:t>&gt;</w:t>
      </w:r>
      <w:r>
        <w:rPr>
          <w:rFonts w:hint="eastAsia" w:ascii="宋体" w:hAnsi="宋体"/>
          <w:bCs/>
          <w:sz w:val="24"/>
        </w:rPr>
        <w:t>的通知</w:t>
      </w:r>
      <w:r>
        <w:rPr>
          <w:rFonts w:hint="eastAsia" w:ascii="宋体" w:hAnsi="宋体"/>
          <w:sz w:val="24"/>
        </w:rPr>
        <w:t>》</w:t>
      </w:r>
      <w:r>
        <w:rPr>
          <w:rFonts w:hint="eastAsia" w:ascii="宋体" w:hAnsi="宋体"/>
          <w:bCs/>
          <w:sz w:val="24"/>
          <w:shd w:val="clear" w:color="auto" w:fill="FFFFFF"/>
        </w:rPr>
        <w:t>(交公路规〔2022〕35号)</w:t>
      </w:r>
      <w:r>
        <w:rPr>
          <w:rFonts w:hint="eastAsia" w:ascii="宋体" w:hAnsi="宋体"/>
          <w:bCs/>
          <w:sz w:val="24"/>
        </w:rPr>
        <w:t>的精神。</w:t>
      </w:r>
      <w:r>
        <w:rPr>
          <w:rFonts w:hint="eastAsia" w:ascii="宋体" w:hAnsi="宋体"/>
          <w:sz w:val="24"/>
          <w:shd w:val="clear" w:color="auto" w:fill="FFFFFF"/>
        </w:rPr>
        <w:t>在确保工程质量安全和符合进度要求等前提下，要充分挖掘工程建设等方面用工潜力，平衡好建设劳动合同制用工和以工代赈劳务用工之间关系， 尽可能多地通过以工代赈方式吸纳当地群众参与工程建设。</w:t>
      </w:r>
      <w:r>
        <w:rPr>
          <w:rFonts w:hint="eastAsia" w:ascii="宋体" w:hAnsi="宋体"/>
          <w:sz w:val="24"/>
        </w:rPr>
        <w:t>在施工组织阶段，要压紧压实有关项目建设、施工、监理单位的责任，明确各方以工代赈服务工作人员质量安全培训、现场管理和权益保障等方面的职责。</w:t>
      </w:r>
      <w:r>
        <w:rPr>
          <w:rFonts w:hint="eastAsia" w:ascii="宋体" w:hAnsi="宋体"/>
          <w:sz w:val="24"/>
          <w:shd w:val="clear" w:color="auto" w:fill="FFFFFF"/>
        </w:rPr>
        <w:t>采取以工代赈方式实施的项目要合理确定劳务报酬标准，尽可能增加劳务报酬发放规模并及时足额发放，建立统一规范的用工名册和劳务报酬发放台账，送县级相关部门备案，并加强劳务报酬发放的监管，坚决杜绝劳务报酬发放过程中拖欠克扣、弄虚作假等行为</w:t>
      </w:r>
      <w:r>
        <w:rPr>
          <w:rFonts w:hint="eastAsia" w:ascii="宋体" w:hAnsi="宋体"/>
          <w:sz w:val="24"/>
        </w:rPr>
        <w:t>。</w:t>
      </w:r>
    </w:p>
    <w:p w14:paraId="750A0C81">
      <w:pPr>
        <w:adjustRightInd w:val="0"/>
        <w:snapToGrid w:val="0"/>
        <w:spacing w:line="360" w:lineRule="auto"/>
        <w:ind w:firstLine="464" w:firstLineChars="200"/>
        <w:rPr>
          <w:rFonts w:ascii="宋体" w:hAnsi="宋体" w:cs="宋体"/>
          <w:spacing w:val="-4"/>
          <w:sz w:val="24"/>
        </w:rPr>
      </w:pPr>
      <w:r>
        <w:rPr>
          <w:rFonts w:hint="eastAsia" w:ascii="宋体" w:hAnsi="宋体" w:cs="宋体"/>
          <w:spacing w:val="-4"/>
          <w:sz w:val="24"/>
        </w:rPr>
        <w:t>（1）农民工信息化管理</w:t>
      </w:r>
    </w:p>
    <w:p w14:paraId="1D93526C">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sz w:val="24"/>
        </w:rPr>
        <w:t>①</w:t>
      </w:r>
      <w:r>
        <w:rPr>
          <w:rFonts w:hint="eastAsia" w:ascii="宋体" w:hAnsi="宋体"/>
          <w:sz w:val="24"/>
        </w:rPr>
        <w:fldChar w:fldCharType="end"/>
      </w:r>
      <w:r>
        <w:rPr>
          <w:rFonts w:ascii="宋体" w:hAnsi="宋体"/>
          <w:sz w:val="24"/>
        </w:rPr>
        <w:t>合同制管理制度：承包人、分包单位（如有）或其劳务合作单位应依法与招用的农民工按照</w:t>
      </w:r>
      <w:r>
        <w:rPr>
          <w:rFonts w:hint="eastAsia" w:ascii="宋体" w:hAnsi="宋体"/>
          <w:sz w:val="24"/>
        </w:rPr>
        <w:t>“先考核合格再</w:t>
      </w:r>
      <w:r>
        <w:rPr>
          <w:rFonts w:ascii="宋体" w:hAnsi="宋体"/>
          <w:sz w:val="24"/>
        </w:rPr>
        <w:t>签订劳动合同后进场施工</w:t>
      </w:r>
      <w:r>
        <w:rPr>
          <w:rFonts w:hint="eastAsia" w:ascii="宋体" w:hAnsi="宋体"/>
          <w:sz w:val="24"/>
        </w:rPr>
        <w:t>”的程序</w:t>
      </w:r>
      <w:r>
        <w:rPr>
          <w:rFonts w:ascii="宋体" w:hAnsi="宋体"/>
          <w:sz w:val="24"/>
        </w:rPr>
        <w:t>，与考核合格的农民工本人或劳务</w:t>
      </w:r>
      <w:r>
        <w:rPr>
          <w:rFonts w:hint="eastAsia" w:ascii="宋体" w:hAnsi="宋体"/>
          <w:sz w:val="24"/>
        </w:rPr>
        <w:t>合作</w:t>
      </w:r>
      <w:r>
        <w:rPr>
          <w:rFonts w:ascii="宋体" w:hAnsi="宋体"/>
          <w:sz w:val="24"/>
        </w:rPr>
        <w:t>单位签订合同</w:t>
      </w:r>
      <w:r>
        <w:rPr>
          <w:rFonts w:hint="eastAsia" w:ascii="宋体" w:hAnsi="宋体"/>
          <w:sz w:val="24"/>
        </w:rPr>
        <w:t>，</w:t>
      </w:r>
      <w:r>
        <w:rPr>
          <w:rFonts w:ascii="宋体" w:hAnsi="宋体"/>
          <w:sz w:val="24"/>
        </w:rPr>
        <w:t>并依合同约定要求劳务</w:t>
      </w:r>
      <w:r>
        <w:rPr>
          <w:rFonts w:hint="eastAsia" w:ascii="宋体" w:hAnsi="宋体"/>
          <w:sz w:val="24"/>
        </w:rPr>
        <w:t>合作</w:t>
      </w:r>
      <w:r>
        <w:rPr>
          <w:rFonts w:ascii="宋体" w:hAnsi="宋体"/>
          <w:sz w:val="24"/>
        </w:rPr>
        <w:t>单位与每一名农民工签订劳动合同，约定工资标准（工日单价或计量单价</w:t>
      </w:r>
      <w:r>
        <w:rPr>
          <w:rFonts w:hint="eastAsia" w:ascii="宋体" w:hAnsi="宋体"/>
          <w:sz w:val="24"/>
        </w:rPr>
        <w:t>、</w:t>
      </w:r>
      <w:r>
        <w:rPr>
          <w:rFonts w:ascii="宋体" w:hAnsi="宋体"/>
          <w:sz w:val="24"/>
        </w:rPr>
        <w:t>计件单价等）和支付方式等。承包人临时或短期聘用的农民工应签订短期临时合同，坚持先签合同后进场。</w:t>
      </w:r>
    </w:p>
    <w:p w14:paraId="4DE217CE">
      <w:pPr>
        <w:adjustRightInd w:val="0"/>
        <w:snapToGrid w:val="0"/>
        <w:spacing w:line="360" w:lineRule="auto"/>
        <w:ind w:firstLine="480" w:firstLineChars="200"/>
        <w:rPr>
          <w:rFonts w:ascii="宋体" w:hAnsi="宋体"/>
          <w:sz w:val="24"/>
        </w:rPr>
      </w:pPr>
      <w:r>
        <w:rPr>
          <w:rFonts w:hint="eastAsia" w:ascii="宋体" w:hAnsi="宋体"/>
          <w:sz w:val="24"/>
        </w:rPr>
        <w:t>农民工合同需由承包人统一按照班组名称统一编号后，报监理人审批同意核备后，报发包人备案。建设期间，承包人应就农民工变动情况，每月清查梳理后，就变动情况报监理人审批同意核备后，再行报发包人备案。</w:t>
      </w:r>
    </w:p>
    <w:p w14:paraId="6E57FADA">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sz w:val="24"/>
        </w:rPr>
        <w:t>②</w:t>
      </w:r>
      <w:r>
        <w:rPr>
          <w:rFonts w:hint="eastAsia" w:ascii="宋体" w:hAnsi="宋体"/>
          <w:sz w:val="24"/>
        </w:rPr>
        <w:fldChar w:fldCharType="end"/>
      </w:r>
      <w:r>
        <w:rPr>
          <w:rFonts w:ascii="宋体" w:hAnsi="宋体"/>
          <w:sz w:val="24"/>
        </w:rPr>
        <w:t>实名制及备案管理制度</w:t>
      </w:r>
      <w:r>
        <w:rPr>
          <w:rFonts w:hint="eastAsia" w:ascii="宋体" w:hAnsi="宋体"/>
          <w:sz w:val="24"/>
        </w:rPr>
        <w:t>：</w:t>
      </w:r>
      <w:r>
        <w:rPr>
          <w:rFonts w:ascii="宋体" w:hAnsi="宋体"/>
          <w:sz w:val="24"/>
        </w:rPr>
        <w:t>承包人要建立农民工名册、考勤记录、工资发放等实名管理台账</w:t>
      </w:r>
      <w:r>
        <w:rPr>
          <w:rFonts w:hint="eastAsia" w:ascii="宋体" w:hAnsi="宋体"/>
          <w:sz w:val="24"/>
        </w:rPr>
        <w:t>。</w:t>
      </w:r>
      <w:r>
        <w:rPr>
          <w:rFonts w:ascii="宋体" w:hAnsi="宋体"/>
          <w:sz w:val="24"/>
        </w:rPr>
        <w:t>农民工台账反映农民工姓名、籍贯、身份证号、工种、进场时间、出勤情况、退场时间、工资卡号、工资发放等基本信息。</w:t>
      </w:r>
    </w:p>
    <w:p w14:paraId="514FB257">
      <w:pPr>
        <w:adjustRightInd w:val="0"/>
        <w:snapToGrid w:val="0"/>
        <w:spacing w:line="360" w:lineRule="auto"/>
        <w:ind w:firstLine="480" w:firstLineChars="200"/>
        <w:rPr>
          <w:rFonts w:ascii="宋体" w:hAnsi="宋体"/>
          <w:sz w:val="24"/>
        </w:rPr>
      </w:pPr>
      <w:r>
        <w:rPr>
          <w:rFonts w:ascii="宋体" w:hAnsi="宋体"/>
          <w:sz w:val="24"/>
        </w:rPr>
        <w:t>承包人应督促分包企业和劳务单位做好农民工实名制管理，将分包企业和劳务单位的农民工管理并入承包人实名台账管理，并对分包企业农民工管理负总责。</w:t>
      </w:r>
    </w:p>
    <w:p w14:paraId="14C29EA9">
      <w:pPr>
        <w:adjustRightInd w:val="0"/>
        <w:snapToGrid w:val="0"/>
        <w:spacing w:line="360" w:lineRule="auto"/>
        <w:ind w:firstLine="480" w:firstLineChars="200"/>
        <w:rPr>
          <w:rFonts w:ascii="宋体" w:hAnsi="宋体"/>
          <w:sz w:val="24"/>
        </w:rPr>
      </w:pPr>
      <w:r>
        <w:rPr>
          <w:rFonts w:ascii="宋体" w:hAnsi="宋体"/>
          <w:sz w:val="24"/>
        </w:rPr>
        <w:t>承包人应将承包合同段内的全部农民工（包括分包企业和劳务单位）基本信息汇总后报监理人</w:t>
      </w:r>
      <w:r>
        <w:rPr>
          <w:rFonts w:hint="eastAsia" w:ascii="宋体" w:hAnsi="宋体"/>
          <w:sz w:val="24"/>
        </w:rPr>
        <w:t>、发包人、地方派出所、所在县级人力资源和社会保障局</w:t>
      </w:r>
      <w:r>
        <w:rPr>
          <w:rFonts w:ascii="宋体" w:hAnsi="宋体"/>
          <w:sz w:val="24"/>
        </w:rPr>
        <w:t>备案。建设期间</w:t>
      </w:r>
      <w:r>
        <w:rPr>
          <w:rFonts w:hint="eastAsia" w:ascii="宋体" w:hAnsi="宋体"/>
          <w:sz w:val="24"/>
        </w:rPr>
        <w:t>，</w:t>
      </w:r>
      <w:r>
        <w:rPr>
          <w:rFonts w:ascii="宋体" w:hAnsi="宋体"/>
          <w:sz w:val="24"/>
        </w:rPr>
        <w:t>承包人应每月对民工变动情况进行清查梳理</w:t>
      </w:r>
      <w:r>
        <w:rPr>
          <w:rFonts w:hint="eastAsia" w:ascii="宋体" w:hAnsi="宋体"/>
          <w:sz w:val="24"/>
        </w:rPr>
        <w:t>，</w:t>
      </w:r>
      <w:r>
        <w:rPr>
          <w:rFonts w:ascii="宋体" w:hAnsi="宋体"/>
          <w:sz w:val="24"/>
        </w:rPr>
        <w:t>更新基本信息台账后</w:t>
      </w:r>
      <w:r>
        <w:rPr>
          <w:rFonts w:hint="eastAsia" w:ascii="宋体" w:hAnsi="宋体"/>
          <w:sz w:val="24"/>
        </w:rPr>
        <w:t>，</w:t>
      </w:r>
      <w:r>
        <w:rPr>
          <w:rFonts w:ascii="宋体" w:hAnsi="宋体"/>
          <w:sz w:val="24"/>
        </w:rPr>
        <w:t>报上述单位备案</w:t>
      </w:r>
      <w:r>
        <w:rPr>
          <w:rFonts w:hint="eastAsia" w:ascii="宋体" w:hAnsi="宋体"/>
          <w:sz w:val="24"/>
        </w:rPr>
        <w:t>。</w:t>
      </w:r>
    </w:p>
    <w:p w14:paraId="2F89A0AE">
      <w:pPr>
        <w:adjustRightInd w:val="0"/>
        <w:snapToGrid w:val="0"/>
        <w:spacing w:line="360" w:lineRule="auto"/>
        <w:ind w:firstLine="480" w:firstLineChars="200"/>
        <w:rPr>
          <w:rFonts w:ascii="宋体" w:hAnsi="宋体"/>
          <w:sz w:val="24"/>
        </w:rPr>
      </w:pPr>
      <w:r>
        <w:rPr>
          <w:rFonts w:hint="eastAsia" w:ascii="宋体" w:hAnsi="宋体"/>
          <w:sz w:val="24"/>
        </w:rPr>
        <w:t>承包人</w:t>
      </w:r>
      <w:r>
        <w:rPr>
          <w:rFonts w:ascii="宋体" w:hAnsi="宋体"/>
          <w:sz w:val="24"/>
        </w:rPr>
        <w:t>和分包企业</w:t>
      </w:r>
      <w:r>
        <w:rPr>
          <w:rFonts w:hint="eastAsia" w:ascii="宋体" w:hAnsi="宋体"/>
          <w:sz w:val="24"/>
        </w:rPr>
        <w:t>或劳务合作企业</w:t>
      </w:r>
      <w:r>
        <w:rPr>
          <w:rFonts w:ascii="宋体" w:hAnsi="宋体"/>
          <w:sz w:val="24"/>
        </w:rPr>
        <w:t>应将经农民工本人签字确认的工资支付书面记录保存</w:t>
      </w:r>
      <w:r>
        <w:rPr>
          <w:rFonts w:hint="eastAsia" w:ascii="宋体" w:hAnsi="宋体"/>
          <w:sz w:val="24"/>
        </w:rPr>
        <w:t>至</w:t>
      </w:r>
      <w:r>
        <w:rPr>
          <w:rFonts w:ascii="宋体" w:hAnsi="宋体"/>
          <w:sz w:val="24"/>
        </w:rPr>
        <w:t>项目竣工验收后5年以上备查。</w:t>
      </w:r>
    </w:p>
    <w:p w14:paraId="2B3A99FD">
      <w:pPr>
        <w:adjustRightInd w:val="0"/>
        <w:snapToGrid w:val="0"/>
        <w:spacing w:line="360" w:lineRule="auto"/>
        <w:ind w:firstLine="480" w:firstLineChars="200"/>
        <w:rPr>
          <w:rFonts w:ascii="宋体" w:hAnsi="宋体" w:cs="宋体"/>
          <w:sz w:val="24"/>
        </w:rPr>
      </w:pP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sz w:val="24"/>
        </w:rPr>
        <w:t>③</w:t>
      </w:r>
      <w:r>
        <w:rPr>
          <w:rFonts w:hint="eastAsia" w:ascii="宋体" w:hAnsi="宋体"/>
          <w:sz w:val="24"/>
        </w:rPr>
        <w:fldChar w:fldCharType="end"/>
      </w:r>
      <w:r>
        <w:rPr>
          <w:rFonts w:ascii="宋体" w:hAnsi="宋体"/>
          <w:sz w:val="24"/>
        </w:rPr>
        <w:t>现场信息管理制度：农民工进场后，承包人应及时向农民工人员颁发含有姓名、性别、年龄、照片、家庭住址、身份证号码、班</w:t>
      </w:r>
      <w:r>
        <w:rPr>
          <w:rFonts w:hint="eastAsia" w:ascii="宋体" w:hAnsi="宋体" w:cs="宋体"/>
          <w:sz w:val="24"/>
        </w:rPr>
        <w:t>组、工种、进出场时间等信息并加盖承包人项目部公章的农民工身份证明。进场农民工实行挂牌上岗制度，统一着装。</w:t>
      </w:r>
    </w:p>
    <w:p w14:paraId="772C6245">
      <w:pPr>
        <w:adjustRightInd w:val="0"/>
        <w:snapToGrid w:val="0"/>
        <w:spacing w:line="360" w:lineRule="auto"/>
        <w:ind w:firstLine="480" w:firstLineChars="200"/>
        <w:rPr>
          <w:rFonts w:ascii="宋体" w:hAnsi="宋体" w:cs="宋体"/>
          <w:spacing w:val="-4"/>
          <w:sz w:val="24"/>
        </w:rPr>
      </w:pPr>
      <w:r>
        <w:rPr>
          <w:rFonts w:hint="eastAsia" w:ascii="宋体" w:hAnsi="宋体" w:cs="宋体"/>
          <w:sz w:val="24"/>
        </w:rPr>
        <w:t>对未纳入监理人审批同意核备、发包人核备或派出所及人力资源和社会保障局备案的人员，不管其在项目有无务工事实的，发包人、监理人及承包人均不认同其农民工身份，不纳入项目农民工管理范畴；同时，存在无农民工身份在项目有务工事实的情形，将</w:t>
      </w:r>
      <w:r>
        <w:rPr>
          <w:rFonts w:ascii="宋体" w:hAnsi="宋体" w:cs="宋体"/>
          <w:sz w:val="24"/>
        </w:rPr>
        <w:t>对承包人进行违约处理，承包人缴纳违约金并不能</w:t>
      </w:r>
      <w:r>
        <w:rPr>
          <w:rFonts w:hint="eastAsia" w:ascii="宋体" w:hAnsi="宋体" w:cs="宋体"/>
          <w:sz w:val="24"/>
        </w:rPr>
        <w:t>使违</w:t>
      </w:r>
      <w:r>
        <w:rPr>
          <w:rFonts w:hint="eastAsia" w:ascii="宋体" w:hAnsi="宋体"/>
          <w:sz w:val="24"/>
        </w:rPr>
        <w:t>约行为</w:t>
      </w:r>
      <w:r>
        <w:rPr>
          <w:rFonts w:hint="eastAsia"/>
          <w:sz w:val="24"/>
        </w:rPr>
        <w:t>合法化，承包人应继续纠正，且应承担相应法律责任。</w:t>
      </w:r>
      <w:r>
        <w:rPr>
          <w:rFonts w:ascii="宋体" w:hAnsi="宋体" w:cs="宋体"/>
          <w:spacing w:val="-4"/>
          <w:sz w:val="24"/>
        </w:rPr>
        <w:t xml:space="preserve">   </w:t>
      </w:r>
    </w:p>
    <w:p w14:paraId="2C79F398">
      <w:pPr>
        <w:adjustRightInd w:val="0"/>
        <w:snapToGrid w:val="0"/>
        <w:spacing w:line="360" w:lineRule="auto"/>
        <w:ind w:firstLine="348" w:firstLineChars="150"/>
        <w:rPr>
          <w:rFonts w:ascii="宋体" w:hAnsi="宋体" w:cs="宋体"/>
          <w:spacing w:val="-4"/>
          <w:sz w:val="24"/>
        </w:rPr>
      </w:pPr>
      <w:r>
        <w:rPr>
          <w:rFonts w:hint="eastAsia" w:ascii="宋体" w:hAnsi="宋体" w:cs="宋体"/>
          <w:spacing w:val="-4"/>
          <w:sz w:val="24"/>
        </w:rPr>
        <w:t>（2）农民工工资管理</w:t>
      </w:r>
    </w:p>
    <w:p w14:paraId="6B9DF3C7">
      <w:pPr>
        <w:adjustRightInd w:val="0"/>
        <w:snapToGrid w:val="0"/>
        <w:spacing w:line="360" w:lineRule="auto"/>
        <w:ind w:firstLine="480" w:firstLineChars="200"/>
        <w:rPr>
          <w:rFonts w:ascii="宋体" w:hAnsi="宋体" w:cs="宋体"/>
          <w:sz w:val="24"/>
        </w:rPr>
      </w:pPr>
      <w:r>
        <w:rPr>
          <w:rFonts w:hint="eastAsia" w:ascii="宋体" w:hAnsi="宋体"/>
          <w:sz w:val="24"/>
        </w:rPr>
        <w:t>严格执行《保障农民工</w:t>
      </w:r>
      <w:r>
        <w:rPr>
          <w:rFonts w:ascii="宋体" w:hAnsi="宋体"/>
          <w:sz w:val="24"/>
        </w:rPr>
        <w:t>工资</w:t>
      </w:r>
      <w:r>
        <w:rPr>
          <w:rFonts w:hint="eastAsia" w:ascii="宋体" w:hAnsi="宋体"/>
          <w:sz w:val="24"/>
        </w:rPr>
        <w:t>支付条例》（国务院</w:t>
      </w:r>
      <w:r>
        <w:rPr>
          <w:rFonts w:ascii="宋体" w:hAnsi="宋体"/>
          <w:sz w:val="24"/>
        </w:rPr>
        <w:t>令</w:t>
      </w:r>
      <w:r>
        <w:rPr>
          <w:rFonts w:hint="eastAsia" w:ascii="宋体" w:hAnsi="宋体"/>
          <w:sz w:val="24"/>
        </w:rPr>
        <w:t>第</w:t>
      </w:r>
      <w:r>
        <w:rPr>
          <w:rFonts w:ascii="宋体" w:hAnsi="宋体"/>
          <w:sz w:val="24"/>
        </w:rPr>
        <w:t>724</w:t>
      </w:r>
      <w:r>
        <w:rPr>
          <w:rFonts w:hint="eastAsia" w:ascii="宋体" w:hAnsi="宋体"/>
          <w:sz w:val="24"/>
        </w:rPr>
        <w:t>号）</w:t>
      </w:r>
      <w:r>
        <w:rPr>
          <w:rFonts w:ascii="宋体" w:hAnsi="宋体"/>
          <w:sz w:val="24"/>
        </w:rPr>
        <w:t>、</w:t>
      </w:r>
      <w:r>
        <w:rPr>
          <w:rFonts w:hint="eastAsia" w:ascii="宋体" w:hAnsi="宋体"/>
          <w:sz w:val="24"/>
        </w:rPr>
        <w:t>《国务院办公厅关于全面治理拖欠农民工工资问题的意见》（国办发</w:t>
      </w:r>
      <w:r>
        <w:rPr>
          <w:rFonts w:ascii="宋体" w:hAnsi="宋体"/>
          <w:sz w:val="24"/>
        </w:rPr>
        <w:t>〔2016〕1号）、</w:t>
      </w:r>
      <w:r>
        <w:rPr>
          <w:rFonts w:hint="eastAsia" w:ascii="宋体" w:hAnsi="宋体"/>
          <w:sz w:val="24"/>
        </w:rPr>
        <w:t>《工程建设领域农民工工资保证金规定》（人社部发</w:t>
      </w:r>
      <w:r>
        <w:rPr>
          <w:rFonts w:ascii="宋体" w:hAnsi="宋体"/>
          <w:sz w:val="24"/>
        </w:rPr>
        <w:t>〔2021〕65号）</w:t>
      </w:r>
      <w:r>
        <w:rPr>
          <w:rFonts w:hint="eastAsia" w:ascii="宋体" w:hAnsi="宋体"/>
          <w:sz w:val="24"/>
        </w:rPr>
        <w:t>、</w:t>
      </w:r>
      <w:r>
        <w:rPr>
          <w:rFonts w:ascii="宋体" w:hAnsi="宋体"/>
          <w:sz w:val="24"/>
        </w:rPr>
        <w:t>《四川省人民政府办公厅关于全面治理拖欠农民工工资问题的实施意见》（川办发〔2016〕63号）、《四川省解决企业拖欠工资问题联席会议关于在工程建设领域全面落实农民工工资专用账户制度的通知》（川人社办发〔2018〕180号）、</w:t>
      </w:r>
      <w:r>
        <w:rPr>
          <w:rFonts w:hint="eastAsia" w:ascii="宋体" w:hAnsi="宋体" w:cs="宋体"/>
          <w:sz w:val="24"/>
        </w:rPr>
        <w:t>《四川省交通运输厅关于印发</w:t>
      </w:r>
      <w:r>
        <w:rPr>
          <w:rFonts w:ascii="宋体" w:hAnsi="宋体"/>
          <w:sz w:val="24"/>
        </w:rPr>
        <w:t>&lt;</w:t>
      </w:r>
      <w:r>
        <w:rPr>
          <w:rFonts w:hint="eastAsia" w:ascii="宋体" w:hAnsi="宋体" w:cs="宋体"/>
          <w:sz w:val="24"/>
        </w:rPr>
        <w:t>四川省公路水运工程建设项目保证金管理办法</w:t>
      </w:r>
      <w:r>
        <w:rPr>
          <w:rFonts w:ascii="宋体" w:hAnsi="宋体"/>
          <w:sz w:val="24"/>
        </w:rPr>
        <w:t>&gt;</w:t>
      </w:r>
      <w:r>
        <w:rPr>
          <w:rFonts w:hint="eastAsia" w:ascii="宋体" w:hAnsi="宋体" w:cs="宋体"/>
          <w:sz w:val="24"/>
        </w:rPr>
        <w:t>的通知》（川交规〔2022〕13号）、</w:t>
      </w:r>
      <w:r>
        <w:rPr>
          <w:rFonts w:ascii="宋体" w:hAnsi="宋体"/>
          <w:sz w:val="24"/>
        </w:rPr>
        <w:t>《四川省交通运输厅关于印发&lt;四川省交通运输工程建设领域农民工工资支付与管理工作实施意见&gt;的通知》（川交发〔2013〕128号）、《四川省交通运输厅关于切实做好交通建设领域治理拖欠农民工工资有关工作的通知》（川交函〔2017〕49号）等文件及在项目建设结束期间，国家、省及交通</w:t>
      </w:r>
      <w:r>
        <w:rPr>
          <w:rFonts w:hint="eastAsia" w:ascii="宋体" w:hAnsi="宋体"/>
          <w:sz w:val="24"/>
        </w:rPr>
        <w:t>运输</w:t>
      </w:r>
      <w:r>
        <w:rPr>
          <w:rFonts w:ascii="宋体" w:hAnsi="宋体"/>
          <w:sz w:val="24"/>
        </w:rPr>
        <w:t>主管部门印发的涉及农民工工资问题处理的相关文件精神</w:t>
      </w:r>
      <w:r>
        <w:rPr>
          <w:rFonts w:hint="eastAsia" w:ascii="宋体" w:hAnsi="宋体" w:cs="宋体"/>
          <w:sz w:val="24"/>
        </w:rPr>
        <w:t>。</w:t>
      </w:r>
    </w:p>
    <w:p w14:paraId="7F90AB35">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sz w:val="24"/>
        </w:rPr>
        <w:t>①</w:t>
      </w:r>
      <w:r>
        <w:rPr>
          <w:rFonts w:hint="eastAsia" w:ascii="宋体" w:hAnsi="宋体"/>
          <w:sz w:val="24"/>
        </w:rPr>
        <w:fldChar w:fldCharType="end"/>
      </w:r>
      <w:r>
        <w:rPr>
          <w:rFonts w:ascii="宋体" w:hAnsi="宋体"/>
          <w:sz w:val="24"/>
        </w:rPr>
        <w:t>发包人应向</w:t>
      </w:r>
      <w:r>
        <w:rPr>
          <w:rFonts w:hint="eastAsia" w:ascii="宋体" w:hAnsi="宋体"/>
          <w:sz w:val="24"/>
        </w:rPr>
        <w:t>承包人</w:t>
      </w:r>
      <w:r>
        <w:rPr>
          <w:rFonts w:ascii="宋体" w:hAnsi="宋体"/>
          <w:sz w:val="24"/>
        </w:rPr>
        <w:t>提供工程款支付担保</w:t>
      </w:r>
      <w:r>
        <w:rPr>
          <w:rFonts w:hint="eastAsia" w:ascii="宋体" w:hAnsi="宋体"/>
          <w:sz w:val="24"/>
        </w:rPr>
        <w:t>，具体见合同条款第2.6款</w:t>
      </w:r>
      <w:r>
        <w:rPr>
          <w:rFonts w:ascii="宋体" w:hAnsi="宋体"/>
          <w:sz w:val="24"/>
        </w:rPr>
        <w:t>。</w:t>
      </w:r>
    </w:p>
    <w:p w14:paraId="29545E5E">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sz w:val="24"/>
        </w:rPr>
        <w:t>②</w:t>
      </w:r>
      <w:r>
        <w:rPr>
          <w:rFonts w:hint="eastAsia" w:ascii="宋体" w:hAnsi="宋体"/>
          <w:sz w:val="24"/>
        </w:rPr>
        <w:fldChar w:fldCharType="end"/>
      </w:r>
      <w:r>
        <w:rPr>
          <w:rFonts w:ascii="宋体" w:hAnsi="宋体"/>
          <w:sz w:val="24"/>
        </w:rPr>
        <w:t>发包人应保障农民工工资按时足额支付</w:t>
      </w:r>
      <w:r>
        <w:rPr>
          <w:rFonts w:hint="eastAsia" w:ascii="宋体" w:hAnsi="宋体"/>
          <w:sz w:val="24"/>
        </w:rPr>
        <w:t>，</w:t>
      </w:r>
      <w:r>
        <w:rPr>
          <w:rFonts w:ascii="宋体" w:hAnsi="宋体"/>
          <w:sz w:val="24"/>
        </w:rPr>
        <w:t>人工费用</w:t>
      </w:r>
      <w:r>
        <w:rPr>
          <w:rFonts w:hint="eastAsia" w:ascii="宋体" w:hAnsi="宋体"/>
          <w:sz w:val="24"/>
        </w:rPr>
        <w:t>的</w:t>
      </w:r>
      <w:r>
        <w:rPr>
          <w:rFonts w:ascii="宋体" w:hAnsi="宋体"/>
          <w:sz w:val="24"/>
        </w:rPr>
        <w:t>拨付</w:t>
      </w:r>
      <w:r>
        <w:rPr>
          <w:rFonts w:hint="eastAsia" w:ascii="宋体" w:hAnsi="宋体"/>
          <w:sz w:val="24"/>
        </w:rPr>
        <w:t>不受第</w:t>
      </w:r>
      <w:r>
        <w:rPr>
          <w:rFonts w:ascii="宋体" w:hAnsi="宋体"/>
          <w:sz w:val="24"/>
        </w:rPr>
        <w:t>17.3.</w:t>
      </w:r>
      <w:r>
        <w:rPr>
          <w:rFonts w:hint="eastAsia" w:ascii="宋体" w:hAnsi="宋体"/>
          <w:sz w:val="24"/>
        </w:rPr>
        <w:t>3项（</w:t>
      </w:r>
      <w:r>
        <w:rPr>
          <w:rFonts w:ascii="宋体" w:hAnsi="宋体"/>
          <w:sz w:val="24"/>
        </w:rPr>
        <w:t>1）</w:t>
      </w:r>
      <w:r>
        <w:rPr>
          <w:rFonts w:hint="eastAsia" w:ascii="宋体" w:hAnsi="宋体"/>
          <w:sz w:val="24"/>
        </w:rPr>
        <w:t>目所要求的最低额度的限制</w:t>
      </w:r>
      <w:r>
        <w:rPr>
          <w:rFonts w:ascii="宋体" w:hAnsi="宋体"/>
          <w:sz w:val="24"/>
        </w:rPr>
        <w:t>。</w:t>
      </w:r>
    </w:p>
    <w:p w14:paraId="1576CA0F">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sz w:val="24"/>
        </w:rPr>
        <w:t>③</w:t>
      </w:r>
      <w:r>
        <w:rPr>
          <w:rFonts w:hint="eastAsia" w:ascii="宋体" w:hAnsi="宋体"/>
          <w:sz w:val="24"/>
        </w:rPr>
        <w:fldChar w:fldCharType="end"/>
      </w:r>
      <w:r>
        <w:rPr>
          <w:rFonts w:ascii="宋体" w:hAnsi="宋体"/>
          <w:sz w:val="24"/>
        </w:rPr>
        <w:t>发包人应当按照合同约定及时拨付工程款，并将人工费用及时足额拨付至农民工工资专用账户，加强对</w:t>
      </w:r>
      <w:r>
        <w:rPr>
          <w:rFonts w:hint="eastAsia" w:ascii="宋体" w:hAnsi="宋体"/>
          <w:sz w:val="24"/>
        </w:rPr>
        <w:t>承包人</w:t>
      </w:r>
      <w:r>
        <w:rPr>
          <w:rFonts w:ascii="宋体" w:hAnsi="宋体"/>
          <w:sz w:val="24"/>
        </w:rPr>
        <w:t>按时足额支付农民工工资的监督。</w:t>
      </w:r>
    </w:p>
    <w:p w14:paraId="4264481B">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sz w:val="24"/>
        </w:rPr>
        <w:t>④</w:t>
      </w:r>
      <w:r>
        <w:rPr>
          <w:rFonts w:hint="eastAsia" w:ascii="宋体" w:hAnsi="宋体"/>
          <w:sz w:val="24"/>
        </w:rPr>
        <w:fldChar w:fldCharType="end"/>
      </w:r>
      <w:r>
        <w:rPr>
          <w:rFonts w:ascii="宋体" w:hAnsi="宋体"/>
          <w:sz w:val="24"/>
        </w:rPr>
        <w:t>因</w:t>
      </w:r>
      <w:r>
        <w:rPr>
          <w:rFonts w:hint="eastAsia" w:ascii="宋体" w:hAnsi="宋体"/>
          <w:sz w:val="24"/>
        </w:rPr>
        <w:t>发包人</w:t>
      </w:r>
      <w:r>
        <w:rPr>
          <w:rFonts w:ascii="宋体" w:hAnsi="宋体"/>
          <w:sz w:val="24"/>
        </w:rPr>
        <w:t>未按照合同约定及时拨付工程款导致农民工工资拖欠的，</w:t>
      </w:r>
      <w:r>
        <w:rPr>
          <w:rFonts w:hint="eastAsia" w:ascii="宋体" w:hAnsi="宋体"/>
          <w:sz w:val="24"/>
        </w:rPr>
        <w:t>发包人</w:t>
      </w:r>
      <w:r>
        <w:rPr>
          <w:rFonts w:ascii="宋体" w:hAnsi="宋体"/>
          <w:sz w:val="24"/>
        </w:rPr>
        <w:t>应当以未结清的工程款为限先行垫付被拖欠的农民工工资。</w:t>
      </w:r>
    </w:p>
    <w:p w14:paraId="5240AC3F">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5 \* GB3 \* MERGEFORMAT </w:instrText>
      </w:r>
      <w:r>
        <w:rPr>
          <w:rFonts w:hint="eastAsia" w:ascii="宋体" w:hAnsi="宋体"/>
          <w:sz w:val="24"/>
        </w:rPr>
        <w:fldChar w:fldCharType="separate"/>
      </w:r>
      <w:r>
        <w:rPr>
          <w:sz w:val="24"/>
        </w:rPr>
        <w:t>⑤</w:t>
      </w:r>
      <w:r>
        <w:rPr>
          <w:rFonts w:hint="eastAsia" w:ascii="宋体" w:hAnsi="宋体"/>
          <w:sz w:val="24"/>
        </w:rPr>
        <w:fldChar w:fldCharType="end"/>
      </w:r>
      <w:r>
        <w:rPr>
          <w:rFonts w:hint="eastAsia" w:ascii="宋体" w:hAnsi="宋体"/>
          <w:sz w:val="24"/>
        </w:rPr>
        <w:t>发包人</w:t>
      </w:r>
      <w:r>
        <w:rPr>
          <w:rFonts w:ascii="宋体" w:hAnsi="宋体"/>
          <w:sz w:val="24"/>
        </w:rPr>
        <w:t>应当建立保障农民工工资支付协调机制和工资拖欠预防机制，督促</w:t>
      </w:r>
      <w:r>
        <w:rPr>
          <w:rFonts w:hint="eastAsia" w:ascii="宋体" w:hAnsi="宋体"/>
          <w:sz w:val="24"/>
        </w:rPr>
        <w:t>承包人</w:t>
      </w:r>
      <w:r>
        <w:rPr>
          <w:rFonts w:ascii="宋体" w:hAnsi="宋体"/>
          <w:sz w:val="24"/>
        </w:rPr>
        <w:t>加强劳动用工管理，妥善处理与农民工工资支付相关的矛盾纠纷。发生农民工集体讨薪事件的，</w:t>
      </w:r>
      <w:r>
        <w:rPr>
          <w:rFonts w:hint="eastAsia" w:ascii="宋体" w:hAnsi="宋体"/>
          <w:sz w:val="24"/>
        </w:rPr>
        <w:t>发包人</w:t>
      </w:r>
      <w:r>
        <w:rPr>
          <w:rFonts w:ascii="宋体" w:hAnsi="宋体"/>
          <w:sz w:val="24"/>
        </w:rPr>
        <w:t>应当会同</w:t>
      </w:r>
      <w:r>
        <w:rPr>
          <w:rFonts w:hint="eastAsia" w:ascii="宋体" w:hAnsi="宋体"/>
          <w:sz w:val="24"/>
        </w:rPr>
        <w:t>承包人</w:t>
      </w:r>
      <w:r>
        <w:rPr>
          <w:rFonts w:ascii="宋体" w:hAnsi="宋体"/>
          <w:sz w:val="24"/>
        </w:rPr>
        <w:t>及时处理，并向项目所在地人力资源社会保障行政部门和相关行业工程建设主管部门报告有关情况。</w:t>
      </w:r>
    </w:p>
    <w:p w14:paraId="365BDCB3">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6 \* GB3 \* MERGEFORMAT </w:instrText>
      </w:r>
      <w:r>
        <w:rPr>
          <w:rFonts w:hint="eastAsia" w:ascii="宋体" w:hAnsi="宋体"/>
          <w:sz w:val="24"/>
        </w:rPr>
        <w:fldChar w:fldCharType="separate"/>
      </w:r>
      <w:r>
        <w:rPr>
          <w:sz w:val="24"/>
        </w:rPr>
        <w:t>⑥</w:t>
      </w:r>
      <w:r>
        <w:rPr>
          <w:rFonts w:hint="eastAsia" w:ascii="宋体" w:hAnsi="宋体"/>
          <w:sz w:val="24"/>
        </w:rPr>
        <w:fldChar w:fldCharType="end"/>
      </w:r>
      <w:r>
        <w:rPr>
          <w:rFonts w:ascii="宋体" w:hAnsi="宋体"/>
          <w:sz w:val="24"/>
        </w:rPr>
        <w:t>承包人与分包单位</w:t>
      </w:r>
      <w:r>
        <w:rPr>
          <w:rFonts w:hint="eastAsia" w:ascii="宋体" w:hAnsi="宋体"/>
          <w:sz w:val="24"/>
        </w:rPr>
        <w:t>（如有）、劳务合作单位</w:t>
      </w:r>
      <w:r>
        <w:rPr>
          <w:rFonts w:ascii="宋体" w:hAnsi="宋体"/>
          <w:sz w:val="24"/>
        </w:rPr>
        <w:t>依法订立书面分包合同，应当约定工程款计量周期、工程款进度结算办法。分包单位对所招用农民工的实名制管理和工资支付负直接责任。</w:t>
      </w:r>
      <w:r>
        <w:rPr>
          <w:rFonts w:hint="eastAsia" w:ascii="宋体" w:hAnsi="宋体"/>
          <w:sz w:val="24"/>
        </w:rPr>
        <w:t>承包人</w:t>
      </w:r>
      <w:r>
        <w:rPr>
          <w:rFonts w:ascii="宋体" w:hAnsi="宋体"/>
          <w:sz w:val="24"/>
        </w:rPr>
        <w:t>对分包单位劳动用工和工资发放等情况进行监督。分包单位拖欠农民工工资的，由</w:t>
      </w:r>
      <w:r>
        <w:rPr>
          <w:rFonts w:hint="eastAsia" w:ascii="宋体" w:hAnsi="宋体"/>
          <w:sz w:val="24"/>
        </w:rPr>
        <w:t>承包人</w:t>
      </w:r>
      <w:r>
        <w:rPr>
          <w:rFonts w:ascii="宋体" w:hAnsi="宋体"/>
          <w:sz w:val="24"/>
        </w:rPr>
        <w:t>先行清偿，再依法进行追偿。工程建设项目转包，拖欠农民工工资的，由</w:t>
      </w:r>
      <w:r>
        <w:rPr>
          <w:rFonts w:hint="eastAsia" w:ascii="宋体" w:hAnsi="宋体"/>
          <w:sz w:val="24"/>
        </w:rPr>
        <w:t>承包人</w:t>
      </w:r>
      <w:r>
        <w:rPr>
          <w:rFonts w:ascii="宋体" w:hAnsi="宋体"/>
          <w:sz w:val="24"/>
        </w:rPr>
        <w:t>先行清偿，再依法进行追偿。</w:t>
      </w:r>
    </w:p>
    <w:p w14:paraId="1F9F10B2">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7 \* GB3 \* MERGEFORMAT </w:instrText>
      </w:r>
      <w:r>
        <w:rPr>
          <w:rFonts w:hint="eastAsia" w:ascii="宋体" w:hAnsi="宋体"/>
          <w:sz w:val="24"/>
        </w:rPr>
        <w:fldChar w:fldCharType="separate"/>
      </w:r>
      <w:r>
        <w:rPr>
          <w:sz w:val="24"/>
        </w:rPr>
        <w:t>⑦</w:t>
      </w:r>
      <w:r>
        <w:rPr>
          <w:rFonts w:hint="eastAsia" w:ascii="宋体" w:hAnsi="宋体"/>
          <w:sz w:val="24"/>
        </w:rPr>
        <w:fldChar w:fldCharType="end"/>
      </w:r>
      <w:r>
        <w:rPr>
          <w:rFonts w:ascii="宋体" w:hAnsi="宋体"/>
          <w:sz w:val="24"/>
        </w:rPr>
        <w:t>发包人按照</w:t>
      </w:r>
      <w:r>
        <w:rPr>
          <w:rFonts w:hint="eastAsia" w:ascii="宋体" w:hAnsi="宋体"/>
          <w:sz w:val="24"/>
        </w:rPr>
        <w:t>现行相关规定</w:t>
      </w:r>
      <w:r>
        <w:rPr>
          <w:rFonts w:ascii="宋体" w:hAnsi="宋体"/>
          <w:sz w:val="24"/>
        </w:rPr>
        <w:t>，将应付工程款中的人工费单独拨付到承包人开设的农民工工资专用账户。</w:t>
      </w:r>
    </w:p>
    <w:p w14:paraId="20A7D631">
      <w:pPr>
        <w:adjustRightInd w:val="0"/>
        <w:snapToGrid w:val="0"/>
        <w:spacing w:line="360" w:lineRule="auto"/>
        <w:ind w:firstLine="480" w:firstLineChars="200"/>
        <w:rPr>
          <w:rFonts w:ascii="宋体" w:hAnsi="宋体"/>
          <w:sz w:val="24"/>
        </w:rPr>
      </w:pPr>
      <w:r>
        <w:rPr>
          <w:rFonts w:ascii="宋体" w:hAnsi="宋体"/>
          <w:sz w:val="24"/>
        </w:rPr>
        <w:t>开设、使用农民工工资专用账户有关资料应当由</w:t>
      </w:r>
      <w:r>
        <w:rPr>
          <w:rFonts w:hint="eastAsia" w:ascii="宋体" w:hAnsi="宋体"/>
          <w:sz w:val="24"/>
        </w:rPr>
        <w:t>承包人</w:t>
      </w:r>
      <w:r>
        <w:rPr>
          <w:rFonts w:ascii="宋体" w:hAnsi="宋体"/>
          <w:sz w:val="24"/>
        </w:rPr>
        <w:t>妥善保存备查。</w:t>
      </w:r>
    </w:p>
    <w:p w14:paraId="3F6B535F">
      <w:pPr>
        <w:adjustRightInd w:val="0"/>
        <w:snapToGrid w:val="0"/>
        <w:spacing w:line="360" w:lineRule="auto"/>
        <w:ind w:firstLine="480" w:firstLineChars="200"/>
        <w:rPr>
          <w:rFonts w:ascii="宋体" w:hAnsi="宋体"/>
          <w:sz w:val="24"/>
        </w:rPr>
      </w:pPr>
      <w:r>
        <w:rPr>
          <w:rFonts w:ascii="宋体" w:hAnsi="宋体"/>
          <w:sz w:val="24"/>
        </w:rPr>
        <w:t>承包人农民工工资专用账户设立后</w:t>
      </w:r>
      <w:r>
        <w:rPr>
          <w:rFonts w:hint="eastAsia" w:ascii="宋体" w:hAnsi="宋体"/>
          <w:sz w:val="24"/>
        </w:rPr>
        <w:t>，须</w:t>
      </w:r>
      <w:r>
        <w:rPr>
          <w:rFonts w:ascii="宋体" w:hAnsi="宋体"/>
          <w:sz w:val="24"/>
        </w:rPr>
        <w:t>向</w:t>
      </w:r>
      <w:r>
        <w:rPr>
          <w:rFonts w:hint="eastAsia" w:ascii="宋体" w:hAnsi="宋体"/>
          <w:sz w:val="24"/>
        </w:rPr>
        <w:t>监理人、</w:t>
      </w:r>
      <w:r>
        <w:rPr>
          <w:rFonts w:ascii="宋体" w:hAnsi="宋体"/>
          <w:sz w:val="24"/>
        </w:rPr>
        <w:t>发包人</w:t>
      </w:r>
      <w:r>
        <w:rPr>
          <w:rFonts w:hint="eastAsia" w:ascii="宋体" w:hAnsi="宋体"/>
          <w:sz w:val="24"/>
        </w:rPr>
        <w:t>、</w:t>
      </w:r>
      <w:r>
        <w:rPr>
          <w:rFonts w:ascii="宋体" w:hAnsi="宋体"/>
          <w:sz w:val="24"/>
        </w:rPr>
        <w:t>地方协调部门</w:t>
      </w:r>
      <w:r>
        <w:rPr>
          <w:rFonts w:hint="eastAsia" w:ascii="宋体" w:hAnsi="宋体"/>
          <w:sz w:val="24"/>
        </w:rPr>
        <w:t>、</w:t>
      </w:r>
      <w:r>
        <w:rPr>
          <w:rFonts w:ascii="宋体" w:hAnsi="宋体"/>
          <w:sz w:val="24"/>
        </w:rPr>
        <w:t>交通建设项目主管部门备案，并由发包人委托开户银行负责日常监管，确保专款专用。</w:t>
      </w:r>
    </w:p>
    <w:p w14:paraId="400733EB">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8 \* GB3 \* MERGEFORMAT </w:instrText>
      </w:r>
      <w:r>
        <w:rPr>
          <w:rFonts w:hint="eastAsia" w:ascii="宋体" w:hAnsi="宋体"/>
          <w:sz w:val="24"/>
        </w:rPr>
        <w:fldChar w:fldCharType="separate"/>
      </w:r>
      <w:r>
        <w:rPr>
          <w:sz w:val="24"/>
        </w:rPr>
        <w:t>⑧</w:t>
      </w:r>
      <w:r>
        <w:rPr>
          <w:rFonts w:hint="eastAsia" w:ascii="宋体" w:hAnsi="宋体"/>
          <w:sz w:val="24"/>
        </w:rPr>
        <w:fldChar w:fldCharType="end"/>
      </w:r>
      <w:r>
        <w:rPr>
          <w:rFonts w:hint="eastAsia" w:ascii="宋体" w:hAnsi="宋体"/>
          <w:sz w:val="24"/>
        </w:rPr>
        <w:t>农民工工资专用账户</w:t>
      </w:r>
      <w:r>
        <w:rPr>
          <w:rFonts w:ascii="宋体" w:hAnsi="宋体"/>
          <w:sz w:val="24"/>
        </w:rPr>
        <w:t>开户银行应当优化农民工工资专用账户开设服务流程，做好农民工工资专用账户的日常管理工作；发现资金未按约定拨付等情况的，及时通知</w:t>
      </w:r>
      <w:r>
        <w:rPr>
          <w:rFonts w:hint="eastAsia" w:ascii="宋体" w:hAnsi="宋体"/>
          <w:sz w:val="24"/>
        </w:rPr>
        <w:t>发包人</w:t>
      </w:r>
      <w:r>
        <w:rPr>
          <w:rFonts w:ascii="宋体" w:hAnsi="宋体"/>
          <w:sz w:val="24"/>
        </w:rPr>
        <w:t>或承包人，由</w:t>
      </w:r>
      <w:r>
        <w:rPr>
          <w:rFonts w:hint="eastAsia" w:ascii="宋体" w:hAnsi="宋体"/>
          <w:sz w:val="24"/>
        </w:rPr>
        <w:t>发包人或</w:t>
      </w:r>
      <w:r>
        <w:rPr>
          <w:rFonts w:ascii="宋体" w:hAnsi="宋体"/>
          <w:sz w:val="24"/>
        </w:rPr>
        <w:t>承包人报告人力资源社会保障行政部门和相关行业工程建设主管部门，并纳入欠薪预警系统。</w:t>
      </w:r>
    </w:p>
    <w:p w14:paraId="7B271C28">
      <w:pPr>
        <w:adjustRightInd w:val="0"/>
        <w:snapToGrid w:val="0"/>
        <w:spacing w:line="360" w:lineRule="auto"/>
        <w:ind w:firstLine="480" w:firstLineChars="200"/>
        <w:rPr>
          <w:rFonts w:ascii="宋体" w:hAnsi="宋体"/>
          <w:sz w:val="24"/>
        </w:rPr>
      </w:pPr>
      <w:r>
        <w:rPr>
          <w:rFonts w:ascii="宋体" w:hAnsi="宋体"/>
          <w:sz w:val="24"/>
        </w:rPr>
        <w:t>工程完工且未拖欠农民工工资的，承包人公示30日后，可以申请注销农民工工资专用账户，账户内余额归承包人所有。</w:t>
      </w:r>
    </w:p>
    <w:p w14:paraId="06169C75">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9 \* GB3 \* MERGEFORMAT </w:instrText>
      </w:r>
      <w:r>
        <w:rPr>
          <w:rFonts w:hint="eastAsia" w:ascii="宋体" w:hAnsi="宋体"/>
          <w:sz w:val="24"/>
        </w:rPr>
        <w:fldChar w:fldCharType="separate"/>
      </w:r>
      <w:r>
        <w:rPr>
          <w:sz w:val="24"/>
        </w:rPr>
        <w:t>⑨</w:t>
      </w:r>
      <w:r>
        <w:rPr>
          <w:rFonts w:hint="eastAsia" w:ascii="宋体" w:hAnsi="宋体"/>
          <w:sz w:val="24"/>
        </w:rPr>
        <w:fldChar w:fldCharType="end"/>
      </w:r>
      <w:r>
        <w:rPr>
          <w:rFonts w:hint="eastAsia" w:ascii="宋体" w:hAnsi="宋体"/>
          <w:sz w:val="24"/>
        </w:rPr>
        <w:t>承包人</w:t>
      </w:r>
      <w:r>
        <w:rPr>
          <w:rFonts w:ascii="宋体" w:hAnsi="宋体"/>
          <w:sz w:val="24"/>
        </w:rPr>
        <w:t>应当按照工资支付周期编制书面工资支付台账，并至少保存3年。书面工资支付台账应当包括用人单位名称，支付周期，支付日期，支付对象姓名、身份证号码、联系方式，工作时间，应发工资项目及数额，代扣、代缴、扣除项目和数额，实发工资数额，银行代发工资凭证或者农民工签字等内容</w:t>
      </w:r>
      <w:r>
        <w:rPr>
          <w:rFonts w:hint="eastAsia" w:ascii="宋体" w:hAnsi="宋体"/>
          <w:sz w:val="24"/>
        </w:rPr>
        <w:t>。承包人</w:t>
      </w:r>
      <w:r>
        <w:rPr>
          <w:rFonts w:ascii="宋体" w:hAnsi="宋体"/>
          <w:sz w:val="24"/>
        </w:rPr>
        <w:t>向农民工支付工资时，应当提供农民工本人的工资清单。</w:t>
      </w:r>
    </w:p>
    <w:p w14:paraId="665E7EEC">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10 \* GB3 \* MERGEFORMAT </w:instrText>
      </w:r>
      <w:r>
        <w:rPr>
          <w:rFonts w:hint="eastAsia" w:ascii="宋体" w:hAnsi="宋体"/>
          <w:sz w:val="24"/>
        </w:rPr>
        <w:fldChar w:fldCharType="separate"/>
      </w:r>
      <w:r>
        <w:rPr>
          <w:sz w:val="24"/>
        </w:rPr>
        <w:t>⑩</w:t>
      </w:r>
      <w:r>
        <w:rPr>
          <w:rFonts w:hint="eastAsia" w:ascii="宋体" w:hAnsi="宋体"/>
          <w:sz w:val="24"/>
        </w:rPr>
        <w:fldChar w:fldCharType="end"/>
      </w:r>
      <w:r>
        <w:rPr>
          <w:rFonts w:hint="eastAsia" w:ascii="宋体" w:hAnsi="宋体"/>
          <w:sz w:val="24"/>
        </w:rPr>
        <w:t>承包人支付农民工工资</w:t>
      </w:r>
      <w:r>
        <w:rPr>
          <w:rFonts w:ascii="宋体" w:hAnsi="宋体"/>
          <w:sz w:val="24"/>
        </w:rPr>
        <w:t>具体支付日期遇法定节假日或者休息日的，应当在法定节假日或者休息日前支付。因不可抗力未能在支付日期支付工资的，应当在不可抗力消除后及时支付。</w:t>
      </w:r>
    </w:p>
    <w:p w14:paraId="1148CF97">
      <w:pPr>
        <w:adjustRightInd w:val="0"/>
        <w:snapToGrid w:val="0"/>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EQ \o\ac(</w:instrText>
      </w:r>
      <w:r>
        <w:rPr>
          <w:rFonts w:ascii="宋体" w:hAnsi="宋体"/>
          <w:position w:val="-4"/>
          <w:sz w:val="36"/>
        </w:rPr>
        <w:instrText xml:space="preserve">○</w:instrText>
      </w:r>
      <w:r>
        <w:rPr>
          <w:rFonts w:ascii="宋体" w:hAnsi="宋体"/>
          <w:sz w:val="24"/>
        </w:rPr>
        <w:instrText xml:space="preserve">,</w:instrText>
      </w:r>
      <w:r>
        <w:rPr>
          <w:rFonts w:ascii="宋体" w:hAnsi="宋体"/>
          <w:position w:val="0"/>
          <w:sz w:val="24"/>
        </w:rPr>
        <w:instrText xml:space="preserve">11</w:instrText>
      </w:r>
      <w:r>
        <w:rPr>
          <w:rFonts w:ascii="宋体" w:hAnsi="宋体"/>
          <w:sz w:val="24"/>
        </w:rPr>
        <w:instrText xml:space="preserve">)</w:instrText>
      </w:r>
      <w:r>
        <w:rPr>
          <w:rFonts w:ascii="宋体" w:hAnsi="宋体"/>
          <w:sz w:val="24"/>
        </w:rPr>
        <w:fldChar w:fldCharType="end"/>
      </w:r>
      <w:r>
        <w:rPr>
          <w:rFonts w:ascii="宋体" w:hAnsi="宋体"/>
          <w:sz w:val="24"/>
        </w:rPr>
        <w:t>承包人应当在施工现场醒目位置设立维权信息告示牌，明示下列事项：</w:t>
      </w:r>
    </w:p>
    <w:p w14:paraId="5E73BA83">
      <w:pPr>
        <w:adjustRightInd w:val="0"/>
        <w:snapToGrid w:val="0"/>
        <w:spacing w:line="360" w:lineRule="auto"/>
        <w:ind w:firstLine="480" w:firstLineChars="200"/>
        <w:rPr>
          <w:rFonts w:ascii="宋体" w:hAnsi="宋体"/>
          <w:sz w:val="24"/>
        </w:rPr>
      </w:pPr>
      <w:r>
        <w:rPr>
          <w:rFonts w:hint="eastAsia" w:ascii="宋体" w:hAnsi="宋体"/>
          <w:sz w:val="24"/>
        </w:rPr>
        <w:t>a.发包人</w:t>
      </w:r>
      <w:r>
        <w:rPr>
          <w:rFonts w:ascii="宋体" w:hAnsi="宋体"/>
          <w:sz w:val="24"/>
        </w:rPr>
        <w:t>、施工</w:t>
      </w:r>
      <w:r>
        <w:rPr>
          <w:rFonts w:hint="eastAsia" w:ascii="宋体" w:hAnsi="宋体"/>
          <w:sz w:val="24"/>
        </w:rPr>
        <w:t>承包人</w:t>
      </w:r>
      <w:r>
        <w:rPr>
          <w:rFonts w:ascii="宋体" w:hAnsi="宋体"/>
          <w:sz w:val="24"/>
        </w:rPr>
        <w:t>及所在项目部、分包单位、相关行业工程建设主管部门、劳资专管员等基本信息；</w:t>
      </w:r>
    </w:p>
    <w:p w14:paraId="468DCE0E">
      <w:pPr>
        <w:adjustRightInd w:val="0"/>
        <w:snapToGrid w:val="0"/>
        <w:spacing w:line="360" w:lineRule="auto"/>
        <w:ind w:firstLine="480" w:firstLineChars="200"/>
        <w:rPr>
          <w:rFonts w:ascii="宋体" w:hAnsi="宋体"/>
          <w:sz w:val="24"/>
        </w:rPr>
      </w:pPr>
      <w:r>
        <w:rPr>
          <w:rFonts w:hint="eastAsia" w:ascii="宋体" w:hAnsi="宋体"/>
          <w:sz w:val="24"/>
        </w:rPr>
        <w:t>b.</w:t>
      </w:r>
      <w:r>
        <w:rPr>
          <w:rFonts w:ascii="宋体" w:hAnsi="宋体"/>
          <w:sz w:val="24"/>
        </w:rPr>
        <w:t>当地最低工资标准、工资支付日期等基本信息；</w:t>
      </w:r>
    </w:p>
    <w:p w14:paraId="04C065D8">
      <w:pPr>
        <w:adjustRightInd w:val="0"/>
        <w:snapToGrid w:val="0"/>
        <w:spacing w:line="360" w:lineRule="auto"/>
        <w:ind w:firstLine="480" w:firstLineChars="200"/>
        <w:rPr>
          <w:rFonts w:ascii="宋体" w:hAnsi="宋体"/>
          <w:sz w:val="24"/>
        </w:rPr>
      </w:pPr>
      <w:r>
        <w:rPr>
          <w:rFonts w:hint="eastAsia" w:ascii="宋体" w:hAnsi="宋体"/>
          <w:sz w:val="24"/>
        </w:rPr>
        <w:t>c.</w:t>
      </w:r>
      <w:r>
        <w:rPr>
          <w:rFonts w:ascii="宋体" w:hAnsi="宋体"/>
          <w:sz w:val="24"/>
        </w:rPr>
        <w:t>相关行业工程建设主管部门和劳动保障监察投诉举报电话、劳动争议调解仲裁申请渠道、法律援助申请渠道、公共法律服务热线等信息。</w:t>
      </w:r>
    </w:p>
    <w:p w14:paraId="589A0B0D">
      <w:pPr>
        <w:adjustRightInd w:val="0"/>
        <w:snapToGrid w:val="0"/>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EQ \o\ac(</w:instrText>
      </w:r>
      <w:r>
        <w:rPr>
          <w:rFonts w:ascii="宋体" w:hAnsi="宋体"/>
          <w:position w:val="-4"/>
          <w:sz w:val="36"/>
        </w:rPr>
        <w:instrText xml:space="preserve">○</w:instrText>
      </w:r>
      <w:r>
        <w:rPr>
          <w:rFonts w:ascii="宋体" w:hAnsi="宋体"/>
          <w:sz w:val="24"/>
        </w:rPr>
        <w:instrText xml:space="preserve">,</w:instrText>
      </w:r>
      <w:r>
        <w:rPr>
          <w:rFonts w:ascii="宋体" w:hAnsi="宋体"/>
          <w:position w:val="0"/>
          <w:sz w:val="24"/>
        </w:rPr>
        <w:instrText xml:space="preserve">12</w:instrText>
      </w:r>
      <w:r>
        <w:rPr>
          <w:rFonts w:ascii="宋体" w:hAnsi="宋体"/>
          <w:sz w:val="24"/>
        </w:rPr>
        <w:instrText xml:space="preserve">)</w:instrText>
      </w:r>
      <w:r>
        <w:rPr>
          <w:rFonts w:ascii="宋体" w:hAnsi="宋体"/>
          <w:sz w:val="24"/>
        </w:rPr>
        <w:fldChar w:fldCharType="end"/>
      </w:r>
      <w:r>
        <w:rPr>
          <w:rFonts w:ascii="宋体" w:hAnsi="宋体"/>
          <w:sz w:val="24"/>
        </w:rPr>
        <w:t>发包人与</w:t>
      </w:r>
      <w:r>
        <w:rPr>
          <w:rFonts w:hint="eastAsia" w:ascii="宋体" w:hAnsi="宋体"/>
          <w:sz w:val="24"/>
        </w:rPr>
        <w:t>承包人</w:t>
      </w:r>
      <w:r>
        <w:rPr>
          <w:rFonts w:ascii="宋体" w:hAnsi="宋体"/>
          <w:sz w:val="24"/>
        </w:rPr>
        <w:t>或者承包</w:t>
      </w:r>
      <w:r>
        <w:rPr>
          <w:rFonts w:hint="eastAsia" w:ascii="宋体" w:hAnsi="宋体"/>
          <w:sz w:val="24"/>
        </w:rPr>
        <w:t>人</w:t>
      </w:r>
      <w:r>
        <w:rPr>
          <w:rFonts w:ascii="宋体" w:hAnsi="宋体"/>
          <w:sz w:val="24"/>
        </w:rPr>
        <w:t>与分包单位</w:t>
      </w:r>
      <w:r>
        <w:rPr>
          <w:rFonts w:hint="eastAsia" w:ascii="宋体" w:hAnsi="宋体"/>
          <w:sz w:val="24"/>
        </w:rPr>
        <w:t>（如有）</w:t>
      </w:r>
      <w:r>
        <w:rPr>
          <w:rFonts w:ascii="宋体" w:hAnsi="宋体"/>
          <w:sz w:val="24"/>
        </w:rPr>
        <w:t>因工程数量、质量、造价等产生争议的，</w:t>
      </w:r>
      <w:r>
        <w:rPr>
          <w:rFonts w:hint="eastAsia" w:ascii="宋体" w:hAnsi="宋体"/>
          <w:sz w:val="24"/>
        </w:rPr>
        <w:t>发包人</w:t>
      </w:r>
      <w:r>
        <w:rPr>
          <w:rFonts w:ascii="宋体" w:hAnsi="宋体"/>
          <w:sz w:val="24"/>
        </w:rPr>
        <w:t>不得因争议不按照</w:t>
      </w:r>
      <w:r>
        <w:rPr>
          <w:rFonts w:hint="eastAsia" w:ascii="宋体" w:hAnsi="宋体"/>
          <w:sz w:val="24"/>
        </w:rPr>
        <w:t>合同约定</w:t>
      </w:r>
      <w:r>
        <w:rPr>
          <w:rFonts w:ascii="宋体" w:hAnsi="宋体"/>
          <w:sz w:val="24"/>
        </w:rPr>
        <w:t>的规定拨付工程款中的人工费用，</w:t>
      </w:r>
      <w:r>
        <w:rPr>
          <w:rFonts w:hint="eastAsia" w:ascii="宋体" w:hAnsi="宋体"/>
          <w:sz w:val="24"/>
        </w:rPr>
        <w:t>承包人</w:t>
      </w:r>
      <w:r>
        <w:rPr>
          <w:rFonts w:ascii="宋体" w:hAnsi="宋体"/>
          <w:sz w:val="24"/>
        </w:rPr>
        <w:t>也不得因争议不按照规定代发工资。</w:t>
      </w:r>
    </w:p>
    <w:p w14:paraId="74623B47">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position w:val="-4"/>
          <w:sz w:val="36"/>
        </w:rPr>
        <w:instrText xml:space="preserve">○</w:instrText>
      </w:r>
      <w:r>
        <w:rPr>
          <w:rFonts w:hint="eastAsia" w:ascii="宋体" w:hAnsi="宋体"/>
          <w:sz w:val="24"/>
        </w:rPr>
        <w:instrText xml:space="preserve">,</w:instrText>
      </w:r>
      <w:r>
        <w:rPr>
          <w:rFonts w:hint="eastAsia" w:ascii="宋体" w:hAnsi="宋体"/>
          <w:position w:val="0"/>
          <w:sz w:val="24"/>
        </w:rPr>
        <w:instrText xml:space="preserve">13</w:instrText>
      </w:r>
      <w:r>
        <w:rPr>
          <w:rFonts w:hint="eastAsia" w:ascii="宋体" w:hAnsi="宋体"/>
          <w:sz w:val="24"/>
        </w:rPr>
        <w:instrText xml:space="preserve">)</w:instrText>
      </w:r>
      <w:r>
        <w:rPr>
          <w:rFonts w:hint="eastAsia" w:ascii="宋体" w:hAnsi="宋体"/>
          <w:sz w:val="24"/>
        </w:rPr>
        <w:fldChar w:fldCharType="end"/>
      </w:r>
      <w:r>
        <w:rPr>
          <w:rFonts w:hint="eastAsia" w:ascii="宋体" w:hAnsi="宋体"/>
          <w:sz w:val="24"/>
        </w:rPr>
        <w:t>承包人</w:t>
      </w:r>
      <w:r>
        <w:rPr>
          <w:rFonts w:ascii="宋体" w:hAnsi="宋体"/>
          <w:sz w:val="24"/>
        </w:rPr>
        <w:t>拖欠农民工工资，情节严重或者造成严重不良社会影响的，有关部门应当将该</w:t>
      </w:r>
      <w:r>
        <w:rPr>
          <w:rFonts w:hint="eastAsia" w:ascii="宋体" w:hAnsi="宋体"/>
          <w:sz w:val="24"/>
        </w:rPr>
        <w:t>承包人</w:t>
      </w:r>
      <w:r>
        <w:rPr>
          <w:rFonts w:ascii="宋体" w:hAnsi="宋体"/>
          <w:sz w:val="24"/>
        </w:rPr>
        <w:t>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14:paraId="115B2105">
      <w:pPr>
        <w:adjustRightInd w:val="0"/>
        <w:snapToGrid w:val="0"/>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position w:val="-4"/>
          <w:sz w:val="36"/>
        </w:rPr>
        <w:instrText xml:space="preserve">○</w:instrText>
      </w:r>
      <w:r>
        <w:rPr>
          <w:rFonts w:hint="eastAsia" w:ascii="宋体" w:hAnsi="宋体"/>
          <w:sz w:val="24"/>
        </w:rPr>
        <w:instrText xml:space="preserve">,</w:instrText>
      </w:r>
      <w:r>
        <w:rPr>
          <w:rFonts w:hint="eastAsia" w:ascii="宋体" w:hAnsi="宋体"/>
          <w:position w:val="0"/>
          <w:sz w:val="24"/>
        </w:rPr>
        <w:instrText xml:space="preserve">14</w:instrText>
      </w:r>
      <w:r>
        <w:rPr>
          <w:rFonts w:hint="eastAsia" w:ascii="宋体" w:hAnsi="宋体"/>
          <w:sz w:val="24"/>
        </w:rPr>
        <w:instrText xml:space="preserve">)</w:instrText>
      </w:r>
      <w:r>
        <w:rPr>
          <w:rFonts w:hint="eastAsia" w:ascii="宋体" w:hAnsi="宋体"/>
          <w:sz w:val="24"/>
        </w:rPr>
        <w:fldChar w:fldCharType="end"/>
      </w:r>
      <w:r>
        <w:rPr>
          <w:rFonts w:hint="eastAsia" w:ascii="宋体" w:hAnsi="宋体"/>
          <w:sz w:val="24"/>
        </w:rPr>
        <w:t>发包人</w:t>
      </w:r>
      <w:r>
        <w:rPr>
          <w:rFonts w:ascii="宋体" w:hAnsi="宋体"/>
          <w:sz w:val="24"/>
        </w:rPr>
        <w:t>未依法提供工程款支付担保或者政府投资项目拖欠工程款，导致拖欠农民工工资的，县级以上地方人民政府应当限制其新建项目，并记入信用记录，纳入国家信用信息系统进行公示。</w:t>
      </w:r>
    </w:p>
    <w:p w14:paraId="6426B548">
      <w:pPr>
        <w:adjustRightInd w:val="0"/>
        <w:snapToGrid w:val="0"/>
        <w:spacing w:line="360" w:lineRule="auto"/>
        <w:ind w:firstLine="480" w:firstLineChars="200"/>
        <w:rPr>
          <w:rFonts w:ascii="宋体" w:hAnsi="宋体" w:cs="宋体"/>
          <w:spacing w:val="-4"/>
          <w:sz w:val="24"/>
        </w:rPr>
      </w:pPr>
      <w:r>
        <w:rPr>
          <w:rFonts w:ascii="宋体" w:hAnsi="宋体"/>
          <w:sz w:val="24"/>
        </w:rPr>
        <w:fldChar w:fldCharType="begin"/>
      </w:r>
      <w:r>
        <w:rPr>
          <w:rFonts w:ascii="宋体" w:hAnsi="宋体"/>
          <w:sz w:val="24"/>
        </w:rPr>
        <w:instrText xml:space="preserve"> EQ \o\ac(</w:instrText>
      </w:r>
      <w:r>
        <w:rPr>
          <w:rFonts w:ascii="宋体" w:hAnsi="宋体"/>
          <w:position w:val="-4"/>
          <w:sz w:val="36"/>
        </w:rPr>
        <w:instrText xml:space="preserve">○</w:instrText>
      </w:r>
      <w:r>
        <w:rPr>
          <w:rFonts w:ascii="宋体" w:hAnsi="宋体"/>
          <w:sz w:val="24"/>
        </w:rPr>
        <w:instrText xml:space="preserve">,</w:instrText>
      </w:r>
      <w:r>
        <w:rPr>
          <w:rFonts w:ascii="宋体" w:hAnsi="宋体"/>
          <w:position w:val="0"/>
          <w:sz w:val="24"/>
        </w:rPr>
        <w:instrText xml:space="preserve">15</w:instrText>
      </w:r>
      <w:r>
        <w:rPr>
          <w:rFonts w:ascii="宋体" w:hAnsi="宋体"/>
          <w:sz w:val="24"/>
        </w:rPr>
        <w:instrText xml:space="preserve">)</w:instrText>
      </w:r>
      <w:r>
        <w:rPr>
          <w:rFonts w:ascii="宋体" w:hAnsi="宋体"/>
          <w:sz w:val="24"/>
        </w:rPr>
        <w:fldChar w:fldCharType="end"/>
      </w:r>
      <w:r>
        <w:rPr>
          <w:rFonts w:hint="eastAsia" w:ascii="宋体" w:hAnsi="宋体"/>
          <w:sz w:val="24"/>
        </w:rPr>
        <w:t>承包人违反农民工用工规定的情形，按国家有关法律法规进行处理。</w:t>
      </w:r>
    </w:p>
    <w:p w14:paraId="5E639F39">
      <w:pPr>
        <w:adjustRightInd w:val="0"/>
        <w:snapToGrid w:val="0"/>
        <w:spacing w:line="360" w:lineRule="auto"/>
        <w:ind w:firstLine="348" w:firstLineChars="150"/>
        <w:rPr>
          <w:rFonts w:ascii="宋体" w:hAnsi="宋体" w:cs="宋体"/>
          <w:spacing w:val="-4"/>
          <w:sz w:val="24"/>
        </w:rPr>
      </w:pPr>
      <w:r>
        <w:rPr>
          <w:rFonts w:hint="eastAsia" w:ascii="宋体" w:hAnsi="宋体" w:cs="宋体"/>
          <w:spacing w:val="-4"/>
          <w:sz w:val="24"/>
        </w:rPr>
        <w:t>（3）农民工工资银行直付制度</w:t>
      </w:r>
    </w:p>
    <w:p w14:paraId="11F51C40">
      <w:pPr>
        <w:adjustRightInd w:val="0"/>
        <w:snapToGrid w:val="0"/>
        <w:spacing w:line="360" w:lineRule="auto"/>
        <w:ind w:firstLine="480" w:firstLineChars="200"/>
        <w:rPr>
          <w:rFonts w:ascii="宋体" w:hAnsi="宋体" w:cs="宋体"/>
          <w:sz w:val="24"/>
        </w:rPr>
      </w:pPr>
      <w:r>
        <w:rPr>
          <w:rFonts w:ascii="宋体" w:hAnsi="宋体" w:cs="宋体"/>
          <w:sz w:val="24"/>
        </w:rPr>
        <w:t>承包人应为每一位农民工办理个人工资账户和银行卡，</w:t>
      </w:r>
      <w:r>
        <w:rPr>
          <w:rFonts w:hint="eastAsia" w:ascii="宋体" w:hAnsi="宋体" w:cs="宋体"/>
          <w:sz w:val="24"/>
        </w:rPr>
        <w:t>项目实行</w:t>
      </w:r>
      <w:r>
        <w:rPr>
          <w:rFonts w:ascii="宋体" w:hAnsi="宋体" w:cs="宋体"/>
          <w:sz w:val="24"/>
        </w:rPr>
        <w:t>银行直付工资的管理方式。办理的银行卡，必须严格发放到农民工个人手上，并保存卡片彩印件</w:t>
      </w:r>
      <w:r>
        <w:rPr>
          <w:rFonts w:hint="eastAsia" w:ascii="宋体" w:hAnsi="宋体" w:cs="宋体"/>
          <w:sz w:val="24"/>
        </w:rPr>
        <w:t>、</w:t>
      </w:r>
      <w:r>
        <w:rPr>
          <w:rFonts w:ascii="宋体" w:hAnsi="宋体" w:cs="宋体"/>
          <w:sz w:val="24"/>
        </w:rPr>
        <w:t>现场发卡记录。</w:t>
      </w:r>
    </w:p>
    <w:p w14:paraId="533A1B80">
      <w:pPr>
        <w:adjustRightInd w:val="0"/>
        <w:snapToGrid w:val="0"/>
        <w:spacing w:line="360" w:lineRule="auto"/>
        <w:ind w:firstLine="480" w:firstLineChars="200"/>
        <w:rPr>
          <w:rFonts w:ascii="宋体" w:hAnsi="宋体" w:cs="宋体"/>
          <w:sz w:val="24"/>
        </w:rPr>
      </w:pPr>
      <w:r>
        <w:rPr>
          <w:rFonts w:ascii="宋体" w:hAnsi="宋体" w:cs="宋体"/>
          <w:sz w:val="24"/>
        </w:rPr>
        <w:t>承包人在每期计量后</w:t>
      </w:r>
      <w:r>
        <w:rPr>
          <w:rFonts w:hint="eastAsia" w:ascii="宋体" w:hAnsi="宋体" w:cs="宋体"/>
          <w:sz w:val="24"/>
        </w:rPr>
        <w:t>，</w:t>
      </w:r>
      <w:r>
        <w:rPr>
          <w:rFonts w:ascii="宋体" w:hAnsi="宋体" w:cs="宋体"/>
          <w:sz w:val="24"/>
        </w:rPr>
        <w:t>委托银行将农民工工资按工资表统一发至农民工工资专用卡上，发放记录报</w:t>
      </w:r>
      <w:r>
        <w:rPr>
          <w:rFonts w:hint="eastAsia" w:ascii="宋体" w:hAnsi="宋体" w:cs="宋体"/>
          <w:sz w:val="24"/>
        </w:rPr>
        <w:t>监理人、</w:t>
      </w:r>
      <w:r>
        <w:rPr>
          <w:rFonts w:ascii="宋体" w:hAnsi="宋体" w:cs="宋体"/>
          <w:sz w:val="24"/>
        </w:rPr>
        <w:t>承包人备查。</w:t>
      </w:r>
    </w:p>
    <w:p w14:paraId="13D2EEE7">
      <w:pPr>
        <w:adjustRightInd w:val="0"/>
        <w:snapToGrid w:val="0"/>
        <w:spacing w:line="360" w:lineRule="auto"/>
        <w:ind w:firstLine="360" w:firstLineChars="150"/>
        <w:rPr>
          <w:rFonts w:ascii="宋体" w:hAnsi="宋体" w:cs="宋体"/>
          <w:sz w:val="24"/>
        </w:rPr>
      </w:pPr>
      <w:r>
        <w:rPr>
          <w:rFonts w:ascii="宋体" w:hAnsi="宋体" w:cs="宋体"/>
          <w:sz w:val="24"/>
        </w:rPr>
        <w:t>临时或短期聘用的农民工工资可采用现金支付，</w:t>
      </w:r>
      <w:r>
        <w:rPr>
          <w:rFonts w:hint="eastAsia" w:ascii="Helvetica" w:hAnsi="Helvetica"/>
          <w:spacing w:val="8"/>
          <w:sz w:val="24"/>
        </w:rPr>
        <w:t>实行月、周、日、小时工资制的，按照月、周、日、小时为周期支付工资；实行计件工资制的，工资支付周期由双方依法约定。</w:t>
      </w:r>
      <w:r>
        <w:rPr>
          <w:rFonts w:ascii="宋体" w:hAnsi="宋体" w:cs="宋体"/>
          <w:sz w:val="24"/>
        </w:rPr>
        <w:t>支付时农民工本人应在工资册上实名签字，不得代签。</w:t>
      </w:r>
      <w:r>
        <w:rPr>
          <w:rFonts w:hint="eastAsia" w:ascii="宋体" w:hAnsi="宋体" w:cs="宋体"/>
          <w:sz w:val="24"/>
        </w:rPr>
        <w:t>承包人</w:t>
      </w:r>
      <w:r>
        <w:rPr>
          <w:rFonts w:ascii="宋体" w:hAnsi="宋体" w:cs="宋体"/>
          <w:sz w:val="24"/>
        </w:rPr>
        <w:t>做好发放情况现场记录</w:t>
      </w:r>
      <w:r>
        <w:rPr>
          <w:rFonts w:hint="eastAsia" w:ascii="宋体" w:hAnsi="宋体" w:cs="宋体"/>
          <w:sz w:val="24"/>
        </w:rPr>
        <w:t>、</w:t>
      </w:r>
      <w:r>
        <w:rPr>
          <w:rFonts w:ascii="宋体" w:hAnsi="宋体" w:cs="宋体"/>
          <w:sz w:val="24"/>
        </w:rPr>
        <w:t>监理人对此进行监督</w:t>
      </w:r>
      <w:r>
        <w:rPr>
          <w:rFonts w:hint="eastAsia" w:ascii="宋体" w:hAnsi="宋体" w:cs="宋体"/>
          <w:sz w:val="24"/>
        </w:rPr>
        <w:t>、</w:t>
      </w:r>
      <w:r>
        <w:rPr>
          <w:rFonts w:ascii="宋体" w:hAnsi="宋体" w:cs="宋体"/>
          <w:sz w:val="24"/>
        </w:rPr>
        <w:t>发包人对此进行督办。</w:t>
      </w:r>
    </w:p>
    <w:p w14:paraId="35EF06C4">
      <w:pPr>
        <w:adjustRightInd w:val="0"/>
        <w:snapToGrid w:val="0"/>
        <w:spacing w:line="360" w:lineRule="auto"/>
        <w:ind w:firstLine="348" w:firstLineChars="150"/>
        <w:rPr>
          <w:rFonts w:ascii="宋体" w:hAnsi="宋体" w:cs="宋体"/>
          <w:spacing w:val="-4"/>
          <w:sz w:val="24"/>
        </w:rPr>
      </w:pPr>
      <w:r>
        <w:rPr>
          <w:rFonts w:hint="eastAsia" w:ascii="宋体" w:hAnsi="宋体" w:cs="宋体"/>
          <w:spacing w:val="-4"/>
          <w:sz w:val="24"/>
        </w:rPr>
        <w:t>（4）</w:t>
      </w:r>
      <w:r>
        <w:rPr>
          <w:rFonts w:ascii="宋体" w:hAnsi="宋体" w:cs="宋体"/>
          <w:spacing w:val="-4"/>
          <w:sz w:val="24"/>
        </w:rPr>
        <w:t>农民工</w:t>
      </w:r>
      <w:r>
        <w:rPr>
          <w:rFonts w:hint="eastAsia" w:ascii="宋体" w:hAnsi="宋体" w:cs="宋体"/>
          <w:spacing w:val="-4"/>
          <w:sz w:val="24"/>
        </w:rPr>
        <w:t>工资保证金</w:t>
      </w:r>
    </w:p>
    <w:p w14:paraId="619D20F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kern w:val="0"/>
          <w:sz w:val="24"/>
        </w:rPr>
        <w:t>承包人应当在工程所在地的银行存储工资保证金或申请开立银行保函。</w:t>
      </w:r>
    </w:p>
    <w:p w14:paraId="7FF3DD05">
      <w:pPr>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fldChar w:fldCharType="begin"/>
      </w:r>
      <w:r>
        <w:rPr>
          <w:rFonts w:hint="eastAsia" w:ascii="宋体" w:hAnsi="宋体" w:cs="宋体"/>
          <w:kern w:val="0"/>
          <w:sz w:val="24"/>
        </w:rPr>
        <w:instrText xml:space="preserve"> = 2 \* GB3 \* MERGEFORMAT </w:instrText>
      </w:r>
      <w:r>
        <w:rPr>
          <w:rFonts w:hint="eastAsia" w:ascii="宋体" w:hAnsi="宋体" w:cs="宋体"/>
          <w:kern w:val="0"/>
          <w:sz w:val="24"/>
        </w:rPr>
        <w:fldChar w:fldCharType="separate"/>
      </w:r>
      <w:r>
        <w:rPr>
          <w:rFonts w:hint="eastAsia" w:ascii="宋体" w:hAnsi="宋体" w:cs="宋体"/>
          <w:sz w:val="24"/>
        </w:rPr>
        <w:t>②</w:t>
      </w:r>
      <w:r>
        <w:rPr>
          <w:rFonts w:hint="eastAsia" w:ascii="宋体" w:hAnsi="宋体" w:cs="宋体"/>
          <w:kern w:val="0"/>
          <w:sz w:val="24"/>
        </w:rPr>
        <w:fldChar w:fldCharType="end"/>
      </w:r>
      <w:r>
        <w:rPr>
          <w:rFonts w:hint="eastAsia" w:ascii="宋体" w:hAnsi="宋体" w:cs="宋体"/>
          <w:kern w:val="0"/>
          <w:sz w:val="24"/>
        </w:rPr>
        <w:t>承包人应当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p>
    <w:p w14:paraId="3E1C265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kern w:val="0"/>
          <w:sz w:val="24"/>
        </w:rPr>
        <w:t>存储工资保证金的承包人应与经办银行签订《农民工工资保证金存款协议书》，并将协议书副本送属地人力资源社会保障行政部门备案。</w:t>
      </w:r>
    </w:p>
    <w:p w14:paraId="1F30432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农民工工资保证金为施工合同额的</w:t>
      </w:r>
      <w:r>
        <w:rPr>
          <w:rFonts w:hint="eastAsia" w:ascii="宋体" w:hAnsi="宋体" w:cs="宋体"/>
          <w:sz w:val="24"/>
          <w:u w:val="single"/>
        </w:rPr>
        <w:t xml:space="preserve">    </w:t>
      </w:r>
      <w:r>
        <w:rPr>
          <w:rFonts w:hint="eastAsia" w:ascii="宋体" w:hAnsi="宋体" w:cs="宋体"/>
          <w:sz w:val="24"/>
        </w:rPr>
        <w:t>%</w:t>
      </w:r>
      <w:r>
        <w:rPr>
          <w:rFonts w:hint="eastAsia" w:ascii="宋体" w:hAnsi="宋体" w:eastAsia="宋体" w:cs="宋体"/>
          <w:kern w:val="0"/>
          <w:sz w:val="24"/>
          <w:lang w:eastAsia="zh-CN"/>
        </w:rPr>
        <w:t>（</w:t>
      </w:r>
      <w:r>
        <w:rPr>
          <w:rFonts w:hint="eastAsia" w:ascii="宋体" w:hAnsi="宋体" w:cs="宋体"/>
          <w:kern w:val="0"/>
          <w:sz w:val="24"/>
        </w:rPr>
        <w:t>根据</w:t>
      </w:r>
      <w:r>
        <w:rPr>
          <w:rFonts w:hint="eastAsia" w:ascii="宋体" w:hAnsi="宋体" w:cs="宋体"/>
          <w:kern w:val="0"/>
          <w:sz w:val="24"/>
          <w:lang w:val="en-US" w:eastAsia="zh-CN"/>
        </w:rPr>
        <w:t>人力资源和社会保障厅等七部门关于转发</w:t>
      </w:r>
      <w:r>
        <w:rPr>
          <w:rFonts w:hint="eastAsia" w:ascii="宋体" w:hAnsi="宋体" w:cs="宋体"/>
          <w:kern w:val="0"/>
          <w:sz w:val="24"/>
        </w:rPr>
        <w:t>《工程建设领域农民工工资保证金规定》</w:t>
      </w:r>
      <w:r>
        <w:rPr>
          <w:rFonts w:hint="eastAsia" w:ascii="宋体" w:hAnsi="宋体" w:cs="宋体"/>
          <w:kern w:val="0"/>
          <w:sz w:val="24"/>
          <w:lang w:val="en-US" w:eastAsia="zh-CN"/>
        </w:rPr>
        <w:t>的通知</w:t>
      </w:r>
      <w:r>
        <w:rPr>
          <w:rFonts w:hint="eastAsia" w:ascii="宋体" w:hAnsi="宋体" w:cs="宋体"/>
          <w:kern w:val="0"/>
          <w:sz w:val="24"/>
        </w:rPr>
        <w:t>（</w:t>
      </w:r>
      <w:r>
        <w:rPr>
          <w:rFonts w:hint="eastAsia" w:ascii="宋体" w:hAnsi="宋体" w:cs="宋体"/>
          <w:kern w:val="0"/>
          <w:sz w:val="24"/>
          <w:lang w:val="en-US" w:eastAsia="zh-CN"/>
        </w:rPr>
        <w:t>川人社发</w:t>
      </w:r>
      <w:r>
        <w:rPr>
          <w:rFonts w:hint="eastAsia" w:ascii="宋体" w:hAnsi="宋体" w:cs="宋体"/>
          <w:kern w:val="0"/>
          <w:sz w:val="24"/>
        </w:rPr>
        <w:t>〔2021〕</w:t>
      </w:r>
      <w:r>
        <w:rPr>
          <w:rFonts w:hint="eastAsia" w:ascii="宋体" w:hAnsi="宋体" w:cs="宋体"/>
          <w:kern w:val="0"/>
          <w:sz w:val="24"/>
          <w:lang w:val="en-US" w:eastAsia="zh-CN"/>
        </w:rPr>
        <w:t>24</w:t>
      </w:r>
      <w:r>
        <w:rPr>
          <w:rFonts w:hint="eastAsia" w:ascii="宋体" w:hAnsi="宋体" w:cs="宋体"/>
          <w:kern w:val="0"/>
          <w:sz w:val="24"/>
        </w:rPr>
        <w:t>号）规定，工资保证金按照工程施工合同额</w:t>
      </w:r>
      <w:r>
        <w:rPr>
          <w:rFonts w:hint="eastAsia" w:ascii="宋体" w:hAnsi="宋体" w:cs="宋体"/>
          <w:kern w:val="0"/>
          <w:sz w:val="24"/>
          <w:lang w:eastAsia="zh-CN"/>
        </w:rPr>
        <w:t>（</w:t>
      </w:r>
      <w:r>
        <w:rPr>
          <w:rFonts w:hint="eastAsia" w:ascii="宋体" w:hAnsi="宋体" w:cs="宋体"/>
          <w:kern w:val="0"/>
          <w:sz w:val="24"/>
          <w:lang w:val="en-US" w:eastAsia="zh-CN"/>
        </w:rPr>
        <w:t>或年度合同额</w:t>
      </w:r>
      <w:r>
        <w:rPr>
          <w:rFonts w:hint="eastAsia" w:ascii="宋体" w:hAnsi="宋体" w:cs="宋体"/>
          <w:kern w:val="0"/>
          <w:sz w:val="24"/>
          <w:lang w:eastAsia="zh-CN"/>
        </w:rPr>
        <w:t>）</w:t>
      </w:r>
      <w:r>
        <w:rPr>
          <w:rFonts w:hint="eastAsia" w:ascii="宋体" w:hAnsi="宋体" w:cs="宋体"/>
          <w:kern w:val="0"/>
          <w:sz w:val="24"/>
        </w:rPr>
        <w:t>的</w:t>
      </w:r>
      <w:r>
        <w:rPr>
          <w:rFonts w:hint="eastAsia" w:ascii="宋体" w:hAnsi="宋体" w:cs="宋体"/>
          <w:kern w:val="0"/>
          <w:sz w:val="24"/>
          <w:lang w:val="en-US" w:eastAsia="zh-CN"/>
        </w:rPr>
        <w:t>2%</w:t>
      </w:r>
      <w:r>
        <w:rPr>
          <w:rFonts w:hint="eastAsia" w:ascii="宋体" w:hAnsi="宋体" w:cs="宋体"/>
          <w:kern w:val="0"/>
          <w:sz w:val="24"/>
        </w:rPr>
        <w:t>存储，单个</w:t>
      </w:r>
      <w:r>
        <w:rPr>
          <w:rFonts w:hint="eastAsia" w:ascii="宋体" w:hAnsi="宋体" w:cs="宋体"/>
          <w:kern w:val="0"/>
          <w:sz w:val="24"/>
          <w:lang w:val="en-US" w:eastAsia="zh-CN"/>
        </w:rPr>
        <w:t>工程存储额最高不超800万元</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w:t>
      </w:r>
    </w:p>
    <w:p w14:paraId="506C390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kern w:val="0"/>
          <w:sz w:val="24"/>
        </w:rPr>
        <w:t>属地人力资源社会保障行政部门应当将存储工资保证金或开立银行保函的承包人名单及对应的工程名称向社会公布，承包人应当将本工程落实工资保证金制度情况纳入维权信息告示牌内容。</w:t>
      </w:r>
    </w:p>
    <w:p w14:paraId="6660E34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GB3 \* MERGEFORMAT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农民工工资保证金的动用：</w:t>
      </w:r>
      <w:r>
        <w:rPr>
          <w:rFonts w:hint="eastAsia" w:ascii="宋体" w:hAnsi="宋体" w:cs="宋体"/>
          <w:kern w:val="0"/>
          <w:sz w:val="24"/>
        </w:rPr>
        <w:t>承包人所承包工程发生拖欠农民工工资的，经人力资源社会保障行政部门依法作出责令限期清偿或先行清偿的行政处理决定，承包人到期拒不履行的，属地人力资源社会保障行政部门可以向经办银行出具《农民工工资保证金支付通知书》</w:t>
      </w:r>
      <w:r>
        <w:rPr>
          <w:rFonts w:hint="eastAsia" w:ascii="宋体" w:hAnsi="宋体" w:cs="宋体"/>
          <w:sz w:val="24"/>
        </w:rPr>
        <w:t>（以下简称《支付通知书》）</w:t>
      </w:r>
      <w:r>
        <w:rPr>
          <w:rFonts w:hint="eastAsia" w:ascii="宋体" w:hAnsi="宋体" w:cs="宋体"/>
          <w:kern w:val="0"/>
          <w:sz w:val="24"/>
        </w:rPr>
        <w:t>，书面通知有关承包人和经办银行。经办银行应在收到《支付通知书》5个工作日内，从工资保证金账户中将相应数额的款项以银行转账式支付给属地人力资源社会保障行政部门指定的被拖欠工资农民工本人。承包人采用银行保函替代工资保证金，发生前述情形的，提供银行保函的经办银行应在收到《支付通知书》5个工作日内，依照银行保函约定支付农民工工资。</w:t>
      </w:r>
    </w:p>
    <w:p w14:paraId="6171436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7 \* GB3 \* MERGEFORMAT </w:instrText>
      </w:r>
      <w:r>
        <w:rPr>
          <w:rFonts w:hint="eastAsia" w:ascii="宋体" w:hAnsi="宋体" w:cs="宋体"/>
          <w:sz w:val="24"/>
        </w:rPr>
        <w:fldChar w:fldCharType="separate"/>
      </w:r>
      <w:r>
        <w:rPr>
          <w:rFonts w:hint="eastAsia" w:ascii="宋体" w:hAnsi="宋体" w:cs="宋体"/>
          <w:sz w:val="24"/>
        </w:rPr>
        <w:t>⑦</w:t>
      </w:r>
      <w:r>
        <w:rPr>
          <w:rFonts w:hint="eastAsia" w:ascii="宋体" w:hAnsi="宋体" w:cs="宋体"/>
          <w:sz w:val="24"/>
        </w:rPr>
        <w:fldChar w:fldCharType="end"/>
      </w:r>
      <w:r>
        <w:rPr>
          <w:rFonts w:hint="eastAsia" w:ascii="宋体" w:hAnsi="宋体" w:cs="宋体"/>
          <w:kern w:val="0"/>
          <w:sz w:val="24"/>
        </w:rPr>
        <w:t>工资保证金使用后，承包人应当自使用之日起10个工作日内将工资保证金补足。采用银行保函替代工资保证金发生前述情形的，承包人应在10个工作日内提供与原保函相同担保范围和担保金额的新保函。承包人开立新保函后，原保函即行失效。</w:t>
      </w:r>
    </w:p>
    <w:p w14:paraId="0A7A1D4D">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8 \* GB3 \* MERGEFORMAT </w:instrText>
      </w:r>
      <w:r>
        <w:rPr>
          <w:rFonts w:hint="eastAsia" w:ascii="宋体" w:hAnsi="宋体" w:cs="宋体"/>
          <w:sz w:val="24"/>
        </w:rPr>
        <w:fldChar w:fldCharType="separate"/>
      </w:r>
      <w:r>
        <w:rPr>
          <w:rFonts w:hint="eastAsia" w:ascii="宋体" w:hAnsi="宋体" w:cs="宋体"/>
          <w:sz w:val="24"/>
        </w:rPr>
        <w:t>⑧</w:t>
      </w:r>
      <w:r>
        <w:rPr>
          <w:rFonts w:hint="eastAsia" w:ascii="宋体" w:hAnsi="宋体" w:cs="宋体"/>
          <w:sz w:val="24"/>
        </w:rPr>
        <w:fldChar w:fldCharType="end"/>
      </w:r>
      <w:r>
        <w:rPr>
          <w:rFonts w:hint="eastAsia" w:ascii="宋体" w:hAnsi="宋体" w:cs="宋体"/>
          <w:sz w:val="24"/>
        </w:rPr>
        <w:t>农民工工资保证金的返还：工资保证金对应的</w:t>
      </w:r>
      <w:r>
        <w:rPr>
          <w:rFonts w:hint="eastAsia" w:ascii="宋体" w:hAnsi="宋体" w:cs="宋体"/>
          <w:sz w:val="24"/>
        </w:rPr>
        <w:fldChar w:fldCharType="begin"/>
      </w:r>
      <w:r>
        <w:rPr>
          <w:rFonts w:hint="eastAsia" w:ascii="宋体" w:hAnsi="宋体" w:cs="宋体"/>
          <w:sz w:val="24"/>
        </w:rPr>
        <w:instrText xml:space="preserve"> HYPERLINK "http://www.cngjg.com/" </w:instrText>
      </w:r>
      <w:r>
        <w:rPr>
          <w:rFonts w:hint="eastAsia" w:ascii="宋体" w:hAnsi="宋体" w:cs="宋体"/>
          <w:sz w:val="24"/>
        </w:rPr>
        <w:fldChar w:fldCharType="separate"/>
      </w:r>
      <w:r>
        <w:rPr>
          <w:rFonts w:hint="eastAsia" w:ascii="宋体" w:hAnsi="宋体" w:cs="宋体"/>
          <w:sz w:val="24"/>
        </w:rPr>
        <w:t>工程</w:t>
      </w:r>
      <w:r>
        <w:rPr>
          <w:rFonts w:hint="eastAsia" w:ascii="宋体" w:hAnsi="宋体" w:cs="宋体"/>
          <w:sz w:val="24"/>
        </w:rPr>
        <w:fldChar w:fldCharType="end"/>
      </w:r>
      <w:r>
        <w:rPr>
          <w:rFonts w:hint="eastAsia" w:ascii="宋体" w:hAnsi="宋体" w:cs="宋体"/>
          <w:sz w:val="24"/>
        </w:rPr>
        <w:t xml:space="preserve">完工，承包人作出书面承诺该工程不存在未解决的拖欠农民工工资问题，并在施工现场维权信息告示牌及属地人力资源社会保障行政部门门户网站公示30日后，可以申请返还工资保证金或银行保函正本。属地人力资源社会保障行政部门自承包人提交书面申请5个工作日内审核完毕，并在审核完毕3个工作日内向经办银行和承包人出具工资保证金返还（销户）确认书。经办银行收到确认书后，工资保证金账户解除监管，相应款项不再属于工资保证金，承包人可自由支配账户资金或办理账户销户。选择使用银行保函替代现金存储工资保证金并符合上述规定的，属地人力资源社会保障行政部门自承包人提交书面申请5个工作日内审核完毕，并在审核完毕3个工作日内返还银行保函正本。 </w:t>
      </w:r>
    </w:p>
    <w:p w14:paraId="22C9B66A">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（5）岗前教育、食宿、安全及保险</w:t>
      </w:r>
    </w:p>
    <w:p w14:paraId="670571E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农民工到项目后，在务工前，承包人必须就项目基本情况、安全管理、农民工管理、质量控制、地方风俗、宗教信仰、相关政策及法律法规等内容，组织每位农民工参加不少于2天的岗前教育和培训，并做好相关文字、声像资料的收集工作。</w:t>
      </w:r>
    </w:p>
    <w:p w14:paraId="06861C9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承包人应负责按照发包人要求为农民工安排食宿，提供各种必需的生活设施，并应采取合理的卫生防护和安全措施，以保护农民工的健康和安全。对生病的农民工，承包人要妥善给予治疗，并不得安排其带病务工。</w:t>
      </w:r>
    </w:p>
    <w:p w14:paraId="302BBAB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承包人必须负责农民工的人身安全，并按照国家相关法律法规的规定，提供适宜的劳动保护。承包人对施工现场安全负总责，对于承包人或专业分包、劳务合作企业的任何农民工发生的安全事故，均不能免除承包人应负的责任。</w:t>
      </w:r>
    </w:p>
    <w:p w14:paraId="55E2C5B5">
      <w:pPr>
        <w:adjustRightInd w:val="0"/>
        <w:snapToGrid w:val="0"/>
        <w:spacing w:line="360" w:lineRule="auto"/>
        <w:ind w:firstLine="360" w:firstLineChars="15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 MERGEFORMAT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在工程实施过程中，承包人必须保证每一位在场的农民工纳入工伤保险和人身意外伤害险范围内，否则视其为违约并课以200元/人违约金，承包人缴纳违约金并不能使其违约行为合法化，承包人应继续纠正，否则发包人有权课以加倍违约金直至终止合同。</w:t>
      </w:r>
      <w:r>
        <w:rPr>
          <w:rFonts w:ascii="宋体" w:hAnsi="宋体" w:cs="宋体"/>
          <w:sz w:val="24"/>
        </w:rPr>
        <w:t xml:space="preserve"> </w:t>
      </w:r>
    </w:p>
    <w:p w14:paraId="374B5F39">
      <w:pPr>
        <w:adjustRightInd w:val="0"/>
        <w:snapToGrid w:val="0"/>
        <w:spacing w:line="360" w:lineRule="auto"/>
        <w:ind w:firstLine="360" w:firstLineChars="150"/>
        <w:rPr>
          <w:rFonts w:ascii="宋体" w:hAnsi="宋体" w:cs="宋体"/>
          <w:sz w:val="24"/>
        </w:rPr>
      </w:pPr>
      <w:r>
        <w:rPr>
          <w:rFonts w:hint="eastAsia" w:ascii="宋体" w:hAnsi="宋体" w:cs="宋体"/>
          <w:sz w:val="24"/>
        </w:rPr>
        <w:t>（6）农民工合同纠纷处理</w:t>
      </w:r>
    </w:p>
    <w:p w14:paraId="151C5DC1">
      <w:pPr>
        <w:adjustRightInd w:val="0"/>
        <w:snapToGrid w:val="0"/>
        <w:spacing w:line="360" w:lineRule="auto"/>
        <w:ind w:firstLine="480" w:firstLineChars="200"/>
        <w:rPr>
          <w:rFonts w:ascii="宋体" w:hAnsi="宋体"/>
          <w:sz w:val="24"/>
        </w:rPr>
      </w:pPr>
      <w:r>
        <w:rPr>
          <w:rFonts w:hint="eastAsia" w:ascii="宋体" w:hAnsi="宋体"/>
          <w:bCs/>
          <w:sz w:val="24"/>
        </w:rPr>
        <w:t>项目建设期间，严格执行专用合同条款</w:t>
      </w:r>
      <w:r>
        <w:rPr>
          <w:rFonts w:ascii="宋体" w:hAnsi="宋体"/>
          <w:bCs/>
          <w:sz w:val="24"/>
        </w:rPr>
        <w:t>第</w:t>
      </w:r>
      <w:r>
        <w:rPr>
          <w:rFonts w:ascii="宋体" w:hAnsi="宋体"/>
          <w:sz w:val="24"/>
        </w:rPr>
        <w:t>4.8.7</w:t>
      </w:r>
      <w:r>
        <w:rPr>
          <w:rFonts w:hint="eastAsia" w:ascii="宋体" w:hAnsi="宋体"/>
          <w:sz w:val="24"/>
        </w:rPr>
        <w:t>项（</w:t>
      </w:r>
      <w:r>
        <w:rPr>
          <w:rFonts w:ascii="宋体" w:hAnsi="宋体"/>
          <w:sz w:val="24"/>
        </w:rPr>
        <w:t>2</w:t>
      </w:r>
      <w:r>
        <w:rPr>
          <w:rFonts w:hint="eastAsia" w:ascii="宋体" w:hAnsi="宋体"/>
          <w:sz w:val="24"/>
        </w:rPr>
        <w:t>）目的相关文件精神</w:t>
      </w:r>
      <w:r>
        <w:rPr>
          <w:rFonts w:hint="eastAsia" w:ascii="宋体" w:hAnsi="宋体"/>
          <w:kern w:val="0"/>
          <w:sz w:val="24"/>
        </w:rPr>
        <w:t>。</w:t>
      </w:r>
    </w:p>
    <w:p w14:paraId="0BB571A6">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rPr>
          <w:sz w:val="24"/>
        </w:rPr>
        <w:t>①</w:t>
      </w:r>
      <w:r>
        <w:rPr>
          <w:rFonts w:hint="eastAsia"/>
          <w:sz w:val="24"/>
        </w:rPr>
        <w:fldChar w:fldCharType="end"/>
      </w:r>
      <w:r>
        <w:rPr>
          <w:rFonts w:hint="eastAsia"/>
          <w:sz w:val="24"/>
        </w:rPr>
        <w:t>按</w:t>
      </w:r>
      <w:r>
        <w:rPr>
          <w:rFonts w:hint="eastAsia" w:asciiTheme="minorEastAsia" w:hAnsiTheme="minorEastAsia" w:eastAsiaTheme="minorEastAsia"/>
          <w:sz w:val="24"/>
        </w:rPr>
        <w:t>照</w:t>
      </w:r>
      <w:r>
        <w:rPr>
          <w:rFonts w:asciiTheme="minorEastAsia" w:hAnsiTheme="minorEastAsia" w:eastAsiaTheme="minorEastAsia"/>
          <w:sz w:val="24"/>
        </w:rPr>
        <w:t>“</w:t>
      </w:r>
      <w:r>
        <w:rPr>
          <w:rFonts w:hint="eastAsia" w:asciiTheme="minorEastAsia" w:hAnsiTheme="minorEastAsia" w:eastAsiaTheme="minorEastAsia"/>
          <w:sz w:val="24"/>
        </w:rPr>
        <w:t>谁承包，谁负责</w:t>
      </w:r>
      <w:r>
        <w:rPr>
          <w:rFonts w:asciiTheme="minorEastAsia" w:hAnsiTheme="minorEastAsia" w:eastAsiaTheme="minorEastAsia"/>
          <w:sz w:val="24"/>
        </w:rPr>
        <w:t>”</w:t>
      </w:r>
      <w:r>
        <w:rPr>
          <w:rFonts w:hint="eastAsia" w:asciiTheme="minorEastAsia" w:hAnsiTheme="minorEastAsia" w:eastAsiaTheme="minorEastAsia"/>
          <w:sz w:val="24"/>
        </w:rPr>
        <w:t>及</w:t>
      </w:r>
      <w:r>
        <w:rPr>
          <w:rFonts w:asciiTheme="minorEastAsia" w:hAnsiTheme="minorEastAsia" w:eastAsiaTheme="minorEastAsia"/>
          <w:sz w:val="24"/>
        </w:rPr>
        <w:t>“</w:t>
      </w:r>
      <w:r>
        <w:rPr>
          <w:rFonts w:hint="eastAsia" w:asciiTheme="minorEastAsia" w:hAnsiTheme="minorEastAsia" w:eastAsiaTheme="minorEastAsia"/>
          <w:sz w:val="24"/>
        </w:rPr>
        <w:t>谁管</w:t>
      </w:r>
      <w:r>
        <w:rPr>
          <w:rFonts w:hint="eastAsia"/>
          <w:sz w:val="24"/>
        </w:rPr>
        <w:t>理工程、谁预防</w:t>
      </w:r>
      <w:r>
        <w:rPr>
          <w:rFonts w:hint="eastAsia" w:asciiTheme="minorEastAsia" w:hAnsiTheme="minorEastAsia" w:eastAsiaTheme="minorEastAsia"/>
          <w:sz w:val="24"/>
        </w:rPr>
        <w:t>拖欠</w:t>
      </w:r>
      <w:r>
        <w:rPr>
          <w:rFonts w:asciiTheme="minorEastAsia" w:hAnsiTheme="minorEastAsia" w:eastAsiaTheme="minorEastAsia"/>
          <w:sz w:val="24"/>
        </w:rPr>
        <w:t>”</w:t>
      </w:r>
      <w:r>
        <w:rPr>
          <w:rFonts w:hint="eastAsia" w:asciiTheme="minorEastAsia" w:hAnsiTheme="minorEastAsia" w:eastAsiaTheme="minorEastAsia"/>
          <w:sz w:val="24"/>
        </w:rPr>
        <w:t>的</w:t>
      </w:r>
      <w:r>
        <w:rPr>
          <w:rFonts w:hint="eastAsia"/>
          <w:sz w:val="24"/>
        </w:rPr>
        <w:t>原则，建立承包人、分包单位（如有）、劳务合作单位和发包人总负责的农民工工资预防拖欠责任机制。承包人应对专业分包和劳务合作单位农民工情况负管理责任和连带清偿责任。</w:t>
      </w:r>
    </w:p>
    <w:p w14:paraId="406AD514">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sz w:val="24"/>
        </w:rPr>
        <w:t>②</w:t>
      </w:r>
      <w:r>
        <w:rPr>
          <w:rFonts w:hint="eastAsia"/>
          <w:sz w:val="24"/>
        </w:rPr>
        <w:fldChar w:fldCharType="end"/>
      </w:r>
      <w:r>
        <w:rPr>
          <w:rFonts w:hint="eastAsia"/>
          <w:sz w:val="24"/>
        </w:rPr>
        <w:t>承包人依据与劳务合作单位签订的协议或与农民工签订的合同，确保按期足额支付农民工工资。如承包人不及时支付农民工工资，造成扰民、上访等影响社会稳定事件及合同纠纷，承包人必须承担相应责任。</w:t>
      </w:r>
    </w:p>
    <w:p w14:paraId="1E636794">
      <w:pPr>
        <w:adjustRightInd w:val="0"/>
        <w:snapToGrid w:val="0"/>
        <w:spacing w:line="360" w:lineRule="auto"/>
        <w:ind w:firstLine="480" w:firstLineChars="200"/>
        <w:rPr>
          <w:rFonts w:ascii="宋体" w:hAnsi="宋体"/>
          <w:b/>
          <w:sz w:val="24"/>
        </w:rPr>
      </w:pPr>
      <w:r>
        <w:rPr>
          <w:rFonts w:hint="eastAsia"/>
          <w:bCs/>
          <w:sz w:val="24"/>
        </w:rPr>
        <w:t>若劳务合作单位拖欠劳务工资的，由承包人先行垫付，双方结算时按合同约定予以抵扣；若承包人拖欠劳务合作单位劳务工资的，将按照</w:t>
      </w:r>
      <w:r>
        <w:rPr>
          <w:rFonts w:hint="eastAsia" w:ascii="宋体" w:hAnsi="宋体"/>
          <w:sz w:val="24"/>
        </w:rPr>
        <w:t>《保障农民工</w:t>
      </w:r>
      <w:r>
        <w:rPr>
          <w:rFonts w:ascii="宋体" w:hAnsi="宋体"/>
          <w:sz w:val="24"/>
        </w:rPr>
        <w:t>工资</w:t>
      </w:r>
      <w:r>
        <w:rPr>
          <w:rFonts w:hint="eastAsia" w:ascii="宋体" w:hAnsi="宋体"/>
          <w:sz w:val="24"/>
        </w:rPr>
        <w:t>支付条例》（国务院</w:t>
      </w:r>
      <w:r>
        <w:rPr>
          <w:rFonts w:ascii="宋体" w:hAnsi="宋体"/>
          <w:sz w:val="24"/>
        </w:rPr>
        <w:t>令</w:t>
      </w:r>
      <w:r>
        <w:rPr>
          <w:rFonts w:hint="eastAsia" w:ascii="宋体" w:hAnsi="宋体"/>
          <w:sz w:val="24"/>
        </w:rPr>
        <w:t>第</w:t>
      </w:r>
      <w:r>
        <w:rPr>
          <w:rFonts w:ascii="宋体" w:hAnsi="宋体"/>
          <w:sz w:val="24"/>
        </w:rPr>
        <w:t>724</w:t>
      </w:r>
      <w:r>
        <w:rPr>
          <w:rFonts w:hint="eastAsia" w:ascii="宋体" w:hAnsi="宋体"/>
          <w:sz w:val="24"/>
        </w:rPr>
        <w:t>号）</w:t>
      </w:r>
      <w:r>
        <w:rPr>
          <w:rFonts w:ascii="宋体" w:hAnsi="宋体"/>
          <w:sz w:val="24"/>
        </w:rPr>
        <w:t>、</w:t>
      </w:r>
      <w:r>
        <w:rPr>
          <w:rFonts w:hint="eastAsia" w:ascii="宋体" w:hAnsi="宋体"/>
          <w:sz w:val="24"/>
        </w:rPr>
        <w:t>《工程建设领域农民工工资保证金规定》（人社部发</w:t>
      </w:r>
      <w:r>
        <w:rPr>
          <w:rFonts w:ascii="宋体" w:hAnsi="宋体"/>
          <w:sz w:val="24"/>
        </w:rPr>
        <w:t>〔2021〕65号）</w:t>
      </w:r>
      <w:r>
        <w:rPr>
          <w:rFonts w:hint="eastAsia" w:ascii="宋体" w:hAnsi="宋体"/>
          <w:sz w:val="24"/>
        </w:rPr>
        <w:t>规定处理</w:t>
      </w:r>
      <w:r>
        <w:rPr>
          <w:rFonts w:hint="eastAsia"/>
          <w:bCs/>
          <w:sz w:val="24"/>
        </w:rPr>
        <w:t>。</w:t>
      </w:r>
    </w:p>
    <w:p w14:paraId="27A38262">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rPr>
        <w:t>③</w:t>
      </w:r>
      <w:r>
        <w:rPr>
          <w:rFonts w:hint="eastAsia"/>
          <w:sz w:val="24"/>
        </w:rPr>
        <w:fldChar w:fldCharType="end"/>
      </w:r>
      <w:r>
        <w:rPr>
          <w:rFonts w:hint="eastAsia"/>
          <w:sz w:val="24"/>
        </w:rPr>
        <w:t>承包人</w:t>
      </w:r>
      <w:r>
        <w:rPr>
          <w:rFonts w:hint="eastAsia" w:ascii="宋体" w:hAnsi="宋体"/>
          <w:sz w:val="24"/>
        </w:rPr>
        <w:t>与专业分包、</w:t>
      </w:r>
      <w:r>
        <w:rPr>
          <w:rFonts w:hint="eastAsia"/>
          <w:sz w:val="24"/>
        </w:rPr>
        <w:t>劳务合作单位的农民工纠纷，按照双方合同约定处理。如双方未按合同约定达成一致意见，按照当地劳动监察部门的处理意见或劳动仲裁部门仲裁结果或司法机关判决结果执行。</w:t>
      </w:r>
    </w:p>
    <w:p w14:paraId="2AAF4E16">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rPr>
          <w:sz w:val="24"/>
        </w:rPr>
        <w:t>④</w:t>
      </w:r>
      <w:r>
        <w:rPr>
          <w:rFonts w:hint="eastAsia"/>
          <w:sz w:val="24"/>
        </w:rPr>
        <w:fldChar w:fldCharType="end"/>
      </w:r>
      <w:r>
        <w:rPr>
          <w:rFonts w:hint="eastAsia"/>
          <w:sz w:val="24"/>
        </w:rPr>
        <w:t>对于承包人恶意拖欠农民工工资、或未与农民工签订劳务合同、或未给农民工购买保险等违约行为，发包人将上报交通运输主管部门按照四川省交通运输厅信用管理办法进行信用评价。情节严重的，发包人有权解除合同。</w:t>
      </w:r>
    </w:p>
    <w:p w14:paraId="57ACF865">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5 \* GB3 \* MERGEFORMAT </w:instrText>
      </w:r>
      <w:r>
        <w:rPr>
          <w:rFonts w:hint="eastAsia"/>
          <w:sz w:val="24"/>
        </w:rPr>
        <w:fldChar w:fldCharType="separate"/>
      </w:r>
      <w:r>
        <w:rPr>
          <w:sz w:val="24"/>
        </w:rPr>
        <w:t>⑤</w:t>
      </w:r>
      <w:r>
        <w:rPr>
          <w:rFonts w:hint="eastAsia"/>
          <w:sz w:val="24"/>
        </w:rPr>
        <w:fldChar w:fldCharType="end"/>
      </w:r>
      <w:r>
        <w:rPr>
          <w:rFonts w:hint="eastAsia"/>
          <w:sz w:val="24"/>
        </w:rPr>
        <w:t>承包人因拖欠农民工工资引发重大群体性事件或造成严重社会影响的，发包人将及时上报省交通运输厅，根据信用管理规定对承包人实行市场禁入，并给予</w:t>
      </w:r>
      <w:r>
        <w:rPr>
          <w:rFonts w:hint="eastAsia" w:ascii="宋体" w:hAnsi="宋体" w:cs="宋体"/>
          <w:sz w:val="24"/>
        </w:rPr>
        <w:t>D</w:t>
      </w:r>
      <w:r>
        <w:rPr>
          <w:rFonts w:hint="eastAsia"/>
          <w:sz w:val="24"/>
        </w:rPr>
        <w:t>级信用评价。</w:t>
      </w:r>
      <w:r>
        <w:rPr>
          <w:sz w:val="24"/>
        </w:rPr>
        <w:t xml:space="preserve"> </w:t>
      </w:r>
    </w:p>
    <w:p w14:paraId="43933ED4">
      <w:pPr>
        <w:adjustRightInd w:val="0"/>
        <w:snapToGrid w:val="0"/>
        <w:spacing w:line="360" w:lineRule="auto"/>
        <w:ind w:firstLine="480" w:firstLineChars="200"/>
        <w:rPr>
          <w:sz w:val="24"/>
        </w:rPr>
      </w:pPr>
      <w:r>
        <w:rPr>
          <w:rFonts w:hint="eastAsia"/>
          <w:sz w:val="24"/>
        </w:rPr>
        <w:fldChar w:fldCharType="begin"/>
      </w:r>
      <w:r>
        <w:rPr>
          <w:rFonts w:hint="eastAsia"/>
          <w:sz w:val="24"/>
        </w:rPr>
        <w:instrText xml:space="preserve"> = 6 \* GB3 \* MERGEFORMAT </w:instrText>
      </w:r>
      <w:r>
        <w:rPr>
          <w:rFonts w:hint="eastAsia"/>
          <w:sz w:val="24"/>
        </w:rPr>
        <w:fldChar w:fldCharType="separate"/>
      </w:r>
      <w:r>
        <w:rPr>
          <w:sz w:val="24"/>
        </w:rPr>
        <w:t>⑥</w:t>
      </w:r>
      <w:r>
        <w:rPr>
          <w:rFonts w:hint="eastAsia"/>
          <w:sz w:val="24"/>
        </w:rPr>
        <w:fldChar w:fldCharType="end"/>
      </w:r>
      <w:r>
        <w:rPr>
          <w:rFonts w:hint="eastAsia"/>
          <w:sz w:val="24"/>
        </w:rPr>
        <w:t>对农民工班组、农民工个人以农民工工资拖欠名义讹诈工程款、胁迫解决合同纠纷的恶劣行为；对采取非法手段（围堵工点、收费站；聚众扰乱机关企事业单位办公）讨薪或以讨要拖欠工资为名讨要工程款的行为，如查明系承包人为转嫁或规避责任而指使、怂恿农民工班组或农民工个人作出上述行为的，发包人将及时上报交通运输主管部门并依法进行处理。</w:t>
      </w:r>
      <w:bookmarkEnd w:id="755"/>
    </w:p>
    <w:p w14:paraId="19AF7764">
      <w:pPr>
        <w:pStyle w:val="2"/>
        <w:spacing w:before="240" w:after="240" w:line="240" w:lineRule="atLeast"/>
        <w:rPr>
          <w:rFonts w:ascii="黑体"/>
          <w:sz w:val="24"/>
          <w:szCs w:val="24"/>
        </w:rPr>
      </w:pPr>
      <w:r>
        <w:rPr>
          <w:rFonts w:ascii="黑体"/>
          <w:b w:val="0"/>
          <w:sz w:val="24"/>
          <w:szCs w:val="24"/>
        </w:rPr>
        <w:t xml:space="preserve">4.9 </w:t>
      </w:r>
      <w:r>
        <w:rPr>
          <w:rFonts w:hint="eastAsia" w:ascii="黑体"/>
          <w:b w:val="0"/>
          <w:sz w:val="24"/>
          <w:szCs w:val="24"/>
        </w:rPr>
        <w:t>工程价款应专款专用</w:t>
      </w:r>
      <w:r>
        <w:rPr>
          <w:rFonts w:ascii="黑体"/>
          <w:b w:val="0"/>
          <w:sz w:val="24"/>
          <w:szCs w:val="24"/>
        </w:rPr>
        <w:t xml:space="preserve"> </w:t>
      </w:r>
    </w:p>
    <w:p w14:paraId="5ADAB262">
      <w:pPr>
        <w:autoSpaceDE w:val="0"/>
        <w:autoSpaceDN w:val="0"/>
        <w:adjustRightInd w:val="0"/>
        <w:spacing w:line="360" w:lineRule="auto"/>
        <w:ind w:firstLine="480" w:firstLineChars="200"/>
        <w:jc w:val="left"/>
        <w:rPr>
          <w:sz w:val="24"/>
        </w:rPr>
      </w:pPr>
      <w:r>
        <w:rPr>
          <w:rFonts w:hint="eastAsia"/>
          <w:sz w:val="24"/>
        </w:rPr>
        <w:t>本款细化为：</w:t>
      </w:r>
      <w:r>
        <w:rPr>
          <w:sz w:val="24"/>
        </w:rPr>
        <w:t xml:space="preserve"> </w:t>
      </w:r>
    </w:p>
    <w:p w14:paraId="204B382B">
      <w:pPr>
        <w:adjustRightInd w:val="0"/>
        <w:snapToGrid w:val="0"/>
        <w:spacing w:line="360" w:lineRule="auto"/>
        <w:ind w:firstLine="480" w:firstLineChars="200"/>
        <w:rPr>
          <w:sz w:val="24"/>
        </w:rPr>
      </w:pPr>
      <w:r>
        <w:rPr>
          <w:rFonts w:hint="eastAsia"/>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68010178">
      <w:pPr>
        <w:pStyle w:val="2"/>
        <w:adjustRightInd w:val="0"/>
        <w:snapToGrid w:val="0"/>
        <w:spacing w:before="240" w:after="240" w:line="240" w:lineRule="atLeast"/>
        <w:ind w:firstLine="0" w:firstLineChars="0"/>
        <w:rPr>
          <w:rFonts w:ascii="黑体"/>
          <w:b w:val="0"/>
          <w:sz w:val="24"/>
          <w:szCs w:val="24"/>
        </w:rPr>
      </w:pPr>
      <w:r>
        <w:rPr>
          <w:rFonts w:ascii="黑体"/>
          <w:b w:val="0"/>
          <w:sz w:val="24"/>
          <w:szCs w:val="24"/>
        </w:rPr>
        <w:t>4.</w:t>
      </w:r>
      <w:r>
        <w:rPr>
          <w:rFonts w:hint="eastAsia" w:ascii="黑体"/>
          <w:b w:val="0"/>
          <w:sz w:val="24"/>
          <w:szCs w:val="24"/>
        </w:rPr>
        <w:t>10</w:t>
      </w:r>
      <w:r>
        <w:rPr>
          <w:rFonts w:ascii="黑体"/>
          <w:b w:val="0"/>
          <w:sz w:val="24"/>
          <w:szCs w:val="24"/>
        </w:rPr>
        <w:t xml:space="preserve"> </w:t>
      </w:r>
      <w:r>
        <w:rPr>
          <w:rFonts w:hint="eastAsia" w:ascii="黑体"/>
          <w:b w:val="0"/>
          <w:sz w:val="24"/>
          <w:szCs w:val="24"/>
        </w:rPr>
        <w:t>承包人现场查勘</w:t>
      </w:r>
    </w:p>
    <w:p w14:paraId="60C5EBEF">
      <w:pPr>
        <w:widowControl/>
        <w:autoSpaceDE w:val="0"/>
        <w:autoSpaceDN w:val="0"/>
        <w:adjustRightInd w:val="0"/>
        <w:spacing w:line="360" w:lineRule="auto"/>
        <w:ind w:firstLine="480" w:firstLineChars="200"/>
        <w:jc w:val="left"/>
        <w:rPr>
          <w:sz w:val="24"/>
        </w:rPr>
      </w:pPr>
      <w:r>
        <w:rPr>
          <w:rFonts w:hint="eastAsia" w:ascii="宋体" w:hAnsi="宋体" w:cs="宋体"/>
          <w:sz w:val="24"/>
          <w:lang w:bidi="ar"/>
        </w:rPr>
        <w:t>第4.10.1项细化为：</w:t>
      </w:r>
      <w:r>
        <w:rPr>
          <w:rFonts w:hint="eastAsia"/>
          <w:sz w:val="24"/>
          <w:lang w:bidi="ar"/>
        </w:rPr>
        <w:t xml:space="preserve"> </w:t>
      </w:r>
    </w:p>
    <w:p w14:paraId="4F6EEC27">
      <w:pPr>
        <w:widowControl/>
        <w:autoSpaceDE w:val="0"/>
        <w:autoSpaceDN w:val="0"/>
        <w:adjustRightInd w:val="0"/>
        <w:spacing w:line="360" w:lineRule="auto"/>
        <w:ind w:firstLine="480" w:firstLineChars="200"/>
        <w:jc w:val="left"/>
        <w:rPr>
          <w:sz w:val="24"/>
        </w:rPr>
      </w:pPr>
      <w:r>
        <w:rPr>
          <w:rFonts w:hint="eastAsia"/>
          <w:sz w:val="24"/>
          <w:lang w:bidi="ar"/>
        </w:rPr>
        <w:t>发包人提供的本合同工程的水文、地质、气象和料场分布、取土场、弃土场位置等资料均属于参考资料，并不构成合同文件的组成部分，承包人应对自己就上述资料的解释、推论和应用负责。</w:t>
      </w:r>
    </w:p>
    <w:p w14:paraId="4B1F7129">
      <w:pPr>
        <w:pStyle w:val="2"/>
        <w:spacing w:before="240" w:after="240"/>
        <w:rPr>
          <w:rFonts w:ascii="黑体"/>
          <w:b w:val="0"/>
          <w:sz w:val="24"/>
          <w:szCs w:val="24"/>
        </w:rPr>
      </w:pPr>
      <w:r>
        <w:rPr>
          <w:rFonts w:hint="eastAsia" w:ascii="黑体"/>
          <w:b w:val="0"/>
          <w:sz w:val="24"/>
          <w:szCs w:val="24"/>
        </w:rPr>
        <w:t>4.11</w:t>
      </w:r>
      <w:r>
        <w:rPr>
          <w:rFonts w:hint="eastAsia" w:ascii="黑体"/>
          <w:b w:val="0"/>
          <w:sz w:val="24"/>
          <w:szCs w:val="24"/>
          <w:lang w:val="en-US" w:eastAsia="zh-CN"/>
        </w:rPr>
        <w:t xml:space="preserve"> </w:t>
      </w:r>
      <w:r>
        <w:rPr>
          <w:rFonts w:hint="eastAsia" w:ascii="黑体"/>
          <w:b w:val="0"/>
          <w:sz w:val="24"/>
          <w:szCs w:val="24"/>
        </w:rPr>
        <w:t>不可预见物质条件（A）</w:t>
      </w:r>
    </w:p>
    <w:p w14:paraId="2402F669">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4.11.1</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不可预见物质条件的范围（如有）：</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6896253A">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本款补充第</w:t>
      </w:r>
      <w:r>
        <w:rPr>
          <w:rFonts w:ascii="宋体" w:hAnsi="宋体"/>
          <w:sz w:val="24"/>
        </w:rPr>
        <w:t>4.11.3</w:t>
      </w:r>
      <w:r>
        <w:rPr>
          <w:rFonts w:hint="eastAsia" w:ascii="宋体" w:hAnsi="宋体"/>
          <w:sz w:val="24"/>
        </w:rPr>
        <w:t>项：</w:t>
      </w:r>
      <w:r>
        <w:rPr>
          <w:rFonts w:ascii="宋体" w:hAnsi="宋体"/>
          <w:sz w:val="24"/>
        </w:rPr>
        <w:t xml:space="preserve"> </w:t>
      </w:r>
    </w:p>
    <w:p w14:paraId="5BE8BE44">
      <w:pPr>
        <w:adjustRightInd w:val="0"/>
        <w:snapToGrid w:val="0"/>
        <w:spacing w:line="360" w:lineRule="auto"/>
        <w:ind w:firstLine="240" w:firstLineChars="100"/>
        <w:rPr>
          <w:rFonts w:ascii="黑体" w:hAnsi="黑体" w:eastAsia="黑体"/>
          <w:sz w:val="24"/>
        </w:rPr>
      </w:pPr>
      <w:r>
        <w:rPr>
          <w:rFonts w:ascii="黑体" w:hAnsi="黑体" w:eastAsia="黑体"/>
          <w:sz w:val="24"/>
        </w:rPr>
        <w:t xml:space="preserve">4.11.3 </w:t>
      </w:r>
      <w:r>
        <w:rPr>
          <w:rFonts w:hint="eastAsia" w:ascii="黑体" w:hAnsi="黑体" w:eastAsia="黑体"/>
          <w:sz w:val="24"/>
        </w:rPr>
        <w:t>可预见的不利物质条件</w:t>
      </w:r>
      <w:r>
        <w:rPr>
          <w:rFonts w:ascii="黑体" w:hAnsi="黑体" w:eastAsia="黑体"/>
          <w:sz w:val="24"/>
        </w:rPr>
        <w:t xml:space="preserve"> </w:t>
      </w:r>
    </w:p>
    <w:p w14:paraId="387E0AAE">
      <w:pPr>
        <w:autoSpaceDE w:val="0"/>
        <w:autoSpaceDN w:val="0"/>
        <w:adjustRightInd w:val="0"/>
        <w:spacing w:line="360" w:lineRule="auto"/>
        <w:ind w:firstLine="480" w:firstLineChars="200"/>
        <w:jc w:val="both"/>
        <w:rPr>
          <w:kern w:val="0"/>
          <w:sz w:val="24"/>
        </w:rPr>
      </w:pPr>
      <w:r>
        <w:rPr>
          <w:rFonts w:hint="eastAsia"/>
          <w:kern w:val="0"/>
          <w:sz w:val="24"/>
        </w:rPr>
        <w:t>（</w:t>
      </w:r>
      <w:r>
        <w:rPr>
          <w:kern w:val="0"/>
          <w:sz w:val="24"/>
        </w:rPr>
        <w:t>1</w:t>
      </w:r>
      <w:r>
        <w:rPr>
          <w:rFonts w:hint="eastAsia"/>
          <w:kern w:val="0"/>
          <w:sz w:val="24"/>
        </w:rPr>
        <w:t>）对于专用合同条款中已经明确指出的不利物质条件无论承包人是否有其经历和经验均视为承包人在接受合同时已预见其影响，并已在签约合同价中计入因其影响而可能发生的一切费用。</w:t>
      </w:r>
    </w:p>
    <w:p w14:paraId="2B6F427D">
      <w:pPr>
        <w:autoSpaceDE w:val="0"/>
        <w:autoSpaceDN w:val="0"/>
        <w:adjustRightInd w:val="0"/>
        <w:spacing w:line="360" w:lineRule="auto"/>
        <w:ind w:firstLine="480" w:firstLineChars="200"/>
        <w:jc w:val="both"/>
        <w:rPr>
          <w:b/>
          <w:sz w:val="24"/>
        </w:rPr>
      </w:pPr>
      <w:r>
        <w:rPr>
          <w:rFonts w:hint="eastAsia"/>
          <w:kern w:val="0"/>
          <w:sz w:val="24"/>
        </w:rPr>
        <w:t>（</w:t>
      </w:r>
      <w:r>
        <w:rPr>
          <w:kern w:val="0"/>
          <w:sz w:val="24"/>
        </w:rPr>
        <w:t>2</w:t>
      </w:r>
      <w:r>
        <w:rPr>
          <w:rFonts w:hint="eastAsia"/>
          <w:kern w:val="0"/>
          <w:sz w:val="24"/>
        </w:rPr>
        <w:t>）对于专用合同条款未明确指出，但是在不利物质条件发生之前，监理人已经指示承包人有可能发生，但承包人未能及时采取有效措施，而导致的损失和后果均由承包人承担。</w:t>
      </w:r>
    </w:p>
    <w:p w14:paraId="423E89D0">
      <w:pPr>
        <w:pStyle w:val="2"/>
        <w:spacing w:before="240" w:after="240"/>
        <w:rPr>
          <w:rFonts w:ascii="黑体"/>
          <w:b w:val="0"/>
          <w:sz w:val="24"/>
          <w:szCs w:val="24"/>
        </w:rPr>
      </w:pPr>
      <w:r>
        <w:rPr>
          <w:rFonts w:ascii="黑体"/>
          <w:b w:val="0"/>
          <w:sz w:val="24"/>
          <w:szCs w:val="24"/>
        </w:rPr>
        <w:t>4.11</w:t>
      </w:r>
      <w:r>
        <w:rPr>
          <w:rFonts w:hint="eastAsia" w:ascii="黑体"/>
          <w:b w:val="0"/>
          <w:sz w:val="24"/>
          <w:szCs w:val="24"/>
          <w:lang w:val="en-US" w:eastAsia="zh-CN"/>
        </w:rPr>
        <w:t xml:space="preserve"> </w:t>
      </w:r>
      <w:r>
        <w:rPr>
          <w:rFonts w:hint="eastAsia" w:ascii="黑体"/>
          <w:b w:val="0"/>
          <w:sz w:val="24"/>
          <w:szCs w:val="24"/>
        </w:rPr>
        <w:t>不可预见的困难和费用（B）</w:t>
      </w:r>
    </w:p>
    <w:p w14:paraId="2D47E013">
      <w:pPr>
        <w:adjustRightInd w:val="0"/>
        <w:snapToGrid w:val="0"/>
        <w:spacing w:line="360" w:lineRule="auto"/>
        <w:ind w:firstLine="480" w:firstLineChars="200"/>
        <w:rPr>
          <w:rFonts w:ascii="宋体" w:hAnsi="宋体"/>
          <w:bCs/>
          <w:sz w:val="24"/>
        </w:rPr>
      </w:pPr>
      <w:r>
        <w:rPr>
          <w:rFonts w:ascii="宋体" w:hAnsi="宋体"/>
          <w:bCs/>
          <w:sz w:val="24"/>
          <w:u w:val="single"/>
        </w:rPr>
        <w:t xml:space="preserve">                       </w:t>
      </w:r>
      <w:r>
        <w:rPr>
          <w:rFonts w:hint="eastAsia" w:ascii="宋体" w:hAnsi="宋体"/>
          <w:bCs/>
          <w:sz w:val="24"/>
        </w:rPr>
        <w:t>。</w:t>
      </w:r>
    </w:p>
    <w:p w14:paraId="3E5610AB">
      <w:pPr>
        <w:pStyle w:val="2"/>
        <w:spacing w:before="240" w:after="240" w:line="240" w:lineRule="atLeast"/>
        <w:rPr>
          <w:rFonts w:ascii="黑体"/>
          <w:b w:val="0"/>
          <w:sz w:val="24"/>
          <w:szCs w:val="24"/>
        </w:rPr>
      </w:pPr>
      <w:bookmarkStart w:id="758" w:name="_Hlk94094324"/>
      <w:bookmarkStart w:id="759" w:name="_Toc53685738"/>
      <w:r>
        <w:rPr>
          <w:rFonts w:hint="eastAsia" w:ascii="黑体"/>
          <w:b w:val="0"/>
          <w:sz w:val="24"/>
          <w:szCs w:val="24"/>
        </w:rPr>
        <w:t>4.1</w:t>
      </w:r>
      <w:r>
        <w:rPr>
          <w:rFonts w:ascii="黑体"/>
          <w:b w:val="0"/>
          <w:sz w:val="24"/>
          <w:szCs w:val="24"/>
        </w:rPr>
        <w:t>2</w:t>
      </w:r>
      <w:r>
        <w:rPr>
          <w:rFonts w:hint="eastAsia" w:ascii="黑体"/>
          <w:b w:val="0"/>
          <w:sz w:val="24"/>
          <w:szCs w:val="24"/>
          <w:lang w:val="en-US" w:eastAsia="zh-CN"/>
        </w:rPr>
        <w:t xml:space="preserve"> </w:t>
      </w:r>
      <w:r>
        <w:rPr>
          <w:rFonts w:hint="eastAsia" w:ascii="黑体"/>
          <w:b w:val="0"/>
          <w:sz w:val="24"/>
          <w:szCs w:val="24"/>
        </w:rPr>
        <w:t>进度计划</w:t>
      </w:r>
    </w:p>
    <w:p w14:paraId="034D862A">
      <w:pPr>
        <w:adjustRightInd w:val="0"/>
        <w:snapToGrid w:val="0"/>
        <w:spacing w:line="360" w:lineRule="auto"/>
        <w:ind w:firstLine="360" w:firstLineChars="150"/>
        <w:rPr>
          <w:rFonts w:ascii="黑体" w:hAnsi="黑体" w:eastAsia="黑体"/>
          <w:sz w:val="24"/>
        </w:rPr>
      </w:pPr>
      <w:bookmarkStart w:id="760" w:name="_Hlk100165341"/>
      <w:r>
        <w:rPr>
          <w:rFonts w:ascii="黑体" w:hAnsi="黑体" w:eastAsia="黑体"/>
          <w:sz w:val="24"/>
        </w:rPr>
        <w:t>4.12.1</w:t>
      </w:r>
      <w:r>
        <w:rPr>
          <w:rFonts w:hint="eastAsia" w:ascii="黑体" w:hAnsi="黑体" w:eastAsia="黑体"/>
          <w:sz w:val="24"/>
          <w:lang w:val="en-US" w:eastAsia="zh-CN"/>
        </w:rPr>
        <w:t xml:space="preserve"> </w:t>
      </w:r>
      <w:r>
        <w:rPr>
          <w:rFonts w:hint="eastAsia" w:ascii="黑体" w:hAnsi="黑体" w:eastAsia="黑体"/>
          <w:sz w:val="24"/>
        </w:rPr>
        <w:t>合同进度计划</w:t>
      </w:r>
    </w:p>
    <w:p w14:paraId="2FBD8D21">
      <w:pPr>
        <w:widowControl/>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lang w:bidi="ar"/>
        </w:rPr>
        <w:t xml:space="preserve">本项补充： </w:t>
      </w:r>
    </w:p>
    <w:p w14:paraId="11CA1491">
      <w:pPr>
        <w:widowControl/>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lang w:bidi="ar"/>
        </w:rPr>
        <w:t xml:space="preserve">承包人的设计进度计划的要求：见第5.2款。 </w:t>
      </w:r>
    </w:p>
    <w:p w14:paraId="1A9519A5">
      <w:pPr>
        <w:widowControl/>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lang w:bidi="ar"/>
        </w:rPr>
        <w:t>承包人编制施工方案说明的内容(包括但不限于)：编制依据、工程概况与现场施工条件、施工部署、施工准备、施工顺序、主要施工方法、施工进度计划、质量标准、质量保证措施、安全保证措施、文明施工保证措施等。</w:t>
      </w:r>
    </w:p>
    <w:p w14:paraId="0A10B819">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初步设计文件（或深化设计文件）中提供的施工方案仅作为参考，承包人应进行现场查勘，根据实际情况，结合自身技术水平、施工经验和设备配备等细化、完善、优化以满足工程项目质量、安全、进度、环保等方面因素，报监理人同意后组织实施。</w:t>
      </w:r>
    </w:p>
    <w:p w14:paraId="59D05212">
      <w:pPr>
        <w:widowControl/>
        <w:autoSpaceDE/>
        <w:autoSpaceDN/>
        <w:adjustRightInd w:val="0"/>
        <w:snapToGrid w:val="0"/>
        <w:spacing w:line="360" w:lineRule="auto"/>
        <w:ind w:firstLine="480" w:firstLineChars="200"/>
        <w:jc w:val="left"/>
        <w:rPr>
          <w:rFonts w:hAnsi="宋体"/>
          <w:sz w:val="24"/>
        </w:rPr>
      </w:pPr>
      <w:r>
        <w:rPr>
          <w:rFonts w:hint="eastAsia" w:ascii="宋体" w:hAnsi="宋体"/>
          <w:kern w:val="0"/>
          <w:sz w:val="24"/>
        </w:rPr>
        <w:t>承包人向监理人报送施工进度计划和施工方案说明的期限：签订合同协议书后</w:t>
      </w:r>
      <w:r>
        <w:rPr>
          <w:rFonts w:ascii="宋体" w:hAnsi="宋体"/>
          <w:kern w:val="0"/>
          <w:sz w:val="24"/>
        </w:rPr>
        <w:t>28</w:t>
      </w:r>
      <w:r>
        <w:rPr>
          <w:rFonts w:hint="eastAsia" w:ascii="宋体" w:hAnsi="宋体"/>
          <w:kern w:val="0"/>
          <w:sz w:val="24"/>
        </w:rPr>
        <w:t>天之内。</w:t>
      </w:r>
      <w:r>
        <w:rPr>
          <w:rFonts w:ascii="宋体" w:hAnsi="宋体"/>
          <w:kern w:val="0"/>
          <w:sz w:val="24"/>
        </w:rPr>
        <w:t xml:space="preserve"> </w:t>
      </w:r>
    </w:p>
    <w:bookmarkEnd w:id="760"/>
    <w:p w14:paraId="6A4A2BC8">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监理人应在</w:t>
      </w:r>
      <w:r>
        <w:rPr>
          <w:rFonts w:ascii="宋体" w:hAnsi="宋体"/>
          <w:kern w:val="0"/>
          <w:sz w:val="24"/>
        </w:rPr>
        <w:t>14</w:t>
      </w:r>
      <w:r>
        <w:rPr>
          <w:rFonts w:hint="eastAsia" w:ascii="宋体" w:hAnsi="宋体"/>
          <w:kern w:val="0"/>
          <w:sz w:val="24"/>
        </w:rPr>
        <w:t>天内对承包人施工进度计划和施工方案说明予以批复或提出修改意见。</w:t>
      </w:r>
      <w:r>
        <w:rPr>
          <w:rFonts w:ascii="宋体" w:hAnsi="宋体"/>
          <w:kern w:val="0"/>
          <w:sz w:val="24"/>
        </w:rPr>
        <w:t xml:space="preserve"> </w:t>
      </w:r>
    </w:p>
    <w:p w14:paraId="1514384C">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合同进度计划应按照关键线路网络图和主要工作横道图两种形式分别编绘，并应包括每月预计完成的工作量和形象进度。</w:t>
      </w:r>
    </w:p>
    <w:p w14:paraId="24FADDB9">
      <w:pPr>
        <w:adjustRightInd w:val="0"/>
        <w:snapToGrid w:val="0"/>
        <w:spacing w:line="360" w:lineRule="auto"/>
        <w:ind w:firstLine="360" w:firstLineChars="150"/>
        <w:rPr>
          <w:rFonts w:ascii="黑体" w:hAnsi="黑体" w:eastAsia="黑体"/>
          <w:sz w:val="24"/>
        </w:rPr>
      </w:pPr>
      <w:r>
        <w:rPr>
          <w:rFonts w:hint="eastAsia" w:ascii="黑体" w:hAnsi="黑体" w:eastAsia="黑体"/>
          <w:sz w:val="24"/>
        </w:rPr>
        <w:t>4</w:t>
      </w:r>
      <w:r>
        <w:rPr>
          <w:rFonts w:ascii="黑体" w:hAnsi="黑体" w:eastAsia="黑体"/>
          <w:sz w:val="24"/>
        </w:rPr>
        <w:t>.12.2</w:t>
      </w:r>
      <w:r>
        <w:rPr>
          <w:rFonts w:hint="eastAsia" w:ascii="黑体" w:hAnsi="黑体" w:eastAsia="黑体"/>
          <w:sz w:val="24"/>
          <w:lang w:val="en-US" w:eastAsia="zh-CN"/>
        </w:rPr>
        <w:t xml:space="preserve"> </w:t>
      </w:r>
      <w:r>
        <w:rPr>
          <w:rFonts w:hint="eastAsia" w:ascii="黑体" w:hAnsi="黑体" w:eastAsia="黑体"/>
          <w:sz w:val="24"/>
        </w:rPr>
        <w:t>合同进度计划的修订</w:t>
      </w:r>
    </w:p>
    <w:p w14:paraId="0CC78DD1">
      <w:pPr>
        <w:autoSpaceDE w:val="0"/>
        <w:autoSpaceDN w:val="0"/>
        <w:adjustRightInd w:val="0"/>
        <w:spacing w:line="360" w:lineRule="auto"/>
        <w:ind w:firstLine="480" w:firstLineChars="200"/>
        <w:jc w:val="left"/>
        <w:rPr>
          <w:rFonts w:hAnsi="宋体"/>
          <w:sz w:val="24"/>
        </w:rPr>
      </w:pPr>
      <w:r>
        <w:rPr>
          <w:rFonts w:hint="eastAsia" w:ascii="宋体" w:hAnsi="宋体"/>
          <w:kern w:val="0"/>
          <w:sz w:val="24"/>
        </w:rPr>
        <w:t>承包人提交合同进度计划修订申请报告，并附有关措施和相关资料的期限：实际进度发生滞后的当月</w:t>
      </w:r>
      <w:r>
        <w:rPr>
          <w:rFonts w:ascii="宋体" w:hAnsi="宋体"/>
          <w:kern w:val="0"/>
          <w:sz w:val="24"/>
        </w:rPr>
        <w:t>25</w:t>
      </w:r>
      <w:r>
        <w:rPr>
          <w:rFonts w:hint="eastAsia" w:ascii="宋体" w:hAnsi="宋体"/>
          <w:kern w:val="0"/>
          <w:sz w:val="24"/>
        </w:rPr>
        <w:t>日前。</w:t>
      </w:r>
      <w:r>
        <w:rPr>
          <w:rFonts w:ascii="宋体" w:hAnsi="宋体"/>
          <w:kern w:val="0"/>
          <w:sz w:val="24"/>
        </w:rPr>
        <w:t xml:space="preserve"> </w:t>
      </w:r>
    </w:p>
    <w:p w14:paraId="2C92B1E6">
      <w:pPr>
        <w:autoSpaceDE w:val="0"/>
        <w:autoSpaceDN w:val="0"/>
        <w:adjustRightInd w:val="0"/>
        <w:spacing w:line="360" w:lineRule="auto"/>
        <w:ind w:firstLine="480" w:firstLineChars="200"/>
        <w:jc w:val="left"/>
        <w:rPr>
          <w:rFonts w:ascii="宋体" w:hAnsi="宋体"/>
          <w:bCs/>
          <w:sz w:val="24"/>
        </w:rPr>
      </w:pPr>
      <w:r>
        <w:rPr>
          <w:rFonts w:hint="eastAsia" w:ascii="宋体" w:hAnsi="宋体"/>
          <w:kern w:val="0"/>
          <w:sz w:val="24"/>
        </w:rPr>
        <w:t>监理人批复修订合同进度计划的期限：收到修订合同进度计划后</w:t>
      </w:r>
      <w:r>
        <w:rPr>
          <w:rFonts w:ascii="宋体" w:hAnsi="宋体"/>
          <w:kern w:val="0"/>
          <w:sz w:val="24"/>
        </w:rPr>
        <w:t>14</w:t>
      </w:r>
      <w:r>
        <w:rPr>
          <w:rFonts w:hint="eastAsia" w:ascii="宋体" w:hAnsi="宋体"/>
          <w:kern w:val="0"/>
          <w:sz w:val="24"/>
        </w:rPr>
        <w:t>天内。</w:t>
      </w:r>
      <w:r>
        <w:rPr>
          <w:rFonts w:ascii="宋体" w:hAnsi="宋体"/>
          <w:kern w:val="0"/>
          <w:sz w:val="24"/>
        </w:rPr>
        <w:t xml:space="preserve">  </w:t>
      </w:r>
    </w:p>
    <w:p w14:paraId="5D924DD5">
      <w:pPr>
        <w:autoSpaceDE w:val="0"/>
        <w:autoSpaceDN w:val="0"/>
        <w:adjustRightInd w:val="0"/>
        <w:spacing w:line="360" w:lineRule="auto"/>
        <w:ind w:firstLine="480" w:firstLineChars="200"/>
        <w:jc w:val="left"/>
        <w:rPr>
          <w:rFonts w:hAnsi="宋体"/>
          <w:sz w:val="24"/>
        </w:rPr>
      </w:pPr>
      <w:r>
        <w:rPr>
          <w:rFonts w:hint="eastAsia" w:ascii="宋体" w:hAnsi="宋体"/>
          <w:kern w:val="0"/>
          <w:sz w:val="24"/>
        </w:rPr>
        <w:t>本款补充第</w:t>
      </w:r>
      <w:r>
        <w:rPr>
          <w:rFonts w:ascii="宋体" w:hAnsi="宋体"/>
          <w:kern w:val="0"/>
          <w:sz w:val="24"/>
        </w:rPr>
        <w:t>4.12.3</w:t>
      </w:r>
      <w:r>
        <w:rPr>
          <w:rFonts w:hint="eastAsia" w:ascii="宋体" w:hAnsi="宋体"/>
          <w:kern w:val="0"/>
          <w:sz w:val="24"/>
        </w:rPr>
        <w:t>项、第</w:t>
      </w:r>
      <w:r>
        <w:rPr>
          <w:rFonts w:ascii="宋体" w:hAnsi="宋体"/>
          <w:kern w:val="0"/>
          <w:sz w:val="24"/>
        </w:rPr>
        <w:t>4.12.4</w:t>
      </w:r>
      <w:r>
        <w:rPr>
          <w:rFonts w:hint="eastAsia" w:ascii="宋体" w:hAnsi="宋体"/>
          <w:kern w:val="0"/>
          <w:sz w:val="24"/>
        </w:rPr>
        <w:t>项：</w:t>
      </w:r>
      <w:r>
        <w:rPr>
          <w:rFonts w:ascii="宋体" w:hAnsi="宋体"/>
          <w:kern w:val="0"/>
          <w:sz w:val="24"/>
        </w:rPr>
        <w:t xml:space="preserve"> </w:t>
      </w:r>
    </w:p>
    <w:p w14:paraId="292CDA19">
      <w:pPr>
        <w:adjustRightInd w:val="0"/>
        <w:snapToGrid w:val="0"/>
        <w:spacing w:line="360" w:lineRule="auto"/>
        <w:ind w:firstLine="360" w:firstLineChars="150"/>
        <w:rPr>
          <w:rFonts w:ascii="黑体" w:hAnsi="黑体" w:eastAsia="黑体"/>
          <w:sz w:val="24"/>
        </w:rPr>
      </w:pPr>
      <w:r>
        <w:rPr>
          <w:rFonts w:ascii="黑体" w:hAnsi="黑体" w:eastAsia="黑体"/>
          <w:sz w:val="24"/>
        </w:rPr>
        <w:t>4.12.3</w:t>
      </w:r>
      <w:r>
        <w:rPr>
          <w:rFonts w:hint="eastAsia" w:ascii="黑体" w:hAnsi="黑体" w:eastAsia="黑体"/>
          <w:sz w:val="24"/>
          <w:lang w:val="en-US" w:eastAsia="zh-CN"/>
        </w:rPr>
        <w:t xml:space="preserve"> </w:t>
      </w:r>
      <w:r>
        <w:rPr>
          <w:rFonts w:hint="eastAsia" w:ascii="黑体" w:hAnsi="黑体" w:eastAsia="黑体"/>
          <w:sz w:val="24"/>
        </w:rPr>
        <w:t>年度施工计划</w:t>
      </w:r>
      <w:r>
        <w:rPr>
          <w:rFonts w:ascii="黑体" w:hAnsi="黑体" w:eastAsia="黑体"/>
          <w:sz w:val="24"/>
        </w:rPr>
        <w:t xml:space="preserve"> </w:t>
      </w:r>
    </w:p>
    <w:p w14:paraId="64CABA46">
      <w:pPr>
        <w:autoSpaceDE w:val="0"/>
        <w:autoSpaceDN w:val="0"/>
        <w:adjustRightInd w:val="0"/>
        <w:spacing w:line="360" w:lineRule="auto"/>
        <w:ind w:firstLine="480" w:firstLineChars="200"/>
        <w:jc w:val="both"/>
        <w:rPr>
          <w:rFonts w:hAnsi="宋体"/>
          <w:sz w:val="24"/>
        </w:rPr>
      </w:pPr>
      <w:r>
        <w:rPr>
          <w:rFonts w:hint="eastAsia" w:ascii="宋体" w:hAnsi="宋体"/>
          <w:kern w:val="0"/>
          <w:sz w:val="24"/>
        </w:rPr>
        <w:t>承包人应在每年</w:t>
      </w:r>
      <w:r>
        <w:rPr>
          <w:rFonts w:ascii="宋体" w:hAnsi="宋体"/>
          <w:kern w:val="0"/>
          <w:sz w:val="24"/>
        </w:rPr>
        <w:t>11</w:t>
      </w:r>
      <w:r>
        <w:rPr>
          <w:rFonts w:hint="eastAsia" w:ascii="宋体" w:hAnsi="宋体"/>
          <w:kern w:val="0"/>
          <w:sz w:val="24"/>
        </w:rPr>
        <w:t>月底前，根据已同意的合同进度计划或其修订的计划，向监理人提交</w:t>
      </w:r>
      <w:r>
        <w:rPr>
          <w:rFonts w:ascii="宋体" w:hAnsi="宋体"/>
          <w:kern w:val="0"/>
          <w:sz w:val="24"/>
        </w:rPr>
        <w:t>2</w:t>
      </w:r>
      <w:r>
        <w:rPr>
          <w:rFonts w:hint="eastAsia" w:ascii="宋体" w:hAnsi="宋体"/>
          <w:kern w:val="0"/>
          <w:sz w:val="24"/>
        </w:rPr>
        <w:t>份格式和内容符合监理人合理规定的下一年度的施工计划，以供审查。该计划应包括本年度估计完成的和下一年度预计完成的分项工程数量和工作量，以及为实施此计划将采取的措施。</w:t>
      </w:r>
      <w:r>
        <w:rPr>
          <w:rFonts w:ascii="宋体" w:hAnsi="宋体"/>
          <w:kern w:val="0"/>
          <w:sz w:val="24"/>
        </w:rPr>
        <w:t xml:space="preserve"> </w:t>
      </w:r>
    </w:p>
    <w:p w14:paraId="1E8AE077">
      <w:pPr>
        <w:adjustRightInd w:val="0"/>
        <w:snapToGrid w:val="0"/>
        <w:spacing w:line="360" w:lineRule="auto"/>
        <w:ind w:firstLine="360" w:firstLineChars="150"/>
        <w:rPr>
          <w:rFonts w:ascii="黑体" w:hAnsi="黑体" w:eastAsia="黑体"/>
          <w:sz w:val="24"/>
        </w:rPr>
      </w:pPr>
      <w:r>
        <w:rPr>
          <w:rFonts w:ascii="黑体" w:hAnsi="黑体" w:eastAsia="黑体"/>
          <w:sz w:val="24"/>
        </w:rPr>
        <w:t>4.12.4</w:t>
      </w:r>
      <w:r>
        <w:rPr>
          <w:rFonts w:hint="eastAsia" w:ascii="黑体" w:hAnsi="黑体" w:eastAsia="黑体"/>
          <w:sz w:val="24"/>
          <w:lang w:val="en-US" w:eastAsia="zh-CN"/>
        </w:rPr>
        <w:t xml:space="preserve"> </w:t>
      </w:r>
      <w:r>
        <w:rPr>
          <w:rFonts w:hint="eastAsia" w:ascii="黑体" w:hAnsi="黑体" w:eastAsia="黑体"/>
          <w:sz w:val="24"/>
        </w:rPr>
        <w:t>合同用款计划</w:t>
      </w:r>
      <w:r>
        <w:rPr>
          <w:rFonts w:ascii="黑体" w:hAnsi="黑体" w:eastAsia="黑体"/>
          <w:sz w:val="24"/>
        </w:rPr>
        <w:t xml:space="preserve"> </w:t>
      </w:r>
    </w:p>
    <w:p w14:paraId="36BACF56">
      <w:pPr>
        <w:autoSpaceDE w:val="0"/>
        <w:autoSpaceDN w:val="0"/>
        <w:adjustRightInd w:val="0"/>
        <w:spacing w:line="360" w:lineRule="auto"/>
        <w:ind w:firstLine="480" w:firstLineChars="200"/>
        <w:jc w:val="both"/>
        <w:rPr>
          <w:rFonts w:ascii="宋体" w:hAnsi="宋体"/>
          <w:kern w:val="0"/>
          <w:sz w:val="24"/>
        </w:rPr>
      </w:pPr>
      <w:r>
        <w:rPr>
          <w:rFonts w:hint="eastAsia" w:ascii="宋体" w:hAnsi="宋体"/>
          <w:kern w:val="0"/>
          <w:sz w:val="24"/>
        </w:rPr>
        <w:t>承包人应在签订本合同协议书后</w:t>
      </w:r>
      <w:r>
        <w:rPr>
          <w:rFonts w:ascii="宋体" w:hAnsi="宋体"/>
          <w:kern w:val="0"/>
          <w:sz w:val="24"/>
        </w:rPr>
        <w:t>28</w:t>
      </w:r>
      <w:r>
        <w:rPr>
          <w:rFonts w:hint="eastAsia" w:ascii="宋体" w:hAnsi="宋体"/>
          <w:kern w:val="0"/>
          <w:sz w:val="24"/>
        </w:rPr>
        <w:t>天之内，按招标文件中规定的格式，向监理人提交</w:t>
      </w:r>
      <w:r>
        <w:rPr>
          <w:rFonts w:ascii="宋体" w:hAnsi="宋体"/>
          <w:kern w:val="0"/>
          <w:sz w:val="24"/>
        </w:rPr>
        <w:t>2</w:t>
      </w:r>
      <w:r>
        <w:rPr>
          <w:rFonts w:hint="eastAsia" w:ascii="宋体" w:hAnsi="宋体"/>
          <w:kern w:val="0"/>
          <w:sz w:val="24"/>
        </w:rPr>
        <w:t>份按合同规定承包人有权得到支付的详细的季度合同用款计划，以备监理人查阅。如果监理人提出要求，承包人还应按季度提交修订的合同用款计划。</w:t>
      </w:r>
    </w:p>
    <w:p w14:paraId="3B112062">
      <w:pPr>
        <w:adjustRightInd w:val="0"/>
        <w:snapToGrid w:val="0"/>
        <w:spacing w:line="360" w:lineRule="auto"/>
        <w:ind w:firstLine="480" w:firstLineChars="200"/>
        <w:rPr>
          <w:rFonts w:ascii="宋体" w:hAnsi="宋体"/>
          <w:bCs/>
          <w:sz w:val="24"/>
        </w:rPr>
      </w:pPr>
      <w:r>
        <w:rPr>
          <w:rFonts w:hint="eastAsia" w:ascii="宋体" w:hAnsi="宋体"/>
          <w:bCs/>
          <w:sz w:val="24"/>
          <w:lang w:val="en-US" w:eastAsia="zh-CN"/>
        </w:rPr>
        <w:t>本条</w:t>
      </w:r>
      <w:r>
        <w:rPr>
          <w:rFonts w:hint="eastAsia" w:ascii="宋体" w:hAnsi="宋体"/>
          <w:bCs/>
          <w:sz w:val="24"/>
        </w:rPr>
        <w:t>补充</w:t>
      </w:r>
      <w:r>
        <w:rPr>
          <w:rFonts w:ascii="宋体" w:hAnsi="宋体"/>
          <w:bCs/>
          <w:sz w:val="24"/>
        </w:rPr>
        <w:t>第</w:t>
      </w:r>
      <w:r>
        <w:rPr>
          <w:rFonts w:hint="eastAsia" w:ascii="宋体" w:hAnsi="宋体"/>
          <w:bCs/>
          <w:sz w:val="24"/>
        </w:rPr>
        <w:t>4.1</w:t>
      </w:r>
      <w:r>
        <w:rPr>
          <w:rFonts w:ascii="宋体" w:hAnsi="宋体"/>
          <w:bCs/>
          <w:sz w:val="24"/>
        </w:rPr>
        <w:t>3</w:t>
      </w:r>
      <w:r>
        <w:rPr>
          <w:rFonts w:hint="eastAsia" w:ascii="宋体" w:hAnsi="宋体"/>
          <w:bCs/>
          <w:sz w:val="24"/>
        </w:rPr>
        <w:t>款</w:t>
      </w:r>
      <w:r>
        <w:rPr>
          <w:rFonts w:hint="eastAsia" w:ascii="宋体" w:hAnsi="宋体" w:cs="宋体"/>
          <w:bCs/>
          <w:sz w:val="24"/>
        </w:rPr>
        <w:t>、</w:t>
      </w:r>
      <w:r>
        <w:rPr>
          <w:rFonts w:hint="eastAsia" w:ascii="宋体" w:hAnsi="宋体"/>
          <w:bCs/>
          <w:sz w:val="24"/>
        </w:rPr>
        <w:t>第4</w:t>
      </w:r>
      <w:r>
        <w:rPr>
          <w:rFonts w:ascii="宋体" w:hAnsi="宋体"/>
          <w:bCs/>
          <w:sz w:val="24"/>
        </w:rPr>
        <w:t>.1</w:t>
      </w:r>
      <w:r>
        <w:rPr>
          <w:rFonts w:hint="eastAsia" w:ascii="宋体" w:hAnsi="宋体"/>
          <w:bCs/>
          <w:sz w:val="24"/>
        </w:rPr>
        <w:t>4款</w:t>
      </w:r>
      <w:r>
        <w:rPr>
          <w:rFonts w:ascii="宋体" w:hAnsi="宋体"/>
          <w:bCs/>
          <w:sz w:val="24"/>
        </w:rPr>
        <w:t>：</w:t>
      </w:r>
    </w:p>
    <w:p w14:paraId="7BF176BE">
      <w:pPr>
        <w:pStyle w:val="2"/>
        <w:keepNext w:val="0"/>
        <w:keepLines w:val="0"/>
        <w:widowControl/>
        <w:spacing w:before="240" w:after="240" w:line="240" w:lineRule="atLeast"/>
        <w:jc w:val="left"/>
        <w:rPr>
          <w:rFonts w:ascii="黑体"/>
          <w:b w:val="0"/>
          <w:sz w:val="24"/>
          <w:szCs w:val="24"/>
        </w:rPr>
      </w:pPr>
      <w:bookmarkStart w:id="761" w:name="_Toc53685737"/>
      <w:r>
        <w:rPr>
          <w:rFonts w:hint="eastAsia" w:ascii="黑体"/>
          <w:b w:val="0"/>
          <w:sz w:val="24"/>
          <w:szCs w:val="24"/>
          <w:lang w:bidi="ar"/>
        </w:rPr>
        <w:t xml:space="preserve">4.13 投标文件的完备性 </w:t>
      </w:r>
    </w:p>
    <w:p w14:paraId="000C1748">
      <w:pPr>
        <w:widowControl/>
        <w:autoSpaceDE w:val="0"/>
        <w:autoSpaceDN w:val="0"/>
        <w:adjustRightInd w:val="0"/>
        <w:spacing w:before="240" w:after="240" w:line="360" w:lineRule="auto"/>
        <w:ind w:firstLine="480" w:firstLineChars="200"/>
        <w:jc w:val="left"/>
        <w:rPr>
          <w:rFonts w:ascii="黑体"/>
          <w:sz w:val="24"/>
        </w:rPr>
      </w:pPr>
      <w:r>
        <w:rPr>
          <w:rFonts w:hint="eastAsia" w:ascii="宋体" w:hAnsi="宋体"/>
          <w:kern w:val="0"/>
          <w:sz w:val="24"/>
          <w:lang w:bidi="ar"/>
        </w:rPr>
        <w:t>合同双方一致认为，承包人在递交投标文件前，对本合同工程的投标文件和已标价报价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1AA92D75">
      <w:pPr>
        <w:pStyle w:val="2"/>
        <w:spacing w:before="240" w:after="240" w:line="240" w:lineRule="atLeast"/>
        <w:rPr>
          <w:rFonts w:ascii="黑体"/>
          <w:sz w:val="24"/>
          <w:szCs w:val="24"/>
        </w:rPr>
      </w:pPr>
      <w:r>
        <w:rPr>
          <w:rFonts w:ascii="黑体"/>
          <w:b w:val="0"/>
          <w:sz w:val="24"/>
          <w:szCs w:val="24"/>
        </w:rPr>
        <w:t>4.1</w:t>
      </w:r>
      <w:r>
        <w:rPr>
          <w:rFonts w:hint="eastAsia" w:ascii="黑体"/>
          <w:b w:val="0"/>
          <w:sz w:val="24"/>
          <w:szCs w:val="24"/>
        </w:rPr>
        <w:t>4</w:t>
      </w:r>
      <w:r>
        <w:rPr>
          <w:rFonts w:ascii="黑体"/>
          <w:b w:val="0"/>
          <w:sz w:val="24"/>
          <w:szCs w:val="24"/>
        </w:rPr>
        <w:t xml:space="preserve"> </w:t>
      </w:r>
      <w:r>
        <w:rPr>
          <w:rFonts w:hint="eastAsia" w:ascii="黑体"/>
          <w:b w:val="0"/>
          <w:sz w:val="24"/>
          <w:szCs w:val="24"/>
        </w:rPr>
        <w:t>开展党建工作要求</w:t>
      </w:r>
      <w:r>
        <w:rPr>
          <w:rFonts w:ascii="黑体"/>
          <w:b w:val="0"/>
          <w:sz w:val="24"/>
          <w:szCs w:val="24"/>
        </w:rPr>
        <w:t xml:space="preserve"> </w:t>
      </w:r>
    </w:p>
    <w:p w14:paraId="4F2FF807">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对于承包人为国有控股或参股企业的，承包人应按规定在项目现场设立基层党组织。不满足上述情形的，承包人应创造条件使党员能够参加党组织生活并接受相应管理。</w:t>
      </w:r>
      <w:r>
        <w:rPr>
          <w:rFonts w:ascii="宋体" w:hAnsi="宋体"/>
          <w:kern w:val="0"/>
          <w:sz w:val="24"/>
        </w:rPr>
        <w:t xml:space="preserve"> </w:t>
      </w:r>
    </w:p>
    <w:p w14:paraId="1A16F0DA">
      <w:pPr>
        <w:autoSpaceDE w:val="0"/>
        <w:autoSpaceDN w:val="0"/>
        <w:adjustRightInd w:val="0"/>
        <w:spacing w:line="360" w:lineRule="auto"/>
        <w:ind w:firstLine="480" w:firstLineChars="200"/>
        <w:jc w:val="left"/>
        <w:rPr>
          <w:rFonts w:ascii="宋体" w:hAnsi="宋体"/>
          <w:b/>
          <w:kern w:val="0"/>
          <w:sz w:val="24"/>
        </w:rPr>
      </w:pPr>
      <w:r>
        <w:rPr>
          <w:rFonts w:hint="eastAsia" w:ascii="宋体" w:hAnsi="宋体"/>
          <w:kern w:val="0"/>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bookmarkEnd w:id="758"/>
    <w:bookmarkEnd w:id="761"/>
    <w:p w14:paraId="39095CE2">
      <w:pPr>
        <w:pStyle w:val="2"/>
        <w:spacing w:before="360" w:after="240" w:line="240" w:lineRule="atLeast"/>
        <w:rPr>
          <w:rFonts w:ascii="黑体"/>
          <w:b w:val="0"/>
          <w:sz w:val="28"/>
          <w:szCs w:val="28"/>
        </w:rPr>
      </w:pPr>
      <w:r>
        <w:rPr>
          <w:rFonts w:ascii="黑体"/>
          <w:b w:val="0"/>
          <w:sz w:val="28"/>
          <w:szCs w:val="28"/>
        </w:rPr>
        <w:t>5. 设计</w:t>
      </w:r>
    </w:p>
    <w:p w14:paraId="38327132">
      <w:pPr>
        <w:pStyle w:val="2"/>
        <w:adjustRightInd w:val="0"/>
        <w:snapToGrid w:val="0"/>
        <w:spacing w:before="240" w:after="240" w:line="240" w:lineRule="atLeast"/>
        <w:rPr>
          <w:rFonts w:ascii="黑体"/>
          <w:b w:val="0"/>
          <w:sz w:val="24"/>
          <w:szCs w:val="24"/>
        </w:rPr>
      </w:pPr>
      <w:r>
        <w:rPr>
          <w:rFonts w:ascii="黑体"/>
          <w:b w:val="0"/>
          <w:sz w:val="24"/>
          <w:szCs w:val="24"/>
        </w:rPr>
        <w:t>5.1</w:t>
      </w:r>
      <w:r>
        <w:rPr>
          <w:rFonts w:hint="eastAsia" w:ascii="黑体"/>
          <w:b w:val="0"/>
          <w:sz w:val="24"/>
          <w:szCs w:val="24"/>
          <w:lang w:val="en-US" w:eastAsia="zh-CN"/>
        </w:rPr>
        <w:t xml:space="preserve"> </w:t>
      </w:r>
      <w:r>
        <w:rPr>
          <w:rFonts w:ascii="黑体"/>
          <w:b w:val="0"/>
          <w:sz w:val="24"/>
          <w:szCs w:val="24"/>
        </w:rPr>
        <w:t>承包人的设计义务</w:t>
      </w:r>
    </w:p>
    <w:p w14:paraId="7D7B60B3">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bidi="ar"/>
        </w:rPr>
        <w:t xml:space="preserve">第5.1.1项细化为： </w:t>
      </w:r>
    </w:p>
    <w:p w14:paraId="0FDB18AD">
      <w:pPr>
        <w:widowControl/>
        <w:adjustRightInd w:val="0"/>
        <w:snapToGrid w:val="0"/>
        <w:spacing w:line="360" w:lineRule="auto"/>
        <w:ind w:firstLine="360" w:firstLineChars="150"/>
        <w:jc w:val="left"/>
        <w:rPr>
          <w:rFonts w:hint="eastAsia" w:ascii="黑体" w:hAnsi="黑体" w:eastAsia="黑体"/>
          <w:kern w:val="2"/>
          <w:sz w:val="24"/>
          <w:lang w:bidi="ar"/>
        </w:rPr>
      </w:pPr>
      <w:r>
        <w:rPr>
          <w:rFonts w:hint="eastAsia" w:ascii="黑体" w:hAnsi="黑体" w:eastAsia="黑体"/>
          <w:sz w:val="24"/>
          <w:lang w:bidi="ar"/>
        </w:rPr>
        <w:t xml:space="preserve">5.1.1 </w:t>
      </w:r>
      <w:r>
        <w:rPr>
          <w:rFonts w:ascii="黑体" w:hAnsi="黑体" w:eastAsia="黑体"/>
          <w:sz w:val="24"/>
          <w:lang w:bidi="ar"/>
        </w:rPr>
        <w:t xml:space="preserve">设计义务的一般要求 </w:t>
      </w:r>
    </w:p>
    <w:p w14:paraId="0EE602F9">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bidi="ar"/>
        </w:rPr>
        <w:t xml:space="preserve">5.1.1.1 承包人应根据批复的初步设计文件（技术设计文件，如有）和交通运输部《公路工程基本建设项目设计文件编制办法》规定的设计深度，完成本合同工程的施工图勘察设计工作。 </w:t>
      </w:r>
    </w:p>
    <w:p w14:paraId="074ADA87">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 xml:space="preserve">5.1.1.2 承包人应按照交通运输部《公路勘察设计工序管理试行办法》等相关资料做好施工图勘察设计的质量管理工作，建立健全施工图勘察设计质量保证体系，加强施工图设计全过程的质量控制，建立完整的施工图设计文件的设计、复核、审核、会签和批准制度，明确各阶段的责任人，并对本合同工程的施工图勘察设计质量负责。 </w:t>
      </w:r>
    </w:p>
    <w:p w14:paraId="3411ECE7">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 xml:space="preserve">5.1.1.3 在勘察设计过程中，承包人应与本项目相干扰的铁路、航道、水利、管线、电力电信及其他相关建筑设施或特殊保护区域的主管部门进行协商，获得项目相干扰部门对推荐路线的认同意见、协议、批准文件或纪要等，以确保本项目顺利实施。 </w:t>
      </w:r>
    </w:p>
    <w:p w14:paraId="40839B83">
      <w:pPr>
        <w:spacing w:line="360" w:lineRule="auto"/>
        <w:ind w:firstLine="480" w:firstLineChars="200"/>
        <w:rPr>
          <w:rFonts w:ascii="宋体" w:hAnsi="宋体"/>
          <w:sz w:val="24"/>
        </w:rPr>
      </w:pPr>
      <w:r>
        <w:rPr>
          <w:rFonts w:hint="eastAsia" w:ascii="宋体" w:hAnsi="宋体"/>
          <w:sz w:val="24"/>
        </w:rPr>
        <w:t>5.1.1.4</w:t>
      </w:r>
      <w:r>
        <w:rPr>
          <w:rFonts w:hint="eastAsia" w:ascii="宋体" w:hAnsi="宋体"/>
          <w:sz w:val="24"/>
          <w:lang w:val="en-US" w:eastAsia="zh-CN"/>
        </w:rPr>
        <w:t xml:space="preserve"> </w:t>
      </w:r>
      <w:r>
        <w:rPr>
          <w:rFonts w:hint="eastAsia" w:ascii="宋体" w:hAnsi="宋体"/>
          <w:sz w:val="24"/>
        </w:rPr>
        <w:t>承包人对本合同工程勘察设计质量承担设计使用年限内的终身责任。</w:t>
      </w:r>
    </w:p>
    <w:p w14:paraId="1B623BB5">
      <w:pPr>
        <w:widowControl/>
        <w:spacing w:line="360" w:lineRule="auto"/>
        <w:ind w:firstLine="480" w:firstLineChars="200"/>
        <w:jc w:val="both"/>
        <w:rPr>
          <w:rFonts w:ascii="宋体" w:hAnsi="宋体"/>
          <w:sz w:val="24"/>
        </w:rPr>
      </w:pPr>
      <w:r>
        <w:rPr>
          <w:rFonts w:hint="eastAsia" w:ascii="宋体" w:hAnsi="宋体"/>
          <w:sz w:val="24"/>
        </w:rPr>
        <w:t>5.1.1.5</w:t>
      </w:r>
      <w:r>
        <w:rPr>
          <w:rFonts w:hint="eastAsia" w:ascii="宋体" w:hAnsi="宋体"/>
          <w:sz w:val="24"/>
          <w:lang w:val="en-US" w:eastAsia="zh-CN"/>
        </w:rPr>
        <w:t xml:space="preserve"> </w:t>
      </w:r>
      <w:r>
        <w:rPr>
          <w:rFonts w:hint="eastAsia" w:ascii="宋体" w:hAnsi="宋体"/>
          <w:sz w:val="24"/>
          <w:lang w:bidi="ar"/>
        </w:rPr>
        <w:t>承包人应充分考虑各项线外工程的设计以及相关的处理措施，并在投标报价中充分考虑各项线外工程费用。在项目实施过程中，由于工程施工或设计原因(不</w:t>
      </w:r>
      <w:r>
        <w:rPr>
          <w:rFonts w:hint="eastAsia" w:ascii="宋体" w:hAnsi="宋体"/>
          <w:sz w:val="24"/>
          <w:lang w:val="en-US" w:eastAsia="zh-CN" w:bidi="ar"/>
        </w:rPr>
        <w:t>包括</w:t>
      </w:r>
      <w:r>
        <w:rPr>
          <w:rFonts w:hint="eastAsia" w:ascii="宋体" w:hAnsi="宋体"/>
          <w:sz w:val="24"/>
          <w:lang w:bidi="ar"/>
        </w:rPr>
        <w:t xml:space="preserve">项目立项、初步设计、技术设计等非施工图设计阶段的原因) 造成原有道路设施、电力电讯设施、灌溉饮用等设施中断或不能满足需要，导致当地群众的生产、生活受到影响，由此产生的恢复、改移、新建等工程一律视为线外工程(包括由此引起的新增涵洞、通道以及红线范围以内的相关道路、排水设施等)，由承包人负责，其工程费用、征地拆迁费用、补偿费用全部由承包人负责，并应保证发包人免于承担因上述问题所引起的一切补偿费、诉讼费、损害赔偿、指控费及其它费用开支。若承包人未能及时实施或不愿实施，则发包人将直接委托他人实施，所发生的一切费用由承包人负责。 </w:t>
      </w:r>
    </w:p>
    <w:p w14:paraId="0937C2E5">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 xml:space="preserve">5.1.1.6 勘察的一般规定 </w:t>
      </w:r>
    </w:p>
    <w:p w14:paraId="119C4AB6">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1）承包人应当按照法律、法规和工程建设强制性标准进行勘察，重视地质环境对安全的影响，提交的勘察文件应当真实、准确、可靠，满足本工程安全生产的需要。承包人应当对有可能引发公路工程安全隐患的地质灾害提出防治建议。承包人及其勘察人员对勘察结论负责。 </w:t>
      </w:r>
    </w:p>
    <w:p w14:paraId="6A2988E2">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承包人应根据相关技术标准规范的要求，针对项目区域地形地质特点及工程建设需要，提出外业勘察特别是地质勘察的工作量、勘察重点，编制外业勘察与地质勘察指导书，并报发包人批准。凡是由于勘察设计单位未完成地质勘察指导书所确定的工作量而引发重大设计变更的，发包人不予确认，并追究相关单位的责任。</w:t>
      </w:r>
    </w:p>
    <w:p w14:paraId="22C87DA9">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（2）工程勘察布点应参考发包人提供的资料。勘探点的数量、深度和位置可根据地质情况和现场条件依据规范进行调整，但应经发包人同意和批准。 </w:t>
      </w:r>
    </w:p>
    <w:p w14:paraId="4855ED39">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（3）勘探过程中应认真记录每日工作内容，保存原始记录资料与数据，以供发包人检查和分析。 </w:t>
      </w:r>
    </w:p>
    <w:p w14:paraId="3C9FE325">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（4）在钻探进行中，如发包人根据规范需要更改取样间距与现场试验的要求，或更改钻孔深度，承包人应积极配合并安排实施。 </w:t>
      </w:r>
    </w:p>
    <w:p w14:paraId="7BBF6447">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5）承包人在钻探过程中应对地下管线和构筑物进行相应保护，遇到地下文物时应及时向发包人和文物保护部门汇报并妥善保护。承包人在钻探过程中应采取有效的环境保护措施，避免对周围环境造成破坏或污染。 </w:t>
      </w:r>
    </w:p>
    <w:p w14:paraId="432A57ED">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6）承包人在进行外业勘察时，应采取有效措施避免对原有道路、桥梁、构造物及其它公共设施或地上附着物造成损坏或损伤。如造成损坏或损伤而引起的一切索赔、赔偿、诉讼费用和其他费用，由承包人自行承担。</w:t>
      </w:r>
    </w:p>
    <w:p w14:paraId="24C6C635">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7）承包人应加强公路用地范围内附着物的勘察工作，应在提供的平面图上给出最新的地质、地貌现状，做到准确无误。《公路用地图及拆迁资料》上均应明确标示地物点、范围和实际形状。如：道路、房屋（含结构、层数和屋内外装饰）、架空线路、光（电）缆、坟墓等；承包人使用提供的地形图应采用最新的测绘出版局出版的图，提供的用地图应满足国土资源部门的有关报送要求，承包人应对取、弃土场提出具体意见并提供用地图，取、弃土用地也应严格执行国家耕地保护的有关土地政策，避免乱占、乱用土地。</w:t>
      </w:r>
    </w:p>
    <w:p w14:paraId="17260582">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（8）承包人应接受发包人或发包人委托的设计咨询审查单位对其工作进行全面审查，但不能因此而免除承包人根据合同规定应负的任何责任和义务。</w:t>
      </w:r>
    </w:p>
    <w:p w14:paraId="5B08750D">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外业勘察验收工作是开展设计工作的基本要求和条件。发包人将会同交通运输主管部门，组织有关单位和专家进行外业勘察验收，特别是地质勘察专项验收工作。凡是勘察工作量没有完成、深度不足的，不得组织验收，验收不合格的不得开展内业设计工作</w:t>
      </w:r>
      <w:r>
        <w:rPr>
          <w:kern w:val="0"/>
          <w:szCs w:val="21"/>
        </w:rPr>
        <w:t>。</w:t>
      </w:r>
    </w:p>
    <w:p w14:paraId="4B86595E">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①发包人或其委托的监理人将派出技术人员进行定期或不定期开展勘察外业、内业、影像资料记录及作业安全的检查和监督，承包人应对检查工作认真对待，杜绝弄虚作假。承包人应根据勘察进度及时提供勘察设计成果（含电子图）供发包人或其委托的设计咨询审查单位检查、使用。若发包人或其委托的设计咨询审查单位检查结果与承包人提交的成果偏差较大或成果精度不能满足相关技术规范要求的，承包人应无条件重新勘察。</w:t>
      </w:r>
    </w:p>
    <w:p w14:paraId="6D256332">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2 \* GB3 \* MERGEFORMAT </w:instrText>
      </w:r>
      <w:r>
        <w:rPr>
          <w:rFonts w:hint="eastAsia" w:ascii="宋体" w:hAnsi="宋体" w:cs="宋体"/>
          <w:kern w:val="0"/>
          <w:sz w:val="24"/>
          <w:lang w:bidi="ar"/>
        </w:rPr>
        <w:fldChar w:fldCharType="separate"/>
      </w:r>
      <w:r>
        <w:rPr>
          <w:rFonts w:hint="eastAsia" w:ascii="宋体" w:hAnsi="宋体" w:cs="宋体"/>
          <w:kern w:val="0"/>
          <w:sz w:val="24"/>
          <w:lang w:bidi="ar"/>
        </w:rPr>
        <w:t>②</w:t>
      </w:r>
      <w:r>
        <w:rPr>
          <w:rFonts w:hint="eastAsia" w:ascii="宋体" w:hAnsi="宋体" w:cs="宋体"/>
          <w:kern w:val="0"/>
          <w:sz w:val="24"/>
          <w:lang w:bidi="ar"/>
        </w:rPr>
        <w:fldChar w:fldCharType="end"/>
      </w:r>
      <w:r>
        <w:rPr>
          <w:rFonts w:hint="eastAsia" w:ascii="宋体" w:hAnsi="宋体" w:cs="宋体"/>
          <w:kern w:val="0"/>
          <w:sz w:val="24"/>
          <w:lang w:bidi="ar"/>
        </w:rPr>
        <w:t>承包人钻探完成后，发包人或其委托的设计咨询审查单位将对孔位、数量、钻探的深度、孔径、岩芯取样等进行检查验收，但并不免除承包人根据合同规定应负的责任。检查结果与承包人提交的成果相吻合，由此产生的检查费用，由发包人承担；若检查结果与承包人提交的成果偏差较大的，承包人应进行补勘补钻工作，由此产生的费用由承包人承担（含发包人委托的相关费用）。只有在钻探满足有关规定后，发包人才予全部支付承包人的地质勘察费用。若需返工或重新钻探的，重新布孔方案仍需报备。</w:t>
      </w:r>
    </w:p>
    <w:p w14:paraId="69D1E323">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5.1.1.7</w:t>
      </w:r>
      <w:r>
        <w:rPr>
          <w:rFonts w:hint="eastAsia" w:ascii="宋体" w:hAnsi="宋体" w:cs="宋体"/>
          <w:kern w:val="0"/>
          <w:sz w:val="24"/>
          <w:lang w:val="en-US" w:eastAsia="zh-CN" w:bidi="ar"/>
        </w:rPr>
        <w:t xml:space="preserve"> </w:t>
      </w:r>
      <w:r>
        <w:rPr>
          <w:rFonts w:hint="eastAsia" w:ascii="宋体" w:hAnsi="宋体" w:cs="宋体"/>
          <w:kern w:val="0"/>
          <w:sz w:val="24"/>
          <w:lang w:bidi="ar"/>
        </w:rPr>
        <w:t xml:space="preserve">设计的一般规定 </w:t>
      </w:r>
    </w:p>
    <w:p w14:paraId="032DE5DB">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1）承包人应当按照法律、法规和工程建设强制性标准进行设计，防止因设计不合理导致安全生产隐患或者生产安全事故的发生。采用新结构、新材料、新工艺的工程和特殊结构的工程，承包人应当在设计文件中提出保障施工作业人员安全和预防生产安全事故的措施建议。承包人及其设计人员对其设计负责。 </w:t>
      </w:r>
    </w:p>
    <w:p w14:paraId="6A759F9E">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2）承包人必须贯彻绿色工程、品质工程、交通旅游理念，为之后的实施和相关工作的开展打好坚实的基础，同时坚持“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 </w:t>
      </w:r>
    </w:p>
    <w:p w14:paraId="584ACBD7">
      <w:pPr>
        <w:widowControl/>
        <w:spacing w:line="360" w:lineRule="auto"/>
        <w:ind w:firstLine="480" w:firstLineChars="200"/>
        <w:jc w:val="both"/>
        <w:rPr>
          <w:kern w:val="0"/>
          <w:szCs w:val="21"/>
        </w:rPr>
      </w:pPr>
      <w:r>
        <w:rPr>
          <w:rFonts w:hint="eastAsia" w:ascii="宋体" w:hAnsi="宋体" w:cs="宋体"/>
          <w:kern w:val="0"/>
          <w:sz w:val="24"/>
          <w:lang w:bidi="ar"/>
        </w:rPr>
        <w:t>（3）承包人必须认真贯彻”六个坚持，六个树立“的新理念：“第一，坚持以人为本，树立安全至上的理念；第二，坚持人与自然相和谐，树立尊重自然、保护环境的理念。第三，坚持可持续发展，树立节约资源的理念。第四，坚持质量第一，树立让公众满意的理念。第五，坚持合理选用技术指标，树立设计创作的理念。第六，坚持系统论的思想，树立全寿命周期成本管控的理</w:t>
      </w:r>
      <w:r>
        <w:rPr>
          <w:kern w:val="0"/>
          <w:szCs w:val="21"/>
        </w:rPr>
        <w:t>念”。</w:t>
      </w:r>
    </w:p>
    <w:p w14:paraId="1DAEE64A">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（4）设计文件必须符合下列要求： </w:t>
      </w:r>
    </w:p>
    <w:p w14:paraId="0FC5E8A6">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1 \* GB3 \* MERGEFORMAT </w:instrText>
      </w:r>
      <w:r>
        <w:rPr>
          <w:rFonts w:hint="eastAsia" w:ascii="宋体" w:hAnsi="宋体" w:cs="宋体"/>
          <w:kern w:val="0"/>
          <w:sz w:val="24"/>
          <w:lang w:bidi="ar"/>
        </w:rPr>
        <w:fldChar w:fldCharType="separate"/>
      </w:r>
      <w:r>
        <w:t>①</w:t>
      </w:r>
      <w:r>
        <w:rPr>
          <w:rFonts w:hint="eastAsia" w:ascii="宋体" w:hAnsi="宋体" w:cs="宋体"/>
          <w:kern w:val="0"/>
          <w:sz w:val="24"/>
          <w:lang w:bidi="ar"/>
        </w:rPr>
        <w:fldChar w:fldCharType="end"/>
      </w:r>
      <w:r>
        <w:rPr>
          <w:rFonts w:hint="eastAsia" w:ascii="宋体" w:hAnsi="宋体" w:cs="宋体"/>
          <w:kern w:val="0"/>
          <w:sz w:val="24"/>
          <w:lang w:bidi="ar"/>
        </w:rPr>
        <w:t xml:space="preserve">设计文件的编制必须严格执行国家基本建设程序、工程建设标准强制性条文及有关公路工程建设的法律、法规、规章、规范、标准、规程、定额和合同的要求； </w:t>
      </w:r>
    </w:p>
    <w:p w14:paraId="1E82A56D">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2 \* GB3 \* MERGEFORMAT </w:instrText>
      </w:r>
      <w:r>
        <w:rPr>
          <w:rFonts w:hint="eastAsia" w:ascii="宋体" w:hAnsi="宋体" w:cs="宋体"/>
          <w:kern w:val="0"/>
          <w:sz w:val="24"/>
          <w:lang w:bidi="ar"/>
        </w:rPr>
        <w:fldChar w:fldCharType="separate"/>
      </w:r>
      <w:r>
        <w:t>②</w:t>
      </w:r>
      <w:r>
        <w:rPr>
          <w:rFonts w:hint="eastAsia" w:ascii="宋体" w:hAnsi="宋体" w:cs="宋体"/>
          <w:kern w:val="0"/>
          <w:sz w:val="24"/>
          <w:lang w:bidi="ar"/>
        </w:rPr>
        <w:fldChar w:fldCharType="end"/>
      </w:r>
      <w:r>
        <w:rPr>
          <w:rFonts w:hint="eastAsia" w:ascii="宋体" w:hAnsi="宋体" w:cs="宋体"/>
          <w:kern w:val="0"/>
          <w:sz w:val="24"/>
          <w:lang w:bidi="ar"/>
        </w:rPr>
        <w:t xml:space="preserve">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 </w:t>
      </w:r>
    </w:p>
    <w:p w14:paraId="684366C9">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3 \* GB3 \* MERGEFORMAT </w:instrText>
      </w:r>
      <w:r>
        <w:rPr>
          <w:rFonts w:hint="eastAsia" w:ascii="宋体" w:hAnsi="宋体" w:cs="宋体"/>
          <w:kern w:val="0"/>
          <w:sz w:val="24"/>
          <w:lang w:bidi="ar"/>
        </w:rPr>
        <w:fldChar w:fldCharType="separate"/>
      </w:r>
      <w:r>
        <w:rPr>
          <w:rFonts w:hint="eastAsia" w:ascii="宋体" w:hAnsi="宋体" w:cs="宋体"/>
          <w:kern w:val="0"/>
          <w:sz w:val="24"/>
          <w:lang w:bidi="ar"/>
        </w:rPr>
        <w:t>③</w:t>
      </w:r>
      <w:r>
        <w:rPr>
          <w:rFonts w:hint="eastAsia" w:ascii="宋体" w:hAnsi="宋体" w:cs="宋体"/>
          <w:kern w:val="0"/>
          <w:sz w:val="24"/>
          <w:lang w:bidi="ar"/>
        </w:rPr>
        <w:fldChar w:fldCharType="end"/>
      </w:r>
      <w:r>
        <w:rPr>
          <w:rFonts w:hint="eastAsia" w:ascii="宋体" w:hAnsi="宋体" w:cs="宋体"/>
          <w:kern w:val="0"/>
          <w:sz w:val="24"/>
          <w:lang w:bidi="ar"/>
        </w:rPr>
        <w:t>设计依据的基本资料应完整、准确、可靠，设计方案论证充分，计算可靠，并符合系统运行安全的要求；</w:t>
      </w:r>
    </w:p>
    <w:p w14:paraId="57116EB8">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4 \* GB3 \* MERGEFORMAT </w:instrText>
      </w:r>
      <w:r>
        <w:rPr>
          <w:rFonts w:hint="eastAsia" w:ascii="宋体" w:hAnsi="宋体" w:cs="宋体"/>
          <w:kern w:val="0"/>
          <w:sz w:val="24"/>
          <w:lang w:bidi="ar"/>
        </w:rPr>
        <w:fldChar w:fldCharType="separate"/>
      </w:r>
      <w:r>
        <w:t>④</w:t>
      </w:r>
      <w:r>
        <w:rPr>
          <w:rFonts w:hint="eastAsia" w:ascii="宋体" w:hAnsi="宋体" w:cs="宋体"/>
          <w:kern w:val="0"/>
          <w:sz w:val="24"/>
          <w:lang w:bidi="ar"/>
        </w:rPr>
        <w:fldChar w:fldCharType="end"/>
      </w:r>
      <w:r>
        <w:rPr>
          <w:rFonts w:hint="eastAsia" w:ascii="宋体" w:hAnsi="宋体" w:cs="宋体"/>
          <w:kern w:val="0"/>
          <w:sz w:val="24"/>
          <w:lang w:bidi="ar"/>
        </w:rPr>
        <w:t xml:space="preserve">设计文件的深度应满足相应设计阶段的有关规定，并符合相关规范的要求； </w:t>
      </w:r>
    </w:p>
    <w:p w14:paraId="2397ADAB">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5 \* GB3 \* MERGEFORMAT </w:instrText>
      </w:r>
      <w:r>
        <w:rPr>
          <w:rFonts w:hint="eastAsia" w:ascii="宋体" w:hAnsi="宋体" w:cs="宋体"/>
          <w:kern w:val="0"/>
          <w:sz w:val="24"/>
          <w:lang w:bidi="ar"/>
        </w:rPr>
        <w:fldChar w:fldCharType="separate"/>
      </w:r>
      <w:r>
        <w:t>⑤</w:t>
      </w:r>
      <w:r>
        <w:rPr>
          <w:rFonts w:hint="eastAsia" w:ascii="宋体" w:hAnsi="宋体" w:cs="宋体"/>
          <w:kern w:val="0"/>
          <w:sz w:val="24"/>
          <w:lang w:bidi="ar"/>
        </w:rPr>
        <w:fldChar w:fldCharType="end"/>
      </w:r>
      <w:r>
        <w:rPr>
          <w:rFonts w:hint="eastAsia" w:ascii="宋体" w:hAnsi="宋体" w:cs="宋体"/>
          <w:kern w:val="0"/>
          <w:sz w:val="24"/>
          <w:lang w:bidi="ar"/>
        </w:rPr>
        <w:t xml:space="preserve">设计文件必须保证工程质量和安全的要求，符合安全、适用、耐久、经济、美观的综合要求；并应特别注意沿线景观及沿线设施的协调性和环境保护、水土保持的要求； </w:t>
      </w:r>
    </w:p>
    <w:p w14:paraId="57CAD277">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6 \* GB3 \* MERGEFORMAT </w:instrText>
      </w:r>
      <w:r>
        <w:rPr>
          <w:rFonts w:hint="eastAsia" w:ascii="宋体" w:hAnsi="宋体" w:cs="宋体"/>
          <w:kern w:val="0"/>
          <w:sz w:val="24"/>
          <w:lang w:bidi="ar"/>
        </w:rPr>
        <w:fldChar w:fldCharType="separate"/>
      </w:r>
      <w:r>
        <w:t>⑥</w:t>
      </w:r>
      <w:r>
        <w:rPr>
          <w:rFonts w:hint="eastAsia" w:ascii="宋体" w:hAnsi="宋体" w:cs="宋体"/>
          <w:kern w:val="0"/>
          <w:sz w:val="24"/>
          <w:lang w:bidi="ar"/>
        </w:rPr>
        <w:fldChar w:fldCharType="end"/>
      </w:r>
      <w:r>
        <w:rPr>
          <w:rFonts w:hint="eastAsia" w:ascii="宋体" w:hAnsi="宋体" w:cs="宋体"/>
          <w:kern w:val="0"/>
          <w:sz w:val="24"/>
          <w:lang w:bidi="ar"/>
        </w:rPr>
        <w:t>设计文件中关于工程建设材料、配件和设备的选用，应当注明其性能及技术标准，其质量要求必须符合国家规定的标准</w:t>
      </w:r>
      <w:r>
        <w:rPr>
          <w:rFonts w:hint="eastAsia" w:ascii="宋体" w:hAnsi="宋体" w:cs="宋体"/>
          <w:kern w:val="0"/>
          <w:sz w:val="24"/>
          <w:lang w:eastAsia="zh-CN" w:bidi="ar"/>
        </w:rPr>
        <w:t>；</w:t>
      </w:r>
      <w:r>
        <w:rPr>
          <w:rFonts w:hint="eastAsia" w:ascii="宋体" w:hAnsi="宋体" w:cs="宋体"/>
          <w:kern w:val="0"/>
          <w:sz w:val="24"/>
          <w:lang w:bidi="ar"/>
        </w:rPr>
        <w:t xml:space="preserve"> </w:t>
      </w:r>
    </w:p>
    <w:p w14:paraId="34EADB23">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7 \* GB3 \* MERGEFORMAT </w:instrText>
      </w:r>
      <w:r>
        <w:rPr>
          <w:rFonts w:hint="eastAsia" w:ascii="宋体" w:hAnsi="宋体" w:cs="宋体"/>
          <w:kern w:val="0"/>
          <w:sz w:val="24"/>
          <w:lang w:bidi="ar"/>
        </w:rPr>
        <w:fldChar w:fldCharType="separate"/>
      </w:r>
      <w:r>
        <w:t>⑦</w:t>
      </w:r>
      <w:r>
        <w:rPr>
          <w:rFonts w:hint="eastAsia" w:ascii="宋体" w:hAnsi="宋体" w:cs="宋体"/>
          <w:kern w:val="0"/>
          <w:sz w:val="24"/>
          <w:lang w:bidi="ar"/>
        </w:rPr>
        <w:fldChar w:fldCharType="end"/>
      </w:r>
      <w:r>
        <w:rPr>
          <w:rFonts w:hint="eastAsia" w:ascii="宋体" w:hAnsi="宋体" w:cs="宋体"/>
          <w:kern w:val="0"/>
          <w:sz w:val="24"/>
          <w:lang w:bidi="ar"/>
        </w:rPr>
        <w:t xml:space="preserve">设计文件应当符合经审批的初步设计文件与技术设计文件的要求，并满足工程质量、耐久和安全的强制性标准和相关规定，设计文件不得降低初步设计与技术设计批复的质量安全标准，不得降低工程质量、耐久性和安全度。 </w:t>
      </w:r>
    </w:p>
    <w:p w14:paraId="134D0B6F">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（5）承包人可根据设计需要开展专题研究工作，提交相应专题研究报告，并通过发包人或上级主管部门的审查。</w:t>
      </w:r>
    </w:p>
    <w:p w14:paraId="36BCAD02">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（6）对于已经获得批准的施工图设计文件，发包人认为有部分工程需要优化时，承包人应根据发包人的要求进行优化设计。</w:t>
      </w:r>
    </w:p>
    <w:p w14:paraId="696A6217">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5.1.1.8</w:t>
      </w:r>
      <w:r>
        <w:rPr>
          <w:rFonts w:hint="eastAsia" w:ascii="宋体" w:hAnsi="宋体" w:cs="宋体"/>
          <w:kern w:val="0"/>
          <w:sz w:val="24"/>
          <w:lang w:val="en-US" w:eastAsia="zh-CN" w:bidi="ar"/>
        </w:rPr>
        <w:t xml:space="preserve"> </w:t>
      </w:r>
      <w:r>
        <w:rPr>
          <w:rFonts w:hint="eastAsia" w:ascii="宋体" w:hAnsi="宋体" w:cs="宋体"/>
          <w:kern w:val="0"/>
          <w:sz w:val="24"/>
          <w:lang w:bidi="ar"/>
        </w:rPr>
        <w:t xml:space="preserve">后续服务 </w:t>
      </w:r>
    </w:p>
    <w:p w14:paraId="43F049D8">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（1）承包人应在施工现场设立代表处或派驻经验丰富的设计代表常驻施工现场，做好施工现场服务，并负责解决施工过程中出现的设计问题： </w:t>
      </w:r>
    </w:p>
    <w:p w14:paraId="25D25477">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1 \* GB3 \* MERGEFORMAT </w:instrText>
      </w:r>
      <w:r>
        <w:rPr>
          <w:rFonts w:hint="eastAsia" w:ascii="宋体" w:hAnsi="宋体" w:cs="宋体"/>
          <w:kern w:val="0"/>
          <w:sz w:val="24"/>
          <w:lang w:bidi="ar"/>
        </w:rPr>
        <w:fldChar w:fldCharType="separate"/>
      </w:r>
      <w:r>
        <w:rPr>
          <w:sz w:val="24"/>
        </w:rPr>
        <w:t>①</w:t>
      </w:r>
      <w:r>
        <w:rPr>
          <w:rFonts w:hint="eastAsia" w:ascii="宋体" w:hAnsi="宋体" w:cs="宋体"/>
          <w:kern w:val="0"/>
          <w:sz w:val="24"/>
          <w:lang w:bidi="ar"/>
        </w:rPr>
        <w:fldChar w:fldCharType="end"/>
      </w:r>
      <w:r>
        <w:rPr>
          <w:rFonts w:hint="eastAsia" w:ascii="宋体" w:hAnsi="宋体" w:cs="宋体"/>
          <w:kern w:val="0"/>
          <w:sz w:val="24"/>
          <w:lang w:bidi="ar"/>
        </w:rPr>
        <w:t xml:space="preserve">开工前在发包人指定的时间内，做好设计文件的技术交底工作和现场控制点的交接工作(交桩)； </w:t>
      </w:r>
    </w:p>
    <w:p w14:paraId="46409FCB">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2 \* GB3 \* MERGEFORMAT </w:instrText>
      </w:r>
      <w:r>
        <w:rPr>
          <w:rFonts w:hint="eastAsia" w:ascii="宋体" w:hAnsi="宋体" w:cs="宋体"/>
          <w:kern w:val="0"/>
          <w:sz w:val="24"/>
          <w:lang w:bidi="ar"/>
        </w:rPr>
        <w:fldChar w:fldCharType="separate"/>
      </w:r>
      <w:r>
        <w:rPr>
          <w:sz w:val="24"/>
        </w:rPr>
        <w:t>②</w:t>
      </w:r>
      <w:r>
        <w:rPr>
          <w:rFonts w:hint="eastAsia" w:ascii="宋体" w:hAnsi="宋体" w:cs="宋体"/>
          <w:kern w:val="0"/>
          <w:sz w:val="24"/>
          <w:lang w:bidi="ar"/>
        </w:rPr>
        <w:fldChar w:fldCharType="end"/>
      </w:r>
      <w:r>
        <w:rPr>
          <w:rFonts w:hint="eastAsia" w:ascii="宋体" w:hAnsi="宋体" w:cs="宋体"/>
          <w:kern w:val="0"/>
          <w:sz w:val="24"/>
          <w:lang w:bidi="ar"/>
        </w:rPr>
        <w:t>在发包人规定的时间内有能力及时处理与解决施工中与设计有关的问题；</w:t>
      </w:r>
    </w:p>
    <w:p w14:paraId="2090EFB2">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3 \* GB3 \* MERGEFORMAT </w:instrText>
      </w:r>
      <w:r>
        <w:rPr>
          <w:rFonts w:hint="eastAsia" w:ascii="宋体" w:hAnsi="宋体" w:cs="宋体"/>
          <w:kern w:val="0"/>
          <w:sz w:val="24"/>
          <w:lang w:bidi="ar"/>
        </w:rPr>
        <w:fldChar w:fldCharType="separate"/>
      </w:r>
      <w:r>
        <w:rPr>
          <w:sz w:val="24"/>
        </w:rPr>
        <w:t>③</w:t>
      </w:r>
      <w:r>
        <w:rPr>
          <w:rFonts w:hint="eastAsia" w:ascii="宋体" w:hAnsi="宋体" w:cs="宋体"/>
          <w:kern w:val="0"/>
          <w:sz w:val="24"/>
          <w:lang w:bidi="ar"/>
        </w:rPr>
        <w:fldChar w:fldCharType="end"/>
      </w:r>
      <w:r>
        <w:rPr>
          <w:rFonts w:hint="eastAsia" w:ascii="宋体" w:hAnsi="宋体" w:cs="宋体"/>
          <w:kern w:val="0"/>
          <w:sz w:val="24"/>
          <w:lang w:bidi="ar"/>
        </w:rPr>
        <w:t xml:space="preserve">在发包人规定的时间内积极配合发包人对施工及设计方案进行优化设计； </w:t>
      </w:r>
    </w:p>
    <w:p w14:paraId="67C558DE">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4 \* GB3 \* MERGEFORMAT </w:instrText>
      </w:r>
      <w:r>
        <w:rPr>
          <w:rFonts w:hint="eastAsia" w:ascii="宋体" w:hAnsi="宋体" w:cs="宋体"/>
          <w:kern w:val="0"/>
          <w:sz w:val="24"/>
          <w:lang w:bidi="ar"/>
        </w:rPr>
        <w:fldChar w:fldCharType="separate"/>
      </w:r>
      <w:r>
        <w:rPr>
          <w:sz w:val="24"/>
        </w:rPr>
        <w:t>④</w:t>
      </w:r>
      <w:r>
        <w:rPr>
          <w:rFonts w:hint="eastAsia" w:ascii="宋体" w:hAnsi="宋体" w:cs="宋体"/>
          <w:kern w:val="0"/>
          <w:sz w:val="24"/>
          <w:lang w:bidi="ar"/>
        </w:rPr>
        <w:fldChar w:fldCharType="end"/>
      </w:r>
      <w:r>
        <w:rPr>
          <w:rFonts w:hint="eastAsia" w:ascii="宋体" w:hAnsi="宋体" w:cs="宋体"/>
          <w:kern w:val="0"/>
          <w:sz w:val="24"/>
          <w:lang w:bidi="ar"/>
        </w:rPr>
        <w:t>参与工程质量事故分析，并对因设计造成的质量事故，提出相应的技术处理方案</w:t>
      </w:r>
      <w:r>
        <w:rPr>
          <w:rFonts w:hint="eastAsia" w:ascii="宋体" w:hAnsi="宋体" w:cs="宋体"/>
          <w:kern w:val="0"/>
          <w:sz w:val="24"/>
          <w:lang w:eastAsia="zh-CN" w:bidi="ar"/>
        </w:rPr>
        <w:t>。</w:t>
      </w:r>
      <w:r>
        <w:rPr>
          <w:rFonts w:hint="eastAsia" w:ascii="宋体" w:hAnsi="宋体" w:cs="宋体"/>
          <w:kern w:val="0"/>
          <w:sz w:val="24"/>
          <w:lang w:bidi="ar"/>
        </w:rPr>
        <w:t xml:space="preserve"> </w:t>
      </w:r>
    </w:p>
    <w:p w14:paraId="25699009">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2）本项目设计变更的勘察设计由承包人承担，承包人应及时完成勘察设计，提交设计变更文件，并对设计变更文件承担相应责任。由于承包人原因造成的设计变更，造成勘察设计工作量的增加，其相关费用应视为已含入合同报价中，发包人不再另行支付。 </w:t>
      </w:r>
    </w:p>
    <w:p w14:paraId="7B38E898">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3）发包人定期对后期服务质量进行考核，考核结果将作为后期服务设计费用的计量支付依据。若发包人在工作中发现设计代表不称职或有违法行为时，有权提出更换，承包人应在发包人提出更换通知的7天内完成更换工作。</w:t>
      </w:r>
    </w:p>
    <w:p w14:paraId="079DE87B">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 xml:space="preserve">5.1.1.9 对于承包人设计文件中的错误、遗漏、含糊、不一致、不适当或其他缺陷，无论是否已通过各项审查，承包人均应自费对这些缺陷和其带来的工程问题进行改正。 </w:t>
      </w:r>
    </w:p>
    <w:p w14:paraId="1A6A647E">
      <w:pPr>
        <w:widowControl/>
        <w:spacing w:line="360" w:lineRule="auto"/>
        <w:ind w:firstLine="480" w:firstLineChars="200"/>
        <w:jc w:val="both"/>
        <w:rPr>
          <w:rFonts w:ascii="宋体" w:hAnsi="宋体" w:cs="宋体"/>
          <w:kern w:val="0"/>
          <w:sz w:val="24"/>
          <w:lang w:bidi="ar"/>
        </w:rPr>
      </w:pPr>
      <w:r>
        <w:rPr>
          <w:rFonts w:hint="eastAsia" w:ascii="宋体" w:hAnsi="宋体" w:cs="宋体"/>
          <w:kern w:val="0"/>
          <w:sz w:val="24"/>
          <w:lang w:bidi="ar"/>
        </w:rPr>
        <w:t>5.1.1.10</w:t>
      </w:r>
      <w:r>
        <w:rPr>
          <w:rFonts w:hint="eastAsia" w:ascii="宋体" w:hAnsi="宋体" w:cs="宋体"/>
          <w:kern w:val="0"/>
          <w:sz w:val="24"/>
          <w:lang w:val="en-US" w:eastAsia="zh-CN" w:bidi="ar"/>
        </w:rPr>
        <w:t xml:space="preserve"> </w:t>
      </w:r>
      <w:r>
        <w:rPr>
          <w:rFonts w:hint="eastAsia" w:ascii="宋体" w:hAnsi="宋体" w:cs="宋体"/>
          <w:kern w:val="0"/>
          <w:sz w:val="24"/>
          <w:lang w:bidi="ar"/>
        </w:rPr>
        <w:t xml:space="preserve">施工过程中的各种设计方案和施工工艺的优化、修订或变更，均应由承包人事先向发包人和监理人提出书面报告，视管理权限由监理人审核后报发包人审批通过或核备后方可组织实施，在此种情况下，并不免除承包人的全部设计责任，也不改变承包人的任何责任和义务。 </w:t>
      </w:r>
    </w:p>
    <w:p w14:paraId="74B814D4">
      <w:pPr>
        <w:widowControl/>
        <w:spacing w:line="360" w:lineRule="auto"/>
        <w:ind w:firstLine="480" w:firstLineChars="200"/>
        <w:jc w:val="left"/>
        <w:rPr>
          <w:rFonts w:ascii="宋体" w:hAnsi="宋体" w:cs="宋体"/>
          <w:kern w:val="0"/>
          <w:sz w:val="24"/>
          <w:lang w:bidi="ar"/>
        </w:rPr>
      </w:pPr>
      <w:r>
        <w:rPr>
          <w:rFonts w:hint="eastAsia" w:ascii="宋体" w:hAnsi="宋体"/>
          <w:sz w:val="24"/>
        </w:rPr>
        <w:t>5.1.1.11</w:t>
      </w:r>
      <w:r>
        <w:rPr>
          <w:rFonts w:hint="eastAsia" w:ascii="宋体" w:hAnsi="宋体"/>
          <w:sz w:val="24"/>
          <w:lang w:val="en-US" w:eastAsia="zh-CN"/>
        </w:rPr>
        <w:t xml:space="preserve"> </w:t>
      </w:r>
      <w:r>
        <w:rPr>
          <w:rFonts w:hint="eastAsia" w:ascii="宋体" w:hAnsi="宋体"/>
          <w:sz w:val="24"/>
        </w:rPr>
        <w:t>承包人应履行合同约定的其他义务。</w:t>
      </w:r>
    </w:p>
    <w:p w14:paraId="3BDA3028">
      <w:pPr>
        <w:widowControl/>
        <w:autoSpaceDE/>
        <w:autoSpaceDN/>
        <w:adjustRightInd w:val="0"/>
        <w:snapToGrid w:val="0"/>
        <w:spacing w:line="360" w:lineRule="auto"/>
        <w:ind w:firstLine="360" w:firstLineChars="150"/>
        <w:jc w:val="left"/>
        <w:rPr>
          <w:rFonts w:hint="eastAsia" w:ascii="黑体" w:hAnsi="黑体" w:eastAsia="黑体" w:cs="Times New Roman"/>
          <w:b w:val="0"/>
          <w:bCs w:val="0"/>
          <w:kern w:val="2"/>
          <w:sz w:val="24"/>
          <w:lang w:bidi="ar"/>
        </w:rPr>
      </w:pPr>
      <w:r>
        <w:rPr>
          <w:rFonts w:hint="eastAsia" w:ascii="黑体" w:hAnsi="黑体" w:eastAsia="黑体"/>
          <w:sz w:val="24"/>
          <w:lang w:bidi="ar"/>
        </w:rPr>
        <w:t>5.1.</w:t>
      </w:r>
      <w:r>
        <w:rPr>
          <w:rFonts w:hint="eastAsia" w:ascii="黑体" w:hAnsi="黑体" w:eastAsia="黑体"/>
          <w:sz w:val="24"/>
          <w:lang w:val="en-US" w:eastAsia="zh-CN" w:bidi="ar"/>
        </w:rPr>
        <w:t>2</w:t>
      </w:r>
      <w:r>
        <w:rPr>
          <w:rFonts w:hint="eastAsia" w:ascii="黑体" w:hAnsi="黑体" w:eastAsia="黑体"/>
          <w:sz w:val="24"/>
          <w:lang w:bidi="ar"/>
        </w:rPr>
        <w:t xml:space="preserve"> </w:t>
      </w:r>
      <w:r>
        <w:rPr>
          <w:rFonts w:hint="eastAsia" w:ascii="黑体" w:hAnsi="黑体" w:eastAsia="黑体"/>
          <w:sz w:val="24"/>
          <w:lang w:val="en-US" w:eastAsia="zh-CN" w:bidi="ar"/>
        </w:rPr>
        <w:t>法律和标准的变化</w:t>
      </w:r>
    </w:p>
    <w:p w14:paraId="3CC548B0">
      <w:pPr>
        <w:widowControl/>
        <w:spacing w:line="360" w:lineRule="auto"/>
        <w:ind w:firstLine="480" w:firstLineChars="200"/>
        <w:jc w:val="left"/>
        <w:rPr>
          <w:rFonts w:ascii="宋体" w:hAnsi="宋体" w:cs="宋体"/>
          <w:bCs/>
          <w:kern w:val="0"/>
          <w:sz w:val="24"/>
          <w:lang w:bidi="ar"/>
        </w:rPr>
      </w:pPr>
      <w:r>
        <w:rPr>
          <w:rFonts w:hint="eastAsia" w:ascii="宋体" w:hAnsi="宋体" w:cs="宋体"/>
          <w:b w:val="0"/>
          <w:bCs/>
          <w:kern w:val="0"/>
          <w:sz w:val="24"/>
          <w:lang w:val="en-US" w:eastAsia="zh-CN" w:bidi="ar"/>
        </w:rPr>
        <w:t>本</w:t>
      </w:r>
      <w:r>
        <w:rPr>
          <w:rFonts w:hint="eastAsia" w:ascii="宋体" w:hAnsi="宋体" w:cs="宋体"/>
          <w:b w:val="0"/>
          <w:bCs/>
          <w:kern w:val="0"/>
          <w:sz w:val="24"/>
          <w:lang w:bidi="ar"/>
        </w:rPr>
        <w:t>项补充</w:t>
      </w:r>
      <w:r>
        <w:rPr>
          <w:rFonts w:hint="eastAsia" w:ascii="宋体" w:hAnsi="宋体" w:cs="宋体"/>
          <w:bCs/>
          <w:kern w:val="0"/>
          <w:sz w:val="24"/>
          <w:lang w:bidi="ar"/>
        </w:rPr>
        <w:t>：</w:t>
      </w:r>
    </w:p>
    <w:p w14:paraId="08B6F819">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在工程实施过程中，如果本项目的设计所引用的技术标准或规范有所修改或新颁，应由发包人决定是否采用新标准或规范，承包人应按发包人的决定执行。采用新标准、规范所增加设计工作的费用由承包人承担。</w:t>
      </w:r>
    </w:p>
    <w:p w14:paraId="4F2D2F42">
      <w:pPr>
        <w:widowControl/>
        <w:autoSpaceDE w:val="0"/>
        <w:autoSpaceDN w:val="0"/>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val="en-US" w:eastAsia="zh-CN" w:bidi="ar"/>
        </w:rPr>
        <w:t>本款</w:t>
      </w:r>
      <w:r>
        <w:rPr>
          <w:rFonts w:ascii="宋体" w:hAnsi="宋体" w:cs="宋体"/>
          <w:kern w:val="0"/>
          <w:sz w:val="24"/>
          <w:lang w:bidi="ar"/>
        </w:rPr>
        <w:t>补充第</w:t>
      </w:r>
      <w:r>
        <w:rPr>
          <w:rFonts w:hint="eastAsia" w:ascii="宋体" w:hAnsi="宋体" w:cs="宋体"/>
          <w:kern w:val="0"/>
          <w:sz w:val="24"/>
          <w:lang w:bidi="ar"/>
        </w:rPr>
        <w:t>5.1.3</w:t>
      </w:r>
      <w:r>
        <w:rPr>
          <w:rFonts w:ascii="宋体" w:hAnsi="宋体" w:cs="宋体"/>
          <w:kern w:val="0"/>
          <w:sz w:val="24"/>
          <w:lang w:bidi="ar"/>
        </w:rPr>
        <w:t>项</w:t>
      </w:r>
      <w:r>
        <w:rPr>
          <w:rFonts w:hint="eastAsia" w:ascii="宋体" w:hAnsi="宋体" w:cs="宋体"/>
          <w:kern w:val="0"/>
          <w:sz w:val="24"/>
          <w:lang w:bidi="ar"/>
        </w:rPr>
        <w:t>～第5.1.5项</w:t>
      </w:r>
      <w:r>
        <w:rPr>
          <w:rFonts w:ascii="宋体" w:hAnsi="宋体" w:cs="宋体"/>
          <w:kern w:val="0"/>
          <w:sz w:val="24"/>
          <w:lang w:bidi="ar"/>
        </w:rPr>
        <w:t xml:space="preserve">： </w:t>
      </w:r>
    </w:p>
    <w:p w14:paraId="5E2623F5">
      <w:pPr>
        <w:widowControl/>
        <w:autoSpaceDE/>
        <w:autoSpaceDN/>
        <w:adjustRightInd w:val="0"/>
        <w:snapToGrid w:val="0"/>
        <w:spacing w:line="360" w:lineRule="auto"/>
        <w:ind w:firstLine="360" w:firstLineChars="150"/>
        <w:jc w:val="left"/>
        <w:rPr>
          <w:rFonts w:hint="eastAsia" w:ascii="黑体" w:hAnsi="黑体" w:eastAsia="黑体"/>
          <w:sz w:val="24"/>
          <w:lang w:bidi="ar"/>
        </w:rPr>
      </w:pPr>
      <w:r>
        <w:rPr>
          <w:rFonts w:hint="eastAsia" w:ascii="黑体" w:hAnsi="黑体" w:eastAsia="黑体"/>
          <w:sz w:val="24"/>
          <w:lang w:bidi="ar"/>
        </w:rPr>
        <w:t xml:space="preserve">5.1.3 </w:t>
      </w:r>
      <w:r>
        <w:rPr>
          <w:rFonts w:ascii="黑体" w:hAnsi="黑体" w:eastAsia="黑体"/>
          <w:sz w:val="24"/>
          <w:lang w:bidi="ar"/>
        </w:rPr>
        <w:t xml:space="preserve">施工图设计其他要求 </w:t>
      </w:r>
    </w:p>
    <w:p w14:paraId="693272C7">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lang w:bidi="ar"/>
        </w:rPr>
        <w:t>（1）</w:t>
      </w:r>
      <w:r>
        <w:rPr>
          <w:rFonts w:asciiTheme="minorEastAsia" w:hAnsiTheme="minorEastAsia" w:eastAsiaTheme="minorEastAsia"/>
          <w:sz w:val="24"/>
          <w:lang w:bidi="ar"/>
        </w:rPr>
        <w:t xml:space="preserve">承包人在施工图设计时，应充分理解和消化发包人提供的招标文件（含图纸），结合沿线地形、地物、地质、水文条件及地方规划要求等，对发包人提供的招标文件（含图纸）进行复查和优化，尽量改善平纵面线形，减少占地和拆迁，按国家用地指标严格控制用地数量。 </w:t>
      </w:r>
    </w:p>
    <w:p w14:paraId="6F8E573C">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lang w:bidi="ar"/>
        </w:rPr>
        <w:t>（2）</w:t>
      </w:r>
      <w:r>
        <w:rPr>
          <w:rFonts w:asciiTheme="minorEastAsia" w:hAnsiTheme="minorEastAsia" w:eastAsiaTheme="minorEastAsia"/>
          <w:sz w:val="24"/>
          <w:lang w:bidi="ar"/>
        </w:rPr>
        <w:t xml:space="preserve">施工图设计应将施工期间的临时用水、用电设施与后期运营用水、用电统筹考虑，一次性实施完成。 </w:t>
      </w:r>
    </w:p>
    <w:p w14:paraId="19E10A5C">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lang w:bidi="ar"/>
        </w:rPr>
        <w:t>（3）</w:t>
      </w:r>
      <w:r>
        <w:rPr>
          <w:rFonts w:asciiTheme="minorEastAsia" w:hAnsiTheme="minorEastAsia" w:eastAsiaTheme="minorEastAsia"/>
          <w:sz w:val="24"/>
          <w:lang w:bidi="ar"/>
        </w:rPr>
        <w:t xml:space="preserve">承包人进行设计优化的原则： </w:t>
      </w:r>
    </w:p>
    <w:p w14:paraId="77007A65">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lang w:bidi="ar"/>
        </w:rPr>
        <w:fldChar w:fldCharType="begin"/>
      </w:r>
      <w:r>
        <w:rPr>
          <w:rFonts w:asciiTheme="minorEastAsia" w:hAnsiTheme="minorEastAsia" w:eastAsiaTheme="minorEastAsia"/>
          <w:sz w:val="24"/>
          <w:lang w:bidi="ar"/>
        </w:rPr>
        <w:instrText xml:space="preserve"> = 1 \* GB3 \* MERGEFORMAT </w:instrText>
      </w:r>
      <w:r>
        <w:rPr>
          <w:rFonts w:asciiTheme="minorEastAsia" w:hAnsiTheme="minorEastAsia" w:eastAsiaTheme="minorEastAsia"/>
          <w:sz w:val="24"/>
          <w:lang w:bidi="ar"/>
        </w:rPr>
        <w:fldChar w:fldCharType="separate"/>
      </w:r>
      <w:r>
        <w:t>①</w:t>
      </w:r>
      <w:r>
        <w:rPr>
          <w:rFonts w:asciiTheme="minorEastAsia" w:hAnsiTheme="minorEastAsia" w:eastAsiaTheme="minorEastAsia"/>
          <w:sz w:val="24"/>
          <w:lang w:bidi="ar"/>
        </w:rPr>
        <w:fldChar w:fldCharType="end"/>
      </w:r>
      <w:r>
        <w:rPr>
          <w:rFonts w:asciiTheme="minorEastAsia" w:hAnsiTheme="minorEastAsia" w:eastAsiaTheme="minorEastAsia"/>
          <w:sz w:val="24"/>
          <w:lang w:bidi="ar"/>
        </w:rPr>
        <w:t xml:space="preserve">执行我国现行的有关规范与标准； </w:t>
      </w:r>
    </w:p>
    <w:p w14:paraId="6EC68CDE">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lang w:bidi="ar"/>
        </w:rPr>
      </w:pPr>
      <w:r>
        <w:rPr>
          <w:rFonts w:asciiTheme="minorEastAsia" w:hAnsiTheme="minorEastAsia" w:eastAsiaTheme="minorEastAsia"/>
          <w:sz w:val="24"/>
          <w:lang w:bidi="ar"/>
        </w:rPr>
        <w:fldChar w:fldCharType="begin"/>
      </w:r>
      <w:r>
        <w:rPr>
          <w:rFonts w:asciiTheme="minorEastAsia" w:hAnsiTheme="minorEastAsia" w:eastAsiaTheme="minorEastAsia"/>
          <w:sz w:val="24"/>
          <w:lang w:bidi="ar"/>
        </w:rPr>
        <w:instrText xml:space="preserve"> = 2 \* GB3 \* MERGEFORMAT </w:instrText>
      </w:r>
      <w:r>
        <w:rPr>
          <w:rFonts w:asciiTheme="minorEastAsia" w:hAnsiTheme="minorEastAsia" w:eastAsiaTheme="minorEastAsia"/>
          <w:sz w:val="24"/>
          <w:lang w:bidi="ar"/>
        </w:rPr>
        <w:fldChar w:fldCharType="separate"/>
      </w:r>
      <w:r>
        <w:rPr>
          <w:rFonts w:asciiTheme="minorEastAsia" w:hAnsiTheme="minorEastAsia" w:eastAsiaTheme="minorEastAsia"/>
          <w:sz w:val="24"/>
          <w:lang w:bidi="ar"/>
        </w:rPr>
        <w:t>②</w:t>
      </w:r>
      <w:r>
        <w:rPr>
          <w:rFonts w:asciiTheme="minorEastAsia" w:hAnsiTheme="minorEastAsia" w:eastAsiaTheme="minorEastAsia"/>
          <w:sz w:val="24"/>
          <w:lang w:bidi="ar"/>
        </w:rPr>
        <w:fldChar w:fldCharType="end"/>
      </w:r>
      <w:r>
        <w:rPr>
          <w:rFonts w:asciiTheme="minorEastAsia" w:hAnsiTheme="minorEastAsia" w:eastAsiaTheme="minorEastAsia"/>
          <w:sz w:val="24"/>
          <w:lang w:bidi="ar"/>
        </w:rPr>
        <w:t xml:space="preserve">原则上不得降低发包人提供的技术设计文件确定的规模与标准； </w:t>
      </w:r>
    </w:p>
    <w:p w14:paraId="1A0853AF">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lang w:bidi="ar"/>
        </w:rPr>
        <w:fldChar w:fldCharType="begin"/>
      </w:r>
      <w:r>
        <w:rPr>
          <w:rFonts w:asciiTheme="minorEastAsia" w:hAnsiTheme="minorEastAsia" w:eastAsiaTheme="minorEastAsia"/>
          <w:sz w:val="24"/>
          <w:lang w:bidi="ar"/>
        </w:rPr>
        <w:instrText xml:space="preserve"> = 3 \* GB3 \* MERGEFORMAT </w:instrText>
      </w:r>
      <w:r>
        <w:rPr>
          <w:rFonts w:asciiTheme="minorEastAsia" w:hAnsiTheme="minorEastAsia" w:eastAsiaTheme="minorEastAsia"/>
          <w:sz w:val="24"/>
          <w:lang w:bidi="ar"/>
        </w:rPr>
        <w:fldChar w:fldCharType="separate"/>
      </w:r>
      <w:r>
        <w:rPr>
          <w:rFonts w:asciiTheme="minorEastAsia" w:hAnsiTheme="minorEastAsia" w:eastAsiaTheme="minorEastAsia"/>
          <w:sz w:val="24"/>
          <w:lang w:bidi="ar"/>
        </w:rPr>
        <w:t>③</w:t>
      </w:r>
      <w:r>
        <w:rPr>
          <w:rFonts w:asciiTheme="minorEastAsia" w:hAnsiTheme="minorEastAsia" w:eastAsiaTheme="minorEastAsia"/>
          <w:sz w:val="24"/>
          <w:lang w:bidi="ar"/>
        </w:rPr>
        <w:fldChar w:fldCharType="end"/>
      </w:r>
      <w:r>
        <w:rPr>
          <w:rFonts w:asciiTheme="minorEastAsia" w:hAnsiTheme="minorEastAsia" w:eastAsiaTheme="minorEastAsia"/>
          <w:sz w:val="24"/>
          <w:lang w:bidi="ar"/>
        </w:rPr>
        <w:t>发包人鼓励承包人在确保工程质量和安全的前提下进行适当的优化技术指标、优化使用功能或采用新技术、新工艺、新材料等进行优化设计</w:t>
      </w:r>
      <w:r>
        <w:rPr>
          <w:rFonts w:hint="eastAsia" w:asciiTheme="minorEastAsia" w:hAnsiTheme="minorEastAsia" w:eastAsiaTheme="minorEastAsia"/>
          <w:sz w:val="24"/>
          <w:lang w:bidi="ar"/>
        </w:rPr>
        <w:t>；</w:t>
      </w:r>
      <w:r>
        <w:rPr>
          <w:rFonts w:asciiTheme="minorEastAsia" w:hAnsiTheme="minorEastAsia" w:eastAsiaTheme="minorEastAsia"/>
          <w:sz w:val="24"/>
          <w:lang w:bidi="ar"/>
        </w:rPr>
        <w:t xml:space="preserve"> </w:t>
      </w:r>
    </w:p>
    <w:p w14:paraId="1CA615B0">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lang w:bidi="ar"/>
        </w:rPr>
        <w:fldChar w:fldCharType="begin"/>
      </w:r>
      <w:r>
        <w:rPr>
          <w:rFonts w:asciiTheme="minorEastAsia" w:hAnsiTheme="minorEastAsia" w:eastAsiaTheme="minorEastAsia"/>
          <w:sz w:val="24"/>
          <w:lang w:bidi="ar"/>
        </w:rPr>
        <w:instrText xml:space="preserve"> = 4 \* GB3 \* MERGEFORMAT </w:instrText>
      </w:r>
      <w:r>
        <w:rPr>
          <w:rFonts w:asciiTheme="minorEastAsia" w:hAnsiTheme="minorEastAsia" w:eastAsiaTheme="minorEastAsia"/>
          <w:sz w:val="24"/>
          <w:lang w:bidi="ar"/>
        </w:rPr>
        <w:fldChar w:fldCharType="separate"/>
      </w:r>
      <w:r>
        <w:t>④</w:t>
      </w:r>
      <w:r>
        <w:rPr>
          <w:rFonts w:asciiTheme="minorEastAsia" w:hAnsiTheme="minorEastAsia" w:eastAsiaTheme="minorEastAsia"/>
          <w:sz w:val="24"/>
          <w:lang w:bidi="ar"/>
        </w:rPr>
        <w:fldChar w:fldCharType="end"/>
      </w:r>
      <w:r>
        <w:rPr>
          <w:rFonts w:asciiTheme="minorEastAsia" w:hAnsiTheme="minorEastAsia" w:eastAsiaTheme="minorEastAsia"/>
          <w:sz w:val="24"/>
          <w:lang w:bidi="ar"/>
        </w:rPr>
        <w:t xml:space="preserve">承包人的任何优化，未得到发包人的批准不得实施，由此造成的后果均有承包人自行负责。发包人的任何批准也不免除承包人的责任。 </w:t>
      </w:r>
    </w:p>
    <w:p w14:paraId="1DD23224">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lang w:bidi="ar"/>
        </w:rPr>
        <w:t>（4）</w:t>
      </w:r>
      <w:r>
        <w:rPr>
          <w:rFonts w:asciiTheme="minorEastAsia" w:hAnsiTheme="minorEastAsia" w:eastAsiaTheme="minorEastAsia"/>
          <w:sz w:val="24"/>
          <w:lang w:bidi="ar"/>
        </w:rPr>
        <w:t xml:space="preserve">发包人进行设计优化的原则： </w:t>
      </w:r>
    </w:p>
    <w:p w14:paraId="74D7A7DB">
      <w:pPr>
        <w:widowControl/>
        <w:autoSpaceDE w:val="0"/>
        <w:autoSpaceDN w:val="0"/>
        <w:adjustRightInd w:val="0"/>
        <w:snapToGrid w:val="0"/>
        <w:spacing w:line="360" w:lineRule="auto"/>
        <w:ind w:firstLine="480" w:firstLineChars="200"/>
        <w:jc w:val="both"/>
        <w:rPr>
          <w:rFonts w:ascii="宋体" w:hAnsi="宋体" w:cs="宋体"/>
          <w:kern w:val="0"/>
          <w:sz w:val="24"/>
          <w:lang w:bidi="ar"/>
        </w:rPr>
      </w:pPr>
      <w:r>
        <w:rPr>
          <w:rFonts w:asciiTheme="minorEastAsia" w:hAnsiTheme="minorEastAsia" w:eastAsiaTheme="minorEastAsia"/>
          <w:sz w:val="24"/>
          <w:lang w:bidi="ar"/>
        </w:rPr>
        <w:t>因发包人提出的优化设计调整部分方案而核减工程规模与优化技术指标的分项</w:t>
      </w:r>
      <w:r>
        <w:rPr>
          <w:rFonts w:ascii="宋体" w:hAnsi="宋体" w:cs="宋体"/>
          <w:kern w:val="0"/>
          <w:sz w:val="24"/>
          <w:lang w:bidi="ar"/>
        </w:rPr>
        <w:t>工程，优化设计节省的造价由发包人享有</w:t>
      </w:r>
      <w:r>
        <w:rPr>
          <w:rFonts w:hint="eastAsia" w:ascii="宋体" w:hAnsi="宋体" w:cs="宋体"/>
          <w:kern w:val="0"/>
          <w:sz w:val="24"/>
          <w:lang w:bidi="ar"/>
        </w:rPr>
        <w:t>，由此增加的优化设计费用由发包人承担。</w:t>
      </w:r>
      <w:r>
        <w:rPr>
          <w:rFonts w:ascii="宋体" w:hAnsi="宋体" w:cs="宋体"/>
          <w:kern w:val="0"/>
          <w:sz w:val="24"/>
          <w:lang w:bidi="ar"/>
        </w:rPr>
        <w:t xml:space="preserve"> </w:t>
      </w:r>
    </w:p>
    <w:p w14:paraId="0C95A4B3">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lang w:bidi="ar"/>
        </w:rPr>
      </w:pPr>
      <w:r>
        <w:rPr>
          <w:rFonts w:hint="eastAsia" w:ascii="宋体" w:hAnsi="宋体" w:cs="宋体"/>
          <w:kern w:val="0"/>
          <w:sz w:val="24"/>
          <w:lang w:bidi="ar"/>
        </w:rPr>
        <w:t>（5）</w:t>
      </w:r>
      <w:r>
        <w:rPr>
          <w:rFonts w:ascii="宋体" w:hAnsi="宋体" w:cs="宋体"/>
          <w:kern w:val="0"/>
          <w:sz w:val="24"/>
          <w:lang w:bidi="ar"/>
        </w:rPr>
        <w:t>尽管施工图已经批准，但施工图勘察设计文件有遗漏、错误、缺陷和不足，</w:t>
      </w:r>
      <w:r>
        <w:rPr>
          <w:rFonts w:asciiTheme="minorEastAsia" w:hAnsiTheme="minorEastAsia" w:eastAsiaTheme="minorEastAsia"/>
          <w:sz w:val="24"/>
          <w:lang w:bidi="ar"/>
        </w:rPr>
        <w:t xml:space="preserve">承包人自费修复，涉及优化分成的，除扣回相应比例外，承包人应承担全部的责任。 </w:t>
      </w:r>
    </w:p>
    <w:p w14:paraId="32A1882A">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lang w:bidi="ar"/>
        </w:rPr>
      </w:pPr>
      <w:r>
        <w:rPr>
          <w:rFonts w:asciiTheme="minorEastAsia" w:hAnsiTheme="minorEastAsia" w:eastAsiaTheme="minorEastAsia"/>
          <w:sz w:val="24"/>
          <w:lang w:bidi="ar"/>
        </w:rPr>
        <w:t>（6）承包人对施工图审查意见中要求修改补充和完善的细节问题，未修改或完善所造成的返工、变更和费用的增加及工程缺陷</w:t>
      </w:r>
      <w:r>
        <w:rPr>
          <w:rFonts w:hint="eastAsia" w:asciiTheme="minorEastAsia" w:hAnsiTheme="minorEastAsia" w:eastAsiaTheme="minorEastAsia"/>
          <w:sz w:val="24"/>
          <w:lang w:bidi="ar"/>
        </w:rPr>
        <w:t>(</w:t>
      </w:r>
      <w:r>
        <w:rPr>
          <w:rFonts w:asciiTheme="minorEastAsia" w:hAnsiTheme="minorEastAsia" w:eastAsiaTheme="minorEastAsia"/>
          <w:sz w:val="24"/>
          <w:lang w:bidi="ar"/>
        </w:rPr>
        <w:t>憾</w:t>
      </w:r>
      <w:r>
        <w:rPr>
          <w:rFonts w:hint="eastAsia" w:asciiTheme="minorEastAsia" w:hAnsiTheme="minorEastAsia" w:eastAsiaTheme="minorEastAsia"/>
          <w:sz w:val="24"/>
          <w:lang w:bidi="ar"/>
        </w:rPr>
        <w:t>)</w:t>
      </w:r>
      <w:r>
        <w:rPr>
          <w:rFonts w:asciiTheme="minorEastAsia" w:hAnsiTheme="minorEastAsia" w:eastAsiaTheme="minorEastAsia"/>
          <w:sz w:val="24"/>
          <w:lang w:bidi="ar"/>
        </w:rPr>
        <w:t xml:space="preserve">由承包人承担一切后果。 </w:t>
      </w:r>
    </w:p>
    <w:p w14:paraId="0C789FBB">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lang w:bidi="ar"/>
        </w:rPr>
      </w:pPr>
      <w:r>
        <w:rPr>
          <w:rFonts w:hint="eastAsia" w:asciiTheme="minorEastAsia" w:hAnsiTheme="minorEastAsia" w:eastAsiaTheme="minorEastAsia"/>
          <w:sz w:val="24"/>
          <w:lang w:bidi="ar"/>
        </w:rPr>
        <w:t>（7）</w:t>
      </w:r>
      <w:r>
        <w:rPr>
          <w:rFonts w:asciiTheme="minorEastAsia" w:hAnsiTheme="minorEastAsia" w:eastAsiaTheme="minorEastAsia"/>
          <w:sz w:val="24"/>
          <w:lang w:bidi="ar"/>
        </w:rPr>
        <w:t>由于承包人的施工图设计文件深度不足而导致分项、分部工程与现场实际不符，存在质量、安全隐患的，发包人或监理人有权要求承包人修改设计和加强现场有关处理措施，承包人应服从且承担由此而产生的相关费用。承包人拒不执行或执行不到位视为违约，发包人将按违约处理。</w:t>
      </w:r>
    </w:p>
    <w:p w14:paraId="022C7FBD">
      <w:pPr>
        <w:widowControl/>
        <w:autoSpaceDE/>
        <w:autoSpaceDN/>
        <w:adjustRightInd w:val="0"/>
        <w:snapToGrid w:val="0"/>
        <w:spacing w:line="360" w:lineRule="auto"/>
        <w:ind w:firstLine="360" w:firstLineChars="150"/>
        <w:jc w:val="left"/>
        <w:rPr>
          <w:rFonts w:ascii="黑体" w:hAnsi="黑体" w:eastAsia="黑体"/>
          <w:sz w:val="24"/>
          <w:lang w:bidi="ar"/>
        </w:rPr>
      </w:pPr>
      <w:r>
        <w:rPr>
          <w:rFonts w:hint="eastAsia" w:ascii="黑体" w:hAnsi="黑体" w:eastAsia="黑体"/>
          <w:sz w:val="24"/>
          <w:lang w:bidi="ar"/>
        </w:rPr>
        <w:t>5.1.4 设计责任的明确（适用于联合体）</w:t>
      </w:r>
    </w:p>
    <w:p w14:paraId="0C21FACC">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lang w:bidi="ar"/>
        </w:rPr>
      </w:pPr>
      <w:r>
        <w:rPr>
          <w:rFonts w:hint="eastAsia" w:asciiTheme="minorEastAsia" w:hAnsiTheme="minorEastAsia" w:eastAsiaTheme="minorEastAsia"/>
          <w:sz w:val="24"/>
          <w:lang w:bidi="ar"/>
        </w:rPr>
        <w:t>以</w:t>
      </w:r>
      <w:r>
        <w:rPr>
          <w:rFonts w:hint="eastAsia" w:asciiTheme="minorEastAsia" w:hAnsiTheme="minorEastAsia" w:eastAsiaTheme="minorEastAsia"/>
          <w:sz w:val="24"/>
          <w:highlight w:val="none"/>
          <w:lang w:bidi="ar"/>
        </w:rPr>
        <w:t>联合体</w:t>
      </w:r>
      <w:r>
        <w:rPr>
          <w:rFonts w:hint="eastAsia" w:asciiTheme="minorEastAsia" w:hAnsiTheme="minorEastAsia" w:eastAsiaTheme="minorEastAsia"/>
          <w:sz w:val="24"/>
          <w:lang w:bidi="ar"/>
        </w:rPr>
        <w:t>形式</w:t>
      </w:r>
      <w:r>
        <w:rPr>
          <w:rFonts w:hint="eastAsia" w:asciiTheme="minorEastAsia" w:hAnsiTheme="minorEastAsia" w:eastAsiaTheme="minorEastAsia"/>
          <w:sz w:val="24"/>
          <w:highlight w:val="none"/>
          <w:lang w:bidi="ar"/>
        </w:rPr>
        <w:t>中标</w:t>
      </w:r>
      <w:r>
        <w:rPr>
          <w:rFonts w:hint="eastAsia" w:asciiTheme="minorEastAsia" w:hAnsiTheme="minorEastAsia" w:eastAsiaTheme="minorEastAsia"/>
          <w:sz w:val="24"/>
          <w:lang w:bidi="ar"/>
        </w:rPr>
        <w:t>且</w:t>
      </w:r>
      <w:r>
        <w:rPr>
          <w:rFonts w:asciiTheme="minorEastAsia" w:hAnsiTheme="minorEastAsia" w:eastAsiaTheme="minorEastAsia"/>
          <w:sz w:val="24"/>
          <w:highlight w:val="none"/>
          <w:lang w:bidi="ar"/>
        </w:rPr>
        <w:t>设计单位</w:t>
      </w:r>
      <w:r>
        <w:rPr>
          <w:rFonts w:hint="eastAsia" w:asciiTheme="minorEastAsia" w:hAnsiTheme="minorEastAsia" w:eastAsiaTheme="minorEastAsia"/>
          <w:sz w:val="24"/>
          <w:highlight w:val="none"/>
          <w:lang w:bidi="ar"/>
        </w:rPr>
        <w:t>不是</w:t>
      </w:r>
      <w:r>
        <w:rPr>
          <w:rFonts w:asciiTheme="minorEastAsia" w:hAnsiTheme="minorEastAsia" w:eastAsiaTheme="minorEastAsia"/>
          <w:sz w:val="24"/>
          <w:highlight w:val="none"/>
          <w:lang w:bidi="ar"/>
        </w:rPr>
        <w:t>牵头人</w:t>
      </w:r>
      <w:r>
        <w:rPr>
          <w:rFonts w:hint="eastAsia" w:asciiTheme="minorEastAsia" w:hAnsiTheme="minorEastAsia" w:eastAsiaTheme="minorEastAsia"/>
          <w:sz w:val="24"/>
          <w:lang w:bidi="ar"/>
        </w:rPr>
        <w:t>时，</w:t>
      </w:r>
      <w:r>
        <w:rPr>
          <w:rFonts w:asciiTheme="minorEastAsia" w:hAnsiTheme="minorEastAsia" w:eastAsiaTheme="minorEastAsia"/>
          <w:sz w:val="24"/>
          <w:lang w:bidi="ar"/>
        </w:rPr>
        <w:t>设计文件按国家有关设计文件编制规定进行签字盖章后，必须由牵头人和设计单位盖章后提交发包人审查。</w:t>
      </w:r>
    </w:p>
    <w:p w14:paraId="17B013B0">
      <w:pPr>
        <w:widowControl/>
        <w:autoSpaceDE/>
        <w:autoSpaceDN/>
        <w:adjustRightInd w:val="0"/>
        <w:snapToGrid w:val="0"/>
        <w:spacing w:line="360" w:lineRule="auto"/>
        <w:ind w:firstLine="360" w:firstLineChars="150"/>
        <w:jc w:val="left"/>
        <w:rPr>
          <w:rFonts w:ascii="黑体" w:hAnsi="黑体" w:eastAsia="黑体"/>
          <w:sz w:val="24"/>
          <w:lang w:bidi="ar"/>
        </w:rPr>
      </w:pPr>
      <w:r>
        <w:rPr>
          <w:rFonts w:hint="eastAsia" w:ascii="黑体" w:hAnsi="黑体" w:eastAsia="黑体"/>
          <w:sz w:val="24"/>
          <w:lang w:bidi="ar"/>
        </w:rPr>
        <w:t>5.1.5 设计后评价</w:t>
      </w:r>
    </w:p>
    <w:p w14:paraId="172100E5">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lang w:bidi="ar"/>
        </w:rPr>
      </w:pPr>
      <w:r>
        <w:rPr>
          <w:rFonts w:asciiTheme="minorEastAsia" w:hAnsiTheme="minorEastAsia" w:eastAsiaTheme="minorEastAsia"/>
          <w:sz w:val="24"/>
          <w:lang w:bidi="ar"/>
        </w:rPr>
        <w:t>承包人在项目交工验收及竣工验收阶段，应分别对项目设计工作进行后评价，后评价报告编制应满足相关规范要求，并包括以下内容：</w:t>
      </w:r>
    </w:p>
    <w:p w14:paraId="0C681C99">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lang w:bidi="ar"/>
        </w:rPr>
      </w:pPr>
      <w:r>
        <w:rPr>
          <w:rFonts w:hint="eastAsia" w:asciiTheme="minorEastAsia" w:hAnsiTheme="minorEastAsia" w:eastAsiaTheme="minorEastAsia"/>
          <w:sz w:val="24"/>
          <w:lang w:eastAsia="zh-CN" w:bidi="ar"/>
        </w:rPr>
        <w:t>（</w:t>
      </w:r>
      <w:r>
        <w:rPr>
          <w:rFonts w:hint="eastAsia" w:asciiTheme="minorEastAsia" w:hAnsiTheme="minorEastAsia" w:eastAsiaTheme="minorEastAsia"/>
          <w:sz w:val="24"/>
          <w:lang w:val="en-US" w:eastAsia="zh-CN" w:bidi="ar"/>
        </w:rPr>
        <w:t>1</w:t>
      </w:r>
      <w:r>
        <w:rPr>
          <w:rFonts w:hint="eastAsia" w:asciiTheme="minorEastAsia" w:hAnsiTheme="minorEastAsia" w:eastAsiaTheme="minorEastAsia"/>
          <w:sz w:val="24"/>
          <w:lang w:eastAsia="zh-CN" w:bidi="ar"/>
        </w:rPr>
        <w:t>）</w:t>
      </w:r>
      <w:r>
        <w:rPr>
          <w:rFonts w:asciiTheme="minorEastAsia" w:hAnsiTheme="minorEastAsia" w:eastAsiaTheme="minorEastAsia"/>
          <w:sz w:val="24"/>
          <w:lang w:bidi="ar"/>
        </w:rPr>
        <w:t>交工验收阶段评价主要指标为项目设计变更发生情况，设计工程数量的增减情况及地质勘察成果与项目现场实际符合情况等；</w:t>
      </w:r>
    </w:p>
    <w:p w14:paraId="023E99ED">
      <w:pPr>
        <w:widowControl/>
        <w:autoSpaceDE w:val="0"/>
        <w:autoSpaceDN w:val="0"/>
        <w:adjustRightInd w:val="0"/>
        <w:snapToGrid w:val="0"/>
        <w:spacing w:line="360" w:lineRule="auto"/>
        <w:ind w:firstLine="480" w:firstLineChars="200"/>
        <w:jc w:val="both"/>
        <w:rPr>
          <w:rFonts w:asciiTheme="minorEastAsia" w:hAnsiTheme="minorEastAsia" w:eastAsiaTheme="minorEastAsia"/>
          <w:sz w:val="24"/>
          <w:lang w:bidi="ar"/>
        </w:rPr>
      </w:pPr>
      <w:r>
        <w:rPr>
          <w:rFonts w:hint="eastAsia" w:asciiTheme="minorEastAsia" w:hAnsiTheme="minorEastAsia" w:eastAsiaTheme="minorEastAsia"/>
          <w:sz w:val="24"/>
          <w:lang w:eastAsia="zh-CN" w:bidi="ar"/>
        </w:rPr>
        <w:t>（</w:t>
      </w:r>
      <w:r>
        <w:rPr>
          <w:rFonts w:hint="eastAsia" w:asciiTheme="minorEastAsia" w:hAnsiTheme="minorEastAsia" w:eastAsiaTheme="minorEastAsia"/>
          <w:sz w:val="24"/>
          <w:lang w:val="en-US" w:eastAsia="zh-CN" w:bidi="ar"/>
        </w:rPr>
        <w:t>2</w:t>
      </w:r>
      <w:r>
        <w:rPr>
          <w:rFonts w:hint="eastAsia" w:asciiTheme="minorEastAsia" w:hAnsiTheme="minorEastAsia" w:eastAsiaTheme="minorEastAsia"/>
          <w:sz w:val="24"/>
          <w:lang w:eastAsia="zh-CN" w:bidi="ar"/>
        </w:rPr>
        <w:t>）</w:t>
      </w:r>
      <w:r>
        <w:rPr>
          <w:rFonts w:asciiTheme="minorEastAsia" w:hAnsiTheme="minorEastAsia" w:eastAsiaTheme="minorEastAsia"/>
          <w:sz w:val="24"/>
          <w:lang w:bidi="ar"/>
        </w:rPr>
        <w:t>竣工验收阶段后评价主要指标为项目长大纵坡设计的合理性（交通安全事故的发生率），项目交通量预测的准确性及远期效益预测符合性等。</w:t>
      </w:r>
    </w:p>
    <w:p w14:paraId="2B13659A">
      <w:pPr>
        <w:pStyle w:val="2"/>
        <w:adjustRightInd w:val="0"/>
        <w:snapToGrid w:val="0"/>
        <w:spacing w:before="240" w:after="240" w:line="240" w:lineRule="atLeast"/>
        <w:rPr>
          <w:rFonts w:ascii="黑体"/>
          <w:b w:val="0"/>
          <w:sz w:val="24"/>
          <w:szCs w:val="24"/>
        </w:rPr>
      </w:pPr>
      <w:r>
        <w:rPr>
          <w:rFonts w:ascii="黑体"/>
          <w:b w:val="0"/>
          <w:sz w:val="24"/>
          <w:szCs w:val="24"/>
        </w:rPr>
        <w:t>5.2</w:t>
      </w:r>
      <w:r>
        <w:rPr>
          <w:rFonts w:hint="eastAsia" w:ascii="黑体"/>
          <w:b w:val="0"/>
          <w:sz w:val="24"/>
          <w:szCs w:val="24"/>
          <w:lang w:val="en-US" w:eastAsia="zh-CN"/>
        </w:rPr>
        <w:t xml:space="preserve"> </w:t>
      </w:r>
      <w:r>
        <w:rPr>
          <w:rFonts w:ascii="黑体"/>
          <w:b w:val="0"/>
          <w:sz w:val="24"/>
          <w:szCs w:val="24"/>
        </w:rPr>
        <w:t>承包人设计进度计划</w:t>
      </w:r>
    </w:p>
    <w:p w14:paraId="7D962D2A">
      <w:pPr>
        <w:widowControl/>
        <w:autoSpaceDE w:val="0"/>
        <w:autoSpaceDN w:val="0"/>
        <w:adjustRightInd w:val="0"/>
        <w:snapToGrid w:val="0"/>
        <w:spacing w:line="360" w:lineRule="auto"/>
        <w:ind w:firstLine="480" w:firstLineChars="200"/>
        <w:jc w:val="left"/>
        <w:rPr>
          <w:rFonts w:asciiTheme="minorEastAsia" w:hAnsiTheme="minorEastAsia" w:eastAsiaTheme="minorEastAsia"/>
          <w:sz w:val="24"/>
          <w:lang w:bidi="ar"/>
        </w:rPr>
      </w:pPr>
      <w:r>
        <w:rPr>
          <w:rFonts w:asciiTheme="minorEastAsia" w:hAnsiTheme="minorEastAsia" w:eastAsiaTheme="minorEastAsia"/>
          <w:sz w:val="24"/>
          <w:lang w:bidi="ar"/>
        </w:rPr>
        <w:t>本款</w:t>
      </w:r>
      <w:r>
        <w:rPr>
          <w:rFonts w:hint="eastAsia" w:asciiTheme="minorEastAsia" w:hAnsiTheme="minorEastAsia" w:eastAsiaTheme="minorEastAsia"/>
          <w:sz w:val="24"/>
          <w:lang w:bidi="ar"/>
        </w:rPr>
        <w:t>补充：</w:t>
      </w:r>
      <w:r>
        <w:rPr>
          <w:rFonts w:asciiTheme="minorEastAsia" w:hAnsiTheme="minorEastAsia" w:eastAsiaTheme="minorEastAsia"/>
          <w:sz w:val="24"/>
          <w:lang w:bidi="ar"/>
        </w:rPr>
        <w:t xml:space="preserve"> </w:t>
      </w:r>
    </w:p>
    <w:p w14:paraId="241894A0">
      <w:pPr>
        <w:widowControl/>
        <w:autoSpaceDE w:val="0"/>
        <w:autoSpaceDN w:val="0"/>
        <w:adjustRightInd w:val="0"/>
        <w:snapToGrid w:val="0"/>
        <w:spacing w:line="360" w:lineRule="auto"/>
        <w:ind w:firstLine="480" w:firstLineChars="200"/>
        <w:jc w:val="left"/>
        <w:rPr>
          <w:rFonts w:asciiTheme="minorEastAsia" w:hAnsiTheme="minorEastAsia" w:eastAsiaTheme="minorEastAsia"/>
          <w:sz w:val="24"/>
          <w:lang w:bidi="ar"/>
        </w:rPr>
      </w:pPr>
      <w:r>
        <w:rPr>
          <w:rFonts w:asciiTheme="minorEastAsia" w:hAnsiTheme="minorEastAsia" w:eastAsiaTheme="minorEastAsia"/>
          <w:sz w:val="24"/>
          <w:lang w:bidi="ar"/>
        </w:rPr>
        <w:t>勘察设计周期：</w:t>
      </w:r>
      <w:r>
        <w:rPr>
          <w:rFonts w:asciiTheme="minorEastAsia" w:hAnsiTheme="minorEastAsia" w:eastAsiaTheme="minorEastAsia"/>
          <w:sz w:val="24"/>
          <w:u w:val="single"/>
          <w:lang w:bidi="ar"/>
        </w:rPr>
        <w:t xml:space="preserve">  </w:t>
      </w:r>
      <w:r>
        <w:rPr>
          <w:rFonts w:hint="eastAsia" w:asciiTheme="minorEastAsia" w:hAnsiTheme="minorEastAsia" w:eastAsiaTheme="minorEastAsia"/>
          <w:sz w:val="24"/>
          <w:u w:val="single"/>
          <w:lang w:bidi="ar"/>
        </w:rPr>
        <w:t xml:space="preserve">         </w:t>
      </w:r>
      <w:r>
        <w:rPr>
          <w:rFonts w:asciiTheme="minorEastAsia" w:hAnsiTheme="minorEastAsia" w:eastAsiaTheme="minorEastAsia"/>
          <w:sz w:val="24"/>
          <w:lang w:bidi="ar"/>
        </w:rPr>
        <w:t xml:space="preserve">。 </w:t>
      </w:r>
    </w:p>
    <w:p w14:paraId="077277FA">
      <w:pPr>
        <w:widowControl/>
        <w:autoSpaceDE w:val="0"/>
        <w:autoSpaceDN w:val="0"/>
        <w:adjustRightInd w:val="0"/>
        <w:snapToGrid w:val="0"/>
        <w:spacing w:line="360" w:lineRule="auto"/>
        <w:ind w:firstLine="480" w:firstLineChars="200"/>
        <w:jc w:val="left"/>
        <w:rPr>
          <w:rFonts w:asciiTheme="minorEastAsia" w:hAnsiTheme="minorEastAsia" w:eastAsiaTheme="minorEastAsia"/>
          <w:sz w:val="24"/>
          <w:lang w:bidi="ar"/>
        </w:rPr>
      </w:pPr>
      <w:r>
        <w:rPr>
          <w:rFonts w:asciiTheme="minorEastAsia" w:hAnsiTheme="minorEastAsia" w:eastAsiaTheme="minorEastAsia"/>
          <w:sz w:val="24"/>
          <w:lang w:bidi="ar"/>
        </w:rPr>
        <w:t>（1）承包人应在签订本合同协议书后</w:t>
      </w:r>
      <w:r>
        <w:rPr>
          <w:rFonts w:asciiTheme="minorEastAsia" w:hAnsiTheme="minorEastAsia" w:eastAsiaTheme="minorEastAsia"/>
          <w:sz w:val="24"/>
          <w:u w:val="single"/>
          <w:lang w:bidi="ar"/>
        </w:rPr>
        <w:t xml:space="preserve">    </w:t>
      </w:r>
      <w:r>
        <w:rPr>
          <w:rFonts w:asciiTheme="minorEastAsia" w:hAnsiTheme="minorEastAsia" w:eastAsiaTheme="minorEastAsia"/>
          <w:sz w:val="24"/>
          <w:lang w:bidi="ar"/>
        </w:rPr>
        <w:t>天内，针对勘察设计各个阶段工作内容向发包人提交具有可实施性、分项目的勘察设计详细工作大纲及进度计划。</w:t>
      </w:r>
    </w:p>
    <w:p w14:paraId="2AD31A38">
      <w:pPr>
        <w:widowControl/>
        <w:autoSpaceDE w:val="0"/>
        <w:autoSpaceDN w:val="0"/>
        <w:adjustRightInd w:val="0"/>
        <w:snapToGrid w:val="0"/>
        <w:spacing w:line="360" w:lineRule="auto"/>
        <w:ind w:firstLine="480" w:firstLineChars="200"/>
        <w:jc w:val="left"/>
        <w:rPr>
          <w:rFonts w:asciiTheme="minorEastAsia" w:hAnsiTheme="minorEastAsia" w:eastAsiaTheme="minorEastAsia"/>
          <w:sz w:val="24"/>
          <w:lang w:bidi="ar"/>
        </w:rPr>
      </w:pPr>
      <w:r>
        <w:rPr>
          <w:rFonts w:asciiTheme="minorEastAsia" w:hAnsiTheme="minorEastAsia" w:eastAsiaTheme="minorEastAsia"/>
          <w:sz w:val="24"/>
          <w:lang w:bidi="ar"/>
        </w:rPr>
        <w:t>（2）承包人提交施工图勘察设计成果的要求：</w:t>
      </w:r>
      <w:r>
        <w:rPr>
          <w:rFonts w:asciiTheme="minorEastAsia" w:hAnsiTheme="minorEastAsia" w:eastAsiaTheme="minorEastAsia"/>
          <w:sz w:val="24"/>
          <w:u w:val="single"/>
          <w:lang w:bidi="ar"/>
        </w:rPr>
        <w:t xml:space="preserve">    </w:t>
      </w:r>
      <w:r>
        <w:rPr>
          <w:rFonts w:hint="eastAsia" w:asciiTheme="minorEastAsia" w:hAnsiTheme="minorEastAsia" w:eastAsiaTheme="minorEastAsia"/>
          <w:sz w:val="24"/>
          <w:u w:val="single"/>
          <w:lang w:bidi="ar"/>
        </w:rPr>
        <w:t xml:space="preserve">  </w:t>
      </w:r>
      <w:r>
        <w:rPr>
          <w:rFonts w:asciiTheme="minorEastAsia" w:hAnsiTheme="minorEastAsia" w:eastAsiaTheme="minorEastAsia"/>
          <w:sz w:val="24"/>
          <w:u w:val="single"/>
          <w:lang w:bidi="ar"/>
        </w:rPr>
        <w:t xml:space="preserve">   </w:t>
      </w:r>
      <w:r>
        <w:rPr>
          <w:rFonts w:asciiTheme="minorEastAsia" w:hAnsiTheme="minorEastAsia" w:eastAsiaTheme="minorEastAsia"/>
          <w:sz w:val="24"/>
          <w:lang w:bidi="ar"/>
        </w:rPr>
        <w:t>。</w:t>
      </w:r>
    </w:p>
    <w:p w14:paraId="3315B74A">
      <w:pPr>
        <w:widowControl/>
        <w:autoSpaceDE w:val="0"/>
        <w:autoSpaceDN w:val="0"/>
        <w:adjustRightInd w:val="0"/>
        <w:snapToGrid w:val="0"/>
        <w:spacing w:line="360" w:lineRule="auto"/>
        <w:ind w:firstLine="480" w:firstLineChars="200"/>
        <w:jc w:val="left"/>
        <w:rPr>
          <w:rFonts w:asciiTheme="minorEastAsia" w:hAnsiTheme="minorEastAsia" w:eastAsiaTheme="minorEastAsia"/>
          <w:sz w:val="24"/>
          <w:lang w:bidi="ar"/>
        </w:rPr>
      </w:pPr>
      <w:r>
        <w:rPr>
          <w:rFonts w:asciiTheme="minorEastAsia" w:hAnsiTheme="minorEastAsia" w:eastAsiaTheme="minorEastAsia"/>
          <w:sz w:val="24"/>
          <w:lang w:bidi="ar"/>
        </w:rPr>
        <w:t>（3）</w:t>
      </w:r>
      <w:r>
        <w:rPr>
          <w:rFonts w:hint="eastAsia" w:asciiTheme="minorEastAsia" w:hAnsiTheme="minorEastAsia"/>
          <w:sz w:val="24"/>
          <w:lang w:bidi="ar"/>
        </w:rPr>
        <w:t>专题研究详细工作大纲的要求：</w:t>
      </w:r>
      <w:r>
        <w:rPr>
          <w:rFonts w:hint="eastAsia" w:asciiTheme="minorEastAsia" w:hAnsiTheme="minorEastAsia"/>
          <w:sz w:val="24"/>
          <w:u w:val="single"/>
          <w:lang w:bidi="ar"/>
        </w:rPr>
        <w:t xml:space="preserve"> </w:t>
      </w:r>
      <w:r>
        <w:rPr>
          <w:rFonts w:asciiTheme="minorEastAsia" w:hAnsiTheme="minorEastAsia"/>
          <w:sz w:val="24"/>
          <w:u w:val="single"/>
          <w:lang w:bidi="ar"/>
        </w:rPr>
        <w:t xml:space="preserve">  </w:t>
      </w:r>
      <w:r>
        <w:rPr>
          <w:rFonts w:hint="eastAsia" w:asciiTheme="minorEastAsia" w:hAnsiTheme="minorEastAsia"/>
          <w:sz w:val="24"/>
          <w:u w:val="single"/>
          <w:lang w:bidi="ar"/>
        </w:rPr>
        <w:t xml:space="preserve">  </w:t>
      </w:r>
      <w:r>
        <w:rPr>
          <w:rFonts w:asciiTheme="minorEastAsia" w:hAnsiTheme="minorEastAsia"/>
          <w:sz w:val="24"/>
          <w:u w:val="single"/>
          <w:lang w:bidi="ar"/>
        </w:rPr>
        <w:t xml:space="preserve"> </w:t>
      </w:r>
      <w:r>
        <w:rPr>
          <w:rFonts w:hint="eastAsia" w:asciiTheme="minorEastAsia" w:hAnsiTheme="minorEastAsia"/>
          <w:sz w:val="24"/>
          <w:u w:val="single"/>
          <w:lang w:bidi="ar"/>
        </w:rPr>
        <w:t xml:space="preserve">  </w:t>
      </w:r>
      <w:r>
        <w:rPr>
          <w:rFonts w:asciiTheme="minorEastAsia" w:hAnsiTheme="minorEastAsia"/>
          <w:sz w:val="24"/>
          <w:u w:val="single"/>
          <w:lang w:bidi="ar"/>
        </w:rPr>
        <w:t xml:space="preserve"> </w:t>
      </w:r>
      <w:r>
        <w:rPr>
          <w:rFonts w:asciiTheme="minorEastAsia" w:hAnsiTheme="minorEastAsia"/>
          <w:sz w:val="24"/>
          <w:u w:val="none"/>
          <w:lang w:bidi="ar"/>
        </w:rPr>
        <w:t>。</w:t>
      </w:r>
    </w:p>
    <w:p w14:paraId="490FE3AE">
      <w:pPr>
        <w:widowControl/>
        <w:autoSpaceDE w:val="0"/>
        <w:autoSpaceDN w:val="0"/>
        <w:adjustRightInd w:val="0"/>
        <w:snapToGrid w:val="0"/>
        <w:spacing w:before="0" w:after="0" w:line="360" w:lineRule="auto"/>
        <w:ind w:firstLine="480" w:firstLineChars="200"/>
        <w:jc w:val="left"/>
        <w:rPr>
          <w:rFonts w:asciiTheme="minorEastAsia" w:hAnsiTheme="minorEastAsia" w:eastAsiaTheme="minorEastAsia"/>
          <w:sz w:val="24"/>
          <w:lang w:bidi="ar"/>
        </w:rPr>
      </w:pPr>
      <w:r>
        <w:rPr>
          <w:rFonts w:hint="eastAsia" w:asciiTheme="minorEastAsia" w:hAnsiTheme="minorEastAsia" w:eastAsiaTheme="minorEastAsia"/>
          <w:sz w:val="24"/>
          <w:lang w:bidi="ar"/>
        </w:rPr>
        <w:t>（4）</w:t>
      </w:r>
      <w:r>
        <w:rPr>
          <w:rFonts w:asciiTheme="minorEastAsia" w:hAnsiTheme="minorEastAsia" w:eastAsiaTheme="minorEastAsia"/>
          <w:sz w:val="24"/>
          <w:lang w:bidi="ar"/>
        </w:rPr>
        <w:t xml:space="preserve">承包人应在每月月底向发包人提供进度报告，说明该月工作进展情况及下月计划安排。 </w:t>
      </w:r>
    </w:p>
    <w:p w14:paraId="39F173A5">
      <w:pPr>
        <w:pStyle w:val="2"/>
        <w:spacing w:before="240" w:after="240" w:line="240" w:lineRule="atLeast"/>
        <w:rPr>
          <w:rFonts w:ascii="黑体"/>
          <w:b w:val="0"/>
          <w:sz w:val="24"/>
          <w:szCs w:val="24"/>
        </w:rPr>
      </w:pPr>
      <w:r>
        <w:rPr>
          <w:rFonts w:ascii="黑体"/>
          <w:b w:val="0"/>
          <w:sz w:val="24"/>
          <w:szCs w:val="24"/>
        </w:rPr>
        <w:t>5.3</w:t>
      </w:r>
      <w:r>
        <w:rPr>
          <w:rFonts w:hint="eastAsia" w:ascii="黑体"/>
          <w:b w:val="0"/>
          <w:sz w:val="24"/>
          <w:szCs w:val="24"/>
          <w:lang w:val="en-US" w:eastAsia="zh-CN"/>
        </w:rPr>
        <w:t xml:space="preserve"> </w:t>
      </w:r>
      <w:r>
        <w:rPr>
          <w:rFonts w:ascii="黑体"/>
          <w:b w:val="0"/>
          <w:sz w:val="24"/>
          <w:szCs w:val="24"/>
        </w:rPr>
        <w:t>设计</w:t>
      </w:r>
      <w:r>
        <w:rPr>
          <w:rFonts w:hint="eastAsia" w:ascii="黑体"/>
          <w:b w:val="0"/>
          <w:sz w:val="24"/>
          <w:szCs w:val="24"/>
        </w:rPr>
        <w:t>审查</w:t>
      </w:r>
    </w:p>
    <w:p w14:paraId="634B843D">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第5</w:t>
      </w:r>
      <w:r>
        <w:rPr>
          <w:rFonts w:asciiTheme="minorEastAsia" w:hAnsiTheme="minorEastAsia" w:eastAsiaTheme="minorEastAsia"/>
          <w:sz w:val="24"/>
        </w:rPr>
        <w:t>.3.3</w:t>
      </w:r>
      <w:r>
        <w:rPr>
          <w:rFonts w:hint="eastAsia" w:asciiTheme="minorEastAsia" w:hAnsiTheme="minorEastAsia" w:eastAsiaTheme="minorEastAsia"/>
          <w:sz w:val="24"/>
        </w:rPr>
        <w:t>项细化为：</w:t>
      </w:r>
    </w:p>
    <w:p w14:paraId="75FD8191">
      <w:pPr>
        <w:widowControl/>
        <w:adjustRightInd w:val="0"/>
        <w:snapToGrid w:val="0"/>
        <w:spacing w:line="360" w:lineRule="auto"/>
        <w:ind w:firstLine="470" w:firstLineChars="196"/>
        <w:jc w:val="both"/>
        <w:rPr>
          <w:rFonts w:asciiTheme="minorEastAsia" w:hAnsiTheme="minorEastAsia" w:eastAsiaTheme="minorEastAsia"/>
          <w:sz w:val="24"/>
          <w:lang w:bidi="ar"/>
        </w:rPr>
      </w:pPr>
      <w:r>
        <w:rPr>
          <w:rFonts w:hint="eastAsia" w:asciiTheme="minorEastAsia" w:hAnsiTheme="minorEastAsia" w:eastAsiaTheme="minorEastAsia"/>
          <w:sz w:val="24"/>
          <w:lang w:bidi="ar"/>
        </w:rPr>
        <w:t>（1）</w:t>
      </w:r>
      <w:r>
        <w:rPr>
          <w:rFonts w:asciiTheme="minorEastAsia" w:hAnsiTheme="minorEastAsia" w:eastAsiaTheme="minorEastAsia"/>
          <w:sz w:val="24"/>
          <w:lang w:bidi="ar"/>
        </w:rPr>
        <w:t>承包人应按批准的</w:t>
      </w:r>
      <w:r>
        <w:rPr>
          <w:rFonts w:hint="eastAsia" w:asciiTheme="minorEastAsia" w:hAnsiTheme="minorEastAsia" w:eastAsiaTheme="minorEastAsia"/>
          <w:sz w:val="24"/>
          <w:lang w:bidi="ar"/>
        </w:rPr>
        <w:t>初设</w:t>
      </w:r>
      <w:r>
        <w:rPr>
          <w:rFonts w:asciiTheme="minorEastAsia" w:hAnsiTheme="minorEastAsia" w:eastAsiaTheme="minorEastAsia"/>
          <w:sz w:val="24"/>
          <w:lang w:bidi="ar"/>
        </w:rPr>
        <w:t>设计</w:t>
      </w:r>
      <w:r>
        <w:rPr>
          <w:rFonts w:hint="eastAsia" w:asciiTheme="minorEastAsia" w:hAnsiTheme="minorEastAsia" w:eastAsiaTheme="minorEastAsia"/>
          <w:sz w:val="24"/>
          <w:lang w:bidi="ar"/>
        </w:rPr>
        <w:t>、技术文件（如有）</w:t>
      </w:r>
      <w:r>
        <w:rPr>
          <w:rFonts w:asciiTheme="minorEastAsia" w:hAnsiTheme="minorEastAsia" w:eastAsiaTheme="minorEastAsia"/>
          <w:sz w:val="24"/>
          <w:lang w:bidi="ar"/>
        </w:rPr>
        <w:t xml:space="preserve">完成施工图勘察设计工作，并将第5.2.1项要求提供的全部文件送发包人确定的单位审查，并报发包人审核。当发包人认为需调用承包人的设计计算书时，承包人必须及时提供。 </w:t>
      </w:r>
    </w:p>
    <w:p w14:paraId="1BBD5CAF">
      <w:pPr>
        <w:widowControl/>
        <w:numPr>
          <w:ilvl w:val="255"/>
          <w:numId w:val="0"/>
        </w:numPr>
        <w:adjustRightInd w:val="0"/>
        <w:snapToGrid w:val="0"/>
        <w:spacing w:line="360" w:lineRule="auto"/>
        <w:ind w:firstLine="480" w:firstLineChars="200"/>
        <w:jc w:val="both"/>
        <w:rPr>
          <w:rFonts w:asciiTheme="minorEastAsia" w:hAnsiTheme="minorEastAsia" w:eastAsiaTheme="minorEastAsia"/>
          <w:sz w:val="24"/>
          <w:lang w:bidi="ar"/>
        </w:rPr>
      </w:pPr>
      <w:r>
        <w:rPr>
          <w:rFonts w:asciiTheme="minorEastAsia" w:hAnsiTheme="minorEastAsia" w:eastAsiaTheme="minorEastAsia"/>
          <w:sz w:val="24"/>
          <w:lang w:bidi="ar"/>
        </w:rPr>
        <w:t>（2）承包人应按发包人要求的数量(符合规范要求)提供所有为完成勘察设计所必需的研究试验阶段性或成果性报告，接受发包人或行业主管部门的审查，并对相关问题作出澄清和解答。</w:t>
      </w:r>
    </w:p>
    <w:p w14:paraId="5747E810">
      <w:pPr>
        <w:widowControl/>
        <w:adjustRightInd w:val="0"/>
        <w:snapToGrid w:val="0"/>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lang w:bidi="ar"/>
        </w:rPr>
        <w:t>（3）承包人应按发包人、初设单位及行业主管部门的审查意见修改施工图设计文件，并在发包人规定的时间内完成施工图预算的编制。勘察设计文件根据本款所作的任何修改或调整(无论是否根据发包人及其委托的专业机构的建议或意见</w:t>
      </w:r>
      <w:r>
        <w:rPr>
          <w:rFonts w:hint="eastAsia" w:asciiTheme="minorEastAsia" w:hAnsiTheme="minorEastAsia" w:eastAsiaTheme="minorEastAsia"/>
          <w:sz w:val="24"/>
          <w:lang w:val="en-US" w:eastAsia="zh-CN" w:bidi="ar"/>
        </w:rPr>
        <w:t>作</w:t>
      </w:r>
      <w:r>
        <w:rPr>
          <w:rFonts w:asciiTheme="minorEastAsia" w:hAnsiTheme="minorEastAsia" w:eastAsiaTheme="minorEastAsia"/>
          <w:sz w:val="24"/>
          <w:lang w:bidi="ar"/>
        </w:rPr>
        <w:t>出)均不免除承包人在本合同项下的任何责任和义务。</w:t>
      </w:r>
    </w:p>
    <w:p w14:paraId="6D1FE85C">
      <w:pPr>
        <w:adjustRightInd w:val="0"/>
        <w:snapToGrid w:val="0"/>
        <w:spacing w:line="360" w:lineRule="auto"/>
        <w:ind w:firstLine="480" w:firstLineChars="200"/>
        <w:rPr>
          <w:rFonts w:asciiTheme="minorEastAsia" w:hAnsiTheme="minorEastAsia" w:eastAsiaTheme="minorEastAsia"/>
          <w:sz w:val="24"/>
          <w:lang w:bidi="ar"/>
        </w:rPr>
      </w:pPr>
      <w:r>
        <w:rPr>
          <w:rFonts w:asciiTheme="minorEastAsia" w:hAnsiTheme="minorEastAsia" w:eastAsiaTheme="minorEastAsia"/>
          <w:sz w:val="24"/>
          <w:lang w:bidi="ar"/>
        </w:rPr>
        <w:t>（4）发包人或行业主管部门的任何上述审查、批准或同意，或(根据本款或其他规定的)任何审核，都不应解除承包人的任何义务或职责。</w:t>
      </w:r>
    </w:p>
    <w:p w14:paraId="0B5596CE">
      <w:pPr>
        <w:adjustRightInd w:val="0"/>
        <w:snapToGrid w:val="0"/>
        <w:spacing w:line="360" w:lineRule="auto"/>
        <w:ind w:firstLine="480" w:firstLineChars="200"/>
        <w:jc w:val="left"/>
        <w:rPr>
          <w:rFonts w:asciiTheme="minorEastAsia" w:hAnsiTheme="minorEastAsia" w:eastAsiaTheme="minorEastAsia"/>
          <w:sz w:val="24"/>
          <w:lang w:bidi="ar"/>
        </w:rPr>
      </w:pPr>
      <w:r>
        <w:rPr>
          <w:rFonts w:asciiTheme="minorEastAsia" w:hAnsiTheme="minorEastAsia" w:eastAsiaTheme="minorEastAsia"/>
          <w:sz w:val="24"/>
          <w:lang w:bidi="ar"/>
        </w:rPr>
        <w:t>（5）承包人应在收到发包人或发包人委托的设计咨询审查单位或上级</w:t>
      </w:r>
      <w:r>
        <w:rPr>
          <w:rFonts w:hint="eastAsia" w:asciiTheme="minorEastAsia" w:hAnsiTheme="minorEastAsia" w:eastAsiaTheme="minorEastAsia"/>
          <w:sz w:val="24"/>
          <w:lang w:eastAsia="zh-CN" w:bidi="ar"/>
        </w:rPr>
        <w:t>交通运输主管部门</w:t>
      </w:r>
      <w:r>
        <w:rPr>
          <w:rFonts w:asciiTheme="minorEastAsia" w:hAnsiTheme="minorEastAsia" w:eastAsiaTheme="minorEastAsia"/>
          <w:sz w:val="24"/>
          <w:lang w:bidi="ar"/>
        </w:rPr>
        <w:t>提出的审查意见后</w:t>
      </w:r>
      <w:r>
        <w:rPr>
          <w:rFonts w:hint="eastAsia" w:asciiTheme="minorEastAsia" w:hAnsiTheme="minorEastAsia" w:eastAsiaTheme="minorEastAsia"/>
          <w:sz w:val="24"/>
          <w:u w:val="single"/>
          <w:lang w:bidi="ar"/>
        </w:rPr>
        <w:t xml:space="preserve">   </w:t>
      </w:r>
      <w:r>
        <w:rPr>
          <w:rFonts w:asciiTheme="minorEastAsia" w:hAnsiTheme="minorEastAsia" w:eastAsiaTheme="minorEastAsia"/>
          <w:sz w:val="24"/>
          <w:lang w:bidi="ar"/>
        </w:rPr>
        <w:t>天内，完成对施工图设计文件的修改；并提供最终的</w:t>
      </w:r>
      <w:r>
        <w:rPr>
          <w:rFonts w:hint="eastAsia" w:asciiTheme="minorEastAsia" w:hAnsiTheme="minorEastAsia" w:eastAsiaTheme="minorEastAsia"/>
          <w:sz w:val="24"/>
          <w:lang w:bidi="ar"/>
        </w:rPr>
        <w:t>设计文件</w:t>
      </w:r>
      <w:r>
        <w:rPr>
          <w:rFonts w:asciiTheme="minorEastAsia" w:hAnsiTheme="minorEastAsia" w:eastAsiaTheme="minorEastAsia"/>
          <w:sz w:val="24"/>
          <w:lang w:bidi="ar"/>
        </w:rPr>
        <w:t>，其所有产权归发包人所有。</w:t>
      </w:r>
    </w:p>
    <w:p w14:paraId="45032B12">
      <w:pPr>
        <w:adjustRightInd w:val="0"/>
        <w:snapToGrid w:val="0"/>
        <w:spacing w:line="360" w:lineRule="auto"/>
        <w:ind w:firstLine="480" w:firstLineChars="200"/>
        <w:jc w:val="left"/>
        <w:rPr>
          <w:rFonts w:hint="eastAsia" w:asciiTheme="minorEastAsia" w:hAnsiTheme="minorEastAsia" w:eastAsiaTheme="minorEastAsia"/>
          <w:sz w:val="24"/>
          <w:lang w:eastAsia="zh-CN" w:bidi="ar"/>
        </w:rPr>
      </w:pPr>
      <w:r>
        <w:rPr>
          <w:rFonts w:hint="eastAsia" w:asciiTheme="minorEastAsia" w:hAnsiTheme="minorEastAsia" w:eastAsiaTheme="minorEastAsia"/>
          <w:sz w:val="24"/>
          <w:lang w:bidi="ar"/>
        </w:rPr>
        <w:t>本款补充第5.3.4项</w:t>
      </w:r>
      <w:r>
        <w:rPr>
          <w:rFonts w:hint="eastAsia" w:asciiTheme="minorEastAsia" w:hAnsiTheme="minorEastAsia" w:eastAsiaTheme="minorEastAsia"/>
          <w:sz w:val="24"/>
          <w:lang w:eastAsia="zh-CN" w:bidi="ar"/>
        </w:rPr>
        <w:t>：</w:t>
      </w:r>
    </w:p>
    <w:p w14:paraId="1D911BB9">
      <w:pPr>
        <w:widowControl/>
        <w:autoSpaceDE/>
        <w:autoSpaceDN/>
        <w:adjustRightInd w:val="0"/>
        <w:snapToGrid w:val="0"/>
        <w:spacing w:line="360" w:lineRule="auto"/>
        <w:ind w:firstLine="360" w:firstLineChars="150"/>
        <w:jc w:val="left"/>
        <w:rPr>
          <w:rFonts w:ascii="黑体" w:hAnsi="黑体" w:eastAsia="黑体"/>
          <w:sz w:val="24"/>
          <w:lang w:bidi="ar"/>
        </w:rPr>
      </w:pPr>
      <w:r>
        <w:rPr>
          <w:rFonts w:ascii="黑体" w:hAnsi="黑体" w:eastAsia="黑体"/>
          <w:sz w:val="24"/>
          <w:lang w:bidi="ar"/>
        </w:rPr>
        <w:t>5.3.4 接受咨询监督和分歧处理</w:t>
      </w:r>
    </w:p>
    <w:p w14:paraId="3FBCD442">
      <w:pPr>
        <w:adjustRightInd w:val="0"/>
        <w:snapToGrid w:val="0"/>
        <w:spacing w:line="360" w:lineRule="auto"/>
        <w:ind w:firstLine="480" w:firstLineChars="200"/>
        <w:rPr>
          <w:rFonts w:asciiTheme="minorEastAsia" w:hAnsiTheme="minorEastAsia" w:eastAsiaTheme="minorEastAsia"/>
          <w:sz w:val="24"/>
          <w:lang w:bidi="ar"/>
        </w:rPr>
      </w:pPr>
      <w:r>
        <w:rPr>
          <w:rFonts w:asciiTheme="minorEastAsia" w:hAnsiTheme="minorEastAsia" w:eastAsiaTheme="minorEastAsia"/>
          <w:sz w:val="24"/>
          <w:lang w:bidi="ar"/>
        </w:rPr>
        <w:t>设计咨询审查单位依据初步设计和初步设计批复对施工图设计和设计变更进行咨询监督，施工图设计经设计咨询审查单位和发包人审查后报</w:t>
      </w:r>
      <w:r>
        <w:rPr>
          <w:rFonts w:hint="eastAsia" w:asciiTheme="minorEastAsia" w:hAnsiTheme="minorEastAsia" w:eastAsiaTheme="minorEastAsia"/>
          <w:sz w:val="24"/>
          <w:lang w:val="en-US" w:eastAsia="zh-CN" w:bidi="ar"/>
        </w:rPr>
        <w:t>具有行政审批权限的</w:t>
      </w:r>
      <w:r>
        <w:rPr>
          <w:rFonts w:asciiTheme="minorEastAsia" w:hAnsiTheme="minorEastAsia" w:eastAsiaTheme="minorEastAsia"/>
          <w:sz w:val="24"/>
          <w:lang w:bidi="ar"/>
        </w:rPr>
        <w:t>交通运输主管部门审批，并按照审查意见进行修改完善。</w:t>
      </w:r>
    </w:p>
    <w:p w14:paraId="02332855">
      <w:pPr>
        <w:adjustRightInd w:val="0"/>
        <w:snapToGrid w:val="0"/>
        <w:spacing w:line="360" w:lineRule="auto"/>
        <w:ind w:firstLine="480" w:firstLineChars="200"/>
        <w:rPr>
          <w:rFonts w:asciiTheme="minorEastAsia" w:hAnsiTheme="minorEastAsia" w:eastAsiaTheme="minorEastAsia"/>
          <w:sz w:val="24"/>
          <w:lang w:bidi="ar"/>
        </w:rPr>
      </w:pPr>
      <w:r>
        <w:rPr>
          <w:rFonts w:asciiTheme="minorEastAsia" w:hAnsiTheme="minorEastAsia" w:eastAsiaTheme="minorEastAsia"/>
          <w:sz w:val="24"/>
          <w:lang w:bidi="ar"/>
        </w:rPr>
        <w:t>设计咨询审查单位在施工图勘察设计咨询监督过程中，咨询意见与承包人有分歧时，一般分歧以发包人认定为准；重大分歧，由发包人组织专家进行复审，审查意见报</w:t>
      </w:r>
      <w:r>
        <w:rPr>
          <w:rFonts w:hint="eastAsia" w:asciiTheme="minorEastAsia" w:hAnsiTheme="minorEastAsia" w:eastAsiaTheme="minorEastAsia"/>
          <w:sz w:val="24"/>
          <w:lang w:val="en-US" w:eastAsia="zh-CN" w:bidi="ar"/>
        </w:rPr>
        <w:t>具有行政审批权限的</w:t>
      </w:r>
      <w:r>
        <w:rPr>
          <w:rFonts w:asciiTheme="minorEastAsia" w:hAnsiTheme="minorEastAsia" w:eastAsiaTheme="minorEastAsia"/>
          <w:sz w:val="24"/>
          <w:lang w:bidi="ar"/>
        </w:rPr>
        <w:t>交通运输主管部门审定。</w:t>
      </w:r>
    </w:p>
    <w:p w14:paraId="2636CF7D">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lang w:bidi="ar"/>
        </w:rPr>
        <w:t>一般分歧与重大分歧的界定由发包人认定。</w:t>
      </w:r>
    </w:p>
    <w:p w14:paraId="40835538">
      <w:pPr>
        <w:pStyle w:val="2"/>
        <w:spacing w:before="240" w:after="240" w:line="240" w:lineRule="atLeast"/>
        <w:rPr>
          <w:rFonts w:ascii="黑体"/>
          <w:b w:val="0"/>
          <w:sz w:val="24"/>
          <w:szCs w:val="24"/>
        </w:rPr>
      </w:pPr>
      <w:r>
        <w:rPr>
          <w:rFonts w:ascii="黑体"/>
          <w:b w:val="0"/>
          <w:sz w:val="24"/>
          <w:szCs w:val="24"/>
        </w:rPr>
        <w:t>5.5</w:t>
      </w:r>
      <w:r>
        <w:rPr>
          <w:rFonts w:hint="eastAsia" w:ascii="黑体"/>
          <w:b w:val="0"/>
          <w:sz w:val="24"/>
          <w:szCs w:val="24"/>
        </w:rPr>
        <w:t xml:space="preserve"> 竣工文件</w:t>
      </w:r>
    </w:p>
    <w:p w14:paraId="436BE302">
      <w:pPr>
        <w:adjustRightInd w:val="0"/>
        <w:snapToGrid w:val="0"/>
        <w:spacing w:line="360" w:lineRule="auto"/>
        <w:ind w:firstLine="480" w:firstLineChars="200"/>
        <w:rPr>
          <w:rFonts w:ascii="宋体" w:hAnsi="宋体"/>
          <w:sz w:val="24"/>
        </w:rPr>
      </w:pPr>
      <w:r>
        <w:rPr>
          <w:rFonts w:hint="eastAsia" w:asciiTheme="minorEastAsia" w:hAnsiTheme="minorEastAsia" w:eastAsiaTheme="minorEastAsia"/>
          <w:sz w:val="24"/>
        </w:rPr>
        <w:t>第5</w:t>
      </w:r>
      <w:r>
        <w:rPr>
          <w:rFonts w:asciiTheme="minorEastAsia" w:hAnsiTheme="minorEastAsia" w:eastAsiaTheme="minorEastAsia"/>
          <w:sz w:val="24"/>
        </w:rPr>
        <w:t>.5.1</w:t>
      </w:r>
      <w:r>
        <w:rPr>
          <w:rFonts w:hint="eastAsia" w:ascii="宋体" w:hAnsi="宋体"/>
          <w:sz w:val="24"/>
        </w:rPr>
        <w:t>项补充：</w:t>
      </w:r>
    </w:p>
    <w:p w14:paraId="6442124D">
      <w:pPr>
        <w:autoSpaceDE w:val="0"/>
        <w:autoSpaceDN w:val="0"/>
        <w:adjustRightInd w:val="0"/>
        <w:snapToGrid w:val="0"/>
        <w:spacing w:line="360" w:lineRule="auto"/>
        <w:ind w:firstLine="480" w:firstLineChars="200"/>
        <w:jc w:val="both"/>
        <w:rPr>
          <w:kern w:val="0"/>
          <w:sz w:val="24"/>
        </w:rPr>
      </w:pPr>
      <w:r>
        <w:rPr>
          <w:rFonts w:hint="eastAsia" w:ascii="宋体" w:hAnsi="宋体"/>
          <w:sz w:val="24"/>
        </w:rPr>
        <w:t>竣工文件应按交通运输部</w:t>
      </w:r>
      <w:r>
        <w:rPr>
          <w:rFonts w:ascii="宋体" w:hAnsi="宋体"/>
          <w:sz w:val="24"/>
        </w:rPr>
        <w:t>2004</w:t>
      </w:r>
      <w:r>
        <w:rPr>
          <w:rFonts w:hint="eastAsia" w:ascii="宋体" w:hAnsi="宋体"/>
          <w:sz w:val="24"/>
        </w:rPr>
        <w:t>年第</w:t>
      </w:r>
      <w:r>
        <w:rPr>
          <w:rFonts w:ascii="宋体" w:hAnsi="宋体"/>
          <w:sz w:val="24"/>
        </w:rPr>
        <w:t>3</w:t>
      </w:r>
      <w:r>
        <w:rPr>
          <w:rFonts w:hint="eastAsia" w:ascii="宋体" w:hAnsi="宋体"/>
          <w:sz w:val="24"/>
        </w:rPr>
        <w:t>号令《公路工程竣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工验收办法》、《公路竣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工管理办法》和四川省交通运输厅相关要求等编制。承包人的各分部（项）工程竣工图纸须在有关工程完工后陆续交给监理人审查，在标段合同工程（含变更工程）完成交工验收后</w:t>
      </w:r>
      <w:r>
        <w:rPr>
          <w:rFonts w:ascii="宋体" w:hAnsi="宋体"/>
          <w:sz w:val="24"/>
          <w:u w:val="single"/>
        </w:rPr>
        <w:t xml:space="preserve">     </w:t>
      </w:r>
      <w:r>
        <w:rPr>
          <w:rFonts w:hint="eastAsia" w:ascii="宋体" w:hAnsi="宋体"/>
          <w:sz w:val="24"/>
        </w:rPr>
        <w:t>个月内，承包人须向发包人提交监理人和发包人均认为完整的合格的且符合公路工程竣工档案专项验收要求的竣工文件（含电子文件）。缺陷责任期内应补充的竣工资料在签发缺陷责任证书之前提交。承包人未能按时提交竣工文件，每拖期一天，发包人有权对承包人按照合同条款约定课以违约金，发包人可以从应付或到期应付给承包人的任何款项中扣除。</w:t>
      </w:r>
    </w:p>
    <w:p w14:paraId="57104452">
      <w:pPr>
        <w:pStyle w:val="2"/>
        <w:numPr>
          <w:ilvl w:val="-1"/>
          <w:numId w:val="0"/>
        </w:numPr>
        <w:spacing w:before="360" w:after="240" w:line="240" w:lineRule="atLeast"/>
        <w:ind w:left="0" w:firstLine="0"/>
        <w:rPr>
          <w:rFonts w:ascii="黑体"/>
          <w:b w:val="0"/>
          <w:sz w:val="28"/>
          <w:szCs w:val="28"/>
        </w:rPr>
      </w:pPr>
      <w:r>
        <w:rPr>
          <w:rFonts w:hint="eastAsia" w:ascii="黑体"/>
          <w:b w:val="0"/>
          <w:sz w:val="28"/>
          <w:szCs w:val="28"/>
          <w:lang w:val="en-US" w:eastAsia="zh-CN"/>
        </w:rPr>
        <w:t xml:space="preserve">6. </w:t>
      </w:r>
      <w:r>
        <w:rPr>
          <w:rFonts w:hint="eastAsia" w:ascii="黑体"/>
          <w:b w:val="0"/>
          <w:sz w:val="28"/>
          <w:szCs w:val="28"/>
        </w:rPr>
        <w:t>材料和工程设备</w:t>
      </w:r>
      <w:bookmarkEnd w:id="759"/>
    </w:p>
    <w:p w14:paraId="12E3B659">
      <w:pPr>
        <w:pStyle w:val="2"/>
        <w:spacing w:before="240" w:after="240" w:line="240" w:lineRule="atLeast"/>
        <w:rPr>
          <w:rFonts w:ascii="黑体"/>
          <w:b w:val="0"/>
          <w:sz w:val="24"/>
          <w:szCs w:val="24"/>
        </w:rPr>
      </w:pPr>
      <w:bookmarkStart w:id="762" w:name="_Toc53685739"/>
      <w:r>
        <w:rPr>
          <w:rFonts w:ascii="黑体"/>
          <w:b w:val="0"/>
          <w:sz w:val="24"/>
          <w:szCs w:val="24"/>
        </w:rPr>
        <w:t xml:space="preserve">6.1 </w:t>
      </w:r>
      <w:r>
        <w:rPr>
          <w:rFonts w:hint="eastAsia" w:ascii="黑体"/>
          <w:b w:val="0"/>
          <w:sz w:val="24"/>
          <w:szCs w:val="24"/>
        </w:rPr>
        <w:t>承包人提供的材料和工程设备</w:t>
      </w:r>
      <w:bookmarkEnd w:id="762"/>
    </w:p>
    <w:p w14:paraId="734E17F1">
      <w:pPr>
        <w:widowControl/>
        <w:adjustRightInd w:val="0"/>
        <w:snapToGrid w:val="0"/>
        <w:spacing w:line="360" w:lineRule="auto"/>
        <w:ind w:firstLine="480" w:firstLineChars="200"/>
        <w:jc w:val="left"/>
        <w:rPr>
          <w:rFonts w:asciiTheme="minorEastAsia" w:hAnsiTheme="minorEastAsia" w:eastAsiaTheme="minorEastAsia"/>
          <w:sz w:val="24"/>
          <w:lang w:bidi="ar"/>
        </w:rPr>
      </w:pPr>
      <w:r>
        <w:rPr>
          <w:rFonts w:hint="eastAsia" w:asciiTheme="minorEastAsia" w:hAnsiTheme="minorEastAsia" w:eastAsiaTheme="minorEastAsia"/>
          <w:sz w:val="24"/>
          <w:lang w:bidi="ar"/>
        </w:rPr>
        <w:t>第</w:t>
      </w:r>
      <w:r>
        <w:rPr>
          <w:rFonts w:asciiTheme="minorEastAsia" w:hAnsiTheme="minorEastAsia" w:eastAsiaTheme="minorEastAsia"/>
          <w:sz w:val="24"/>
          <w:lang w:bidi="ar"/>
        </w:rPr>
        <w:t>6.1.2项</w:t>
      </w:r>
      <w:r>
        <w:rPr>
          <w:rFonts w:hint="eastAsia" w:asciiTheme="minorEastAsia" w:hAnsiTheme="minorEastAsia" w:eastAsiaTheme="minorEastAsia"/>
          <w:sz w:val="24"/>
          <w:lang w:bidi="ar"/>
        </w:rPr>
        <w:t>最后</w:t>
      </w:r>
      <w:r>
        <w:rPr>
          <w:rFonts w:asciiTheme="minorEastAsia" w:hAnsiTheme="minorEastAsia" w:eastAsiaTheme="minorEastAsia"/>
          <w:sz w:val="24"/>
          <w:lang w:bidi="ar"/>
        </w:rPr>
        <w:t>补充：</w:t>
      </w:r>
      <w:r>
        <w:rPr>
          <w:rFonts w:asciiTheme="minorEastAsia" w:hAnsiTheme="minorEastAsia" w:eastAsiaTheme="minorEastAsia"/>
          <w:sz w:val="24"/>
        </w:rPr>
        <w:t>承包人报送监理人审批的时间：</w:t>
      </w:r>
      <w:r>
        <w:rPr>
          <w:rFonts w:asciiTheme="minorEastAsia" w:hAnsiTheme="minorEastAsia" w:eastAsiaTheme="minorEastAsia"/>
          <w:sz w:val="24"/>
          <w:u w:val="single"/>
        </w:rPr>
        <w:t>3个工作日内</w:t>
      </w:r>
      <w:r>
        <w:rPr>
          <w:rFonts w:asciiTheme="minorEastAsia" w:hAnsiTheme="minorEastAsia" w:eastAsiaTheme="minorEastAsia"/>
          <w:sz w:val="24"/>
        </w:rPr>
        <w:t>。</w:t>
      </w:r>
    </w:p>
    <w:p w14:paraId="75FCA148">
      <w:pPr>
        <w:pStyle w:val="2"/>
        <w:spacing w:before="240" w:after="240" w:line="240" w:lineRule="atLeast"/>
        <w:rPr>
          <w:rFonts w:ascii="黑体"/>
          <w:b w:val="0"/>
          <w:sz w:val="24"/>
          <w:szCs w:val="24"/>
        </w:rPr>
      </w:pPr>
      <w:r>
        <w:rPr>
          <w:rFonts w:ascii="黑体"/>
          <w:b w:val="0"/>
          <w:sz w:val="24"/>
          <w:szCs w:val="24"/>
        </w:rPr>
        <w:t>6.2</w:t>
      </w:r>
      <w:r>
        <w:rPr>
          <w:rFonts w:hint="eastAsia" w:ascii="黑体"/>
          <w:b w:val="0"/>
          <w:sz w:val="24"/>
          <w:szCs w:val="24"/>
          <w:lang w:val="en-US" w:eastAsia="zh-CN"/>
        </w:rPr>
        <w:t xml:space="preserve"> </w:t>
      </w:r>
      <w:r>
        <w:rPr>
          <w:rFonts w:hint="eastAsia" w:ascii="黑体"/>
          <w:b w:val="0"/>
          <w:sz w:val="24"/>
          <w:szCs w:val="24"/>
        </w:rPr>
        <w:t>发包人提供的材料和工程设备（A）</w:t>
      </w:r>
    </w:p>
    <w:p w14:paraId="2FCFE7C9">
      <w:pPr>
        <w:adjustRightInd w:val="0"/>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bCs/>
          <w:sz w:val="24"/>
        </w:rPr>
        <w:t>6.2.1</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sz w:val="24"/>
        </w:rPr>
        <w:t>发</w:t>
      </w:r>
      <w:r>
        <w:rPr>
          <w:rFonts w:asciiTheme="minorEastAsia" w:hAnsiTheme="minorEastAsia" w:eastAsiaTheme="minorEastAsia"/>
          <w:sz w:val="24"/>
        </w:rPr>
        <w:t>包人</w:t>
      </w:r>
      <w:r>
        <w:rPr>
          <w:rFonts w:hint="eastAsia" w:asciiTheme="minorEastAsia" w:hAnsiTheme="minorEastAsia" w:eastAsiaTheme="minorEastAsia"/>
          <w:sz w:val="24"/>
        </w:rPr>
        <w:t>提供的材料和工程设备的名称、规格、数量、价格、交货方式、交货地点等</w:t>
      </w:r>
      <w:r>
        <w:rPr>
          <w:rFonts w:hint="eastAsia" w:asciiTheme="minorEastAsia" w:hAnsiTheme="minorEastAsia" w:eastAsiaTheme="minorEastAsia"/>
          <w:sz w:val="24"/>
          <w:lang w:val="en-US" w:eastAsia="zh-CN"/>
        </w:rPr>
        <w:t>在专用合同条款数据表中</w:t>
      </w:r>
      <w:r>
        <w:rPr>
          <w:rFonts w:hint="eastAsia" w:asciiTheme="minorEastAsia" w:hAnsiTheme="minorEastAsia" w:eastAsiaTheme="minorEastAsia"/>
          <w:sz w:val="24"/>
        </w:rPr>
        <w:t>约定。</w:t>
      </w:r>
    </w:p>
    <w:p w14:paraId="1753A86F">
      <w:pPr>
        <w:widowControl/>
        <w:adjustRightInd w:val="0"/>
        <w:snapToGrid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.2.2</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报送监理人审批的时间：</w:t>
      </w:r>
      <w:r>
        <w:rPr>
          <w:rFonts w:asciiTheme="minorEastAsia" w:hAnsiTheme="minorEastAsia" w:eastAsiaTheme="minorEastAsia"/>
          <w:sz w:val="24"/>
          <w:u w:val="single"/>
        </w:rPr>
        <w:t>3个工作日内</w:t>
      </w:r>
      <w:r>
        <w:rPr>
          <w:rFonts w:asciiTheme="minorEastAsia" w:hAnsiTheme="minorEastAsia" w:eastAsiaTheme="minorEastAsia"/>
          <w:sz w:val="24"/>
        </w:rPr>
        <w:t>。</w:t>
      </w:r>
    </w:p>
    <w:p w14:paraId="36C7E28D">
      <w:pPr>
        <w:widowControl/>
        <w:adjustRightInd w:val="0"/>
        <w:snapToGrid w:val="0"/>
        <w:spacing w:line="360" w:lineRule="auto"/>
        <w:ind w:firstLine="480" w:firstLineChars="200"/>
        <w:jc w:val="both"/>
        <w:rPr>
          <w:rFonts w:asciiTheme="minorEastAsia" w:hAnsiTheme="minorEastAsia" w:eastAsiaTheme="minorEastAsia"/>
          <w:sz w:val="24"/>
          <w:lang w:bidi="ar"/>
        </w:rPr>
      </w:pPr>
      <w:r>
        <w:rPr>
          <w:rFonts w:asciiTheme="minorEastAsia" w:hAnsiTheme="minorEastAsia" w:eastAsiaTheme="minorEastAsia"/>
          <w:sz w:val="24"/>
          <w:lang w:bidi="ar"/>
        </w:rPr>
        <w:t xml:space="preserve">第6.2.3项补充： </w:t>
      </w:r>
    </w:p>
    <w:p w14:paraId="5B364A53">
      <w:pPr>
        <w:widowControl/>
        <w:adjustRightInd w:val="0"/>
        <w:snapToGrid w:val="0"/>
        <w:spacing w:line="360" w:lineRule="auto"/>
        <w:ind w:firstLine="480" w:firstLineChars="200"/>
        <w:jc w:val="both"/>
        <w:rPr>
          <w:rFonts w:asciiTheme="minorEastAsia" w:hAnsiTheme="minorEastAsia" w:eastAsiaTheme="minorEastAsia"/>
          <w:b/>
          <w:sz w:val="24"/>
        </w:rPr>
      </w:pPr>
      <w:r>
        <w:rPr>
          <w:rFonts w:asciiTheme="minorEastAsia" w:hAnsiTheme="minorEastAsia" w:eastAsiaTheme="minorEastAsia"/>
          <w:sz w:val="24"/>
          <w:lang w:bidi="ar"/>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78086783">
      <w:pPr>
        <w:pStyle w:val="2"/>
        <w:spacing w:before="240" w:after="240" w:line="240" w:lineRule="atLeast"/>
        <w:rPr>
          <w:rFonts w:ascii="黑体"/>
          <w:b w:val="0"/>
          <w:sz w:val="24"/>
          <w:szCs w:val="24"/>
        </w:rPr>
      </w:pPr>
      <w:bookmarkStart w:id="763" w:name="_Hlk100214870"/>
      <w:r>
        <w:rPr>
          <w:rFonts w:ascii="黑体"/>
          <w:b w:val="0"/>
          <w:sz w:val="24"/>
          <w:szCs w:val="24"/>
        </w:rPr>
        <w:t>6.2</w:t>
      </w:r>
      <w:r>
        <w:rPr>
          <w:rFonts w:hint="eastAsia" w:ascii="黑体"/>
          <w:b w:val="0"/>
          <w:sz w:val="24"/>
          <w:szCs w:val="24"/>
          <w:lang w:val="en-US" w:eastAsia="zh-CN"/>
        </w:rPr>
        <w:t xml:space="preserve"> </w:t>
      </w:r>
      <w:r>
        <w:rPr>
          <w:rFonts w:hint="eastAsia" w:ascii="黑体"/>
          <w:b w:val="0"/>
          <w:sz w:val="24"/>
          <w:szCs w:val="24"/>
        </w:rPr>
        <w:t>发包人提供的材料和工程设备（</w:t>
      </w:r>
      <w:r>
        <w:rPr>
          <w:rFonts w:ascii="黑体"/>
          <w:b w:val="0"/>
          <w:sz w:val="24"/>
          <w:szCs w:val="24"/>
        </w:rPr>
        <w:t>B</w:t>
      </w:r>
      <w:r>
        <w:rPr>
          <w:rFonts w:hint="eastAsia" w:ascii="黑体"/>
          <w:b w:val="0"/>
          <w:sz w:val="24"/>
          <w:szCs w:val="24"/>
        </w:rPr>
        <w:t>）</w:t>
      </w:r>
    </w:p>
    <w:p w14:paraId="0CAF1053">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发包人不</w:t>
      </w:r>
      <w:bookmarkEnd w:id="763"/>
      <w:r>
        <w:rPr>
          <w:rFonts w:hint="eastAsia" w:asciiTheme="minorEastAsia" w:hAnsiTheme="minorEastAsia" w:eastAsiaTheme="minorEastAsia"/>
          <w:bCs/>
          <w:sz w:val="24"/>
        </w:rPr>
        <w:t>提供材料和工程设备。</w:t>
      </w:r>
    </w:p>
    <w:p w14:paraId="0DBB21A2">
      <w:pPr>
        <w:pStyle w:val="2"/>
        <w:spacing w:before="240" w:after="240" w:line="240" w:lineRule="atLeast"/>
        <w:rPr>
          <w:rFonts w:ascii="黑体"/>
          <w:b w:val="0"/>
          <w:sz w:val="24"/>
          <w:szCs w:val="24"/>
        </w:rPr>
      </w:pPr>
      <w:r>
        <w:rPr>
          <w:rFonts w:ascii="黑体"/>
          <w:b w:val="0"/>
          <w:sz w:val="24"/>
          <w:szCs w:val="24"/>
        </w:rPr>
        <w:t>6.3</w:t>
      </w:r>
      <w:r>
        <w:rPr>
          <w:rFonts w:hint="eastAsia" w:ascii="黑体"/>
          <w:b w:val="0"/>
          <w:sz w:val="24"/>
          <w:szCs w:val="24"/>
          <w:lang w:val="en-US" w:eastAsia="zh-CN"/>
        </w:rPr>
        <w:t xml:space="preserve"> </w:t>
      </w:r>
      <w:r>
        <w:rPr>
          <w:rFonts w:hint="eastAsia" w:ascii="黑体"/>
          <w:b w:val="0"/>
          <w:sz w:val="24"/>
          <w:szCs w:val="24"/>
        </w:rPr>
        <w:t>专用于工程的材料和工程设备</w:t>
      </w:r>
    </w:p>
    <w:p w14:paraId="5F06ABF7">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w:t>
      </w:r>
      <w:r>
        <w:rPr>
          <w:rFonts w:asciiTheme="minorEastAsia" w:hAnsiTheme="minorEastAsia" w:eastAsiaTheme="minorEastAsia"/>
          <w:sz w:val="24"/>
        </w:rPr>
        <w:t>6.3.1</w:t>
      </w:r>
      <w:r>
        <w:rPr>
          <w:rFonts w:hint="eastAsia" w:asciiTheme="minorEastAsia" w:hAnsiTheme="minorEastAsia" w:eastAsiaTheme="minorEastAsia"/>
          <w:sz w:val="24"/>
        </w:rPr>
        <w:t>项补充：运入施工场地的所有施工设备以及在施工场地建设的临时设施应专用于合同工程，未经监理人同意，不得将上述施工设备和临时设施中的任何部分运出施工场地或挪作他用。</w:t>
      </w:r>
    </w:p>
    <w:p w14:paraId="0CAA9D64">
      <w:pPr>
        <w:pStyle w:val="2"/>
        <w:numPr>
          <w:ilvl w:val="0"/>
          <w:numId w:val="6"/>
        </w:numPr>
        <w:spacing w:before="360" w:after="240" w:line="240" w:lineRule="atLeast"/>
        <w:ind w:left="0"/>
        <w:rPr>
          <w:rFonts w:ascii="黑体"/>
          <w:b w:val="0"/>
          <w:sz w:val="28"/>
          <w:szCs w:val="28"/>
        </w:rPr>
      </w:pPr>
      <w:bookmarkStart w:id="764" w:name="_Hlk100153027"/>
      <w:bookmarkStart w:id="765" w:name="_Toc53685748"/>
      <w:r>
        <w:rPr>
          <w:rFonts w:hint="eastAsia" w:ascii="黑体"/>
          <w:b w:val="0"/>
          <w:sz w:val="28"/>
          <w:szCs w:val="28"/>
        </w:rPr>
        <w:t>施工设备和临时设施</w:t>
      </w:r>
    </w:p>
    <w:p w14:paraId="7AC5040D">
      <w:pPr>
        <w:pStyle w:val="2"/>
        <w:spacing w:before="240" w:after="240" w:line="240" w:lineRule="atLeast"/>
        <w:rPr>
          <w:rFonts w:ascii="黑体"/>
          <w:bCs w:val="0"/>
          <w:sz w:val="24"/>
        </w:rPr>
      </w:pPr>
      <w:bookmarkStart w:id="766" w:name="_Hlk98675272"/>
      <w:r>
        <w:rPr>
          <w:rFonts w:ascii="黑体"/>
          <w:b w:val="0"/>
          <w:sz w:val="24"/>
          <w:szCs w:val="24"/>
        </w:rPr>
        <w:t>7.1</w:t>
      </w:r>
      <w:r>
        <w:rPr>
          <w:rFonts w:hint="eastAsia" w:ascii="黑体"/>
          <w:b w:val="0"/>
          <w:sz w:val="24"/>
          <w:szCs w:val="24"/>
          <w:lang w:val="en-US" w:eastAsia="zh-CN"/>
        </w:rPr>
        <w:t xml:space="preserve"> </w:t>
      </w:r>
      <w:r>
        <w:rPr>
          <w:rFonts w:hint="eastAsia" w:ascii="黑体"/>
          <w:b w:val="0"/>
          <w:sz w:val="24"/>
          <w:szCs w:val="24"/>
        </w:rPr>
        <w:t>承包人提供的施工设备和临时设施</w:t>
      </w:r>
    </w:p>
    <w:p w14:paraId="5A82D191">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第</w:t>
      </w:r>
      <w:r>
        <w:rPr>
          <w:rFonts w:asciiTheme="minorEastAsia" w:hAnsiTheme="minorEastAsia" w:eastAsiaTheme="minorEastAsia"/>
          <w:bCs/>
          <w:sz w:val="24"/>
        </w:rPr>
        <w:t>7.1.1</w:t>
      </w:r>
      <w:r>
        <w:rPr>
          <w:rFonts w:hint="eastAsia" w:asciiTheme="minorEastAsia" w:hAnsiTheme="minorEastAsia" w:eastAsiaTheme="minorEastAsia"/>
          <w:bCs/>
          <w:sz w:val="24"/>
        </w:rPr>
        <w:t>项细化为：</w:t>
      </w:r>
    </w:p>
    <w:p w14:paraId="0201015D">
      <w:pPr>
        <w:widowControl/>
        <w:adjustRightInd w:val="0"/>
        <w:snapToGrid w:val="0"/>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lang w:bidi="ar"/>
        </w:rPr>
        <w:t xml:space="preserve">（1）承包人应按照合同进度计划的要求,及时配置施工设备，并按照合同约定负责修建或改造生产设施和临时设施。监理人根据承包人承诺提供的设备表，对承包人各种机械设备、运输设备、试验检测设备等进行实地考察，并逐一核对。如核查结果不满足的，承包人应在监理人规定的时间内，对不符合要求的设备、设施进行重置、改造或建设，否则发包人有权认定承包人提供了虚假资料，并按照合同文件相关规定追究承包人的违约责任。 </w:t>
      </w:r>
    </w:p>
    <w:p w14:paraId="7C90C68B">
      <w:pPr>
        <w:widowControl/>
        <w:adjustRightInd w:val="0"/>
        <w:snapToGrid w:val="0"/>
        <w:spacing w:line="360" w:lineRule="auto"/>
        <w:ind w:firstLine="480" w:firstLineChars="200"/>
        <w:jc w:val="both"/>
        <w:rPr>
          <w:rFonts w:asciiTheme="minorEastAsia" w:hAnsiTheme="minorEastAsia" w:eastAsiaTheme="minorEastAsia"/>
          <w:bCs/>
          <w:sz w:val="24"/>
          <w:lang w:bidi="ar"/>
        </w:rPr>
      </w:pPr>
      <w:r>
        <w:rPr>
          <w:rFonts w:hint="eastAsia" w:asciiTheme="minorEastAsia" w:hAnsiTheme="minorEastAsia" w:eastAsiaTheme="minorEastAsia"/>
          <w:bCs/>
          <w:sz w:val="24"/>
          <w:lang w:bidi="ar"/>
        </w:rPr>
        <w:t xml:space="preserve">（2）承包人提供的上述设备、设施必须按照相关法律法规、本合同文件的要求，办理各种相关手续和证件。因承包人未及时提供上述设备、设施的，或上述设备、设施未按照要求办理相关手续和证件的，发包人有权认定承包人违约。 </w:t>
      </w:r>
    </w:p>
    <w:p w14:paraId="3B5C489E">
      <w:pPr>
        <w:widowControl/>
        <w:adjustRightInd w:val="0"/>
        <w:snapToGrid w:val="0"/>
        <w:spacing w:line="360" w:lineRule="auto"/>
        <w:ind w:firstLine="480" w:firstLineChars="200"/>
        <w:jc w:val="both"/>
        <w:rPr>
          <w:rFonts w:asciiTheme="minorEastAsia" w:hAnsiTheme="minorEastAsia" w:eastAsiaTheme="minorEastAsia"/>
          <w:bCs/>
          <w:sz w:val="24"/>
          <w:lang w:bidi="ar"/>
        </w:rPr>
      </w:pPr>
      <w:r>
        <w:rPr>
          <w:rFonts w:hint="eastAsia" w:asciiTheme="minorEastAsia" w:hAnsiTheme="minorEastAsia" w:eastAsiaTheme="minorEastAsia"/>
          <w:bCs/>
          <w:sz w:val="24"/>
          <w:lang w:bidi="ar"/>
        </w:rPr>
        <w:t>（3）承包人应确保提供的施工设备、施工场地和临时设施的稳定性和专用性，承包人需更换上述设备、设施的，应报监理人批准，并承担由此造成的一切后果，发包人不另行支付费用或调整工期。如未经监理人同意，承包人更换或撤换上述设备、设施的，监理人有权认定承包人违约，并按本合同条款第 22 款的规定对其进行违约处理。</w:t>
      </w:r>
    </w:p>
    <w:p w14:paraId="3D3516E3">
      <w:pPr>
        <w:widowControl/>
        <w:adjustRightInd w:val="0"/>
        <w:snapToGrid w:val="0"/>
        <w:spacing w:line="360" w:lineRule="auto"/>
        <w:ind w:firstLine="480" w:firstLineChars="200"/>
        <w:jc w:val="both"/>
        <w:rPr>
          <w:rFonts w:asciiTheme="minorEastAsia" w:hAnsiTheme="minorEastAsia" w:eastAsiaTheme="minorEastAsia"/>
          <w:bCs/>
          <w:sz w:val="24"/>
          <w:lang w:bidi="ar"/>
        </w:rPr>
      </w:pPr>
      <w:r>
        <w:rPr>
          <w:rFonts w:hint="eastAsia" w:asciiTheme="minorEastAsia" w:hAnsiTheme="minorEastAsia" w:eastAsiaTheme="minorEastAsia"/>
          <w:bCs/>
          <w:sz w:val="24"/>
          <w:lang w:bidi="ar"/>
        </w:rPr>
        <w:t>（</w:t>
      </w:r>
      <w:r>
        <w:rPr>
          <w:rFonts w:hint="eastAsia" w:asciiTheme="minorEastAsia" w:hAnsiTheme="minorEastAsia" w:eastAsiaTheme="minorEastAsia"/>
          <w:bCs/>
          <w:sz w:val="24"/>
          <w:lang w:val="en-US" w:eastAsia="zh-CN" w:bidi="ar"/>
        </w:rPr>
        <w:t>4</w:t>
      </w:r>
      <w:r>
        <w:rPr>
          <w:rFonts w:hint="eastAsia" w:asciiTheme="minorEastAsia" w:hAnsiTheme="minorEastAsia" w:eastAsiaTheme="minorEastAsia"/>
          <w:bCs/>
          <w:sz w:val="24"/>
          <w:lang w:bidi="ar"/>
        </w:rPr>
        <w:t xml:space="preserve">）承包人在合同中承诺的各种施工设备应满足本合同工程需要和图纸、专用技术规范中的相关规定，承包人所提供的设备原则上必须专用于本项目施工，承包人应根据施工计划，在施工组织设计中明确设备的进场和撤离时间，并须经监理人批准。对于由于某些原因不能专用于本合同工程的生产设备，承包人应说明原因，详细列明使用计划(但不得影响本合同工程的执行)，在合同执行过程中，根据总体使用计划进行调整，并报监理人审批。监理人的审批并不免除承包人执行本合同过程中的责任和义务。 </w:t>
      </w:r>
    </w:p>
    <w:p w14:paraId="1E705F98">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bidi="ar"/>
        </w:rPr>
        <w:t>（</w:t>
      </w:r>
      <w:r>
        <w:rPr>
          <w:rFonts w:hint="eastAsia" w:asciiTheme="minorEastAsia" w:hAnsiTheme="minorEastAsia" w:eastAsiaTheme="minorEastAsia"/>
          <w:bCs/>
          <w:sz w:val="24"/>
          <w:lang w:val="en-US" w:eastAsia="zh-CN" w:bidi="ar"/>
        </w:rPr>
        <w:t>5</w:t>
      </w:r>
      <w:r>
        <w:rPr>
          <w:rFonts w:hint="eastAsia" w:asciiTheme="minorEastAsia" w:hAnsiTheme="minorEastAsia" w:eastAsiaTheme="minorEastAsia"/>
          <w:bCs/>
          <w:sz w:val="24"/>
          <w:lang w:bidi="ar"/>
        </w:rPr>
        <w:t>）在本合同工程施工期间，发包人在必要时将可以调用本标段的部分机械设施用于其他标段的重点工序的突击作业或抢险。对此，承包人不得拒绝。发包人将承担相应的费用。本标段的承包人在使用发包人调用的其他标段的设备用于本标段的工程时，也应承担相应费用和相应的责任。</w:t>
      </w:r>
    </w:p>
    <w:p w14:paraId="6CD3EA33">
      <w:pPr>
        <w:widowControl/>
        <w:adjustRightInd w:val="0"/>
        <w:snapToGrid w:val="0"/>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lang w:bidi="ar"/>
        </w:rPr>
        <w:t>第7.1.2项</w:t>
      </w:r>
      <w:r>
        <w:rPr>
          <w:rFonts w:hint="eastAsia" w:asciiTheme="minorEastAsia" w:hAnsiTheme="minorEastAsia" w:eastAsiaTheme="minorEastAsia"/>
          <w:bCs/>
          <w:sz w:val="24"/>
          <w:lang w:val="en-US" w:eastAsia="zh-CN" w:bidi="ar"/>
        </w:rPr>
        <w:t>细化</w:t>
      </w:r>
      <w:r>
        <w:rPr>
          <w:rFonts w:hint="eastAsia" w:asciiTheme="minorEastAsia" w:hAnsiTheme="minorEastAsia" w:eastAsiaTheme="minorEastAsia"/>
          <w:bCs/>
          <w:sz w:val="24"/>
          <w:lang w:bidi="ar"/>
        </w:rPr>
        <w:t xml:space="preserve">为： </w:t>
      </w:r>
    </w:p>
    <w:p w14:paraId="2E7E166F">
      <w:pPr>
        <w:widowControl/>
        <w:adjustRightInd w:val="0"/>
        <w:snapToGrid w:val="0"/>
        <w:spacing w:line="360" w:lineRule="auto"/>
        <w:ind w:firstLine="480" w:firstLineChars="200"/>
        <w:rPr>
          <w:rFonts w:asciiTheme="minorEastAsia" w:hAnsiTheme="minorEastAsia" w:eastAsiaTheme="minorEastAsia"/>
          <w:bCs/>
          <w:sz w:val="24"/>
          <w:lang w:bidi="ar"/>
        </w:rPr>
      </w:pPr>
      <w:r>
        <w:rPr>
          <w:rFonts w:hint="eastAsia" w:asciiTheme="minorEastAsia" w:hAnsiTheme="minorEastAsia" w:eastAsiaTheme="minorEastAsia"/>
          <w:bCs/>
          <w:sz w:val="24"/>
          <w:lang w:bidi="ar"/>
        </w:rPr>
        <w:t>承包人应自行承担修建临时设施的费用，需要临时占地的，应由承包人按第4.1.10项（1）目的规定办理。</w:t>
      </w:r>
    </w:p>
    <w:p w14:paraId="0BDDCACF">
      <w:pPr>
        <w:widowControl/>
        <w:adjustRightInd w:val="0"/>
        <w:snapToGrid w:val="0"/>
        <w:spacing w:line="360" w:lineRule="auto"/>
        <w:ind w:firstLine="480" w:firstLineChars="200"/>
        <w:jc w:val="both"/>
        <w:rPr>
          <w:rFonts w:asciiTheme="minorEastAsia" w:hAnsiTheme="minorEastAsia" w:eastAsiaTheme="minorEastAsia"/>
          <w:bCs/>
          <w:sz w:val="24"/>
          <w:lang w:bidi="ar"/>
        </w:rPr>
      </w:pPr>
      <w:r>
        <w:rPr>
          <w:rFonts w:hint="eastAsia" w:asciiTheme="minorEastAsia" w:hAnsiTheme="minorEastAsia" w:eastAsiaTheme="minorEastAsia"/>
          <w:bCs/>
          <w:sz w:val="24"/>
          <w:lang w:bidi="ar"/>
        </w:rPr>
        <w:t>本款补充第7.1.3项：</w:t>
      </w:r>
    </w:p>
    <w:p w14:paraId="2398F598">
      <w:pPr>
        <w:widowControl/>
        <w:adjustRightInd w:val="0"/>
        <w:snapToGrid w:val="0"/>
        <w:spacing w:line="360" w:lineRule="auto"/>
        <w:ind w:firstLine="480" w:firstLineChars="200"/>
        <w:jc w:val="both"/>
        <w:rPr>
          <w:sz w:val="23"/>
          <w:szCs w:val="23"/>
        </w:rPr>
      </w:pPr>
      <w:r>
        <w:rPr>
          <w:rFonts w:hint="eastAsia" w:asciiTheme="minorEastAsia" w:hAnsiTheme="minorEastAsia" w:eastAsiaTheme="minorEastAsia"/>
          <w:bCs/>
          <w:sz w:val="24"/>
          <w:lang w:bidi="ar"/>
        </w:rPr>
        <w:t xml:space="preserve">7.1.3 承包人提供的特种设备必须在进场时获得当地有关部门的鉴定，并承担相关费用。 </w:t>
      </w:r>
    </w:p>
    <w:p w14:paraId="12F9CE64">
      <w:pPr>
        <w:pStyle w:val="2"/>
        <w:spacing w:before="240" w:after="240" w:line="240" w:lineRule="atLeast"/>
        <w:rPr>
          <w:rFonts w:ascii="黑体"/>
          <w:b w:val="0"/>
          <w:sz w:val="24"/>
          <w:szCs w:val="24"/>
        </w:rPr>
      </w:pPr>
      <w:r>
        <w:rPr>
          <w:rFonts w:ascii="黑体"/>
          <w:b w:val="0"/>
          <w:sz w:val="24"/>
          <w:szCs w:val="24"/>
        </w:rPr>
        <w:t>7.2</w:t>
      </w:r>
      <w:r>
        <w:rPr>
          <w:rFonts w:hint="eastAsia" w:ascii="黑体"/>
          <w:b w:val="0"/>
          <w:sz w:val="24"/>
          <w:szCs w:val="24"/>
          <w:lang w:val="en-US" w:eastAsia="zh-CN"/>
        </w:rPr>
        <w:t xml:space="preserve"> </w:t>
      </w:r>
      <w:r>
        <w:rPr>
          <w:rFonts w:hint="eastAsia" w:ascii="黑体"/>
          <w:b w:val="0"/>
          <w:sz w:val="24"/>
          <w:szCs w:val="24"/>
        </w:rPr>
        <w:t>发包人提供的施工设备和临时设施（A）</w:t>
      </w:r>
    </w:p>
    <w:bookmarkEnd w:id="766"/>
    <w:p w14:paraId="1F08575A">
      <w:pPr>
        <w:adjustRightInd w:val="0"/>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发</w:t>
      </w:r>
      <w:r>
        <w:rPr>
          <w:rFonts w:asciiTheme="minorEastAsia" w:hAnsiTheme="minorEastAsia" w:eastAsiaTheme="minorEastAsia"/>
          <w:sz w:val="24"/>
        </w:rPr>
        <w:t>包人</w:t>
      </w:r>
      <w:r>
        <w:rPr>
          <w:rFonts w:hint="eastAsia" w:asciiTheme="minorEastAsia" w:hAnsiTheme="minorEastAsia" w:eastAsiaTheme="minorEastAsia"/>
          <w:sz w:val="24"/>
        </w:rPr>
        <w:t>提供的施工设备和临时设施在专用合同条款数据表中约定</w:t>
      </w:r>
      <w:r>
        <w:rPr>
          <w:rFonts w:hint="eastAsia" w:asciiTheme="minorEastAsia" w:hAnsiTheme="minorEastAsia" w:eastAsiaTheme="minorEastAsia"/>
          <w:sz w:val="24"/>
          <w:u w:val="none"/>
        </w:rPr>
        <w:t>。</w:t>
      </w:r>
    </w:p>
    <w:p w14:paraId="180D3EA3">
      <w:pPr>
        <w:pStyle w:val="2"/>
        <w:spacing w:before="240" w:after="240" w:line="240" w:lineRule="atLeast"/>
        <w:rPr>
          <w:rFonts w:ascii="黑体"/>
          <w:b w:val="0"/>
          <w:sz w:val="24"/>
          <w:szCs w:val="24"/>
        </w:rPr>
      </w:pPr>
      <w:bookmarkStart w:id="767" w:name="_Hlk100215718"/>
      <w:r>
        <w:rPr>
          <w:rFonts w:ascii="黑体"/>
          <w:b w:val="0"/>
          <w:sz w:val="24"/>
          <w:szCs w:val="24"/>
        </w:rPr>
        <w:t>7.2</w:t>
      </w:r>
      <w:r>
        <w:rPr>
          <w:rFonts w:hint="eastAsia" w:ascii="黑体"/>
          <w:b w:val="0"/>
          <w:sz w:val="24"/>
          <w:szCs w:val="24"/>
          <w:lang w:val="en-US" w:eastAsia="zh-CN"/>
        </w:rPr>
        <w:t xml:space="preserve"> </w:t>
      </w:r>
      <w:r>
        <w:rPr>
          <w:rFonts w:hint="eastAsia" w:ascii="黑体"/>
          <w:b w:val="0"/>
          <w:sz w:val="24"/>
          <w:szCs w:val="24"/>
        </w:rPr>
        <w:t>发包人提</w:t>
      </w:r>
      <w:bookmarkEnd w:id="767"/>
      <w:r>
        <w:rPr>
          <w:rFonts w:hint="eastAsia" w:ascii="黑体"/>
          <w:b w:val="0"/>
          <w:sz w:val="24"/>
          <w:szCs w:val="24"/>
        </w:rPr>
        <w:t>供的施工设备和临时设施（</w:t>
      </w:r>
      <w:r>
        <w:rPr>
          <w:rFonts w:ascii="黑体"/>
          <w:b w:val="0"/>
          <w:sz w:val="24"/>
          <w:szCs w:val="24"/>
        </w:rPr>
        <w:t>B</w:t>
      </w:r>
      <w:r>
        <w:rPr>
          <w:rFonts w:hint="eastAsia" w:ascii="黑体"/>
          <w:b w:val="0"/>
          <w:sz w:val="24"/>
          <w:szCs w:val="24"/>
        </w:rPr>
        <w:t>）</w:t>
      </w:r>
    </w:p>
    <w:p w14:paraId="5C79A83D">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发包人不提供</w:t>
      </w:r>
      <w:r>
        <w:rPr>
          <w:rFonts w:hint="eastAsia" w:asciiTheme="minorEastAsia" w:hAnsiTheme="minorEastAsia" w:eastAsiaTheme="minorEastAsia"/>
          <w:sz w:val="24"/>
        </w:rPr>
        <w:t>施工设备和临时设施。</w:t>
      </w:r>
    </w:p>
    <w:p w14:paraId="56BD912F">
      <w:pPr>
        <w:pStyle w:val="2"/>
        <w:spacing w:before="240" w:after="240" w:line="240" w:lineRule="atLeast"/>
        <w:rPr>
          <w:rFonts w:ascii="黑体"/>
          <w:bCs w:val="0"/>
          <w:sz w:val="24"/>
        </w:rPr>
      </w:pPr>
      <w:r>
        <w:rPr>
          <w:rFonts w:ascii="黑体"/>
          <w:b w:val="0"/>
          <w:sz w:val="24"/>
          <w:szCs w:val="24"/>
        </w:rPr>
        <w:t>7.3</w:t>
      </w:r>
      <w:r>
        <w:rPr>
          <w:rFonts w:hint="eastAsia" w:ascii="黑体"/>
          <w:b w:val="0"/>
          <w:sz w:val="24"/>
          <w:szCs w:val="24"/>
          <w:lang w:val="en-US" w:eastAsia="zh-CN"/>
        </w:rPr>
        <w:t xml:space="preserve"> </w:t>
      </w:r>
      <w:r>
        <w:rPr>
          <w:rFonts w:hint="eastAsia" w:ascii="黑体"/>
          <w:b w:val="0"/>
          <w:sz w:val="24"/>
          <w:szCs w:val="24"/>
        </w:rPr>
        <w:t>要求承包人增加或更换施工设备</w:t>
      </w:r>
    </w:p>
    <w:p w14:paraId="35C5CCAA">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本款细化为：</w:t>
      </w:r>
    </w:p>
    <w:p w14:paraId="535E5399">
      <w:pPr>
        <w:widowControl/>
        <w:adjustRightInd w:val="0"/>
        <w:snapToGrid w:val="0"/>
        <w:spacing w:line="360"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承包人承诺的施工设备必须按时到达现场，不得拖延、缺短或任意更换。尽管承包人已按承诺提供了上述设备，但若承包人使用的施工设备不能满足合同进度计划和（或）质量、安全生产要求时，监理人有权要求承包人增加或更换施工设备，承包人应</w:t>
      </w:r>
      <w:r>
        <w:rPr>
          <w:rFonts w:hint="eastAsia" w:asciiTheme="minorEastAsia" w:hAnsiTheme="minorEastAsia" w:eastAsiaTheme="minorEastAsia"/>
          <w:bCs/>
          <w:sz w:val="24"/>
          <w:lang w:bidi="ar"/>
        </w:rPr>
        <w:t>人在收到监理人通知限期7日以内</w:t>
      </w:r>
      <w:r>
        <w:rPr>
          <w:rFonts w:hint="eastAsia" w:asciiTheme="minorEastAsia" w:hAnsiTheme="minorEastAsia" w:eastAsiaTheme="minorEastAsia"/>
          <w:bCs/>
          <w:sz w:val="24"/>
        </w:rPr>
        <w:t>增加或更换，</w:t>
      </w:r>
      <w:r>
        <w:rPr>
          <w:rFonts w:hint="eastAsia" w:asciiTheme="minorEastAsia" w:hAnsiTheme="minorEastAsia" w:eastAsiaTheme="minorEastAsia"/>
          <w:bCs/>
          <w:sz w:val="24"/>
          <w:lang w:bidi="ar"/>
        </w:rPr>
        <w:t>否则发包人有权另行组织设备以确保工程进展，</w:t>
      </w:r>
      <w:r>
        <w:rPr>
          <w:rFonts w:hint="eastAsia" w:asciiTheme="minorEastAsia" w:hAnsiTheme="minorEastAsia" w:eastAsiaTheme="minorEastAsia"/>
          <w:bCs/>
          <w:sz w:val="24"/>
        </w:rPr>
        <w:t>由此增加的费用和（或）工期延误由承包人承担。</w:t>
      </w:r>
    </w:p>
    <w:bookmarkEnd w:id="764"/>
    <w:p w14:paraId="35BF9100">
      <w:pPr>
        <w:pStyle w:val="2"/>
        <w:numPr>
          <w:ilvl w:val="0"/>
          <w:numId w:val="6"/>
        </w:numPr>
        <w:spacing w:before="360" w:after="240" w:line="240" w:lineRule="atLeast"/>
        <w:ind w:left="0"/>
        <w:rPr>
          <w:rFonts w:ascii="黑体"/>
          <w:b w:val="0"/>
          <w:sz w:val="28"/>
          <w:szCs w:val="28"/>
        </w:rPr>
      </w:pPr>
      <w:r>
        <w:rPr>
          <w:rFonts w:hint="eastAsia" w:ascii="黑体"/>
          <w:b w:val="0"/>
          <w:sz w:val="28"/>
          <w:szCs w:val="28"/>
        </w:rPr>
        <w:t>交通运输</w:t>
      </w:r>
    </w:p>
    <w:p w14:paraId="6B56FC40">
      <w:pPr>
        <w:pStyle w:val="2"/>
        <w:spacing w:before="240" w:after="240" w:line="240" w:lineRule="atLeast"/>
        <w:rPr>
          <w:rFonts w:ascii="黑体"/>
          <w:b w:val="0"/>
          <w:sz w:val="24"/>
          <w:szCs w:val="24"/>
        </w:rPr>
      </w:pPr>
      <w:bookmarkStart w:id="768" w:name="_Hlk100153092"/>
      <w:r>
        <w:rPr>
          <w:rFonts w:ascii="黑体"/>
          <w:b w:val="0"/>
          <w:sz w:val="24"/>
          <w:szCs w:val="24"/>
        </w:rPr>
        <w:t xml:space="preserve">8.1 </w:t>
      </w:r>
      <w:r>
        <w:rPr>
          <w:rFonts w:hint="eastAsia" w:ascii="黑体"/>
          <w:b w:val="0"/>
          <w:sz w:val="24"/>
          <w:szCs w:val="24"/>
        </w:rPr>
        <w:t>道路通行权和场外设施</w:t>
      </w:r>
      <w:bookmarkEnd w:id="768"/>
      <w:r>
        <w:rPr>
          <w:rFonts w:hint="eastAsia" w:ascii="黑体"/>
          <w:b w:val="0"/>
          <w:sz w:val="24"/>
          <w:szCs w:val="24"/>
        </w:rPr>
        <w:t>（A）</w:t>
      </w:r>
    </w:p>
    <w:p w14:paraId="273997F2">
      <w:pPr>
        <w:adjustRightInd w:val="0"/>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承包</w:t>
      </w:r>
      <w:r>
        <w:rPr>
          <w:rFonts w:asciiTheme="minorEastAsia" w:hAnsiTheme="minorEastAsia" w:eastAsiaTheme="minorEastAsia"/>
          <w:sz w:val="24"/>
        </w:rPr>
        <w:t>人</w:t>
      </w:r>
      <w:r>
        <w:rPr>
          <w:rFonts w:hint="eastAsia" w:asciiTheme="minorEastAsia" w:hAnsiTheme="minorEastAsia" w:eastAsiaTheme="minorEastAsia"/>
          <w:sz w:val="24"/>
        </w:rPr>
        <w:t>应协助发包人办理上述手续。</w:t>
      </w:r>
    </w:p>
    <w:p w14:paraId="4BB44092">
      <w:pPr>
        <w:pStyle w:val="2"/>
        <w:spacing w:before="240" w:after="240" w:line="240" w:lineRule="atLeast"/>
        <w:rPr>
          <w:rFonts w:ascii="黑体"/>
          <w:b w:val="0"/>
          <w:sz w:val="24"/>
          <w:szCs w:val="24"/>
        </w:rPr>
      </w:pPr>
      <w:r>
        <w:rPr>
          <w:rFonts w:ascii="黑体"/>
          <w:b w:val="0"/>
          <w:sz w:val="24"/>
          <w:szCs w:val="24"/>
        </w:rPr>
        <w:t xml:space="preserve">8.1 </w:t>
      </w:r>
      <w:r>
        <w:rPr>
          <w:rFonts w:hint="eastAsia" w:ascii="黑体"/>
          <w:b w:val="0"/>
          <w:sz w:val="24"/>
          <w:szCs w:val="24"/>
        </w:rPr>
        <w:t>道路通行权和场外设施（</w:t>
      </w:r>
      <w:r>
        <w:rPr>
          <w:rFonts w:ascii="黑体"/>
          <w:b w:val="0"/>
          <w:sz w:val="24"/>
          <w:szCs w:val="24"/>
        </w:rPr>
        <w:t>B</w:t>
      </w:r>
      <w:r>
        <w:rPr>
          <w:rFonts w:hint="eastAsia" w:ascii="黑体"/>
          <w:b w:val="0"/>
          <w:sz w:val="24"/>
          <w:szCs w:val="24"/>
        </w:rPr>
        <w:t>）</w:t>
      </w:r>
    </w:p>
    <w:p w14:paraId="40623CA5">
      <w:pPr>
        <w:adjustRightInd w:val="0"/>
        <w:snapToGrid w:val="0"/>
        <w:spacing w:line="360" w:lineRule="auto"/>
        <w:ind w:firstLine="480" w:firstLineChars="200"/>
        <w:rPr>
          <w:rFonts w:asciiTheme="minorEastAsia" w:hAnsiTheme="minorEastAsia" w:eastAsiaTheme="minorEastAsia"/>
          <w:sz w:val="24"/>
        </w:rPr>
      </w:pPr>
      <w:r>
        <w:rPr>
          <w:rFonts w:hint="eastAsia" w:ascii="宋体" w:hAnsi="宋体"/>
          <w:sz w:val="24"/>
        </w:rPr>
        <w:t>本款补充：承包人应自行踏勘场外交通通行状况、运距，自行办理车辆通行的相关手续和承担相应的费用。</w:t>
      </w:r>
      <w:r>
        <w:rPr>
          <w:rFonts w:hint="eastAsia" w:asciiTheme="minorEastAsia" w:hAnsiTheme="minorEastAsia" w:eastAsiaTheme="minorEastAsia"/>
          <w:bCs/>
          <w:sz w:val="24"/>
        </w:rPr>
        <w:t>发包人应协助承包人办理上述手续</w:t>
      </w:r>
      <w:r>
        <w:rPr>
          <w:rFonts w:hint="eastAsia" w:asciiTheme="minorEastAsia" w:hAnsiTheme="minorEastAsia" w:eastAsiaTheme="minorEastAsia"/>
          <w:sz w:val="24"/>
        </w:rPr>
        <w:t>。</w:t>
      </w:r>
    </w:p>
    <w:p w14:paraId="64C2B791">
      <w:pPr>
        <w:pStyle w:val="2"/>
        <w:spacing w:before="240" w:after="240" w:line="240" w:lineRule="atLeast"/>
        <w:rPr>
          <w:rFonts w:ascii="黑体"/>
          <w:b w:val="0"/>
          <w:sz w:val="24"/>
          <w:szCs w:val="24"/>
        </w:rPr>
      </w:pPr>
      <w:bookmarkStart w:id="769" w:name="_Toc53685746"/>
      <w:r>
        <w:rPr>
          <w:rFonts w:ascii="黑体"/>
          <w:b w:val="0"/>
          <w:sz w:val="24"/>
          <w:szCs w:val="24"/>
        </w:rPr>
        <w:t>8.2</w:t>
      </w:r>
      <w:r>
        <w:rPr>
          <w:rFonts w:hint="eastAsia" w:ascii="黑体"/>
          <w:b w:val="0"/>
          <w:sz w:val="24"/>
          <w:szCs w:val="24"/>
          <w:lang w:val="en-US" w:eastAsia="zh-CN"/>
        </w:rPr>
        <w:t xml:space="preserve"> </w:t>
      </w:r>
      <w:r>
        <w:rPr>
          <w:rFonts w:hint="eastAsia" w:ascii="黑体"/>
          <w:b w:val="0"/>
          <w:sz w:val="24"/>
          <w:szCs w:val="24"/>
        </w:rPr>
        <w:t>场内施工道路</w:t>
      </w:r>
      <w:bookmarkEnd w:id="769"/>
    </w:p>
    <w:p w14:paraId="17B67562">
      <w:pPr>
        <w:adjustRightInd w:val="0"/>
        <w:snapToGrid w:val="0"/>
        <w:spacing w:line="360" w:lineRule="auto"/>
        <w:ind w:firstLine="480" w:firstLineChars="200"/>
        <w:rPr>
          <w:rFonts w:ascii="宋体" w:hAnsi="宋体"/>
          <w:sz w:val="24"/>
        </w:rPr>
      </w:pPr>
      <w:r>
        <w:rPr>
          <w:rFonts w:hint="eastAsia" w:ascii="宋体" w:hAnsi="宋体"/>
          <w:sz w:val="24"/>
          <w:lang w:val="en-US" w:eastAsia="zh-CN"/>
        </w:rPr>
        <w:t>第</w:t>
      </w:r>
      <w:r>
        <w:rPr>
          <w:rFonts w:hint="eastAsia" w:ascii="宋体" w:hAnsi="宋体"/>
          <w:sz w:val="24"/>
        </w:rPr>
        <w:t>8</w:t>
      </w:r>
      <w:r>
        <w:rPr>
          <w:rFonts w:ascii="宋体" w:hAnsi="宋体"/>
          <w:sz w:val="24"/>
        </w:rPr>
        <w:t>.2.2</w:t>
      </w:r>
      <w:r>
        <w:rPr>
          <w:rFonts w:hint="eastAsia" w:ascii="宋体" w:hAnsi="宋体"/>
          <w:sz w:val="24"/>
        </w:rPr>
        <w:t>项</w:t>
      </w:r>
      <w:r>
        <w:rPr>
          <w:rFonts w:ascii="宋体" w:hAnsi="宋体"/>
          <w:sz w:val="24"/>
        </w:rPr>
        <w:t>补充：</w:t>
      </w:r>
      <w:r>
        <w:rPr>
          <w:rFonts w:hint="eastAsia" w:ascii="宋体" w:hAnsi="宋体"/>
          <w:sz w:val="24"/>
        </w:rPr>
        <w:t>若其他承包人或其工作人员在使用场内施工道路过程中对临时设施造成损坏时，承包人可通过监理人提出由其他承包人给予修复或赔偿的要求。</w:t>
      </w:r>
    </w:p>
    <w:p w14:paraId="30242FA8">
      <w:pPr>
        <w:pStyle w:val="2"/>
        <w:spacing w:before="240" w:after="240" w:line="240" w:lineRule="atLeast"/>
        <w:rPr>
          <w:rFonts w:ascii="黑体"/>
          <w:b w:val="0"/>
          <w:sz w:val="24"/>
          <w:szCs w:val="24"/>
        </w:rPr>
      </w:pPr>
      <w:bookmarkStart w:id="770" w:name="_Toc53685747"/>
      <w:r>
        <w:rPr>
          <w:rFonts w:ascii="黑体"/>
          <w:b w:val="0"/>
          <w:sz w:val="24"/>
          <w:szCs w:val="24"/>
        </w:rPr>
        <w:t>8.3</w:t>
      </w:r>
      <w:r>
        <w:rPr>
          <w:rFonts w:hint="eastAsia" w:ascii="黑体"/>
          <w:b w:val="0"/>
          <w:sz w:val="24"/>
          <w:szCs w:val="24"/>
          <w:lang w:val="en-US" w:eastAsia="zh-CN"/>
        </w:rPr>
        <w:t xml:space="preserve"> </w:t>
      </w:r>
      <w:r>
        <w:rPr>
          <w:rFonts w:hint="eastAsia" w:ascii="黑体"/>
          <w:b w:val="0"/>
          <w:sz w:val="24"/>
          <w:szCs w:val="24"/>
        </w:rPr>
        <w:t>场外交通</w:t>
      </w:r>
      <w:bookmarkEnd w:id="770"/>
    </w:p>
    <w:p w14:paraId="61163D92">
      <w:pPr>
        <w:adjustRightInd w:val="0"/>
        <w:snapToGrid w:val="0"/>
        <w:spacing w:line="360" w:lineRule="auto"/>
        <w:ind w:firstLine="470" w:firstLineChars="196"/>
        <w:rPr>
          <w:rFonts w:ascii="宋体" w:hAnsi="宋体"/>
          <w:bCs/>
          <w:sz w:val="24"/>
        </w:rPr>
      </w:pPr>
      <w:r>
        <w:rPr>
          <w:rFonts w:hint="eastAsia" w:ascii="宋体" w:hAnsi="宋体"/>
          <w:bCs/>
          <w:sz w:val="24"/>
        </w:rPr>
        <w:t>第</w:t>
      </w:r>
      <w:r>
        <w:rPr>
          <w:rFonts w:ascii="宋体" w:hAnsi="宋体"/>
          <w:bCs/>
          <w:sz w:val="24"/>
        </w:rPr>
        <w:t>8.3.1</w:t>
      </w:r>
      <w:r>
        <w:rPr>
          <w:rFonts w:hint="eastAsia" w:ascii="宋体" w:hAnsi="宋体"/>
          <w:bCs/>
          <w:sz w:val="24"/>
        </w:rPr>
        <w:t>项补充：</w:t>
      </w:r>
    </w:p>
    <w:p w14:paraId="6F1F9176">
      <w:pPr>
        <w:adjustRightInd w:val="0"/>
        <w:snapToGrid w:val="0"/>
        <w:spacing w:line="360" w:lineRule="auto"/>
        <w:ind w:firstLine="470" w:firstLineChars="196"/>
        <w:rPr>
          <w:rFonts w:ascii="宋体" w:hAnsi="宋体"/>
          <w:sz w:val="24"/>
        </w:rPr>
      </w:pPr>
      <w:r>
        <w:rPr>
          <w:rFonts w:hint="eastAsia" w:ascii="宋体" w:hAnsi="宋体"/>
          <w:sz w:val="24"/>
        </w:rPr>
        <w:t>为运输用于本工程的材料、设备通过所有收费公路的通行费用均由承包人自行按章缴纳。承包人在施工过程中所使用的管理车辆、工程、材料运输车辆，要求各类证照齐全，车况良好。</w:t>
      </w:r>
    </w:p>
    <w:p w14:paraId="55C65305">
      <w:pPr>
        <w:adjustRightInd w:val="0"/>
        <w:snapToGrid w:val="0"/>
        <w:spacing w:line="360" w:lineRule="auto"/>
        <w:ind w:firstLine="470" w:firstLineChars="196"/>
        <w:rPr>
          <w:rFonts w:ascii="宋体" w:hAnsi="宋体"/>
          <w:sz w:val="24"/>
        </w:rPr>
      </w:pPr>
      <w:r>
        <w:rPr>
          <w:rFonts w:hint="eastAsia" w:ascii="宋体" w:hAnsi="宋体"/>
          <w:sz w:val="24"/>
        </w:rPr>
        <w:t>本款补充第8.3.3项：</w:t>
      </w:r>
    </w:p>
    <w:p w14:paraId="12E0B8A3">
      <w:pPr>
        <w:adjustRightInd w:val="0"/>
        <w:snapToGrid w:val="0"/>
        <w:spacing w:line="360" w:lineRule="auto"/>
        <w:ind w:firstLine="360" w:firstLineChars="150"/>
        <w:rPr>
          <w:rFonts w:ascii="黑体" w:hAnsi="黑体" w:eastAsia="黑体"/>
          <w:sz w:val="24"/>
        </w:rPr>
      </w:pPr>
      <w:r>
        <w:rPr>
          <w:rFonts w:hint="default" w:ascii="黑体" w:hAnsi="黑体" w:eastAsia="黑体"/>
          <w:sz w:val="24"/>
          <w:lang w:bidi="ar"/>
        </w:rPr>
        <w:t>8.3.3</w:t>
      </w:r>
      <w:r>
        <w:rPr>
          <w:rFonts w:hint="default" w:ascii="黑体" w:hAnsi="黑体" w:eastAsia="黑体"/>
          <w:sz w:val="24"/>
          <w:lang w:val="en-US" w:eastAsia="zh-CN" w:bidi="ar"/>
        </w:rPr>
        <w:t xml:space="preserve"> </w:t>
      </w:r>
      <w:r>
        <w:rPr>
          <w:rFonts w:hint="default" w:ascii="黑体" w:hAnsi="黑体" w:eastAsia="黑体"/>
          <w:sz w:val="24"/>
          <w:lang w:bidi="ar"/>
        </w:rPr>
        <w:t>地方道路的使用</w:t>
      </w:r>
    </w:p>
    <w:p w14:paraId="099A9CAF">
      <w:pPr>
        <w:adjustRightInd w:val="0"/>
        <w:snapToGrid w:val="0"/>
        <w:spacing w:line="360" w:lineRule="auto"/>
        <w:ind w:firstLine="470" w:firstLineChars="196"/>
        <w:rPr>
          <w:rFonts w:ascii="宋体" w:hAnsi="宋体"/>
          <w:sz w:val="24"/>
        </w:rPr>
      </w:pPr>
      <w:r>
        <w:rPr>
          <w:rFonts w:hint="eastAsia" w:ascii="宋体" w:hAnsi="宋体"/>
          <w:sz w:val="24"/>
        </w:rPr>
        <w:t>承包人为运输用于本工程的材料、设备通过相关地方公路，承包人应在投标时对利用道路做详细的调查，充分考虑地方道路对项目的影响。施工期间，承包人应主动与当地政府有关部门建立联系机制，利用地方道路的运输应满足当地相关部门要求，并配备必要的人员与设备对利用道路进行清洁洒水、增设必要的交通标志标牌、协调交通等，以保证地方道路和结构物的正常通行，同时应文明运输作业。</w:t>
      </w:r>
    </w:p>
    <w:p w14:paraId="192DDC9A">
      <w:pPr>
        <w:pStyle w:val="2"/>
        <w:keepNext w:val="0"/>
        <w:keepLines w:val="0"/>
        <w:widowControl/>
        <w:spacing w:before="240" w:after="240" w:line="240" w:lineRule="atLeast"/>
        <w:jc w:val="left"/>
        <w:rPr>
          <w:rFonts w:ascii="黑体"/>
          <w:b w:val="0"/>
          <w:sz w:val="24"/>
          <w:szCs w:val="24"/>
        </w:rPr>
      </w:pPr>
      <w:r>
        <w:rPr>
          <w:rFonts w:hint="eastAsia" w:ascii="黑体"/>
          <w:b w:val="0"/>
          <w:sz w:val="24"/>
          <w:szCs w:val="24"/>
          <w:lang w:bidi="ar"/>
        </w:rPr>
        <w:t xml:space="preserve">8.5 道路和桥梁的损坏责任 </w:t>
      </w:r>
    </w:p>
    <w:p w14:paraId="521D330A">
      <w:pPr>
        <w:widowControl/>
        <w:adjustRightInd w:val="0"/>
        <w:snapToGrid w:val="0"/>
        <w:spacing w:line="360" w:lineRule="auto"/>
        <w:ind w:firstLine="470" w:firstLineChars="196"/>
        <w:jc w:val="left"/>
        <w:rPr>
          <w:rFonts w:ascii="宋体" w:hAnsi="宋体"/>
          <w:sz w:val="24"/>
        </w:rPr>
      </w:pPr>
      <w:r>
        <w:rPr>
          <w:rFonts w:hint="eastAsia" w:ascii="宋体" w:hAnsi="宋体"/>
          <w:sz w:val="24"/>
          <w:lang w:bidi="ar"/>
        </w:rPr>
        <w:t xml:space="preserve">本款补充： </w:t>
      </w:r>
    </w:p>
    <w:p w14:paraId="40ADD30F">
      <w:pPr>
        <w:widowControl/>
        <w:adjustRightInd w:val="0"/>
        <w:snapToGrid w:val="0"/>
        <w:spacing w:line="360" w:lineRule="auto"/>
        <w:ind w:firstLine="470" w:firstLineChars="196"/>
        <w:jc w:val="left"/>
        <w:rPr>
          <w:rFonts w:ascii="宋体" w:hAnsi="宋体"/>
          <w:sz w:val="24"/>
        </w:rPr>
      </w:pPr>
      <w:r>
        <w:rPr>
          <w:rFonts w:hint="eastAsia" w:ascii="宋体" w:hAnsi="宋体"/>
          <w:sz w:val="24"/>
          <w:lang w:bidi="ar"/>
        </w:rPr>
        <w:t>承包人运输过程中对其他船只、车辆、行人造成的损失或在运输过程中发生施工船舶、机械、设备及材料的沉没的，所造成的一切赔偿责任及打捞、维修等相关费用均由承包人自行承担。</w:t>
      </w:r>
    </w:p>
    <w:p w14:paraId="0E47814C">
      <w:pPr>
        <w:pStyle w:val="2"/>
        <w:numPr>
          <w:ilvl w:val="0"/>
          <w:numId w:val="6"/>
        </w:numPr>
        <w:spacing w:before="360" w:after="240" w:line="240" w:lineRule="atLeast"/>
        <w:ind w:left="0"/>
        <w:rPr>
          <w:rFonts w:ascii="黑体"/>
          <w:b w:val="0"/>
          <w:sz w:val="28"/>
          <w:szCs w:val="28"/>
        </w:rPr>
      </w:pPr>
      <w:r>
        <w:rPr>
          <w:rFonts w:hint="eastAsia" w:ascii="黑体"/>
          <w:b w:val="0"/>
          <w:sz w:val="28"/>
          <w:szCs w:val="28"/>
        </w:rPr>
        <w:t>测量放线</w:t>
      </w:r>
      <w:bookmarkEnd w:id="765"/>
    </w:p>
    <w:p w14:paraId="7306822A">
      <w:pPr>
        <w:pStyle w:val="2"/>
        <w:spacing w:before="240" w:after="240" w:line="240" w:lineRule="atLeast"/>
        <w:rPr>
          <w:rFonts w:ascii="黑体"/>
          <w:b w:val="0"/>
          <w:sz w:val="24"/>
          <w:szCs w:val="24"/>
        </w:rPr>
      </w:pPr>
      <w:bookmarkStart w:id="771" w:name="_Toc53685749"/>
      <w:bookmarkStart w:id="772" w:name="_Hlk100215983"/>
      <w:r>
        <w:rPr>
          <w:rFonts w:ascii="黑体"/>
          <w:b w:val="0"/>
          <w:sz w:val="24"/>
          <w:szCs w:val="24"/>
        </w:rPr>
        <w:t>9.1</w:t>
      </w:r>
      <w:r>
        <w:rPr>
          <w:rFonts w:hint="eastAsia" w:ascii="黑体"/>
          <w:b w:val="0"/>
          <w:sz w:val="24"/>
          <w:szCs w:val="24"/>
          <w:lang w:val="en-US" w:eastAsia="zh-CN"/>
        </w:rPr>
        <w:t xml:space="preserve"> </w:t>
      </w:r>
      <w:r>
        <w:rPr>
          <w:rFonts w:hint="eastAsia" w:ascii="黑体"/>
          <w:b w:val="0"/>
          <w:sz w:val="24"/>
          <w:szCs w:val="24"/>
        </w:rPr>
        <w:t>施工控制网</w:t>
      </w:r>
      <w:bookmarkEnd w:id="771"/>
    </w:p>
    <w:p w14:paraId="40EA8404">
      <w:pPr>
        <w:widowControl/>
        <w:spacing w:before="0" w:after="0" w:line="360" w:lineRule="auto"/>
        <w:ind w:firstLine="480" w:firstLineChars="200"/>
        <w:jc w:val="left"/>
        <w:rPr>
          <w:rFonts w:hint="eastAsia" w:ascii="宋体" w:hAnsi="宋体"/>
          <w:sz w:val="24"/>
        </w:rPr>
      </w:pPr>
      <w:r>
        <w:rPr>
          <w:rFonts w:hint="eastAsia" w:ascii="宋体" w:hAnsi="宋体" w:cs="Courier New"/>
          <w:sz w:val="24"/>
          <w:lang w:bidi="ar"/>
        </w:rPr>
        <w:t>第</w:t>
      </w:r>
      <w:r>
        <w:rPr>
          <w:rFonts w:ascii="宋体" w:hAnsi="宋体" w:cs="Courier New"/>
          <w:sz w:val="24"/>
          <w:lang w:bidi="ar"/>
        </w:rPr>
        <w:t>9.1.1</w:t>
      </w:r>
      <w:bookmarkEnd w:id="772"/>
      <w:r>
        <w:rPr>
          <w:rFonts w:hint="eastAsia" w:ascii="宋体" w:hAnsi="宋体" w:cs="Courier New"/>
          <w:sz w:val="24"/>
          <w:lang w:bidi="ar"/>
        </w:rPr>
        <w:t>项补充：</w:t>
      </w:r>
      <w:r>
        <w:rPr>
          <w:rFonts w:hint="eastAsia"/>
          <w:sz w:val="24"/>
          <w:szCs w:val="24"/>
          <w:lang w:bidi="ar"/>
        </w:rPr>
        <w:t>承包人应在重要结构物（如桥梁、隧道）两端各设置一个永久性的导线点和水准点，并做好防护措施。在工程完成后，移交给发包人。</w:t>
      </w:r>
    </w:p>
    <w:p w14:paraId="512127F9">
      <w:pPr>
        <w:widowControl/>
        <w:spacing w:before="0" w:after="0" w:line="360" w:lineRule="auto"/>
        <w:ind w:firstLine="480" w:firstLineChars="200"/>
        <w:jc w:val="left"/>
        <w:rPr>
          <w:rFonts w:ascii="宋体" w:hAnsi="宋体"/>
          <w:sz w:val="24"/>
        </w:rPr>
      </w:pPr>
      <w:r>
        <w:rPr>
          <w:rFonts w:hint="eastAsia" w:ascii="宋体" w:hAnsi="宋体"/>
          <w:sz w:val="24"/>
        </w:rPr>
        <w:t>发包人提供测量基准点、基准线和水准点的期限</w:t>
      </w:r>
      <w:r>
        <w:rPr>
          <w:rFonts w:hint="eastAsia" w:ascii="宋体" w:hAnsi="宋体"/>
          <w:sz w:val="24"/>
          <w:lang w:val="en-US" w:eastAsia="zh-CN"/>
        </w:rPr>
        <w:t>见</w:t>
      </w:r>
      <w:r>
        <w:rPr>
          <w:rFonts w:hint="eastAsia" w:ascii="宋体" w:hAnsi="宋体"/>
          <w:sz w:val="24"/>
          <w:u w:val="none"/>
          <w:lang w:val="en-US" w:eastAsia="zh-CN"/>
        </w:rPr>
        <w:t>专用合同条款数据表</w:t>
      </w:r>
      <w:r>
        <w:rPr>
          <w:rFonts w:hint="eastAsia" w:ascii="宋体" w:hAnsi="宋体"/>
          <w:sz w:val="24"/>
        </w:rPr>
        <w:t>。</w:t>
      </w:r>
    </w:p>
    <w:p w14:paraId="0C0A1551">
      <w:pPr>
        <w:spacing w:line="360" w:lineRule="auto"/>
        <w:ind w:firstLine="480" w:firstLineChars="200"/>
        <w:rPr>
          <w:rFonts w:ascii="宋体" w:hAnsi="宋体" w:cs="Courier New"/>
          <w:sz w:val="24"/>
        </w:rPr>
      </w:pPr>
      <w:r>
        <w:rPr>
          <w:rFonts w:hint="eastAsia" w:ascii="宋体" w:hAnsi="宋体" w:cs="Courier New"/>
          <w:sz w:val="24"/>
        </w:rPr>
        <w:t>施工控制网的测设：由承包人完成，但</w:t>
      </w:r>
      <w:r>
        <w:rPr>
          <w:rFonts w:hint="eastAsia" w:ascii="宋体" w:hAnsi="宋体"/>
          <w:sz w:val="24"/>
        </w:rPr>
        <w:t>承包人进场后应对发包人提供的基准资料进行复核并签字确认</w:t>
      </w:r>
      <w:r>
        <w:rPr>
          <w:rFonts w:hint="eastAsia" w:ascii="宋体" w:hAnsi="宋体" w:cs="Courier New"/>
          <w:sz w:val="24"/>
        </w:rPr>
        <w:t>。</w:t>
      </w:r>
    </w:p>
    <w:p w14:paraId="2AEADDB2">
      <w:pPr>
        <w:spacing w:line="360" w:lineRule="auto"/>
        <w:ind w:firstLine="480" w:firstLineChars="200"/>
        <w:rPr>
          <w:rFonts w:ascii="宋体" w:hAnsi="宋体"/>
          <w:sz w:val="24"/>
        </w:rPr>
      </w:pPr>
      <w:r>
        <w:rPr>
          <w:rFonts w:hint="eastAsia" w:ascii="宋体" w:hAnsi="宋体" w:cs="Courier New"/>
          <w:sz w:val="24"/>
        </w:rPr>
        <w:t>报监理人审批施工控制网资料的期限</w:t>
      </w:r>
      <w:r>
        <w:rPr>
          <w:rFonts w:hint="eastAsia" w:ascii="宋体" w:hAnsi="宋体"/>
          <w:sz w:val="24"/>
          <w:lang w:val="en-US" w:eastAsia="zh-CN"/>
        </w:rPr>
        <w:t>见</w:t>
      </w:r>
      <w:r>
        <w:rPr>
          <w:rFonts w:hint="eastAsia" w:ascii="宋体" w:hAnsi="宋体"/>
          <w:sz w:val="24"/>
          <w:u w:val="none"/>
          <w:lang w:val="en-US" w:eastAsia="zh-CN"/>
        </w:rPr>
        <w:t>专用合同条款数据表</w:t>
      </w:r>
      <w:r>
        <w:rPr>
          <w:rFonts w:hint="eastAsia" w:ascii="宋体" w:hAnsi="宋体"/>
          <w:sz w:val="24"/>
        </w:rPr>
        <w:t>。</w:t>
      </w:r>
    </w:p>
    <w:p w14:paraId="6F3C4CF0">
      <w:pPr>
        <w:pStyle w:val="2"/>
        <w:keepNext w:val="0"/>
        <w:keepLines w:val="0"/>
        <w:widowControl/>
        <w:spacing w:before="240" w:after="240" w:line="240" w:lineRule="atLeast"/>
        <w:jc w:val="left"/>
        <w:rPr>
          <w:rFonts w:ascii="黑体"/>
          <w:b w:val="0"/>
          <w:sz w:val="24"/>
          <w:szCs w:val="24"/>
        </w:rPr>
      </w:pPr>
      <w:r>
        <w:rPr>
          <w:rFonts w:hint="eastAsia" w:ascii="黑体"/>
          <w:b w:val="0"/>
          <w:sz w:val="24"/>
          <w:szCs w:val="24"/>
          <w:lang w:bidi="ar"/>
        </w:rPr>
        <w:t xml:space="preserve">9.2 施工测量 </w:t>
      </w:r>
    </w:p>
    <w:p w14:paraId="727D7CD3">
      <w:pPr>
        <w:widowControl/>
        <w:spacing w:line="360" w:lineRule="auto"/>
        <w:ind w:firstLine="480" w:firstLineChars="200"/>
        <w:jc w:val="left"/>
        <w:rPr>
          <w:rFonts w:ascii="宋体" w:hAnsi="宋体" w:cs="Courier New"/>
          <w:sz w:val="24"/>
        </w:rPr>
      </w:pPr>
      <w:r>
        <w:rPr>
          <w:rFonts w:hint="eastAsia" w:ascii="宋体" w:hAnsi="宋体" w:cs="Courier New"/>
          <w:sz w:val="24"/>
          <w:lang w:bidi="ar"/>
        </w:rPr>
        <w:t>本款补充第9.2.3项</w:t>
      </w:r>
      <w:r>
        <w:rPr>
          <w:rFonts w:hint="eastAsia" w:ascii="宋体" w:hAnsi="宋体" w:cs="宋体"/>
          <w:sz w:val="24"/>
          <w:lang w:bidi="ar"/>
        </w:rPr>
        <w:t>～第</w:t>
      </w:r>
      <w:r>
        <w:rPr>
          <w:rFonts w:hint="eastAsia" w:ascii="宋体" w:hAnsi="宋体" w:cs="Courier New"/>
          <w:sz w:val="24"/>
          <w:lang w:bidi="ar"/>
        </w:rPr>
        <w:t xml:space="preserve">9.2.5项： </w:t>
      </w:r>
    </w:p>
    <w:p w14:paraId="3E2694B3">
      <w:pPr>
        <w:widowControl/>
        <w:spacing w:line="360" w:lineRule="auto"/>
        <w:ind w:firstLine="480" w:firstLineChars="200"/>
        <w:jc w:val="left"/>
        <w:rPr>
          <w:rFonts w:ascii="宋体" w:hAnsi="宋体" w:cs="Courier New"/>
          <w:sz w:val="24"/>
        </w:rPr>
      </w:pPr>
      <w:r>
        <w:rPr>
          <w:rFonts w:hint="eastAsia" w:ascii="宋体" w:hAnsi="宋体" w:cs="Courier New"/>
          <w:sz w:val="24"/>
          <w:lang w:bidi="ar"/>
        </w:rPr>
        <w:t xml:space="preserve">9.2.3 在合同工程的整个施工期间，承包人必须对测量基准网点进行维护，有义务参与全线测量控制网的联测。如测量基准网点或标志受到损坏，则承包人应立即报告监理人，并负责立即恢复、承担修复费用。 </w:t>
      </w:r>
    </w:p>
    <w:p w14:paraId="27C1285C">
      <w:pPr>
        <w:widowControl/>
        <w:spacing w:line="360" w:lineRule="auto"/>
        <w:ind w:firstLine="480" w:firstLineChars="200"/>
        <w:jc w:val="left"/>
        <w:rPr>
          <w:rFonts w:ascii="宋体" w:hAnsi="宋体" w:cs="Courier New"/>
          <w:sz w:val="24"/>
        </w:rPr>
      </w:pPr>
      <w:r>
        <w:rPr>
          <w:rFonts w:hint="eastAsia" w:ascii="宋体" w:hAnsi="宋体" w:cs="Courier New"/>
          <w:sz w:val="24"/>
          <w:lang w:bidi="ar"/>
        </w:rPr>
        <w:t xml:space="preserve">9.2.4 承包人应当将每次施工测量资料报监理人审核，对于重要的主体工程的施工测量资料，应至少在48小时前通知监理人进行复测。 </w:t>
      </w:r>
    </w:p>
    <w:p w14:paraId="04D12F56">
      <w:pPr>
        <w:widowControl/>
        <w:spacing w:before="0" w:after="0" w:line="360" w:lineRule="auto"/>
        <w:ind w:firstLine="480" w:firstLineChars="200"/>
        <w:jc w:val="left"/>
        <w:rPr>
          <w:rFonts w:ascii="黑体"/>
          <w:sz w:val="24"/>
        </w:rPr>
      </w:pPr>
      <w:r>
        <w:rPr>
          <w:rFonts w:hint="eastAsia" w:ascii="宋体" w:hAnsi="宋体" w:cs="Courier New"/>
          <w:sz w:val="24"/>
          <w:lang w:bidi="ar"/>
        </w:rPr>
        <w:t>9.2.5 承包人配备的测量人员、测量仪器和工具必须经专业部门检测标定合格和满足工程精度的要求，并将检测报告交监理人认可后才能使用。在施工过程中，承包人应经常对使用的测量</w:t>
      </w:r>
      <w:r>
        <w:rPr>
          <w:rFonts w:hint="eastAsia" w:ascii="宋体" w:hAnsi="宋体" w:cs="Courier New"/>
          <w:sz w:val="24"/>
          <w:lang w:val="en-US" w:eastAsia="zh-CN" w:bidi="ar"/>
        </w:rPr>
        <w:t>仪器</w:t>
      </w:r>
      <w:r>
        <w:rPr>
          <w:rFonts w:hint="eastAsia" w:ascii="宋体" w:hAnsi="宋体" w:cs="Courier New"/>
          <w:sz w:val="24"/>
          <w:lang w:bidi="ar"/>
        </w:rPr>
        <w:t>进行定期检查与校正，填写检查证书报监理人审查。</w:t>
      </w:r>
    </w:p>
    <w:p w14:paraId="26FAE64A">
      <w:pPr>
        <w:pStyle w:val="2"/>
        <w:keepNext w:val="0"/>
        <w:keepLines w:val="0"/>
        <w:widowControl/>
        <w:spacing w:before="240" w:after="240" w:line="240" w:lineRule="atLeast"/>
        <w:jc w:val="left"/>
        <w:rPr>
          <w:rFonts w:ascii="黑体"/>
          <w:b w:val="0"/>
          <w:sz w:val="24"/>
          <w:szCs w:val="24"/>
          <w:lang w:bidi="ar"/>
        </w:rPr>
      </w:pPr>
      <w:r>
        <w:rPr>
          <w:rFonts w:hint="eastAsia" w:ascii="黑体"/>
          <w:b w:val="0"/>
          <w:sz w:val="24"/>
          <w:szCs w:val="24"/>
          <w:lang w:bidi="ar"/>
        </w:rPr>
        <w:t xml:space="preserve">9.3 基准资料错误的责任 </w:t>
      </w:r>
    </w:p>
    <w:p w14:paraId="632B54B2">
      <w:pPr>
        <w:widowControl/>
        <w:spacing w:line="360" w:lineRule="auto"/>
        <w:ind w:firstLine="480" w:firstLineChars="200"/>
        <w:jc w:val="left"/>
        <w:rPr>
          <w:rFonts w:ascii="宋体" w:hAnsi="宋体" w:cs="Courier New"/>
          <w:sz w:val="24"/>
          <w:lang w:bidi="ar"/>
        </w:rPr>
      </w:pPr>
      <w:r>
        <w:rPr>
          <w:rFonts w:hint="eastAsia" w:ascii="宋体" w:hAnsi="宋体" w:cs="Courier New"/>
          <w:sz w:val="24"/>
          <w:lang w:bidi="ar"/>
        </w:rPr>
        <w:t>本款细化为：</w:t>
      </w:r>
    </w:p>
    <w:p w14:paraId="2DD09D51">
      <w:pPr>
        <w:widowControl/>
        <w:spacing w:before="0" w:after="0" w:line="360" w:lineRule="auto"/>
        <w:ind w:firstLine="480" w:firstLineChars="200"/>
        <w:jc w:val="left"/>
        <w:rPr>
          <w:rFonts w:ascii="黑体"/>
          <w:sz w:val="24"/>
        </w:rPr>
      </w:pPr>
      <w:r>
        <w:rPr>
          <w:rFonts w:hint="eastAsia" w:ascii="宋体" w:hAnsi="宋体" w:cs="Courier New"/>
          <w:sz w:val="24"/>
          <w:lang w:bidi="ar"/>
        </w:rPr>
        <w:t>发包人</w:t>
      </w:r>
      <w:r>
        <w:rPr>
          <w:rFonts w:hint="eastAsia" w:ascii="宋体" w:hAnsi="宋体" w:cs="Courier New"/>
          <w:sz w:val="24"/>
          <w:lang w:val="en-US" w:eastAsia="zh-CN" w:bidi="ar"/>
        </w:rPr>
        <w:t>对其</w:t>
      </w:r>
      <w:r>
        <w:rPr>
          <w:rFonts w:hint="eastAsia" w:ascii="宋体" w:hAnsi="宋体" w:cs="Courier New"/>
          <w:sz w:val="24"/>
          <w:lang w:bidi="ar"/>
        </w:rPr>
        <w:t>提供</w:t>
      </w:r>
      <w:r>
        <w:rPr>
          <w:rFonts w:hint="eastAsia" w:ascii="宋体" w:hAnsi="宋体" w:cs="Courier New"/>
          <w:sz w:val="24"/>
          <w:lang w:val="en-US" w:eastAsia="zh-CN" w:bidi="ar"/>
        </w:rPr>
        <w:t>的</w:t>
      </w:r>
      <w:r>
        <w:rPr>
          <w:rFonts w:hint="eastAsia" w:ascii="宋体" w:hAnsi="宋体" w:cs="Courier New"/>
          <w:sz w:val="24"/>
          <w:lang w:bidi="ar"/>
        </w:rPr>
        <w:t>测量基准点、基准线和水准点及其书面资料</w:t>
      </w:r>
      <w:r>
        <w:rPr>
          <w:rFonts w:hint="eastAsia" w:ascii="宋体" w:hAnsi="宋体" w:cs="Courier New"/>
          <w:sz w:val="24"/>
          <w:lang w:val="en-US" w:eastAsia="zh-CN" w:bidi="ar"/>
        </w:rPr>
        <w:t>的真实性、准确性和完整性</w:t>
      </w:r>
      <w:r>
        <w:rPr>
          <w:rFonts w:hint="eastAsia" w:ascii="宋体" w:hAnsi="宋体" w:cs="Courier New"/>
          <w:sz w:val="24"/>
          <w:lang w:bidi="ar"/>
        </w:rPr>
        <w:t>负责</w:t>
      </w:r>
      <w:r>
        <w:rPr>
          <w:rFonts w:hint="eastAsia" w:ascii="宋体" w:hAnsi="宋体" w:cs="Courier New"/>
          <w:sz w:val="24"/>
          <w:lang w:eastAsia="zh-CN" w:bidi="ar"/>
        </w:rPr>
        <w:t>，</w:t>
      </w:r>
      <w:r>
        <w:rPr>
          <w:rFonts w:hint="eastAsia" w:ascii="宋体" w:hAnsi="宋体" w:cs="Courier New"/>
          <w:sz w:val="24"/>
          <w:lang w:bidi="ar"/>
        </w:rPr>
        <w:t xml:space="preserve">承包人应在设计或施工中对上述资料的准确性进行核实，发现存在明显错误或疏忽的，应及时通知监理人和发包人，否则应承担相应责任。 </w:t>
      </w:r>
    </w:p>
    <w:p w14:paraId="45472486">
      <w:pPr>
        <w:pStyle w:val="2"/>
        <w:spacing w:before="240" w:after="240" w:line="240" w:lineRule="atLeast"/>
        <w:rPr>
          <w:rFonts w:ascii="黑体"/>
          <w:b w:val="0"/>
          <w:sz w:val="24"/>
          <w:szCs w:val="24"/>
        </w:rPr>
      </w:pPr>
      <w:r>
        <w:rPr>
          <w:rFonts w:ascii="黑体"/>
          <w:b w:val="0"/>
          <w:sz w:val="24"/>
          <w:szCs w:val="24"/>
        </w:rPr>
        <w:t>9.4</w:t>
      </w:r>
      <w:r>
        <w:rPr>
          <w:rFonts w:hint="eastAsia" w:ascii="黑体"/>
          <w:b w:val="0"/>
          <w:sz w:val="24"/>
          <w:szCs w:val="24"/>
          <w:lang w:val="en-US" w:eastAsia="zh-CN"/>
        </w:rPr>
        <w:t xml:space="preserve"> </w:t>
      </w:r>
      <w:r>
        <w:rPr>
          <w:rFonts w:hint="eastAsia" w:ascii="黑体"/>
          <w:b w:val="0"/>
          <w:sz w:val="24"/>
          <w:szCs w:val="24"/>
        </w:rPr>
        <w:t>监理人使用施工控制网</w:t>
      </w:r>
    </w:p>
    <w:p w14:paraId="54ADC760">
      <w:pPr>
        <w:widowControl/>
        <w:spacing w:line="360" w:lineRule="auto"/>
        <w:ind w:firstLine="480" w:firstLineChars="200"/>
        <w:jc w:val="left"/>
        <w:rPr>
          <w:sz w:val="24"/>
          <w:szCs w:val="24"/>
        </w:rPr>
      </w:pPr>
      <w:r>
        <w:rPr>
          <w:rFonts w:hint="eastAsia" w:ascii="宋体" w:hAnsi="宋体"/>
          <w:bCs/>
          <w:sz w:val="24"/>
        </w:rPr>
        <w:t>本款补充：</w:t>
      </w:r>
      <w:r>
        <w:rPr>
          <w:rFonts w:hint="eastAsia"/>
          <w:sz w:val="24"/>
          <w:szCs w:val="24"/>
        </w:rPr>
        <w:t>经监理人批准，其他相关承包人也可免费使用施工控制网。</w:t>
      </w:r>
    </w:p>
    <w:p w14:paraId="669DCF1B">
      <w:pPr>
        <w:pStyle w:val="2"/>
        <w:spacing w:before="360" w:after="240" w:line="240" w:lineRule="atLeast"/>
        <w:rPr>
          <w:rFonts w:ascii="黑体"/>
          <w:b w:val="0"/>
          <w:sz w:val="28"/>
          <w:szCs w:val="28"/>
        </w:rPr>
      </w:pPr>
      <w:bookmarkStart w:id="773" w:name="_Toc53685750"/>
      <w:r>
        <w:rPr>
          <w:rFonts w:ascii="黑体"/>
          <w:b w:val="0"/>
          <w:sz w:val="28"/>
          <w:szCs w:val="28"/>
        </w:rPr>
        <w:t>10</w:t>
      </w:r>
      <w:r>
        <w:rPr>
          <w:rFonts w:hint="eastAsia" w:ascii="黑体"/>
          <w:b w:val="0"/>
          <w:sz w:val="28"/>
          <w:szCs w:val="28"/>
        </w:rPr>
        <w:t>．安全、治安保卫和环境保护</w:t>
      </w:r>
      <w:bookmarkEnd w:id="773"/>
    </w:p>
    <w:p w14:paraId="5CE75B15">
      <w:pPr>
        <w:pStyle w:val="2"/>
        <w:spacing w:before="240" w:after="240" w:line="240" w:lineRule="atLeast"/>
        <w:rPr>
          <w:rFonts w:ascii="黑体"/>
          <w:b w:val="0"/>
          <w:sz w:val="24"/>
          <w:szCs w:val="24"/>
        </w:rPr>
      </w:pPr>
      <w:bookmarkStart w:id="774" w:name="_Toc53685751"/>
      <w:r>
        <w:rPr>
          <w:rFonts w:ascii="黑体"/>
          <w:b w:val="0"/>
          <w:sz w:val="24"/>
          <w:szCs w:val="24"/>
        </w:rPr>
        <w:t>10.2</w:t>
      </w:r>
      <w:r>
        <w:rPr>
          <w:rFonts w:hint="eastAsia" w:ascii="黑体"/>
          <w:b w:val="0"/>
          <w:sz w:val="24"/>
          <w:szCs w:val="24"/>
          <w:lang w:val="en-US" w:eastAsia="zh-CN"/>
        </w:rPr>
        <w:t xml:space="preserve"> </w:t>
      </w:r>
      <w:r>
        <w:rPr>
          <w:rFonts w:hint="eastAsia" w:ascii="黑体"/>
          <w:b w:val="0"/>
          <w:sz w:val="24"/>
          <w:szCs w:val="24"/>
        </w:rPr>
        <w:t>承包人的安全责任</w:t>
      </w:r>
      <w:bookmarkEnd w:id="774"/>
    </w:p>
    <w:p w14:paraId="06E65D7A">
      <w:pPr>
        <w:spacing w:line="360" w:lineRule="auto"/>
        <w:ind w:firstLine="475" w:firstLineChars="198"/>
        <w:rPr>
          <w:rFonts w:ascii="宋体" w:hAnsi="宋体"/>
          <w:bCs/>
          <w:sz w:val="24"/>
        </w:rPr>
      </w:pPr>
      <w:r>
        <w:rPr>
          <w:rFonts w:hint="eastAsia" w:ascii="宋体" w:hAnsi="宋体"/>
          <w:bCs/>
          <w:sz w:val="24"/>
        </w:rPr>
        <w:t>第</w:t>
      </w:r>
      <w:r>
        <w:rPr>
          <w:rFonts w:ascii="宋体" w:hAnsi="宋体"/>
          <w:bCs/>
          <w:sz w:val="24"/>
        </w:rPr>
        <w:t>10.2.1项</w:t>
      </w:r>
      <w:r>
        <w:rPr>
          <w:rFonts w:hint="eastAsia" w:ascii="宋体" w:hAnsi="宋体"/>
          <w:bCs/>
          <w:sz w:val="24"/>
        </w:rPr>
        <w:t>细化为</w:t>
      </w:r>
      <w:r>
        <w:rPr>
          <w:rFonts w:ascii="宋体" w:hAnsi="宋体"/>
          <w:bCs/>
          <w:sz w:val="24"/>
        </w:rPr>
        <w:t>：</w:t>
      </w:r>
    </w:p>
    <w:p w14:paraId="3BF51FEF">
      <w:pPr>
        <w:adjustRightInd w:val="0"/>
        <w:snapToGrid w:val="0"/>
        <w:spacing w:line="360" w:lineRule="auto"/>
        <w:ind w:firstLine="480" w:firstLineChars="200"/>
        <w:rPr>
          <w:sz w:val="24"/>
        </w:rPr>
      </w:pPr>
      <w:r>
        <w:rPr>
          <w:rFonts w:hint="eastAsia" w:ascii="宋体" w:hAnsi="宋体" w:cs="宋体"/>
          <w:sz w:val="24"/>
        </w:rPr>
        <w:t>10.2.1.1</w:t>
      </w:r>
      <w:r>
        <w:rPr>
          <w:rFonts w:hint="eastAsia" w:ascii="宋体" w:hAnsi="宋体" w:cs="宋体"/>
          <w:sz w:val="24"/>
          <w:lang w:val="en-US" w:eastAsia="zh-CN"/>
        </w:rPr>
        <w:t xml:space="preserve"> </w:t>
      </w:r>
      <w:r>
        <w:rPr>
          <w:rFonts w:hint="eastAsia" w:ascii="宋体" w:hAnsi="宋体" w:cs="宋体"/>
          <w:sz w:val="24"/>
          <w:lang w:bidi="ar"/>
        </w:rPr>
        <w:t>承包人在实施本项目前应对项目进行总体安全风险评估，对于总体风险评估中安全风险评估等级为Ⅲ级、Ⅳ级的分项工程必须进行专项施工安全风险评估，并编制针对性的专项施工方案、相应的专项应急预案，对项目施工过程实施预警预控。当工程设计方案、施工方案、工程地质、水文地质、施工队伍等发生重大变化时，应重新进行风险评估。</w:t>
      </w:r>
    </w:p>
    <w:p w14:paraId="7CD07CC9">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10.2.1.2</w:t>
      </w:r>
      <w:r>
        <w:rPr>
          <w:rFonts w:hint="eastAsia" w:ascii="宋体" w:hAnsi="宋体" w:cs="宋体"/>
          <w:sz w:val="24"/>
          <w:lang w:val="en-US" w:eastAsia="zh-CN"/>
        </w:rPr>
        <w:t xml:space="preserve"> </w:t>
      </w:r>
    </w:p>
    <w:p w14:paraId="2E00A12A">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Courier New"/>
          <w:sz w:val="24"/>
        </w:rPr>
        <w:t>承包人应根据交通运输部《公路水运工程施工安全标准化指南》的要求，构建工程项目安全生产责任体系，责任体系主要包括但不局限于：项目安全生产目标、组织管理机构、安全生产条件、安全生产责任及安全生产管理制度等。</w:t>
      </w:r>
    </w:p>
    <w:p w14:paraId="4CA0E4E4">
      <w:pPr>
        <w:adjustRightInd w:val="0"/>
        <w:snapToGrid w:val="0"/>
        <w:spacing w:line="360" w:lineRule="auto"/>
        <w:ind w:firstLine="480" w:firstLineChars="200"/>
        <w:rPr>
          <w:rFonts w:ascii="宋体" w:hAnsi="宋体" w:cs="Courier New"/>
          <w:sz w:val="24"/>
        </w:rPr>
      </w:pPr>
      <w:r>
        <w:rPr>
          <w:rFonts w:hint="eastAsia" w:ascii="宋体" w:hAnsi="宋体"/>
          <w:bCs/>
          <w:sz w:val="24"/>
        </w:rPr>
        <w:t>承包人应遵照</w:t>
      </w:r>
      <w:r>
        <w:rPr>
          <w:rFonts w:hint="eastAsia"/>
          <w:sz w:val="24"/>
        </w:rPr>
        <w:t>《中华人民</w:t>
      </w:r>
      <w:bookmarkStart w:id="918" w:name="_GoBack"/>
      <w:bookmarkEnd w:id="918"/>
      <w:r>
        <w:rPr>
          <w:rFonts w:hint="eastAsia"/>
          <w:sz w:val="24"/>
        </w:rPr>
        <w:t>共和国安全生产法》</w:t>
      </w:r>
      <w:r>
        <w:rPr>
          <w:rFonts w:hint="eastAsia" w:ascii="宋体" w:hAnsi="宋体"/>
          <w:bCs/>
          <w:sz w:val="24"/>
        </w:rPr>
        <w:t xml:space="preserve">《四川省安全生产条例》有关要求，并须按照《交通运输部关于开展公路桥梁和隧道工程施工安全风险评估试行工作的通知》（交质监发〔2011〕217号）的规定进行专项安全评估。按《国务院安委办公室 住房和城乡建设部 </w:t>
      </w:r>
      <w:r>
        <w:rPr>
          <w:rFonts w:hint="eastAsia" w:ascii="宋体" w:hAnsi="宋体"/>
          <w:bCs/>
          <w:sz w:val="24"/>
          <w:lang w:bidi="ar"/>
        </w:rPr>
        <w:t>交通运输部 水利部 国务院国有资产监督管理委员会 国家铁路局 中国民用航空局 中国国家铁路集团有限公司关于进一步加强隧道工程安全管理的指导意见</w:t>
      </w:r>
      <w:r>
        <w:rPr>
          <w:rFonts w:hint="eastAsia" w:ascii="宋体" w:hAnsi="宋体"/>
          <w:bCs/>
          <w:sz w:val="24"/>
        </w:rPr>
        <w:t>》（安委办〔2023〕2号）、《交通运输部办公厅</w:t>
      </w:r>
      <w:r>
        <w:rPr>
          <w:rFonts w:hint="eastAsia" w:ascii="宋体" w:hAnsi="宋体" w:cs="宋体"/>
          <w:bCs/>
          <w:sz w:val="24"/>
        </w:rPr>
        <w:t>&lt;</w:t>
      </w:r>
      <w:r>
        <w:rPr>
          <w:rFonts w:hint="eastAsia" w:ascii="宋体" w:hAnsi="宋体"/>
          <w:bCs/>
          <w:sz w:val="24"/>
        </w:rPr>
        <w:t>关于深入开展公路桥梁和隧道工程施工安全专项整治工作</w:t>
      </w:r>
      <w:r>
        <w:rPr>
          <w:rFonts w:hint="eastAsia" w:ascii="宋体" w:hAnsi="宋体" w:cs="宋体"/>
          <w:bCs/>
          <w:sz w:val="24"/>
        </w:rPr>
        <w:t>&gt;</w:t>
      </w:r>
      <w:r>
        <w:rPr>
          <w:rFonts w:hint="eastAsia" w:ascii="宋体" w:hAnsi="宋体"/>
          <w:bCs/>
          <w:sz w:val="24"/>
        </w:rPr>
        <w:t>的通知》（交办安监〔2014〕193号）的要求，落实安全措施。同时按照</w:t>
      </w:r>
      <w:r>
        <w:rPr>
          <w:rFonts w:hint="eastAsia" w:ascii="宋体" w:hAnsi="宋体" w:cs="Courier New"/>
          <w:sz w:val="24"/>
        </w:rPr>
        <w:t>《交通运输部关于印发</w:t>
      </w:r>
      <w:r>
        <w:rPr>
          <w:rFonts w:hint="eastAsia" w:ascii="宋体" w:hAnsi="宋体" w:cs="宋体"/>
          <w:sz w:val="24"/>
        </w:rPr>
        <w:t>〈公路水运工程平安工地建设管理办法〉</w:t>
      </w:r>
      <w:r>
        <w:rPr>
          <w:rFonts w:hint="eastAsia" w:ascii="宋体" w:hAnsi="宋体" w:cs="Courier New"/>
          <w:sz w:val="24"/>
        </w:rPr>
        <w:t>的通知》</w:t>
      </w:r>
      <w:r>
        <w:rPr>
          <w:rFonts w:hint="eastAsia" w:ascii="宋体" w:hAnsi="宋体"/>
          <w:bCs/>
          <w:sz w:val="24"/>
        </w:rPr>
        <w:t>（交安监发〔2018〕43号）开展“平安工地”建设活动，全面落实现行有效的安全生产法律法规、技术标准，做到安全生产制度化、规范化、标准化管理</w:t>
      </w:r>
      <w:r>
        <w:rPr>
          <w:rFonts w:hint="eastAsia" w:ascii="宋体" w:hAnsi="宋体" w:cs="Courier New"/>
          <w:sz w:val="24"/>
        </w:rPr>
        <w:t>。</w:t>
      </w:r>
      <w:r>
        <w:rPr>
          <w:rFonts w:hint="eastAsia" w:ascii="宋体" w:hAnsi="宋体" w:cs="Courier New"/>
          <w:sz w:val="24"/>
          <w:lang w:bidi="ar"/>
        </w:rPr>
        <w:t xml:space="preserve"> </w:t>
      </w:r>
    </w:p>
    <w:p w14:paraId="6E4DF946">
      <w:pPr>
        <w:adjustRightInd w:val="0"/>
        <w:snapToGrid w:val="0"/>
        <w:spacing w:line="360" w:lineRule="auto"/>
        <w:ind w:firstLine="480" w:firstLineChars="200"/>
        <w:rPr>
          <w:sz w:val="24"/>
        </w:rPr>
      </w:pPr>
      <w:r>
        <w:rPr>
          <w:rFonts w:hint="eastAsia" w:ascii="宋体" w:hAnsi="宋体" w:cs="Courier New"/>
          <w:sz w:val="24"/>
        </w:rPr>
        <w:t>承包人应根据本工程的实际安全施工要求，编制施工安全技术措施，并在签订合</w:t>
      </w:r>
      <w:r>
        <w:rPr>
          <w:rFonts w:hint="eastAsia"/>
          <w:sz w:val="24"/>
        </w:rPr>
        <w:t>同协议书后</w:t>
      </w:r>
      <w:r>
        <w:rPr>
          <w:sz w:val="24"/>
        </w:rPr>
        <w:t>28</w:t>
      </w:r>
      <w:r>
        <w:rPr>
          <w:rFonts w:hint="eastAsia"/>
          <w:sz w:val="24"/>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r>
        <w:rPr>
          <w:sz w:val="24"/>
        </w:rPr>
        <w:t xml:space="preserve"> </w:t>
      </w:r>
    </w:p>
    <w:p w14:paraId="4335E326">
      <w:pPr>
        <w:adjustRightInd w:val="0"/>
        <w:snapToGrid w:val="0"/>
        <w:spacing w:line="360" w:lineRule="auto"/>
        <w:ind w:firstLine="480" w:firstLineChars="200"/>
        <w:rPr>
          <w:sz w:val="24"/>
        </w:rPr>
      </w:pPr>
      <w:r>
        <w:rPr>
          <w:rFonts w:hint="eastAsia" w:ascii="宋体" w:hAnsi="宋体" w:cs="宋体"/>
          <w:sz w:val="24"/>
        </w:rPr>
        <w:t>本</w:t>
      </w:r>
      <w:r>
        <w:rPr>
          <w:rFonts w:hint="eastAsia"/>
          <w:sz w:val="24"/>
        </w:rPr>
        <w:t>项目需要编制专项施工方案的工程包括但不限于以下内容：</w:t>
      </w:r>
      <w:r>
        <w:rPr>
          <w:sz w:val="24"/>
        </w:rPr>
        <w:t xml:space="preserve"> </w:t>
      </w:r>
    </w:p>
    <w:p w14:paraId="20C39B86">
      <w:pPr>
        <w:adjustRightInd w:val="0"/>
        <w:snapToGrid w:val="0"/>
        <w:spacing w:line="360" w:lineRule="auto"/>
        <w:ind w:firstLine="480" w:firstLineChars="200"/>
        <w:rPr>
          <w:sz w:val="24"/>
        </w:rPr>
      </w:pPr>
      <w:r>
        <w:rPr>
          <w:rFonts w:hint="eastAsia"/>
          <w:sz w:val="24"/>
        </w:rPr>
        <w:t>（</w:t>
      </w:r>
      <w:r>
        <w:rPr>
          <w:sz w:val="24"/>
        </w:rPr>
        <w:t>1</w:t>
      </w:r>
      <w:r>
        <w:rPr>
          <w:rFonts w:hint="eastAsia"/>
          <w:sz w:val="24"/>
        </w:rPr>
        <w:t>）不良地质条件下有潜在危险性的土方、石方开挖；</w:t>
      </w:r>
      <w:r>
        <w:rPr>
          <w:sz w:val="24"/>
        </w:rPr>
        <w:t xml:space="preserve"> </w:t>
      </w:r>
    </w:p>
    <w:p w14:paraId="3FCB25A9">
      <w:pPr>
        <w:adjustRightInd w:val="0"/>
        <w:snapToGrid w:val="0"/>
        <w:spacing w:line="360" w:lineRule="auto"/>
        <w:ind w:firstLine="480" w:firstLineChars="200"/>
        <w:rPr>
          <w:sz w:val="24"/>
        </w:rPr>
      </w:pPr>
      <w:r>
        <w:rPr>
          <w:rFonts w:hint="eastAsia"/>
          <w:sz w:val="24"/>
        </w:rPr>
        <w:t>（</w:t>
      </w:r>
      <w:r>
        <w:rPr>
          <w:sz w:val="24"/>
        </w:rPr>
        <w:t>2</w:t>
      </w:r>
      <w:r>
        <w:rPr>
          <w:rFonts w:hint="eastAsia"/>
          <w:sz w:val="24"/>
        </w:rPr>
        <w:t>）滑坡和高边坡处理；</w:t>
      </w:r>
      <w:r>
        <w:rPr>
          <w:sz w:val="24"/>
        </w:rPr>
        <w:t xml:space="preserve"> </w:t>
      </w:r>
    </w:p>
    <w:p w14:paraId="3EF7D9D6">
      <w:pPr>
        <w:adjustRightInd w:val="0"/>
        <w:snapToGrid w:val="0"/>
        <w:spacing w:line="360" w:lineRule="auto"/>
        <w:ind w:firstLine="480" w:firstLineChars="200"/>
        <w:rPr>
          <w:sz w:val="24"/>
        </w:rPr>
      </w:pPr>
      <w:r>
        <w:rPr>
          <w:rFonts w:hint="eastAsia"/>
          <w:sz w:val="24"/>
        </w:rPr>
        <w:t>（</w:t>
      </w:r>
      <w:r>
        <w:rPr>
          <w:sz w:val="24"/>
        </w:rPr>
        <w:t>3</w:t>
      </w:r>
      <w:r>
        <w:rPr>
          <w:rFonts w:hint="eastAsia"/>
          <w:sz w:val="24"/>
        </w:rPr>
        <w:t>）桩基础、挡墙基础、深水基础及围堰工程；</w:t>
      </w:r>
      <w:r>
        <w:rPr>
          <w:sz w:val="24"/>
        </w:rPr>
        <w:t xml:space="preserve"> </w:t>
      </w:r>
    </w:p>
    <w:p w14:paraId="7D395846">
      <w:pPr>
        <w:adjustRightInd w:val="0"/>
        <w:snapToGrid w:val="0"/>
        <w:spacing w:line="360" w:lineRule="auto"/>
        <w:ind w:firstLine="480" w:firstLineChars="200"/>
        <w:rPr>
          <w:sz w:val="24"/>
        </w:rPr>
      </w:pPr>
      <w:r>
        <w:rPr>
          <w:rFonts w:hint="eastAsia"/>
          <w:sz w:val="24"/>
        </w:rPr>
        <w:t>（</w:t>
      </w:r>
      <w:r>
        <w:rPr>
          <w:sz w:val="24"/>
        </w:rPr>
        <w:t>4</w:t>
      </w:r>
      <w:r>
        <w:rPr>
          <w:rFonts w:hint="eastAsia"/>
          <w:sz w:val="24"/>
        </w:rPr>
        <w:t>）桥梁工程中的梁、拱、柱等构件施工等；</w:t>
      </w:r>
      <w:r>
        <w:rPr>
          <w:sz w:val="24"/>
        </w:rPr>
        <w:t xml:space="preserve"> </w:t>
      </w:r>
    </w:p>
    <w:p w14:paraId="1ECB2EEE">
      <w:pPr>
        <w:adjustRightInd w:val="0"/>
        <w:snapToGrid w:val="0"/>
        <w:spacing w:line="360" w:lineRule="auto"/>
        <w:ind w:firstLine="480" w:firstLineChars="200"/>
        <w:rPr>
          <w:sz w:val="24"/>
        </w:rPr>
      </w:pPr>
      <w:r>
        <w:rPr>
          <w:rFonts w:hint="eastAsia"/>
          <w:sz w:val="24"/>
        </w:rPr>
        <w:t>（</w:t>
      </w:r>
      <w:r>
        <w:rPr>
          <w:sz w:val="24"/>
        </w:rPr>
        <w:t>5</w:t>
      </w:r>
      <w:r>
        <w:rPr>
          <w:rFonts w:hint="eastAsia"/>
          <w:sz w:val="24"/>
        </w:rPr>
        <w:t>）隧道工程中的不良地质隧道、高瓦斯隧道等；</w:t>
      </w:r>
      <w:r>
        <w:rPr>
          <w:sz w:val="24"/>
        </w:rPr>
        <w:t xml:space="preserve"> </w:t>
      </w:r>
    </w:p>
    <w:p w14:paraId="5A121020">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）水上工程中的打桩船作业、施工船作业、外海孤岛作业、边通航边施工作业等；</w:t>
      </w:r>
      <w:r>
        <w:rPr>
          <w:sz w:val="24"/>
        </w:rPr>
        <w:t xml:space="preserve"> </w:t>
      </w:r>
    </w:p>
    <w:p w14:paraId="12657F9A">
      <w:pPr>
        <w:adjustRightInd w:val="0"/>
        <w:snapToGrid w:val="0"/>
        <w:spacing w:line="360" w:lineRule="auto"/>
        <w:ind w:firstLine="480" w:firstLineChars="200"/>
        <w:rPr>
          <w:sz w:val="24"/>
        </w:rPr>
      </w:pPr>
      <w:r>
        <w:rPr>
          <w:rFonts w:hint="eastAsia"/>
          <w:sz w:val="24"/>
        </w:rPr>
        <w:t>（</w:t>
      </w:r>
      <w:r>
        <w:rPr>
          <w:sz w:val="24"/>
        </w:rPr>
        <w:t>7</w:t>
      </w:r>
      <w:r>
        <w:rPr>
          <w:rFonts w:hint="eastAsia"/>
          <w:sz w:val="24"/>
        </w:rPr>
        <w:t>）水下工程中的水下焊接、混凝土浇筑、爆破工程等；</w:t>
      </w:r>
      <w:r>
        <w:rPr>
          <w:sz w:val="24"/>
        </w:rPr>
        <w:t xml:space="preserve"> </w:t>
      </w:r>
    </w:p>
    <w:p w14:paraId="03386276">
      <w:pPr>
        <w:adjustRightInd w:val="0"/>
        <w:snapToGrid w:val="0"/>
        <w:spacing w:line="360" w:lineRule="auto"/>
        <w:ind w:firstLine="480" w:firstLineChars="200"/>
        <w:rPr>
          <w:sz w:val="24"/>
        </w:rPr>
      </w:pPr>
      <w:r>
        <w:rPr>
          <w:rFonts w:hint="eastAsia"/>
          <w:sz w:val="24"/>
        </w:rPr>
        <w:t>（</w:t>
      </w:r>
      <w:r>
        <w:rPr>
          <w:sz w:val="24"/>
        </w:rPr>
        <w:t>8</w:t>
      </w:r>
      <w:r>
        <w:rPr>
          <w:rFonts w:hint="eastAsia"/>
          <w:sz w:val="24"/>
        </w:rPr>
        <w:t>）爆破工程；</w:t>
      </w:r>
      <w:r>
        <w:rPr>
          <w:sz w:val="24"/>
        </w:rPr>
        <w:t xml:space="preserve"> </w:t>
      </w:r>
    </w:p>
    <w:p w14:paraId="3946F7B2">
      <w:pPr>
        <w:adjustRightInd w:val="0"/>
        <w:snapToGrid w:val="0"/>
        <w:spacing w:line="360" w:lineRule="auto"/>
        <w:ind w:firstLine="480" w:firstLineChars="200"/>
        <w:rPr>
          <w:sz w:val="24"/>
        </w:rPr>
      </w:pPr>
      <w:r>
        <w:rPr>
          <w:rFonts w:hint="eastAsia"/>
          <w:sz w:val="24"/>
        </w:rPr>
        <w:t>（</w:t>
      </w:r>
      <w:r>
        <w:rPr>
          <w:sz w:val="24"/>
        </w:rPr>
        <w:t>9</w:t>
      </w:r>
      <w:r>
        <w:rPr>
          <w:rFonts w:hint="eastAsia"/>
          <w:sz w:val="24"/>
        </w:rPr>
        <w:t>）大型临时工程中的大型支架、模板、便桥的架设与拆除；桥梁、码头的加固与拆除；</w:t>
      </w:r>
      <w:r>
        <w:rPr>
          <w:sz w:val="24"/>
        </w:rPr>
        <w:t xml:space="preserve"> </w:t>
      </w:r>
    </w:p>
    <w:p w14:paraId="395CCB74">
      <w:pPr>
        <w:adjustRightInd w:val="0"/>
        <w:snapToGrid w:val="0"/>
        <w:spacing w:line="360" w:lineRule="auto"/>
        <w:ind w:firstLine="480" w:firstLineChars="200"/>
        <w:rPr>
          <w:sz w:val="24"/>
        </w:rPr>
      </w:pPr>
      <w:r>
        <w:rPr>
          <w:rFonts w:hint="eastAsia"/>
          <w:sz w:val="24"/>
        </w:rPr>
        <w:t>（</w:t>
      </w:r>
      <w:r>
        <w:rPr>
          <w:sz w:val="24"/>
        </w:rPr>
        <w:t>10</w:t>
      </w:r>
      <w:r>
        <w:rPr>
          <w:rFonts w:hint="eastAsia"/>
          <w:sz w:val="24"/>
        </w:rPr>
        <w:t>）其他危险性较大的工程。</w:t>
      </w:r>
      <w:r>
        <w:rPr>
          <w:sz w:val="24"/>
        </w:rPr>
        <w:t xml:space="preserve"> </w:t>
      </w:r>
    </w:p>
    <w:p w14:paraId="5BC0F829">
      <w:pPr>
        <w:adjustRightInd w:val="0"/>
        <w:snapToGrid w:val="0"/>
        <w:spacing w:line="360" w:lineRule="auto"/>
        <w:ind w:firstLine="480" w:firstLineChars="200"/>
        <w:rPr>
          <w:sz w:val="24"/>
        </w:rPr>
      </w:pPr>
      <w:r>
        <w:rPr>
          <w:rFonts w:hint="eastAsia"/>
          <w:sz w:val="24"/>
        </w:rPr>
        <w:t>监理人和发包人在检查中发现有安全问题或有违反安全管理规章制度的情况时，可视为承包人违约，应按第</w:t>
      </w:r>
      <w:r>
        <w:rPr>
          <w:sz w:val="24"/>
        </w:rPr>
        <w:t>22.1</w:t>
      </w:r>
      <w:r>
        <w:rPr>
          <w:rFonts w:hint="eastAsia"/>
          <w:sz w:val="24"/>
        </w:rPr>
        <w:t>款的规定办理。</w:t>
      </w:r>
      <w:r>
        <w:rPr>
          <w:sz w:val="24"/>
        </w:rPr>
        <w:t xml:space="preserve"> </w:t>
      </w:r>
    </w:p>
    <w:p w14:paraId="073677D8">
      <w:pPr>
        <w:adjustRightInd w:val="0"/>
        <w:snapToGrid w:val="0"/>
        <w:spacing w:line="360" w:lineRule="auto"/>
        <w:ind w:firstLine="480" w:firstLineChars="200"/>
        <w:rPr>
          <w:rFonts w:ascii="宋体" w:hAnsi="宋体" w:cs="Courier New"/>
          <w:bCs/>
          <w:sz w:val="24"/>
        </w:rPr>
      </w:pPr>
      <w:r>
        <w:rPr>
          <w:rFonts w:hint="eastAsia" w:ascii="宋体" w:hAnsi="宋体" w:cs="Courier New"/>
          <w:bCs/>
          <w:sz w:val="24"/>
        </w:rPr>
        <w:t>第</w:t>
      </w:r>
      <w:r>
        <w:rPr>
          <w:rFonts w:ascii="宋体" w:hAnsi="宋体" w:cs="Courier New"/>
          <w:bCs/>
          <w:sz w:val="24"/>
        </w:rPr>
        <w:t>10.2.7</w:t>
      </w:r>
      <w:r>
        <w:rPr>
          <w:rFonts w:hint="eastAsia" w:ascii="宋体" w:hAnsi="宋体" w:cs="Courier New"/>
          <w:bCs/>
          <w:sz w:val="24"/>
        </w:rPr>
        <w:t>项细化为：</w:t>
      </w:r>
    </w:p>
    <w:p w14:paraId="5EF5E150">
      <w:pPr>
        <w:adjustRightInd w:val="0"/>
        <w:snapToGrid w:val="0"/>
        <w:spacing w:line="360" w:lineRule="auto"/>
        <w:ind w:firstLine="480" w:firstLineChars="200"/>
        <w:rPr>
          <w:rFonts w:ascii="宋体" w:hAnsi="宋体" w:cs="Courier New"/>
          <w:sz w:val="24"/>
        </w:rPr>
      </w:pPr>
      <w:r>
        <w:rPr>
          <w:rFonts w:hint="eastAsia" w:ascii="宋体" w:hAnsi="宋体"/>
          <w:sz w:val="24"/>
        </w:rPr>
        <w:t>根据</w:t>
      </w:r>
      <w:r>
        <w:rPr>
          <w:rFonts w:hint="eastAsia" w:ascii="宋体" w:hAnsi="宋体"/>
          <w:bCs/>
          <w:sz w:val="24"/>
          <w:shd w:val="clear" w:color="auto" w:fill="FFFFFF"/>
        </w:rPr>
        <w:t>《</w:t>
      </w:r>
      <w:r>
        <w:rPr>
          <w:rFonts w:hint="eastAsia" w:ascii="宋体" w:hAnsi="宋体"/>
          <w:sz w:val="24"/>
          <w:shd w:val="clear" w:color="auto" w:fill="FFFFFF"/>
        </w:rPr>
        <w:t>财政部 应急部关于印发〈企业安全生产费用提取和使用管理办法〉的通知》（财资〔2022〕136号、《四川省交通运输厅</w:t>
      </w:r>
      <w:r>
        <w:rPr>
          <w:rFonts w:hint="eastAsia" w:ascii="宋体" w:hAnsi="宋体" w:cs="宋体"/>
          <w:sz w:val="24"/>
          <w:shd w:val="clear" w:color="auto" w:fill="FFFFFF"/>
        </w:rPr>
        <w:t>&lt;</w:t>
      </w:r>
      <w:r>
        <w:rPr>
          <w:rFonts w:hint="eastAsia" w:ascii="宋体" w:hAnsi="宋体"/>
          <w:sz w:val="24"/>
          <w:shd w:val="clear" w:color="auto" w:fill="FFFFFF"/>
        </w:rPr>
        <w:t>关于进一步规范公路水运工程建设项目安全生产费用管理工作</w:t>
      </w:r>
      <w:r>
        <w:rPr>
          <w:rFonts w:hint="eastAsia" w:ascii="宋体" w:hAnsi="宋体" w:cs="宋体"/>
          <w:sz w:val="24"/>
          <w:shd w:val="clear" w:color="auto" w:fill="FFFFFF"/>
        </w:rPr>
        <w:t>&gt;</w:t>
      </w:r>
      <w:r>
        <w:rPr>
          <w:rFonts w:hint="eastAsia" w:ascii="宋体" w:hAnsi="宋体"/>
          <w:sz w:val="24"/>
          <w:shd w:val="clear" w:color="auto" w:fill="FFFFFF"/>
        </w:rPr>
        <w:t>的通知》（川交规〔2023〕13号），安全生产费不作为竞争性报价，在工程量清单第100章中按招标文件公布的安全生产费数额单独计列。安全生产费用应专款专用，经监理人、发包人认可确认后进行计量支付。</w:t>
      </w:r>
    </w:p>
    <w:p w14:paraId="79D5B70A">
      <w:pPr>
        <w:adjustRightInd w:val="0"/>
        <w:snapToGrid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安全生产费用应当用于以下支出：</w:t>
      </w:r>
    </w:p>
    <w:p w14:paraId="5F62DE9D">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（1）安全防护设施设备支出。</w:t>
      </w:r>
    </w:p>
    <w:p w14:paraId="37902D45">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（2）应急能力建设设施设备。</w:t>
      </w:r>
    </w:p>
    <w:p w14:paraId="6DE1F962">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（3）风（危）险源辨识评估、监控与信息化。</w:t>
      </w:r>
    </w:p>
    <w:p w14:paraId="2DAA3EA1">
      <w:pPr>
        <w:widowControl/>
        <w:adjustRightInd w:val="0"/>
        <w:snapToGrid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（4）安全生产检查、评价评估、咨询服务和标准化建设。</w:t>
      </w:r>
    </w:p>
    <w:p w14:paraId="71F5FB38">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（5）现场作业人员安全防护用品。</w:t>
      </w:r>
    </w:p>
    <w:p w14:paraId="3D241363">
      <w:pPr>
        <w:widowControl/>
        <w:numPr>
          <w:ilvl w:val="255"/>
          <w:numId w:val="0"/>
        </w:numPr>
        <w:adjustRightInd w:val="0"/>
        <w:snapToGrid w:val="0"/>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（6）安全生产宣传、教育、培训及奖励。</w:t>
      </w:r>
    </w:p>
    <w:p w14:paraId="497A811F">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（7）安全生产适用的新技术、新标准、新工艺、新装备的推广应用。</w:t>
      </w:r>
    </w:p>
    <w:p w14:paraId="11A6C852">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（8）安全设施及特种设备检测检验、检定校准。</w:t>
      </w:r>
    </w:p>
    <w:p w14:paraId="33F0105C">
      <w:pPr>
        <w:widowControl/>
        <w:adjustRightInd w:val="0"/>
        <w:snapToGrid w:val="0"/>
        <w:spacing w:line="360" w:lineRule="auto"/>
        <w:ind w:firstLine="480" w:firstLineChars="200"/>
        <w:jc w:val="left"/>
        <w:rPr>
          <w:rFonts w:ascii="宋体" w:hAnsi="宋体"/>
          <w:sz w:val="24"/>
          <w:shd w:val="clear" w:color="auto" w:fill="FFFFFF"/>
        </w:rPr>
      </w:pPr>
      <w:r>
        <w:rPr>
          <w:rFonts w:hint="eastAsia" w:ascii="宋体" w:hAnsi="宋体"/>
          <w:sz w:val="24"/>
          <w:shd w:val="clear" w:color="auto" w:fill="FFFFFF"/>
        </w:rPr>
        <w:t>（9）安全生产责任保险。</w:t>
      </w:r>
    </w:p>
    <w:p w14:paraId="23FF7413">
      <w:pPr>
        <w:adjustRightInd w:val="0"/>
        <w:snapToGrid w:val="0"/>
        <w:spacing w:line="360" w:lineRule="auto"/>
        <w:ind w:firstLine="480" w:firstLineChars="200"/>
        <w:rPr>
          <w:rFonts w:ascii="宋体" w:hAnsi="宋体" w:cs="Arial"/>
          <w:sz w:val="24"/>
        </w:rPr>
      </w:pPr>
      <w:r>
        <w:rPr>
          <w:rFonts w:hint="eastAsia" w:ascii="宋体" w:hAnsi="宋体"/>
          <w:sz w:val="24"/>
          <w:shd w:val="clear" w:color="auto" w:fill="FFFFFF"/>
        </w:rPr>
        <w:t>（10）其他与安全生产直接相关的支出。</w:t>
      </w:r>
    </w:p>
    <w:p w14:paraId="5AC8B95C">
      <w:pPr>
        <w:spacing w:line="360" w:lineRule="auto"/>
        <w:ind w:firstLine="480" w:firstLineChars="200"/>
        <w:rPr>
          <w:rFonts w:ascii="宋体" w:hAnsi="宋体"/>
          <w:sz w:val="24"/>
        </w:rPr>
      </w:pPr>
      <w:r>
        <w:rPr>
          <w:rFonts w:ascii="宋体" w:hAnsi="宋体"/>
          <w:sz w:val="24"/>
        </w:rPr>
        <w:t>本款补充</w:t>
      </w:r>
      <w:r>
        <w:rPr>
          <w:rFonts w:hint="eastAsia" w:ascii="宋体" w:hAnsi="宋体"/>
          <w:sz w:val="24"/>
        </w:rPr>
        <w:t>第</w:t>
      </w:r>
      <w:r>
        <w:rPr>
          <w:rFonts w:ascii="宋体" w:hAnsi="宋体"/>
          <w:sz w:val="24"/>
        </w:rPr>
        <w:t>10.2.10</w:t>
      </w:r>
      <w:r>
        <w:rPr>
          <w:rFonts w:hint="eastAsia" w:ascii="宋体" w:hAnsi="宋体"/>
          <w:sz w:val="24"/>
        </w:rPr>
        <w:t>项～第1</w:t>
      </w:r>
      <w:r>
        <w:rPr>
          <w:rFonts w:ascii="宋体" w:hAnsi="宋体"/>
          <w:sz w:val="24"/>
        </w:rPr>
        <w:t>0.2.1</w:t>
      </w:r>
      <w:r>
        <w:rPr>
          <w:rFonts w:hint="eastAsia" w:ascii="宋体" w:hAnsi="宋体"/>
          <w:sz w:val="24"/>
        </w:rPr>
        <w:t>5项：</w:t>
      </w:r>
    </w:p>
    <w:p w14:paraId="6697D2EE">
      <w:pPr>
        <w:adjustRightInd w:val="0"/>
        <w:snapToGrid w:val="0"/>
        <w:spacing w:line="360" w:lineRule="auto"/>
        <w:ind w:firstLine="480" w:firstLineChars="200"/>
        <w:rPr>
          <w:rFonts w:ascii="宋体" w:hAnsi="宋体" w:cs="Arial"/>
          <w:sz w:val="24"/>
        </w:rPr>
      </w:pPr>
      <w:r>
        <w:rPr>
          <w:rFonts w:ascii="宋体" w:hAnsi="宋体" w:cs="Arial"/>
          <w:sz w:val="24"/>
        </w:rPr>
        <w:t xml:space="preserve">10.2.10 </w:t>
      </w:r>
      <w:r>
        <w:rPr>
          <w:rFonts w:hint="eastAsia" w:ascii="宋体" w:hAnsi="宋体" w:cs="Arial"/>
          <w:sz w:val="24"/>
        </w:rPr>
        <w:t>承包人应充分关注和保障所有在现场工作的人员的安全，采取以下有效措施，使现场和本合同工程的实施保持有条不紊，以免使上述人员的安全受到威胁。</w:t>
      </w:r>
      <w:r>
        <w:rPr>
          <w:rFonts w:ascii="宋体" w:hAnsi="宋体" w:cs="Arial"/>
          <w:sz w:val="24"/>
        </w:rPr>
        <w:t xml:space="preserve"> </w:t>
      </w:r>
    </w:p>
    <w:p w14:paraId="141B5E89">
      <w:pPr>
        <w:adjustRightInd w:val="0"/>
        <w:snapToGrid w:val="0"/>
        <w:spacing w:line="360" w:lineRule="auto"/>
        <w:ind w:firstLine="480" w:firstLineChars="200"/>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）按《公路水运工程安全生产监督管理办法》规定的最低数量和资质条件配备专职安全生产管理人员；</w:t>
      </w:r>
      <w:r>
        <w:rPr>
          <w:rFonts w:ascii="宋体" w:hAnsi="宋体" w:cs="Arial"/>
          <w:sz w:val="24"/>
        </w:rPr>
        <w:t xml:space="preserve"> </w:t>
      </w:r>
    </w:p>
    <w:p w14:paraId="00AFFBAC">
      <w:pPr>
        <w:adjustRightInd w:val="0"/>
        <w:snapToGrid w:val="0"/>
        <w:spacing w:line="360" w:lineRule="auto"/>
        <w:ind w:firstLine="480" w:firstLineChars="200"/>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r>
        <w:rPr>
          <w:rFonts w:ascii="宋体" w:hAnsi="宋体" w:cs="Arial"/>
          <w:sz w:val="24"/>
        </w:rPr>
        <w:t xml:space="preserve"> </w:t>
      </w:r>
    </w:p>
    <w:p w14:paraId="5959B538">
      <w:pPr>
        <w:adjustRightInd w:val="0"/>
        <w:snapToGrid w:val="0"/>
        <w:spacing w:line="360" w:lineRule="auto"/>
        <w:ind w:firstLine="480" w:firstLineChars="200"/>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）所有施工机具设备和高空作业设备均应定期检查，并有安全员的签字记录；</w:t>
      </w:r>
    </w:p>
    <w:p w14:paraId="203A06A5">
      <w:pPr>
        <w:adjustRightInd w:val="0"/>
        <w:snapToGrid w:val="0"/>
        <w:spacing w:line="360" w:lineRule="auto"/>
        <w:ind w:firstLine="480" w:firstLineChars="200"/>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）根据本合同各单位工程的施工特点，严格执行《公路水运工程安全生产监督管理办法》《公路工程施工安全技术规范》等有关规定。</w:t>
      </w:r>
      <w:r>
        <w:rPr>
          <w:rFonts w:ascii="宋体" w:hAnsi="宋体" w:cs="Arial"/>
          <w:sz w:val="24"/>
        </w:rPr>
        <w:t xml:space="preserve"> </w:t>
      </w:r>
    </w:p>
    <w:p w14:paraId="3EAF9340">
      <w:pPr>
        <w:adjustRightInd w:val="0"/>
        <w:snapToGrid w:val="0"/>
        <w:spacing w:line="360" w:lineRule="auto"/>
        <w:ind w:firstLine="480" w:firstLineChars="200"/>
        <w:rPr>
          <w:rFonts w:ascii="宋体" w:hAnsi="宋体" w:cs="Arial"/>
          <w:sz w:val="24"/>
        </w:rPr>
      </w:pPr>
      <w:r>
        <w:rPr>
          <w:rFonts w:ascii="宋体" w:hAnsi="宋体" w:cs="Arial"/>
          <w:sz w:val="24"/>
        </w:rPr>
        <w:t xml:space="preserve">10.2.11 </w:t>
      </w:r>
      <w:r>
        <w:rPr>
          <w:rFonts w:hint="eastAsia" w:ascii="宋体" w:hAnsi="宋体" w:cs="Arial"/>
          <w:sz w:val="24"/>
        </w:rPr>
        <w:t>为了保护本合同工程免遭损坏，或为了现场附近和过往群众的安全与方便，在确有必要的时候和地方，或当监理人或有关主管部门要求时，承包人应自费提供照明、警卫、护栅、警告标志等安全防护设施。</w:t>
      </w:r>
      <w:r>
        <w:rPr>
          <w:rFonts w:ascii="宋体" w:hAnsi="宋体" w:cs="Arial"/>
          <w:sz w:val="24"/>
        </w:rPr>
        <w:t xml:space="preserve"> </w:t>
      </w:r>
    </w:p>
    <w:p w14:paraId="0668680B">
      <w:pPr>
        <w:adjustRightInd w:val="0"/>
        <w:snapToGrid w:val="0"/>
        <w:spacing w:line="360" w:lineRule="auto"/>
        <w:ind w:firstLine="480" w:firstLineChars="200"/>
        <w:rPr>
          <w:rFonts w:ascii="宋体" w:hAnsi="宋体" w:cs="Arial"/>
          <w:sz w:val="24"/>
        </w:rPr>
      </w:pPr>
      <w:r>
        <w:rPr>
          <w:rFonts w:ascii="宋体" w:hAnsi="宋体" w:cs="Arial"/>
          <w:sz w:val="24"/>
        </w:rPr>
        <w:t xml:space="preserve">10.2.12 </w:t>
      </w:r>
      <w:r>
        <w:rPr>
          <w:rFonts w:hint="eastAsia" w:ascii="宋体" w:hAnsi="宋体" w:cs="Arial"/>
          <w:sz w:val="24"/>
        </w:rPr>
        <w:t>在通航水域施工时，承包人应与当地主管部门取得联系，设置必要的导航标志，及时发布航行通告，确保施工水域安全。</w:t>
      </w:r>
      <w:r>
        <w:rPr>
          <w:rFonts w:ascii="宋体" w:hAnsi="宋体" w:cs="Arial"/>
          <w:sz w:val="24"/>
        </w:rPr>
        <w:t xml:space="preserve"> </w:t>
      </w:r>
    </w:p>
    <w:p w14:paraId="4910F432">
      <w:pPr>
        <w:adjustRightInd w:val="0"/>
        <w:snapToGrid w:val="0"/>
        <w:spacing w:line="360" w:lineRule="auto"/>
        <w:ind w:firstLine="480" w:firstLineChars="200"/>
        <w:rPr>
          <w:rFonts w:ascii="宋体" w:hAnsi="宋体" w:cs="Arial"/>
          <w:sz w:val="24"/>
        </w:rPr>
      </w:pPr>
      <w:r>
        <w:rPr>
          <w:rFonts w:ascii="宋体" w:hAnsi="宋体" w:cs="Arial"/>
          <w:sz w:val="24"/>
        </w:rPr>
        <w:t xml:space="preserve">10.2.13 </w:t>
      </w:r>
      <w:r>
        <w:rPr>
          <w:rFonts w:ascii="宋体" w:hAnsi="宋体" w:cs="Arial"/>
          <w:sz w:val="24"/>
          <w:lang w:bidi="ar"/>
        </w:rPr>
        <w:t>在</w:t>
      </w:r>
      <w:r>
        <w:rPr>
          <w:rFonts w:hint="eastAsia" w:ascii="宋体" w:hAnsi="宋体" w:cs="Arial"/>
          <w:sz w:val="24"/>
          <w:lang w:bidi="ar"/>
        </w:rPr>
        <w:t>通车</w:t>
      </w:r>
      <w:r>
        <w:rPr>
          <w:rFonts w:ascii="宋体" w:hAnsi="宋体" w:cs="Arial"/>
          <w:sz w:val="24"/>
          <w:lang w:bidi="ar"/>
        </w:rPr>
        <w:t>路段施工时，承包人应办理通车路段施工作业的有关许可手续并服从和配合交警部门的统一监管，根据交警部门的要求和现场施工需求，按照《道路交通标志和标线》（GB5768-2016）、《公路养护安全作业规程》（JTGH30-2015）及《公路工程施工安全技术规范》（JTGF90-2015）的要求，自行设置施工指示灯、防撞等安全防护措施，安排应急处理设备或设施，并根据需要设置专人指挥交通，以确保通车安全。</w:t>
      </w:r>
    </w:p>
    <w:p w14:paraId="038F975F">
      <w:pPr>
        <w:adjustRightInd w:val="0"/>
        <w:snapToGrid w:val="0"/>
        <w:spacing w:line="360" w:lineRule="auto"/>
        <w:ind w:firstLine="480" w:firstLineChars="200"/>
        <w:rPr>
          <w:rFonts w:ascii="宋体" w:hAnsi="宋体" w:cs="Arial"/>
          <w:sz w:val="24"/>
        </w:rPr>
      </w:pPr>
      <w:r>
        <w:rPr>
          <w:rFonts w:ascii="宋体" w:hAnsi="宋体" w:cs="Arial"/>
          <w:sz w:val="24"/>
        </w:rPr>
        <w:t>10.2.14</w:t>
      </w:r>
      <w:r>
        <w:rPr>
          <w:rFonts w:hint="eastAsia" w:ascii="宋体" w:hAnsi="宋体" w:cs="Arial"/>
          <w:sz w:val="24"/>
          <w:lang w:val="en-US" w:eastAsia="zh-CN"/>
        </w:rPr>
        <w:t xml:space="preserve"> </w:t>
      </w:r>
      <w:r>
        <w:rPr>
          <w:rFonts w:hint="eastAsia" w:ascii="宋体" w:hAnsi="宋体" w:cs="Arial"/>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97E7B42">
      <w:pPr>
        <w:spacing w:line="360" w:lineRule="auto"/>
        <w:ind w:firstLine="480" w:firstLineChars="200"/>
        <w:rPr>
          <w:rFonts w:ascii="宋体" w:hAnsi="宋体" w:cs="Arial"/>
          <w:sz w:val="24"/>
        </w:rPr>
      </w:pPr>
      <w:r>
        <w:rPr>
          <w:rFonts w:ascii="宋体" w:hAnsi="宋体"/>
          <w:sz w:val="24"/>
        </w:rPr>
        <w:t>10.2.1</w:t>
      </w:r>
      <w:r>
        <w:rPr>
          <w:rFonts w:hint="eastAsia" w:ascii="宋体" w:hAnsi="宋体"/>
          <w:sz w:val="24"/>
        </w:rPr>
        <w:t>5</w:t>
      </w:r>
      <w:r>
        <w:rPr>
          <w:rFonts w:hint="eastAsia" w:ascii="宋体" w:hAnsi="宋体"/>
          <w:sz w:val="24"/>
          <w:lang w:val="en-US" w:eastAsia="zh-CN"/>
        </w:rPr>
        <w:t xml:space="preserve"> </w:t>
      </w:r>
      <w:r>
        <w:rPr>
          <w:rFonts w:hint="eastAsia" w:ascii="宋体" w:hAnsi="宋体" w:cs="Arial"/>
          <w:sz w:val="24"/>
          <w:highlight w:val="none"/>
        </w:rPr>
        <w:t>安全生产费的使用和支付应符合《</w:t>
      </w:r>
      <w:r>
        <w:rPr>
          <w:rFonts w:hint="eastAsia" w:ascii="宋体" w:hAnsi="宋体"/>
          <w:sz w:val="24"/>
          <w:shd w:val="clear" w:color="auto" w:fill="FFFFFF"/>
        </w:rPr>
        <w:t>财政部 应急部</w:t>
      </w:r>
      <w:r>
        <w:rPr>
          <w:rStyle w:val="51"/>
          <w:rFonts w:hint="eastAsia" w:cs="Arial"/>
          <w:sz w:val="24"/>
        </w:rPr>
        <w:t>关于印发〈企业安全生产费用提取和使用管理办法〉的通知</w:t>
      </w:r>
      <w:r>
        <w:rPr>
          <w:rFonts w:hint="eastAsia" w:ascii="宋体" w:hAnsi="宋体" w:cs="Arial"/>
          <w:sz w:val="24"/>
        </w:rPr>
        <w:t>》</w:t>
      </w:r>
      <w:r>
        <w:rPr>
          <w:rFonts w:hint="eastAsia" w:ascii="宋体" w:hAnsi="宋体" w:cs="Arial"/>
          <w:bCs w:val="0"/>
          <w:sz w:val="24"/>
          <w:highlight w:val="none"/>
        </w:rPr>
        <w:t>（财资</w:t>
      </w:r>
      <w:r>
        <w:rPr>
          <w:rFonts w:ascii="宋体" w:hAnsi="宋体" w:cs="Arial"/>
          <w:bCs w:val="0"/>
          <w:sz w:val="24"/>
          <w:highlight w:val="none"/>
          <w:shd w:val="clear" w:color="auto" w:fill="auto"/>
        </w:rPr>
        <w:t>〔2022〕136</w:t>
      </w:r>
      <w:r>
        <w:rPr>
          <w:rFonts w:hint="eastAsia" w:ascii="宋体" w:hAnsi="宋体" w:cs="Arial"/>
          <w:bCs w:val="0"/>
          <w:sz w:val="24"/>
          <w:highlight w:val="none"/>
          <w:shd w:val="clear" w:color="auto" w:fill="auto"/>
        </w:rPr>
        <w:t>号）</w:t>
      </w:r>
      <w:r>
        <w:rPr>
          <w:rFonts w:hint="eastAsia" w:ascii="宋体" w:hAnsi="宋体"/>
          <w:sz w:val="24"/>
          <w:shd w:val="clear" w:color="auto" w:fill="FFFFFF"/>
        </w:rPr>
        <w:t>、《四川省交通运输厅</w:t>
      </w:r>
      <w:r>
        <w:rPr>
          <w:rFonts w:hint="eastAsia" w:ascii="宋体" w:hAnsi="宋体" w:cs="宋体"/>
          <w:sz w:val="24"/>
          <w:shd w:val="clear" w:color="auto" w:fill="FFFFFF"/>
        </w:rPr>
        <w:t>&lt;</w:t>
      </w:r>
      <w:r>
        <w:rPr>
          <w:rFonts w:hint="eastAsia" w:ascii="宋体" w:hAnsi="宋体"/>
          <w:sz w:val="24"/>
          <w:shd w:val="clear" w:color="auto" w:fill="FFFFFF"/>
        </w:rPr>
        <w:t>关于进一步规范公路水运工程建设项目安全生产费用管理工作</w:t>
      </w:r>
      <w:r>
        <w:rPr>
          <w:rFonts w:hint="eastAsia" w:ascii="宋体" w:hAnsi="宋体" w:cs="宋体"/>
          <w:sz w:val="24"/>
          <w:shd w:val="clear" w:color="auto" w:fill="FFFFFF"/>
        </w:rPr>
        <w:t>&gt;</w:t>
      </w:r>
      <w:r>
        <w:rPr>
          <w:rFonts w:hint="eastAsia" w:ascii="宋体" w:hAnsi="宋体"/>
          <w:sz w:val="24"/>
          <w:shd w:val="clear" w:color="auto" w:fill="FFFFFF"/>
        </w:rPr>
        <w:t>的通知》（川交规〔2023〕13号）</w:t>
      </w:r>
      <w:r>
        <w:rPr>
          <w:rFonts w:hint="eastAsia" w:ascii="宋体" w:hAnsi="宋体" w:cs="Arial"/>
          <w:bCs w:val="0"/>
          <w:sz w:val="24"/>
          <w:highlight w:val="none"/>
          <w:shd w:val="clear" w:color="auto" w:fill="auto"/>
        </w:rPr>
        <w:t>规定</w:t>
      </w:r>
      <w:r>
        <w:rPr>
          <w:rFonts w:hint="eastAsia" w:ascii="宋体" w:hAnsi="宋体" w:cs="Arial"/>
          <w:sz w:val="24"/>
        </w:rPr>
        <w:t>。</w:t>
      </w:r>
    </w:p>
    <w:p w14:paraId="4A58CB2D">
      <w:pPr>
        <w:pStyle w:val="2"/>
        <w:spacing w:before="240" w:after="240" w:line="240" w:lineRule="atLeast"/>
        <w:rPr>
          <w:rFonts w:ascii="黑体"/>
          <w:b w:val="0"/>
          <w:sz w:val="24"/>
          <w:szCs w:val="24"/>
        </w:rPr>
      </w:pPr>
      <w:bookmarkStart w:id="775" w:name="_Toc53685752"/>
      <w:r>
        <w:rPr>
          <w:rFonts w:ascii="黑体"/>
          <w:b w:val="0"/>
          <w:sz w:val="24"/>
          <w:szCs w:val="24"/>
        </w:rPr>
        <w:t>10</w:t>
      </w:r>
      <w:r>
        <w:rPr>
          <w:rFonts w:hint="eastAsia" w:ascii="黑体"/>
          <w:b w:val="0"/>
          <w:sz w:val="24"/>
          <w:szCs w:val="24"/>
        </w:rPr>
        <w:t>.3</w:t>
      </w:r>
      <w:r>
        <w:rPr>
          <w:rFonts w:hint="eastAsia" w:ascii="黑体"/>
          <w:b w:val="0"/>
          <w:sz w:val="24"/>
          <w:szCs w:val="24"/>
          <w:lang w:val="en-US" w:eastAsia="zh-CN"/>
        </w:rPr>
        <w:t xml:space="preserve"> </w:t>
      </w:r>
      <w:r>
        <w:rPr>
          <w:rFonts w:hint="eastAsia" w:ascii="黑体"/>
          <w:b w:val="0"/>
          <w:sz w:val="24"/>
          <w:szCs w:val="24"/>
        </w:rPr>
        <w:t>治安保卫</w:t>
      </w:r>
      <w:bookmarkEnd w:id="775"/>
    </w:p>
    <w:p w14:paraId="35EB81B4">
      <w:pPr>
        <w:adjustRightInd w:val="0"/>
        <w:snapToGrid w:val="0"/>
        <w:spacing w:line="360" w:lineRule="auto"/>
        <w:ind w:firstLine="480" w:firstLineChars="200"/>
        <w:rPr>
          <w:rFonts w:ascii="宋体" w:hAnsi="宋体"/>
          <w:bCs/>
          <w:sz w:val="24"/>
        </w:rPr>
      </w:pPr>
      <w:r>
        <w:rPr>
          <w:rFonts w:ascii="宋体" w:hAnsi="宋体"/>
          <w:bCs/>
          <w:sz w:val="24"/>
        </w:rPr>
        <w:t>10.3.1</w:t>
      </w:r>
      <w:r>
        <w:rPr>
          <w:rFonts w:hint="eastAsia" w:ascii="宋体" w:hAnsi="宋体"/>
          <w:bCs/>
          <w:sz w:val="24"/>
          <w:lang w:val="en-US" w:eastAsia="zh-CN"/>
        </w:rPr>
        <w:t xml:space="preserve"> </w:t>
      </w:r>
      <w:r>
        <w:rPr>
          <w:rFonts w:hint="eastAsia" w:ascii="宋体" w:hAnsi="宋体"/>
          <w:bCs/>
          <w:sz w:val="24"/>
        </w:rPr>
        <w:t>现场治安管理机构或联防组织的组建：由承包人完成，发包人予以协助。</w:t>
      </w:r>
    </w:p>
    <w:p w14:paraId="0A0D4AD8">
      <w:pPr>
        <w:spacing w:line="360" w:lineRule="auto"/>
        <w:ind w:firstLine="480" w:firstLineChars="200"/>
        <w:rPr>
          <w:rFonts w:ascii="宋体" w:hAnsi="宋体"/>
          <w:sz w:val="24"/>
        </w:rPr>
      </w:pPr>
      <w:r>
        <w:rPr>
          <w:rFonts w:ascii="宋体" w:hAnsi="宋体"/>
          <w:bCs/>
          <w:sz w:val="24"/>
        </w:rPr>
        <w:t>10.3.3</w:t>
      </w:r>
      <w:r>
        <w:rPr>
          <w:rFonts w:ascii="宋体" w:hAnsi="宋体"/>
          <w:b/>
          <w:sz w:val="24"/>
        </w:rPr>
        <w:t xml:space="preserve"> </w:t>
      </w:r>
      <w:r>
        <w:rPr>
          <w:rFonts w:hint="eastAsia" w:ascii="宋体" w:hAnsi="宋体"/>
          <w:sz w:val="24"/>
        </w:rPr>
        <w:t>施工场地治安管理计划和突发治安事件紧急预案的编制：由承包人完成。</w:t>
      </w:r>
    </w:p>
    <w:p w14:paraId="5C545523">
      <w:pPr>
        <w:pStyle w:val="2"/>
        <w:spacing w:before="240" w:after="240" w:line="240" w:lineRule="atLeast"/>
        <w:rPr>
          <w:rFonts w:ascii="黑体"/>
          <w:b w:val="0"/>
          <w:sz w:val="24"/>
          <w:szCs w:val="24"/>
        </w:rPr>
      </w:pPr>
      <w:bookmarkStart w:id="776" w:name="_Toc53685753"/>
      <w:bookmarkStart w:id="777" w:name="_Hlk94095006"/>
      <w:bookmarkStart w:id="778" w:name="_Toc53685754"/>
      <w:r>
        <w:rPr>
          <w:rFonts w:ascii="黑体"/>
          <w:b w:val="0"/>
          <w:sz w:val="24"/>
          <w:szCs w:val="24"/>
        </w:rPr>
        <w:t>10.4</w:t>
      </w:r>
      <w:r>
        <w:rPr>
          <w:rFonts w:hint="eastAsia" w:ascii="黑体"/>
          <w:b w:val="0"/>
          <w:sz w:val="24"/>
          <w:szCs w:val="24"/>
        </w:rPr>
        <w:t>环境保护</w:t>
      </w:r>
      <w:bookmarkEnd w:id="776"/>
    </w:p>
    <w:p w14:paraId="0DB3FD84">
      <w:pPr>
        <w:adjustRightInd w:val="0"/>
        <w:snapToGrid w:val="0"/>
        <w:spacing w:line="360" w:lineRule="auto"/>
        <w:ind w:firstLine="480" w:firstLineChars="200"/>
        <w:rPr>
          <w:rFonts w:ascii="宋体" w:hAnsi="宋体"/>
          <w:sz w:val="24"/>
        </w:rPr>
      </w:pPr>
      <w:r>
        <w:rPr>
          <w:rFonts w:hint="eastAsia" w:ascii="宋体" w:hAnsi="宋体"/>
          <w:sz w:val="24"/>
        </w:rPr>
        <w:t>第1</w:t>
      </w:r>
      <w:r>
        <w:rPr>
          <w:rFonts w:ascii="宋体" w:hAnsi="宋体"/>
          <w:sz w:val="24"/>
        </w:rPr>
        <w:t>0.4.2</w:t>
      </w:r>
      <w:r>
        <w:rPr>
          <w:rFonts w:hint="eastAsia" w:ascii="宋体" w:hAnsi="宋体"/>
          <w:sz w:val="24"/>
        </w:rPr>
        <w:t>项补充：</w:t>
      </w:r>
    </w:p>
    <w:p w14:paraId="487B249A">
      <w:pPr>
        <w:adjustRightInd w:val="0"/>
        <w:snapToGrid w:val="0"/>
        <w:spacing w:line="360" w:lineRule="auto"/>
        <w:ind w:firstLine="480" w:firstLineChars="200"/>
        <w:rPr>
          <w:rFonts w:ascii="宋体" w:hAnsi="宋体"/>
          <w:sz w:val="24"/>
        </w:rPr>
      </w:pPr>
      <w:r>
        <w:rPr>
          <w:rFonts w:hint="eastAsia" w:ascii="宋体" w:hAnsi="宋体"/>
          <w:sz w:val="24"/>
        </w:rPr>
        <w:t>承包人进场后提交实施性的施工环水保方案及环水保监控措施上报监理人审查，并经发包人批准后实施。</w:t>
      </w:r>
    </w:p>
    <w:p w14:paraId="7E884B44">
      <w:pPr>
        <w:adjustRightInd w:val="0"/>
        <w:snapToGrid w:val="0"/>
        <w:spacing w:line="360" w:lineRule="auto"/>
        <w:ind w:firstLine="480" w:firstLineChars="200"/>
        <w:rPr>
          <w:bCs/>
          <w:spacing w:val="-4"/>
          <w:sz w:val="24"/>
        </w:rPr>
      </w:pPr>
      <w:r>
        <w:rPr>
          <w:bCs/>
          <w:sz w:val="24"/>
        </w:rPr>
        <w:t>本款补充第</w:t>
      </w:r>
      <w:r>
        <w:rPr>
          <w:rFonts w:asciiTheme="minorEastAsia" w:hAnsiTheme="minorEastAsia" w:eastAsiaTheme="minorEastAsia"/>
          <w:bCs/>
          <w:sz w:val="24"/>
        </w:rPr>
        <w:t>10.4.4项</w:t>
      </w:r>
      <w:r>
        <w:rPr>
          <w:rFonts w:hint="eastAsia" w:asciiTheme="minorEastAsia" w:hAnsiTheme="minorEastAsia" w:eastAsiaTheme="minorEastAsia"/>
          <w:bCs/>
          <w:sz w:val="24"/>
        </w:rPr>
        <w:t>～第1</w:t>
      </w:r>
      <w:r>
        <w:rPr>
          <w:rFonts w:asciiTheme="minorEastAsia" w:hAnsiTheme="minorEastAsia" w:eastAsiaTheme="minorEastAsia"/>
          <w:bCs/>
          <w:sz w:val="24"/>
        </w:rPr>
        <w:t>0.4.15</w:t>
      </w:r>
      <w:r>
        <w:rPr>
          <w:rFonts w:hint="eastAsia" w:asciiTheme="minorEastAsia" w:hAnsiTheme="minorEastAsia" w:eastAsiaTheme="minorEastAsia"/>
          <w:bCs/>
          <w:sz w:val="24"/>
        </w:rPr>
        <w:t>项</w:t>
      </w:r>
      <w:r>
        <w:rPr>
          <w:rFonts w:asciiTheme="minorEastAsia" w:hAnsiTheme="minorEastAsia" w:eastAsiaTheme="minorEastAsia"/>
          <w:bCs/>
          <w:sz w:val="24"/>
        </w:rPr>
        <w:t>：</w:t>
      </w:r>
    </w:p>
    <w:p w14:paraId="509E711F">
      <w:pPr>
        <w:adjustRightInd w:val="0"/>
        <w:snapToGrid w:val="0"/>
        <w:spacing w:line="360" w:lineRule="auto"/>
        <w:ind w:firstLine="480" w:firstLineChars="200"/>
        <w:rPr>
          <w:rFonts w:ascii="宋体" w:hAnsi="宋体"/>
          <w:sz w:val="24"/>
        </w:rPr>
      </w:pPr>
      <w:r>
        <w:rPr>
          <w:rFonts w:ascii="宋体" w:hAnsi="宋体"/>
          <w:sz w:val="24"/>
        </w:rPr>
        <w:t>10.4.4</w:t>
      </w:r>
      <w:r>
        <w:rPr>
          <w:rFonts w:hint="eastAsia" w:ascii="宋体" w:hAnsi="宋体"/>
          <w:sz w:val="24"/>
        </w:rPr>
        <w:t xml:space="preserve"> 承包人应落实环境保护及水土保持的责任人，施工过程及施工结束后应严格按照有关环保及水土保持的规定执行。自觉接受监理人的环保及水土保持教育，落实施工场地符合相关环保要求</w:t>
      </w:r>
      <w:r>
        <w:rPr>
          <w:rFonts w:hint="eastAsia" w:ascii="宋体" w:hAnsi="宋体"/>
          <w:sz w:val="24"/>
          <w:lang w:val="en-US" w:eastAsia="zh-CN"/>
        </w:rPr>
        <w:t>的</w:t>
      </w:r>
      <w:r>
        <w:rPr>
          <w:rFonts w:hint="eastAsia" w:ascii="宋体" w:hAnsi="宋体"/>
          <w:sz w:val="24"/>
        </w:rPr>
        <w:t>布设</w:t>
      </w:r>
      <w:r>
        <w:rPr>
          <w:rFonts w:hint="eastAsia" w:ascii="宋体" w:hAnsi="宋体"/>
          <w:sz w:val="24"/>
          <w:lang w:val="en-US" w:eastAsia="zh-CN"/>
        </w:rPr>
        <w:t>规定</w:t>
      </w:r>
      <w:r>
        <w:rPr>
          <w:rFonts w:hint="eastAsia" w:ascii="宋体" w:hAnsi="宋体"/>
          <w:sz w:val="24"/>
        </w:rPr>
        <w:t>；施工组织设计应按“环境保护方案报告书”“水土保持方案报告书”有关要求制定施工中的环水保措施，认真做好项目实施过程及工程结束后的环境保护及水土保持的防御措施，并做好有关环境保护、水土保持的资料的记录。</w:t>
      </w:r>
    </w:p>
    <w:p w14:paraId="7FD95A14">
      <w:pPr>
        <w:adjustRightInd w:val="0"/>
        <w:snapToGrid w:val="0"/>
        <w:spacing w:line="360" w:lineRule="auto"/>
        <w:ind w:firstLine="480" w:firstLineChars="200"/>
        <w:rPr>
          <w:rFonts w:ascii="宋体" w:hAnsi="宋体"/>
          <w:sz w:val="24"/>
        </w:rPr>
      </w:pPr>
      <w:r>
        <w:rPr>
          <w:rFonts w:ascii="宋体" w:hAnsi="宋体"/>
          <w:sz w:val="24"/>
        </w:rPr>
        <w:t xml:space="preserve">10.4.5 </w:t>
      </w:r>
      <w:r>
        <w:rPr>
          <w:rFonts w:hint="eastAsia" w:ascii="宋体" w:hAnsi="宋体"/>
          <w:sz w:val="24"/>
        </w:rPr>
        <w:t>承包人应切实执行技术规范中有关环境保护方面的条款和规定。</w:t>
      </w:r>
      <w:r>
        <w:rPr>
          <w:rFonts w:ascii="宋体" w:hAnsi="宋体"/>
          <w:sz w:val="24"/>
        </w:rPr>
        <w:t xml:space="preserve"> </w:t>
      </w:r>
    </w:p>
    <w:p w14:paraId="524EB6EA">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宋体" w:hAnsi="宋体"/>
          <w:sz w:val="24"/>
        </w:rPr>
        <w:t>150m</w:t>
      </w:r>
      <w:r>
        <w:rPr>
          <w:rFonts w:hint="eastAsia" w:ascii="宋体" w:hAnsi="宋体"/>
          <w:sz w:val="24"/>
        </w:rPr>
        <w:t>以内的施工现场，施工时间应加以控制。</w:t>
      </w:r>
      <w:r>
        <w:rPr>
          <w:rFonts w:ascii="宋体" w:hAnsi="宋体"/>
          <w:sz w:val="24"/>
        </w:rPr>
        <w:t xml:space="preserve"> </w:t>
      </w:r>
    </w:p>
    <w:p w14:paraId="07087193">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）对于公路施工中粉尘污染的主要污染源</w:t>
      </w:r>
      <w:r>
        <w:rPr>
          <w:rFonts w:hint="eastAsia" w:ascii="宋体" w:hAnsi="宋体" w:cs="宋体"/>
          <w:sz w:val="24"/>
          <w:lang w:eastAsia="zh-CN"/>
        </w:rPr>
        <w:t>——</w:t>
      </w:r>
      <w:r>
        <w:rPr>
          <w:rFonts w:hint="eastAsia" w:ascii="宋体" w:hAnsi="宋体"/>
          <w:sz w:val="24"/>
        </w:rPr>
        <w:t>灰土拌和、施工车辆和筑路机械运行及运输产生的扬尘，应采取有效措施减轻其对施工现场的大气污染，保护人民健康，如：</w:t>
      </w:r>
    </w:p>
    <w:p w14:paraId="4D47134F">
      <w:pPr>
        <w:adjustRightInd w:val="0"/>
        <w:snapToGrid w:val="0"/>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拌和设备应有较好的密封，或有防尘设备。</w:t>
      </w:r>
      <w:r>
        <w:rPr>
          <w:rFonts w:ascii="宋体" w:hAnsi="宋体"/>
          <w:sz w:val="24"/>
        </w:rPr>
        <w:t xml:space="preserve"> </w:t>
      </w:r>
    </w:p>
    <w:p w14:paraId="1C8713FF">
      <w:pPr>
        <w:adjustRightInd w:val="0"/>
        <w:snapToGrid w:val="0"/>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施工通道、沥青混凝土拌和站及灰土拌和站应经常进行洒水降尘。</w:t>
      </w:r>
      <w:r>
        <w:rPr>
          <w:rFonts w:ascii="宋体" w:hAnsi="宋体"/>
          <w:sz w:val="24"/>
        </w:rPr>
        <w:t xml:space="preserve"> </w:t>
      </w:r>
    </w:p>
    <w:p w14:paraId="7E5AF07A">
      <w:pPr>
        <w:adjustRightInd w:val="0"/>
        <w:snapToGrid w:val="0"/>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路面施工应注意保持水分，以免扬尘。</w:t>
      </w:r>
      <w:r>
        <w:rPr>
          <w:rFonts w:ascii="宋体" w:hAnsi="宋体"/>
          <w:sz w:val="24"/>
        </w:rPr>
        <w:t xml:space="preserve"> </w:t>
      </w:r>
    </w:p>
    <w:p w14:paraId="0BC96C4F">
      <w:pPr>
        <w:adjustRightInd w:val="0"/>
        <w:snapToGrid w:val="0"/>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4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隧道出渣和桥梁钻孔灌注桩施工时排出的泥浆要进行妥善处理，严禁向河流或农田排放。</w:t>
      </w:r>
      <w:r>
        <w:rPr>
          <w:rFonts w:ascii="宋体" w:hAnsi="宋体"/>
          <w:sz w:val="24"/>
        </w:rPr>
        <w:t xml:space="preserve"> </w:t>
      </w:r>
    </w:p>
    <w:p w14:paraId="1C9F39BB">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）采取可靠措施保证原有交通的正常通行，维持沿线村镇的居民饮水、农田灌溉、生产生活用电及通信等管线的正常使用。</w:t>
      </w:r>
      <w:r>
        <w:rPr>
          <w:rFonts w:ascii="宋体" w:hAnsi="宋体"/>
          <w:sz w:val="24"/>
        </w:rPr>
        <w:t xml:space="preserve"> </w:t>
      </w:r>
    </w:p>
    <w:p w14:paraId="23E9AE1A">
      <w:pPr>
        <w:adjustRightInd w:val="0"/>
        <w:snapToGrid w:val="0"/>
        <w:spacing w:line="360" w:lineRule="auto"/>
        <w:ind w:firstLine="480" w:firstLineChars="200"/>
        <w:rPr>
          <w:rFonts w:ascii="宋体" w:hAnsi="宋体"/>
          <w:sz w:val="24"/>
        </w:rPr>
      </w:pPr>
      <w:r>
        <w:rPr>
          <w:rFonts w:ascii="宋体" w:hAnsi="宋体"/>
          <w:sz w:val="24"/>
        </w:rPr>
        <w:t xml:space="preserve">10.4.6 </w:t>
      </w:r>
      <w:r>
        <w:rPr>
          <w:rFonts w:hint="eastAsia" w:ascii="宋体" w:hAnsi="宋体"/>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r>
        <w:rPr>
          <w:rFonts w:ascii="宋体" w:hAnsi="宋体"/>
          <w:sz w:val="24"/>
        </w:rPr>
        <w:t xml:space="preserve"> </w:t>
      </w:r>
    </w:p>
    <w:p w14:paraId="73C6C5CA">
      <w:pPr>
        <w:adjustRightInd w:val="0"/>
        <w:snapToGrid w:val="0"/>
        <w:spacing w:line="360" w:lineRule="auto"/>
        <w:ind w:firstLine="480" w:firstLineChars="200"/>
        <w:rPr>
          <w:rFonts w:ascii="宋体" w:hAnsi="宋体"/>
          <w:sz w:val="24"/>
        </w:rPr>
      </w:pPr>
      <w:r>
        <w:rPr>
          <w:rFonts w:ascii="宋体" w:hAnsi="宋体"/>
          <w:sz w:val="24"/>
        </w:rPr>
        <w:t>10.4.7</w:t>
      </w:r>
      <w:r>
        <w:rPr>
          <w:rFonts w:hint="eastAsia" w:ascii="宋体" w:hAnsi="宋体"/>
          <w:sz w:val="24"/>
          <w:lang w:val="en-US" w:eastAsia="zh-CN"/>
        </w:rPr>
        <w:t xml:space="preserve"> </w:t>
      </w:r>
      <w:r>
        <w:rPr>
          <w:rFonts w:hint="eastAsia" w:ascii="宋体" w:hAnsi="宋体"/>
          <w:sz w:val="24"/>
        </w:rPr>
        <w:t>在施工期间，承包人应随时保持现场整洁，施工设备和材料、工程设备应整齐妥善存放和储存，废料与垃圾及不再需要的临时设施应及时从现场清除、拆除并运走。</w:t>
      </w:r>
      <w:r>
        <w:rPr>
          <w:rFonts w:ascii="宋体" w:hAnsi="宋体"/>
          <w:sz w:val="24"/>
        </w:rPr>
        <w:t xml:space="preserve"> </w:t>
      </w:r>
    </w:p>
    <w:p w14:paraId="7B69BC0F">
      <w:pPr>
        <w:adjustRightInd w:val="0"/>
        <w:snapToGrid w:val="0"/>
        <w:spacing w:line="360" w:lineRule="auto"/>
        <w:ind w:firstLine="480" w:firstLineChars="200"/>
        <w:rPr>
          <w:rFonts w:ascii="宋体" w:hAnsi="宋体"/>
          <w:sz w:val="24"/>
        </w:rPr>
      </w:pPr>
      <w:r>
        <w:rPr>
          <w:rFonts w:ascii="宋体" w:hAnsi="宋体"/>
          <w:sz w:val="24"/>
        </w:rPr>
        <w:t xml:space="preserve">10.4.8 </w:t>
      </w:r>
      <w:r>
        <w:rPr>
          <w:rFonts w:hint="eastAsia" w:ascii="宋体" w:hAnsi="宋体"/>
          <w:sz w:val="24"/>
        </w:rPr>
        <w:t>在施工期间，承包人应严格遵守</w:t>
      </w:r>
      <w:r>
        <w:rPr>
          <w:rFonts w:hint="eastAsia" w:ascii="宋体" w:hAnsi="宋体"/>
          <w:sz w:val="24"/>
          <w:lang w:val="en-US" w:eastAsia="zh-CN"/>
        </w:rPr>
        <w:t>交通运输部</w:t>
      </w:r>
      <w:r>
        <w:rPr>
          <w:rFonts w:hint="eastAsia" w:ascii="宋体" w:hAnsi="宋体"/>
          <w:sz w:val="24"/>
        </w:rPr>
        <w:t>《关于在公路建设中实行最严格的耕地保护制度的若干意见》</w:t>
      </w:r>
      <w:r>
        <w:rPr>
          <w:rFonts w:hint="eastAsia" w:ascii="宋体" w:hAnsi="宋体"/>
          <w:sz w:val="24"/>
          <w:lang w:eastAsia="zh-CN"/>
        </w:rPr>
        <w:t>（</w:t>
      </w:r>
      <w:r>
        <w:rPr>
          <w:rFonts w:hint="eastAsia" w:ascii="宋体" w:hAnsi="宋体" w:eastAsia="宋体" w:cs="Times New Roman"/>
          <w:i w:val="0"/>
          <w:iCs w:val="0"/>
          <w:caps w:val="0"/>
          <w:color w:val="auto"/>
          <w:spacing w:val="0"/>
          <w:sz w:val="24"/>
          <w:szCs w:val="24"/>
          <w:shd w:val="clear" w:fill="auto"/>
        </w:rPr>
        <w:t>交公路发</w:t>
      </w:r>
      <w:r>
        <w:rPr>
          <w:rFonts w:hint="eastAsia" w:ascii="宋体" w:hAnsi="宋体" w:cs="Times New Roman"/>
          <w:i w:val="0"/>
          <w:iCs w:val="0"/>
          <w:caps w:val="0"/>
          <w:spacing w:val="0"/>
          <w:sz w:val="24"/>
          <w:szCs w:val="24"/>
          <w:shd w:val="clear"/>
          <w:lang w:eastAsia="zh-CN"/>
        </w:rPr>
        <w:t>〔</w:t>
      </w:r>
      <w:r>
        <w:rPr>
          <w:rFonts w:hint="eastAsia" w:ascii="宋体" w:hAnsi="宋体" w:eastAsia="宋体" w:cs="Times New Roman"/>
          <w:i w:val="0"/>
          <w:iCs w:val="0"/>
          <w:caps w:val="0"/>
          <w:color w:val="auto"/>
          <w:spacing w:val="0"/>
          <w:sz w:val="24"/>
          <w:szCs w:val="24"/>
          <w:shd w:val="clear" w:fill="auto"/>
        </w:rPr>
        <w:t>2004</w:t>
      </w:r>
      <w:r>
        <w:rPr>
          <w:rFonts w:hint="eastAsia" w:ascii="宋体" w:hAnsi="宋体" w:eastAsia="宋体" w:cs="Times New Roman"/>
          <w:i w:val="0"/>
          <w:iCs w:val="0"/>
          <w:caps w:val="0"/>
          <w:spacing w:val="0"/>
          <w:sz w:val="24"/>
          <w:szCs w:val="24"/>
          <w:shd w:val="clear"/>
          <w:lang w:eastAsia="zh-CN"/>
        </w:rPr>
        <w:t>〕</w:t>
      </w:r>
      <w:r>
        <w:rPr>
          <w:rFonts w:hint="eastAsia" w:ascii="宋体" w:hAnsi="宋体" w:eastAsia="宋体" w:cs="Times New Roman"/>
          <w:i w:val="0"/>
          <w:iCs w:val="0"/>
          <w:caps w:val="0"/>
          <w:color w:val="auto"/>
          <w:spacing w:val="0"/>
          <w:sz w:val="24"/>
          <w:szCs w:val="24"/>
          <w:shd w:val="clear" w:fill="auto"/>
        </w:rPr>
        <w:t>164号</w:t>
      </w:r>
      <w:r>
        <w:rPr>
          <w:rFonts w:hint="eastAsia" w:ascii="宋体" w:hAnsi="宋体"/>
          <w:sz w:val="24"/>
          <w:lang w:eastAsia="zh-CN"/>
        </w:rPr>
        <w:t>）</w:t>
      </w:r>
      <w:r>
        <w:rPr>
          <w:rFonts w:hint="eastAsia" w:ascii="宋体" w:hAnsi="宋体"/>
          <w:sz w:val="24"/>
        </w:rPr>
        <w:t>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r>
        <w:rPr>
          <w:rFonts w:ascii="宋体" w:hAnsi="宋体"/>
          <w:sz w:val="24"/>
        </w:rPr>
        <w:t xml:space="preserve"> </w:t>
      </w:r>
    </w:p>
    <w:p w14:paraId="04509313">
      <w:pPr>
        <w:adjustRightInd w:val="0"/>
        <w:snapToGrid w:val="0"/>
        <w:spacing w:line="360" w:lineRule="auto"/>
        <w:ind w:firstLine="480" w:firstLineChars="200"/>
        <w:rPr>
          <w:rFonts w:ascii="宋体" w:hAnsi="宋体"/>
          <w:sz w:val="24"/>
        </w:rPr>
      </w:pPr>
      <w:r>
        <w:rPr>
          <w:rFonts w:ascii="宋体" w:hAnsi="宋体"/>
          <w:sz w:val="24"/>
        </w:rPr>
        <w:t xml:space="preserve">10.4.9 </w:t>
      </w:r>
      <w:r>
        <w:rPr>
          <w:rFonts w:hint="eastAsia" w:ascii="宋体" w:hAnsi="宋体"/>
          <w:sz w:val="24"/>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367F92DE">
      <w:pPr>
        <w:adjustRightInd w:val="0"/>
        <w:snapToGrid w:val="0"/>
        <w:spacing w:line="360" w:lineRule="auto"/>
        <w:ind w:firstLine="480" w:firstLineChars="200"/>
        <w:rPr>
          <w:rFonts w:ascii="宋体" w:hAnsi="宋体"/>
          <w:sz w:val="24"/>
        </w:rPr>
      </w:pPr>
      <w:r>
        <w:rPr>
          <w:rFonts w:ascii="宋体" w:hAnsi="宋体"/>
          <w:sz w:val="24"/>
        </w:rPr>
        <w:t>10.4.10</w:t>
      </w:r>
      <w:r>
        <w:rPr>
          <w:rFonts w:hint="eastAsia" w:ascii="宋体" w:hAnsi="宋体"/>
          <w:sz w:val="24"/>
        </w:rPr>
        <w:t xml:space="preserve"> 承包人应按国家饮用水管理标准定期对饮用水源进行监测，防止施工活动污染饮用水源。</w:t>
      </w:r>
    </w:p>
    <w:p w14:paraId="0DC716BC">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0.4.11</w:t>
      </w:r>
      <w:r>
        <w:rPr>
          <w:rFonts w:hint="eastAsia" w:ascii="宋体" w:hAnsi="宋体"/>
          <w:sz w:val="24"/>
          <w:lang w:val="en-US" w:eastAsia="zh-CN"/>
        </w:rPr>
        <w:t xml:space="preserve"> </w:t>
      </w:r>
      <w:r>
        <w:rPr>
          <w:rFonts w:hint="eastAsia" w:ascii="宋体" w:hAnsi="宋体"/>
          <w:sz w:val="24"/>
        </w:rPr>
        <w:t>承包人依法取得砍伐许可后方可按照砍伐许可的面积、株数、树种进行砍伐，并注意保护野生动植物；施工结束后，对施工期占用的施工便道、料场、拌合场及施工场地等临时用地，按“破坏一处，恢复一处”的原则，进行全面恢复。</w:t>
      </w:r>
    </w:p>
    <w:p w14:paraId="05D523FC">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0.4.12</w:t>
      </w:r>
      <w:r>
        <w:rPr>
          <w:rFonts w:hint="eastAsia" w:ascii="宋体" w:hAnsi="宋体"/>
          <w:sz w:val="24"/>
          <w:lang w:val="en-US" w:eastAsia="zh-CN"/>
        </w:rPr>
        <w:t xml:space="preserve"> </w:t>
      </w:r>
      <w:r>
        <w:rPr>
          <w:rFonts w:hint="eastAsia" w:ascii="宋体" w:hAnsi="宋体"/>
          <w:sz w:val="24"/>
        </w:rPr>
        <w:t>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合、现场施工而对项目沿线的建筑、既有道路、农田、林地、河流、水道、灌溉渠、排水系统等产生破坏，从而造成索赔、施工停工或工程质量隐患。如承包人未采取有效措施，由此产生的一切损失由承包人自行负责。</w:t>
      </w:r>
    </w:p>
    <w:p w14:paraId="5844233B">
      <w:pPr>
        <w:adjustRightInd w:val="0"/>
        <w:snapToGrid w:val="0"/>
        <w:spacing w:line="360" w:lineRule="auto"/>
        <w:ind w:firstLine="480" w:firstLineChars="200"/>
      </w:pPr>
      <w:r>
        <w:rPr>
          <w:rFonts w:hint="eastAsia" w:ascii="宋体" w:hAnsi="宋体"/>
          <w:sz w:val="24"/>
        </w:rPr>
        <w:t>1</w:t>
      </w:r>
      <w:r>
        <w:rPr>
          <w:rFonts w:ascii="宋体" w:hAnsi="宋体"/>
          <w:sz w:val="24"/>
        </w:rPr>
        <w:t>0.4.13</w:t>
      </w:r>
      <w:r>
        <w:rPr>
          <w:rFonts w:hint="eastAsia" w:ascii="宋体" w:hAnsi="宋体"/>
          <w:sz w:val="24"/>
          <w:lang w:val="en-US" w:eastAsia="zh-CN"/>
        </w:rPr>
        <w:t xml:space="preserve"> </w:t>
      </w:r>
      <w:r>
        <w:rPr>
          <w:rFonts w:hint="eastAsia" w:ascii="宋体" w:hAnsi="宋体"/>
          <w:sz w:val="24"/>
        </w:rPr>
        <w:t>承包人在施工时应加强员工的森林防火意识教育，并制定措施，严防发生森林火灾，因承包人引起的一切有关损失和法律责任由承包人承担。</w:t>
      </w:r>
    </w:p>
    <w:p w14:paraId="53D09AC2">
      <w:pPr>
        <w:adjustRightInd w:val="0"/>
        <w:snapToGrid w:val="0"/>
        <w:spacing w:line="360" w:lineRule="auto"/>
        <w:ind w:firstLine="480" w:firstLineChars="200"/>
      </w:pPr>
      <w:r>
        <w:rPr>
          <w:rFonts w:hint="eastAsia" w:ascii="宋体" w:hAnsi="宋体"/>
          <w:sz w:val="24"/>
        </w:rPr>
        <w:t>1</w:t>
      </w:r>
      <w:r>
        <w:rPr>
          <w:rFonts w:ascii="宋体" w:hAnsi="宋体"/>
          <w:sz w:val="24"/>
        </w:rPr>
        <w:t>0.4.14</w:t>
      </w:r>
      <w:r>
        <w:rPr>
          <w:rFonts w:hint="eastAsia" w:ascii="宋体" w:hAnsi="宋体"/>
          <w:sz w:val="24"/>
          <w:lang w:val="en-US" w:eastAsia="zh-CN"/>
        </w:rPr>
        <w:t xml:space="preserve"> </w:t>
      </w:r>
      <w:r>
        <w:rPr>
          <w:rFonts w:hint="eastAsia" w:ascii="宋体" w:hAnsi="宋体"/>
          <w:sz w:val="24"/>
        </w:rPr>
        <w:t>承包人应做好工程废料和建筑垃圾的处理，不得任意弃置；</w:t>
      </w:r>
    </w:p>
    <w:p w14:paraId="0179E203">
      <w:pPr>
        <w:adjustRightInd w:val="0"/>
        <w:snapToGrid w:val="0"/>
        <w:spacing w:line="360" w:lineRule="auto"/>
        <w:ind w:firstLine="480" w:firstLineChars="200"/>
        <w:rPr>
          <w:rFonts w:ascii="黑体"/>
          <w:sz w:val="24"/>
        </w:rPr>
      </w:pPr>
      <w:r>
        <w:rPr>
          <w:rFonts w:hint="eastAsia" w:ascii="宋体" w:hAnsi="宋体"/>
          <w:sz w:val="24"/>
        </w:rPr>
        <w:t>1</w:t>
      </w:r>
      <w:r>
        <w:rPr>
          <w:rFonts w:ascii="宋体" w:hAnsi="宋体"/>
          <w:sz w:val="24"/>
        </w:rPr>
        <w:t>0.4.15</w:t>
      </w:r>
      <w:r>
        <w:rPr>
          <w:rFonts w:hint="eastAsia" w:ascii="宋体" w:hAnsi="宋体"/>
          <w:sz w:val="24"/>
          <w:lang w:val="en-US" w:eastAsia="zh-CN"/>
        </w:rPr>
        <w:t xml:space="preserve"> </w:t>
      </w:r>
      <w:r>
        <w:rPr>
          <w:rFonts w:hint="eastAsia" w:ascii="宋体" w:hAnsi="宋体"/>
          <w:sz w:val="24"/>
        </w:rPr>
        <w:t>施工过程中针对第</w:t>
      </w:r>
      <w:r>
        <w:rPr>
          <w:rFonts w:ascii="宋体" w:hAnsi="宋体"/>
          <w:sz w:val="24"/>
        </w:rPr>
        <w:t>10</w:t>
      </w:r>
      <w:r>
        <w:rPr>
          <w:rFonts w:hint="eastAsia" w:ascii="宋体" w:hAnsi="宋体"/>
          <w:sz w:val="24"/>
        </w:rPr>
        <w:t>.4款发生的环境保护及水土保持措施费应符合《四川省交通运输厅关于进一步加强和规范我省</w:t>
      </w:r>
      <w:r>
        <w:rPr>
          <w:rFonts w:hint="eastAsia" w:ascii="宋体" w:hAnsi="宋体"/>
          <w:sz w:val="24"/>
          <w:lang w:val="en-US" w:eastAsia="zh-CN"/>
        </w:rPr>
        <w:t>高速</w:t>
      </w:r>
      <w:r>
        <w:rPr>
          <w:rFonts w:hint="eastAsia" w:ascii="宋体" w:hAnsi="宋体"/>
          <w:sz w:val="24"/>
        </w:rPr>
        <w:t>公路建设项目环境保护费用管理工作的通知》</w:t>
      </w:r>
      <w:r>
        <w:rPr>
          <w:rFonts w:hint="eastAsia" w:ascii="宋体" w:hAnsi="宋体"/>
          <w:sz w:val="24"/>
          <w:lang w:eastAsia="zh-CN"/>
        </w:rPr>
        <w:t>（</w:t>
      </w:r>
      <w:r>
        <w:rPr>
          <w:rFonts w:hint="eastAsia" w:ascii="宋体" w:hAnsi="宋体"/>
          <w:sz w:val="24"/>
          <w:lang w:val="en-US" w:eastAsia="zh-CN"/>
        </w:rPr>
        <w:t>川交函〔</w:t>
      </w:r>
      <w:r>
        <w:rPr>
          <w:rFonts w:hint="eastAsia" w:ascii="宋体" w:hAnsi="宋体" w:eastAsia="宋体" w:cs="Times New Roman"/>
          <w:sz w:val="24"/>
          <w:lang w:val="en-US" w:eastAsia="zh-CN"/>
        </w:rPr>
        <w:t>2021</w:t>
      </w:r>
      <w:r>
        <w:rPr>
          <w:rFonts w:hint="eastAsia" w:ascii="宋体" w:hAnsi="宋体"/>
          <w:sz w:val="24"/>
          <w:lang w:val="en-US" w:eastAsia="zh-CN"/>
        </w:rPr>
        <w:t>〕</w:t>
      </w:r>
      <w:r>
        <w:rPr>
          <w:rFonts w:hint="eastAsia" w:ascii="宋体" w:hAnsi="宋体" w:eastAsia="宋体" w:cs="Times New Roman"/>
          <w:sz w:val="24"/>
          <w:lang w:val="en-US" w:eastAsia="zh-CN"/>
        </w:rPr>
        <w:t>260号</w:t>
      </w:r>
      <w:r>
        <w:rPr>
          <w:rFonts w:hint="eastAsia" w:ascii="宋体" w:hAnsi="宋体"/>
          <w:sz w:val="24"/>
          <w:lang w:eastAsia="zh-CN"/>
        </w:rPr>
        <w:t>）</w:t>
      </w:r>
      <w:r>
        <w:rPr>
          <w:rFonts w:hint="eastAsia" w:ascii="宋体" w:hAnsi="宋体"/>
          <w:sz w:val="24"/>
        </w:rPr>
        <w:t>文件要求</w:t>
      </w:r>
      <w:r>
        <w:rPr>
          <w:rFonts w:hint="eastAsia" w:ascii="宋体" w:hAnsi="宋体"/>
          <w:sz w:val="24"/>
          <w:lang w:eastAsia="zh-CN"/>
        </w:rPr>
        <w:t>。</w:t>
      </w:r>
      <w:r>
        <w:rPr>
          <w:rFonts w:hint="eastAsia" w:ascii="宋体" w:hAnsi="宋体"/>
          <w:sz w:val="24"/>
        </w:rPr>
        <w:t>如承包人为满足项目施工需要，需增加</w:t>
      </w:r>
      <w:r>
        <w:rPr>
          <w:rFonts w:hint="eastAsia" w:ascii="宋体" w:hAnsi="宋体"/>
          <w:sz w:val="24"/>
          <w:highlight w:val="none"/>
        </w:rPr>
        <w:t>环境保护及水土保持措施费</w:t>
      </w:r>
      <w:r>
        <w:rPr>
          <w:rFonts w:hint="eastAsia" w:ascii="宋体" w:hAnsi="宋体"/>
          <w:sz w:val="24"/>
        </w:rPr>
        <w:t>，则在本项目价格清单其他相关子目的单价或总额价中予以考虑，发包人不再另行支付。</w:t>
      </w:r>
      <w:bookmarkEnd w:id="777"/>
    </w:p>
    <w:p w14:paraId="05FF394E">
      <w:pPr>
        <w:pStyle w:val="2"/>
        <w:spacing w:before="240" w:after="240" w:line="240" w:lineRule="atLeast"/>
        <w:rPr>
          <w:rFonts w:ascii="黑体"/>
          <w:b w:val="0"/>
          <w:sz w:val="24"/>
          <w:szCs w:val="24"/>
        </w:rPr>
      </w:pPr>
      <w:r>
        <w:rPr>
          <w:rFonts w:ascii="黑体"/>
          <w:b w:val="0"/>
          <w:sz w:val="24"/>
          <w:szCs w:val="24"/>
        </w:rPr>
        <w:t>10.5</w:t>
      </w:r>
      <w:r>
        <w:rPr>
          <w:rFonts w:hint="eastAsia" w:ascii="黑体"/>
          <w:b w:val="0"/>
          <w:sz w:val="24"/>
          <w:szCs w:val="24"/>
          <w:lang w:val="en-US" w:eastAsia="zh-CN"/>
        </w:rPr>
        <w:t xml:space="preserve"> </w:t>
      </w:r>
      <w:r>
        <w:rPr>
          <w:rFonts w:hint="eastAsia" w:ascii="黑体"/>
          <w:b w:val="0"/>
          <w:sz w:val="24"/>
          <w:szCs w:val="24"/>
        </w:rPr>
        <w:t>事故处理</w:t>
      </w:r>
      <w:bookmarkEnd w:id="778"/>
    </w:p>
    <w:p w14:paraId="07C66817">
      <w:pPr>
        <w:adjustRightInd w:val="0"/>
        <w:snapToGrid w:val="0"/>
        <w:spacing w:line="360" w:lineRule="auto"/>
        <w:ind w:firstLine="480"/>
        <w:rPr>
          <w:spacing w:val="-4"/>
          <w:sz w:val="24"/>
        </w:rPr>
      </w:pPr>
      <w:r>
        <w:rPr>
          <w:rFonts w:hint="eastAsia"/>
          <w:sz w:val="24"/>
        </w:rPr>
        <w:t>本款补充：</w:t>
      </w:r>
      <w:r>
        <w:rPr>
          <w:rFonts w:hint="eastAsia"/>
          <w:spacing w:val="-4"/>
          <w:sz w:val="24"/>
        </w:rPr>
        <w:t>事故报告必须按国家的有关法律法规、《生产安全事故报告和调查处理条例》（国务院</w:t>
      </w:r>
      <w:r>
        <w:rPr>
          <w:rFonts w:hint="eastAsia"/>
          <w:spacing w:val="-4"/>
          <w:sz w:val="24"/>
          <w:lang w:val="en-US" w:eastAsia="zh-CN"/>
        </w:rPr>
        <w:t>令</w:t>
      </w:r>
      <w:r>
        <w:rPr>
          <w:rFonts w:hint="eastAsia"/>
          <w:spacing w:val="-4"/>
          <w:sz w:val="24"/>
        </w:rPr>
        <w:t>第</w:t>
      </w:r>
      <w:r>
        <w:rPr>
          <w:rFonts w:hint="eastAsia" w:ascii="宋体" w:hAnsi="宋体" w:cs="宋体"/>
          <w:spacing w:val="-4"/>
          <w:sz w:val="24"/>
        </w:rPr>
        <w:t>493号</w:t>
      </w:r>
      <w:r>
        <w:rPr>
          <w:rFonts w:hint="eastAsia"/>
          <w:spacing w:val="-4"/>
          <w:sz w:val="24"/>
        </w:rPr>
        <w:t>）、交通运输部《公路水运建设工程质量事故等级划分和报告制度》</w:t>
      </w:r>
      <w:r>
        <w:rPr>
          <w:rFonts w:hint="eastAsia" w:ascii="宋体" w:hAnsi="宋体"/>
          <w:spacing w:val="-4"/>
          <w:sz w:val="24"/>
        </w:rPr>
        <w:t>（交办安监</w:t>
      </w:r>
      <w:r>
        <w:rPr>
          <w:rFonts w:ascii="宋体" w:hAnsi="宋体"/>
          <w:spacing w:val="-4"/>
          <w:sz w:val="24"/>
        </w:rPr>
        <w:t>〔2016〕146</w:t>
      </w:r>
      <w:r>
        <w:rPr>
          <w:rFonts w:hint="eastAsia" w:ascii="宋体" w:hAnsi="宋体"/>
          <w:spacing w:val="-4"/>
          <w:sz w:val="24"/>
        </w:rPr>
        <w:t>号）</w:t>
      </w:r>
      <w:r>
        <w:rPr>
          <w:rFonts w:hint="eastAsia"/>
          <w:spacing w:val="-4"/>
          <w:sz w:val="24"/>
        </w:rPr>
        <w:t>四川省以及发包人制定的有关质量安全报告程序规定的要求执行。</w:t>
      </w:r>
    </w:p>
    <w:p w14:paraId="77B7E5C3">
      <w:pPr>
        <w:adjustRightInd w:val="0"/>
        <w:snapToGrid w:val="0"/>
        <w:spacing w:line="360" w:lineRule="auto"/>
        <w:ind w:firstLine="480" w:firstLineChars="200"/>
        <w:rPr>
          <w:rFonts w:ascii="黑体"/>
          <w:sz w:val="24"/>
        </w:rPr>
      </w:pPr>
      <w:r>
        <w:rPr>
          <w:rFonts w:hint="eastAsia" w:asciiTheme="minorEastAsia" w:hAnsiTheme="minorEastAsia" w:eastAsiaTheme="minorEastAsia"/>
          <w:sz w:val="24"/>
        </w:rPr>
        <w:t>本条补充第</w:t>
      </w:r>
      <w:r>
        <w:rPr>
          <w:rFonts w:asciiTheme="minorEastAsia" w:hAnsiTheme="minorEastAsia" w:eastAsiaTheme="minorEastAsia"/>
          <w:sz w:val="24"/>
        </w:rPr>
        <w:t>10.</w:t>
      </w:r>
      <w:r>
        <w:rPr>
          <w:rFonts w:hint="eastAsia" w:asciiTheme="minorEastAsia" w:hAnsiTheme="minorEastAsia" w:eastAsiaTheme="minorEastAsia"/>
          <w:sz w:val="24"/>
        </w:rPr>
        <w:t>7</w:t>
      </w:r>
      <w:r>
        <w:rPr>
          <w:rFonts w:asciiTheme="minorEastAsia" w:hAnsiTheme="minorEastAsia" w:eastAsiaTheme="minorEastAsia"/>
          <w:sz w:val="24"/>
        </w:rPr>
        <w:t>款：</w:t>
      </w:r>
    </w:p>
    <w:p w14:paraId="326B6BCD">
      <w:pPr>
        <w:pStyle w:val="2"/>
        <w:spacing w:before="240" w:after="240" w:line="240" w:lineRule="atLeast"/>
        <w:rPr>
          <w:rFonts w:ascii="黑体"/>
          <w:sz w:val="24"/>
        </w:rPr>
      </w:pPr>
      <w:bookmarkStart w:id="779" w:name="_Hlk94022613"/>
      <w:r>
        <w:rPr>
          <w:rFonts w:ascii="黑体"/>
          <w:b w:val="0"/>
          <w:sz w:val="24"/>
          <w:szCs w:val="24"/>
        </w:rPr>
        <w:t>10.7</w:t>
      </w:r>
      <w:r>
        <w:rPr>
          <w:rFonts w:hint="eastAsia" w:ascii="黑体"/>
          <w:b w:val="0"/>
          <w:sz w:val="24"/>
          <w:szCs w:val="24"/>
          <w:lang w:val="en-US" w:eastAsia="zh-CN"/>
        </w:rPr>
        <w:t xml:space="preserve"> </w:t>
      </w:r>
      <w:r>
        <w:rPr>
          <w:rFonts w:hint="eastAsia" w:ascii="黑体"/>
          <w:b w:val="0"/>
          <w:sz w:val="24"/>
          <w:szCs w:val="24"/>
        </w:rPr>
        <w:t>卫生防疫要求</w:t>
      </w:r>
    </w:p>
    <w:p w14:paraId="0C23E710">
      <w:pPr>
        <w:adjustRightInd w:val="0"/>
        <w:snapToGrid w:val="0"/>
        <w:spacing w:line="360" w:lineRule="auto"/>
        <w:ind w:left="0" w:leftChars="0" w:firstLine="480" w:firstLineChars="200"/>
        <w:rPr>
          <w:rFonts w:hint="default" w:ascii="宋体" w:hAnsi="宋体" w:eastAsia="宋体"/>
          <w:sz w:val="24"/>
          <w:lang w:val="en-US" w:eastAsia="zh-CN"/>
        </w:rPr>
      </w:pPr>
      <w:bookmarkStart w:id="780" w:name="_Hlk100741212"/>
      <w:r>
        <w:rPr>
          <w:rFonts w:hint="eastAsia" w:ascii="宋体" w:hAnsi="宋体" w:cs="Arial"/>
          <w:sz w:val="24"/>
        </w:rPr>
        <w:t>在遭遇疫情重大突发公共卫生事件情形下，施工作业应符合国家、省、市及地方的统一部署及相关规定。承包人应根据《中华人民共和国传染病防治法》《突发公共卫生</w:t>
      </w:r>
      <w:r>
        <w:rPr>
          <w:rFonts w:hint="eastAsia" w:ascii="黑体"/>
          <w:sz w:val="24"/>
        </w:rPr>
        <w:t>事件应急条例》及相关规定，落实疫情防控措施，且措施具有可行、有效性，从严从实把防控措施落实到每一个环节。最大限度地降低损失和影响，有效、切实维护生命安全和秩序稳定。</w:t>
      </w:r>
      <w:bookmarkEnd w:id="779"/>
    </w:p>
    <w:bookmarkEnd w:id="780"/>
    <w:p w14:paraId="62B455F2">
      <w:pPr>
        <w:pStyle w:val="2"/>
        <w:numPr>
          <w:ilvl w:val="-1"/>
          <w:numId w:val="0"/>
        </w:numPr>
        <w:spacing w:before="360" w:after="240" w:line="240" w:lineRule="atLeast"/>
        <w:ind w:left="0"/>
        <w:rPr>
          <w:rFonts w:ascii="黑体"/>
          <w:b w:val="0"/>
          <w:sz w:val="28"/>
          <w:szCs w:val="28"/>
        </w:rPr>
      </w:pPr>
      <w:bookmarkStart w:id="781" w:name="_Toc53685755"/>
      <w:r>
        <w:rPr>
          <w:rFonts w:hint="eastAsia" w:ascii="黑体"/>
          <w:b w:val="0"/>
          <w:sz w:val="28"/>
          <w:szCs w:val="28"/>
          <w:lang w:val="en-US" w:eastAsia="zh-CN"/>
        </w:rPr>
        <w:t xml:space="preserve">11. </w:t>
      </w:r>
      <w:r>
        <w:rPr>
          <w:rFonts w:hint="eastAsia" w:ascii="黑体"/>
          <w:b w:val="0"/>
          <w:sz w:val="28"/>
          <w:szCs w:val="28"/>
        </w:rPr>
        <w:t xml:space="preserve">开始工作和竣工 </w:t>
      </w:r>
      <w:r>
        <w:rPr>
          <w:rFonts w:ascii="黑体"/>
          <w:b w:val="0"/>
          <w:sz w:val="28"/>
          <w:szCs w:val="28"/>
        </w:rPr>
        <w:t xml:space="preserve">  </w:t>
      </w:r>
    </w:p>
    <w:p w14:paraId="2C330497">
      <w:pPr>
        <w:pStyle w:val="2"/>
        <w:spacing w:before="240" w:after="240" w:line="240" w:lineRule="atLeast"/>
        <w:rPr>
          <w:rFonts w:ascii="黑体"/>
          <w:b w:val="0"/>
          <w:sz w:val="24"/>
          <w:szCs w:val="24"/>
        </w:rPr>
      </w:pPr>
      <w:r>
        <w:rPr>
          <w:rFonts w:ascii="黑体"/>
          <w:b w:val="0"/>
          <w:sz w:val="24"/>
          <w:szCs w:val="24"/>
        </w:rPr>
        <w:t>11.1</w:t>
      </w:r>
      <w:r>
        <w:rPr>
          <w:rFonts w:hint="eastAsia" w:ascii="黑体"/>
          <w:b w:val="0"/>
          <w:sz w:val="24"/>
          <w:szCs w:val="24"/>
          <w:lang w:val="en-US" w:eastAsia="zh-CN"/>
        </w:rPr>
        <w:t xml:space="preserve"> </w:t>
      </w:r>
      <w:r>
        <w:rPr>
          <w:rFonts w:hint="eastAsia" w:ascii="黑体"/>
          <w:b w:val="0"/>
          <w:sz w:val="24"/>
          <w:szCs w:val="24"/>
        </w:rPr>
        <w:t>开始工作</w:t>
      </w:r>
    </w:p>
    <w:p w14:paraId="6D431FB6">
      <w:pPr>
        <w:widowControl/>
        <w:adjustRightInd w:val="0"/>
        <w:snapToGrid w:val="0"/>
        <w:spacing w:line="360" w:lineRule="auto"/>
        <w:ind w:left="0" w:leftChars="0" w:firstLine="480" w:firstLineChars="200"/>
        <w:jc w:val="left"/>
        <w:rPr>
          <w:rFonts w:ascii="宋体" w:hAnsi="宋体"/>
          <w:bCs/>
          <w:sz w:val="24"/>
        </w:rPr>
      </w:pPr>
      <w:r>
        <w:rPr>
          <w:rFonts w:hint="eastAsia" w:ascii="宋体" w:hAnsi="宋体"/>
          <w:sz w:val="24"/>
        </w:rPr>
        <w:t>开始工作的条件：</w:t>
      </w:r>
      <w:r>
        <w:rPr>
          <w:rFonts w:hint="eastAsia" w:ascii="宋体" w:hAnsi="宋体"/>
          <w:sz w:val="24"/>
          <w:lang w:bidi="ar"/>
        </w:rPr>
        <w:t>承包人应在分部工程开工前14天向监理人提交分部工程开工报审表，若承包人的开工准备、工作计划和质量控制方法是可接受的且已获得批准，则经监理人书面同意，分部工程才能开工。</w:t>
      </w:r>
    </w:p>
    <w:p w14:paraId="2F25815B">
      <w:pPr>
        <w:pStyle w:val="2"/>
        <w:spacing w:before="240" w:after="240" w:line="240" w:lineRule="atLeast"/>
        <w:rPr>
          <w:rFonts w:ascii="黑体"/>
          <w:b w:val="0"/>
          <w:sz w:val="24"/>
          <w:szCs w:val="24"/>
        </w:rPr>
      </w:pPr>
      <w:r>
        <w:rPr>
          <w:rFonts w:ascii="黑体"/>
          <w:b w:val="0"/>
          <w:sz w:val="24"/>
          <w:szCs w:val="24"/>
        </w:rPr>
        <w:t>11.3</w:t>
      </w:r>
      <w:r>
        <w:rPr>
          <w:rFonts w:hint="eastAsia" w:ascii="黑体"/>
          <w:b w:val="0"/>
          <w:sz w:val="24"/>
          <w:szCs w:val="24"/>
          <w:lang w:val="en-US" w:eastAsia="zh-CN"/>
        </w:rPr>
        <w:t xml:space="preserve"> </w:t>
      </w:r>
      <w:r>
        <w:rPr>
          <w:rFonts w:hint="eastAsia" w:ascii="黑体"/>
          <w:b w:val="0"/>
          <w:sz w:val="24"/>
          <w:szCs w:val="24"/>
        </w:rPr>
        <w:t>发包人引起的工期延误</w:t>
      </w:r>
    </w:p>
    <w:p w14:paraId="1B4F8CAD">
      <w:pPr>
        <w:adjustRightInd w:val="0"/>
        <w:snapToGrid w:val="0"/>
        <w:spacing w:line="360" w:lineRule="auto"/>
        <w:ind w:left="0" w:leftChars="0" w:firstLine="480" w:firstLineChars="200"/>
        <w:rPr>
          <w:rFonts w:ascii="黑体"/>
          <w:sz w:val="24"/>
        </w:rPr>
      </w:pPr>
      <w:r>
        <w:rPr>
          <w:rFonts w:hint="eastAsia" w:ascii="黑体"/>
          <w:sz w:val="24"/>
        </w:rPr>
        <w:t>本款补充：</w:t>
      </w:r>
    </w:p>
    <w:p w14:paraId="7FA8F509">
      <w:pPr>
        <w:adjustRightInd w:val="0"/>
        <w:snapToGrid w:val="0"/>
        <w:spacing w:line="360" w:lineRule="auto"/>
        <w:ind w:left="0" w:leftChars="0" w:firstLine="480" w:firstLineChars="200"/>
        <w:rPr>
          <w:rFonts w:ascii="黑体"/>
          <w:sz w:val="24"/>
        </w:rPr>
      </w:pPr>
      <w:r>
        <w:rPr>
          <w:rFonts w:hint="eastAsia" w:ascii="黑体"/>
          <w:sz w:val="24"/>
        </w:rPr>
        <w:t>即使由于上述原因造成工期延误，如果受影响的工程并非处在工程施工进度网络计划的关键线路上，则承包人无权要求延长总工期。</w:t>
      </w:r>
    </w:p>
    <w:p w14:paraId="39555FE9">
      <w:pPr>
        <w:pStyle w:val="2"/>
        <w:spacing w:before="240" w:after="240" w:line="240" w:lineRule="atLeast"/>
        <w:rPr>
          <w:rFonts w:ascii="黑体"/>
          <w:b w:val="0"/>
          <w:sz w:val="24"/>
          <w:szCs w:val="24"/>
        </w:rPr>
      </w:pPr>
      <w:r>
        <w:rPr>
          <w:rFonts w:ascii="黑体"/>
          <w:b w:val="0"/>
          <w:sz w:val="24"/>
          <w:szCs w:val="24"/>
        </w:rPr>
        <w:t>11.4</w:t>
      </w:r>
      <w:r>
        <w:rPr>
          <w:rFonts w:hint="eastAsia" w:ascii="黑体"/>
          <w:b w:val="0"/>
          <w:sz w:val="24"/>
          <w:szCs w:val="24"/>
          <w:lang w:val="en-US" w:eastAsia="zh-CN"/>
        </w:rPr>
        <w:t xml:space="preserve"> </w:t>
      </w:r>
      <w:r>
        <w:rPr>
          <w:rFonts w:hint="eastAsia" w:ascii="黑体"/>
          <w:b w:val="0"/>
          <w:sz w:val="24"/>
          <w:szCs w:val="24"/>
        </w:rPr>
        <w:t>异常恶劣的气候条件</w:t>
      </w:r>
    </w:p>
    <w:p w14:paraId="58322A92">
      <w:pPr>
        <w:adjustRightInd w:val="0"/>
        <w:snapToGrid w:val="0"/>
        <w:spacing w:line="360" w:lineRule="auto"/>
        <w:ind w:left="0" w:leftChars="0" w:firstLine="480" w:firstLineChars="200"/>
        <w:rPr>
          <w:rFonts w:ascii="黑体"/>
          <w:sz w:val="24"/>
        </w:rPr>
      </w:pPr>
      <w:r>
        <w:rPr>
          <w:rFonts w:hint="eastAsia" w:ascii="黑体"/>
          <w:sz w:val="24"/>
        </w:rPr>
        <w:t>本款细化为：</w:t>
      </w:r>
    </w:p>
    <w:p w14:paraId="76973838">
      <w:pPr>
        <w:adjustRightInd w:val="0"/>
        <w:snapToGrid w:val="0"/>
        <w:spacing w:line="360" w:lineRule="auto"/>
        <w:ind w:left="0" w:leftChars="0" w:firstLine="480" w:firstLineChars="200"/>
        <w:rPr>
          <w:rFonts w:ascii="黑体"/>
          <w:sz w:val="24"/>
        </w:rPr>
      </w:pPr>
      <w:r>
        <w:rPr>
          <w:rFonts w:hint="eastAsia" w:ascii="宋体" w:hAnsi="宋体"/>
          <w:sz w:val="24"/>
        </w:rPr>
        <w:t>由于出现下述规定的异常恶劣气候条件导致周期延误的，承包人有权要求发包人延长周期和（或）增加费用。</w:t>
      </w:r>
    </w:p>
    <w:p w14:paraId="7925D5C6">
      <w:pPr>
        <w:adjustRightInd w:val="0"/>
        <w:snapToGrid w:val="0"/>
        <w:spacing w:line="360" w:lineRule="auto"/>
        <w:ind w:left="0" w:leftChars="0" w:firstLine="480" w:firstLineChars="200"/>
        <w:rPr>
          <w:rFonts w:ascii="黑体"/>
          <w:sz w:val="24"/>
        </w:rPr>
      </w:pPr>
      <w:r>
        <w:rPr>
          <w:rFonts w:hint="eastAsia" w:ascii="黑体"/>
          <w:sz w:val="24"/>
        </w:rPr>
        <w:t>异常恶劣的气候条件范围在专</w:t>
      </w:r>
      <w:r>
        <w:rPr>
          <w:rFonts w:hint="eastAsia" w:ascii="黑体"/>
          <w:sz w:val="24"/>
          <w:u w:val="none"/>
        </w:rPr>
        <w:t>用合同条款数据表中约定</w:t>
      </w:r>
      <w:r>
        <w:rPr>
          <w:rFonts w:hint="eastAsia" w:ascii="黑体"/>
          <w:sz w:val="24"/>
        </w:rPr>
        <w:t>。</w:t>
      </w:r>
    </w:p>
    <w:p w14:paraId="4B3F1EB7">
      <w:pPr>
        <w:pStyle w:val="2"/>
        <w:spacing w:before="240" w:after="240" w:line="240" w:lineRule="atLeast"/>
        <w:rPr>
          <w:rFonts w:ascii="黑体"/>
          <w:b w:val="0"/>
          <w:sz w:val="24"/>
          <w:szCs w:val="24"/>
        </w:rPr>
      </w:pPr>
      <w:r>
        <w:rPr>
          <w:rFonts w:ascii="黑体"/>
          <w:b w:val="0"/>
          <w:sz w:val="24"/>
          <w:szCs w:val="24"/>
        </w:rPr>
        <w:t>11.5</w:t>
      </w:r>
      <w:r>
        <w:rPr>
          <w:rFonts w:hint="eastAsia" w:ascii="黑体"/>
          <w:b w:val="0"/>
          <w:sz w:val="24"/>
          <w:szCs w:val="24"/>
          <w:lang w:val="en-US" w:eastAsia="zh-CN"/>
        </w:rPr>
        <w:t xml:space="preserve"> </w:t>
      </w:r>
      <w:r>
        <w:rPr>
          <w:rFonts w:hint="eastAsia" w:ascii="黑体"/>
          <w:b w:val="0"/>
          <w:sz w:val="24"/>
          <w:szCs w:val="24"/>
        </w:rPr>
        <w:t>承包人引起的工期延误</w:t>
      </w:r>
    </w:p>
    <w:p w14:paraId="31DD15A5">
      <w:pPr>
        <w:adjustRightInd w:val="0"/>
        <w:snapToGrid w:val="0"/>
        <w:spacing w:line="360" w:lineRule="auto"/>
        <w:ind w:left="0" w:leftChars="0" w:firstLine="480" w:firstLineChars="200"/>
        <w:rPr>
          <w:rFonts w:hAnsi="宋体"/>
          <w:sz w:val="24"/>
        </w:rPr>
      </w:pPr>
      <w:r>
        <w:rPr>
          <w:rFonts w:hint="eastAsia" w:ascii="宋体" w:hAnsi="宋体"/>
          <w:sz w:val="24"/>
        </w:rPr>
        <w:t>本款细化为：</w:t>
      </w:r>
      <w:r>
        <w:rPr>
          <w:rFonts w:ascii="宋体" w:hAnsi="宋体"/>
          <w:sz w:val="24"/>
        </w:rPr>
        <w:t xml:space="preserve"> </w:t>
      </w:r>
    </w:p>
    <w:p w14:paraId="27E244DD">
      <w:pPr>
        <w:adjustRightInd w:val="0"/>
        <w:snapToGrid w:val="0"/>
        <w:spacing w:line="360" w:lineRule="auto"/>
        <w:ind w:left="0" w:leftChars="0" w:firstLine="480" w:firstLineChars="200"/>
        <w:rPr>
          <w:rFonts w:hAnsi="宋体"/>
          <w:sz w:val="24"/>
        </w:rPr>
      </w:pPr>
      <w:r>
        <w:rPr>
          <w:rFonts w:hint="eastAsia" w:ascii="宋体" w:hAnsi="宋体"/>
          <w:sz w:val="24"/>
        </w:rPr>
        <w:t>（</w:t>
      </w:r>
      <w:r>
        <w:rPr>
          <w:rFonts w:ascii="宋体" w:hAnsi="宋体"/>
          <w:sz w:val="24"/>
        </w:rPr>
        <w:t>1</w:t>
      </w:r>
      <w:r>
        <w:rPr>
          <w:rFonts w:hint="eastAsia" w:ascii="宋体" w:hAnsi="宋体"/>
          <w:sz w:val="24"/>
        </w:rPr>
        <w:t>）承包人应严格执行监理人批准的合同进度计划，对工作量计划和形象进度计划分别控制。除第</w:t>
      </w:r>
      <w:r>
        <w:rPr>
          <w:rFonts w:ascii="宋体" w:hAnsi="宋体"/>
          <w:sz w:val="24"/>
        </w:rPr>
        <w:t>11.3</w:t>
      </w:r>
      <w:r>
        <w:rPr>
          <w:rFonts w:hint="eastAsia" w:ascii="宋体" w:hAnsi="宋体"/>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r>
        <w:rPr>
          <w:rFonts w:ascii="宋体" w:hAnsi="宋体"/>
          <w:sz w:val="24"/>
        </w:rPr>
        <w:t xml:space="preserve"> </w:t>
      </w:r>
    </w:p>
    <w:p w14:paraId="779FE4A0">
      <w:pPr>
        <w:adjustRightInd w:val="0"/>
        <w:snapToGrid w:val="0"/>
        <w:spacing w:line="360" w:lineRule="auto"/>
        <w:ind w:left="0" w:leftChars="0" w:firstLine="480" w:firstLineChars="200"/>
        <w:rPr>
          <w:rFonts w:hAnsi="宋体"/>
          <w:sz w:val="24"/>
        </w:rPr>
      </w:pPr>
      <w:r>
        <w:rPr>
          <w:rFonts w:hint="eastAsia" w:ascii="宋体" w:hAnsi="宋体"/>
          <w:sz w:val="24"/>
        </w:rPr>
        <w:t>（</w:t>
      </w:r>
      <w:r>
        <w:rPr>
          <w:rFonts w:ascii="宋体" w:hAnsi="宋体"/>
          <w:sz w:val="24"/>
        </w:rPr>
        <w:t>2</w:t>
      </w:r>
      <w:r>
        <w:rPr>
          <w:rFonts w:hint="eastAsia" w:ascii="宋体" w:hAnsi="宋体"/>
          <w:sz w:val="24"/>
        </w:rPr>
        <w:t>）如果承包人在接到监理人通知后的</w:t>
      </w:r>
      <w:r>
        <w:rPr>
          <w:rFonts w:ascii="宋体" w:hAnsi="宋体"/>
          <w:sz w:val="24"/>
        </w:rPr>
        <w:t>14</w:t>
      </w:r>
      <w:r>
        <w:rPr>
          <w:rFonts w:hint="eastAsia" w:ascii="宋体" w:hAnsi="宋体"/>
          <w:sz w:val="24"/>
        </w:rPr>
        <w:t>天内，未能采取加快工程进度的措施，致使实际工程进度进一步滞后，或承包人虽采取了一些措施，仍无法按预计工期交工时，监理人应立即通知发包人。发包人在向承包人发出书面警告通知</w:t>
      </w:r>
      <w:r>
        <w:rPr>
          <w:rFonts w:ascii="宋体" w:hAnsi="宋体"/>
          <w:sz w:val="24"/>
        </w:rPr>
        <w:t>14</w:t>
      </w:r>
      <w:r>
        <w:rPr>
          <w:rFonts w:hint="eastAsia" w:ascii="宋体" w:hAnsi="宋体"/>
          <w:sz w:val="24"/>
        </w:rPr>
        <w:t>天后，发包人可按第</w:t>
      </w:r>
      <w:r>
        <w:rPr>
          <w:rFonts w:ascii="宋体" w:hAnsi="宋体"/>
          <w:sz w:val="24"/>
        </w:rPr>
        <w:t>22.1</w:t>
      </w:r>
      <w:r>
        <w:rPr>
          <w:rFonts w:hint="eastAsia" w:ascii="宋体" w:hAnsi="宋体"/>
          <w:sz w:val="24"/>
        </w:rPr>
        <w:t>款终止对承包人的雇用，也可将本合同工程中的一部分工作交由其他承包人或其他分包人完成。在不解除本合同规定的承包人责任和义务的同时，承包人应承担因此所增加的一切费用。</w:t>
      </w:r>
    </w:p>
    <w:p w14:paraId="1ABE2414">
      <w:pPr>
        <w:adjustRightInd w:val="0"/>
        <w:snapToGrid w:val="0"/>
        <w:spacing w:line="360" w:lineRule="auto"/>
        <w:ind w:left="0" w:leftChars="0" w:firstLine="480" w:firstLineChars="200"/>
        <w:rPr>
          <w:rFonts w:hAnsi="宋体"/>
          <w:sz w:val="24"/>
        </w:rPr>
      </w:pPr>
      <w:r>
        <w:rPr>
          <w:rFonts w:hint="eastAsia" w:ascii="宋体" w:hAnsi="宋体"/>
          <w:sz w:val="24"/>
        </w:rPr>
        <w:t>（</w:t>
      </w:r>
      <w:r>
        <w:rPr>
          <w:rFonts w:ascii="宋体" w:hAnsi="宋体"/>
          <w:sz w:val="24"/>
        </w:rPr>
        <w:t>3</w:t>
      </w:r>
      <w:r>
        <w:rPr>
          <w:rFonts w:hint="eastAsia" w:ascii="宋体" w:hAnsi="宋体"/>
          <w:sz w:val="24"/>
        </w:rPr>
        <w:t>）由于承包人原因造成工期延误，承包人应支付逾期交工违约金。逾期交工违约金的计算方法在专用合同条款数据表中约定，时间自预定的交工日期起到交工验收证书中写明的实际交工日期止（扣除已批准的延长工期），按天计算。逾期交工违约金累计金额最高不超过专用合同条款数据表中写明的限额。发包人可以从应付或到期应付给承包人的任何款项中或采用其他方法扣除此违约金。</w:t>
      </w:r>
      <w:r>
        <w:rPr>
          <w:rFonts w:ascii="宋体" w:hAnsi="宋体"/>
          <w:sz w:val="24"/>
        </w:rPr>
        <w:t xml:space="preserve"> </w:t>
      </w:r>
    </w:p>
    <w:p w14:paraId="2F877FC1">
      <w:pPr>
        <w:adjustRightInd w:val="0"/>
        <w:snapToGrid w:val="0"/>
        <w:spacing w:line="360" w:lineRule="auto"/>
        <w:ind w:left="0" w:leftChars="0" w:firstLine="480" w:firstLineChars="200"/>
        <w:rPr>
          <w:rFonts w:hAnsi="宋体"/>
          <w:sz w:val="24"/>
        </w:rPr>
      </w:pPr>
      <w:r>
        <w:rPr>
          <w:rFonts w:hint="eastAsia" w:ascii="宋体" w:hAnsi="宋体"/>
          <w:sz w:val="24"/>
        </w:rPr>
        <w:t>（</w:t>
      </w:r>
      <w:r>
        <w:rPr>
          <w:rFonts w:ascii="宋体" w:hAnsi="宋体"/>
          <w:sz w:val="24"/>
        </w:rPr>
        <w:t>4</w:t>
      </w:r>
      <w:r>
        <w:rPr>
          <w:rFonts w:hint="eastAsia" w:ascii="宋体" w:hAnsi="宋体"/>
          <w:sz w:val="24"/>
        </w:rPr>
        <w:t>）承包人支付逾期交工违约金，不免除承包人完成工程及修补缺陷的义务。</w:t>
      </w:r>
      <w:r>
        <w:rPr>
          <w:rFonts w:ascii="宋体" w:hAnsi="宋体"/>
          <w:sz w:val="24"/>
        </w:rPr>
        <w:t xml:space="preserve"> </w:t>
      </w:r>
    </w:p>
    <w:p w14:paraId="32F8D650">
      <w:pPr>
        <w:adjustRightInd w:val="0"/>
        <w:snapToGrid w:val="0"/>
        <w:spacing w:line="360" w:lineRule="auto"/>
        <w:ind w:left="0" w:leftChars="0"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42758E56">
      <w:pPr>
        <w:spacing w:line="360" w:lineRule="auto"/>
        <w:jc w:val="left"/>
        <w:rPr>
          <w:rFonts w:ascii="黑体" w:eastAsia="黑体"/>
          <w:bCs/>
          <w:kern w:val="44"/>
          <w:sz w:val="24"/>
        </w:rPr>
      </w:pPr>
      <w:r>
        <w:rPr>
          <w:rFonts w:ascii="黑体" w:eastAsia="黑体"/>
          <w:bCs/>
          <w:kern w:val="44"/>
          <w:sz w:val="24"/>
        </w:rPr>
        <w:t xml:space="preserve">11.6 </w:t>
      </w:r>
      <w:r>
        <w:rPr>
          <w:rFonts w:hint="eastAsia" w:ascii="黑体" w:eastAsia="黑体"/>
          <w:bCs/>
          <w:kern w:val="44"/>
          <w:sz w:val="24"/>
        </w:rPr>
        <w:t>工期提前</w:t>
      </w:r>
      <w:r>
        <w:rPr>
          <w:rFonts w:ascii="黑体" w:eastAsia="黑体"/>
          <w:bCs/>
          <w:kern w:val="44"/>
          <w:sz w:val="24"/>
        </w:rPr>
        <w:t xml:space="preserve"> </w:t>
      </w:r>
    </w:p>
    <w:p w14:paraId="0C40B639">
      <w:pPr>
        <w:adjustRightInd w:val="0"/>
        <w:snapToGrid w:val="0"/>
        <w:spacing w:line="360" w:lineRule="auto"/>
        <w:ind w:left="0" w:leftChars="0" w:firstLine="480" w:firstLineChars="200"/>
        <w:rPr>
          <w:rFonts w:ascii="宋体" w:hAnsi="宋体"/>
          <w:sz w:val="24"/>
        </w:rPr>
      </w:pPr>
      <w:r>
        <w:rPr>
          <w:rFonts w:hint="eastAsia" w:ascii="宋体" w:hAnsi="宋体"/>
          <w:sz w:val="24"/>
        </w:rPr>
        <w:t>本款补充：</w:t>
      </w:r>
      <w:r>
        <w:rPr>
          <w:rFonts w:ascii="宋体" w:hAnsi="宋体"/>
          <w:sz w:val="24"/>
        </w:rPr>
        <w:t xml:space="preserve"> </w:t>
      </w:r>
    </w:p>
    <w:p w14:paraId="6B3D2F75">
      <w:pPr>
        <w:adjustRightInd w:val="0"/>
        <w:snapToGrid w:val="0"/>
        <w:spacing w:line="360" w:lineRule="auto"/>
        <w:ind w:left="0" w:leftChars="0" w:firstLine="480" w:firstLineChars="200"/>
        <w:rPr>
          <w:rFonts w:ascii="宋体" w:hAnsi="宋体"/>
          <w:sz w:val="24"/>
        </w:rPr>
      </w:pPr>
      <w:r>
        <w:rPr>
          <w:rFonts w:hint="eastAsia" w:ascii="宋体" w:hAnsi="宋体"/>
          <w:sz w:val="24"/>
        </w:rPr>
        <w:t>发包人不得随意要求承包人提前交工，承包人也不得随意提出提前交工的建议。如遇特殊情况，确需将工期提前的，发包人和承包人必须采取有效措施，确保工程质量。</w:t>
      </w:r>
      <w:r>
        <w:rPr>
          <w:rFonts w:ascii="宋体" w:hAnsi="宋体"/>
          <w:sz w:val="24"/>
        </w:rPr>
        <w:t xml:space="preserve"> </w:t>
      </w:r>
    </w:p>
    <w:p w14:paraId="4D22A899">
      <w:pPr>
        <w:adjustRightInd w:val="0"/>
        <w:snapToGrid w:val="0"/>
        <w:spacing w:line="360" w:lineRule="auto"/>
        <w:ind w:left="0" w:leftChars="0" w:firstLine="480" w:firstLineChars="200"/>
        <w:rPr>
          <w:rFonts w:ascii="宋体" w:hAnsi="宋体"/>
          <w:sz w:val="24"/>
        </w:rPr>
      </w:pPr>
      <w:r>
        <w:rPr>
          <w:rFonts w:hint="eastAsia" w:ascii="宋体" w:hAnsi="宋体"/>
          <w:sz w:val="24"/>
        </w:rPr>
        <w:t>如果承包人提前交工，发包人支付奖金的计算方法在专用合同条款数据表中约定，时间自交工验收证书中写明的实际交工日期起至预定的交工日期止，按天计算。但奖金最高限额不超过专用合同条款数据表中写明的限额。</w:t>
      </w:r>
    </w:p>
    <w:p w14:paraId="614CC11C">
      <w:pPr>
        <w:widowControl/>
        <w:spacing w:line="360" w:lineRule="auto"/>
        <w:jc w:val="left"/>
        <w:rPr>
          <w:rFonts w:ascii="黑体" w:eastAsia="黑体"/>
          <w:bCs/>
          <w:kern w:val="44"/>
          <w:sz w:val="24"/>
        </w:rPr>
      </w:pPr>
      <w:r>
        <w:rPr>
          <w:rFonts w:ascii="黑体" w:eastAsia="黑体"/>
          <w:bCs/>
          <w:kern w:val="44"/>
          <w:sz w:val="24"/>
          <w:lang w:bidi="ar"/>
        </w:rPr>
        <w:t xml:space="preserve">11.7 行政审批迟延 </w:t>
      </w:r>
    </w:p>
    <w:p w14:paraId="7C6AC265">
      <w:pPr>
        <w:widowControl/>
        <w:adjustRightInd w:val="0"/>
        <w:snapToGrid w:val="0"/>
        <w:spacing w:line="360" w:lineRule="auto"/>
        <w:ind w:firstLine="480" w:firstLineChars="200"/>
        <w:jc w:val="left"/>
        <w:rPr>
          <w:rFonts w:ascii="宋体" w:hAnsi="宋体"/>
          <w:sz w:val="24"/>
        </w:rPr>
      </w:pPr>
      <w:r>
        <w:rPr>
          <w:rFonts w:ascii="宋体" w:hAnsi="宋体"/>
          <w:sz w:val="24"/>
          <w:lang w:bidi="ar"/>
        </w:rPr>
        <w:t xml:space="preserve">本款细化为： </w:t>
      </w:r>
    </w:p>
    <w:p w14:paraId="778B3B28">
      <w:pPr>
        <w:widowControl/>
        <w:adjustRightInd w:val="0"/>
        <w:snapToGrid w:val="0"/>
        <w:spacing w:line="360" w:lineRule="auto"/>
        <w:ind w:left="0" w:leftChars="0" w:firstLine="480" w:firstLineChars="200"/>
        <w:jc w:val="left"/>
        <w:rPr>
          <w:rFonts w:ascii="宋体" w:hAnsi="宋体"/>
          <w:sz w:val="24"/>
          <w:lang w:bidi="ar"/>
        </w:rPr>
      </w:pPr>
      <w:r>
        <w:rPr>
          <w:rFonts w:hint="eastAsia" w:ascii="宋体" w:hAnsi="宋体"/>
          <w:sz w:val="24"/>
          <w:lang w:bidi="ar"/>
        </w:rPr>
        <w:t>合同约定范围内的工作需国家有关部门审批的，发包人和(或)承包人应按照合同约定的职责分工完成行政审批报送。因国家有关部门审批迟延造成工期延误30 天以上的，承包人有权要求发包人延长工期，有关费用包含在总承包风险费中，发包人不另行支付。</w:t>
      </w:r>
    </w:p>
    <w:p w14:paraId="29FBBB76">
      <w:pPr>
        <w:widowControl/>
        <w:adjustRightInd w:val="0"/>
        <w:snapToGrid w:val="0"/>
        <w:spacing w:line="360" w:lineRule="auto"/>
        <w:ind w:left="0" w:leftChars="0" w:firstLine="480" w:firstLineChars="200"/>
        <w:jc w:val="left"/>
        <w:rPr>
          <w:rFonts w:ascii="宋体" w:hAnsi="宋体"/>
          <w:sz w:val="24"/>
          <w:lang w:bidi="ar"/>
        </w:rPr>
      </w:pPr>
      <w:r>
        <w:rPr>
          <w:rFonts w:hint="eastAsia" w:ascii="宋体" w:hAnsi="宋体"/>
          <w:sz w:val="24"/>
          <w:lang w:bidi="ar"/>
        </w:rPr>
        <w:t xml:space="preserve">本条补充第11.8款： </w:t>
      </w:r>
    </w:p>
    <w:p w14:paraId="2F0E7C0D">
      <w:pPr>
        <w:spacing w:line="360" w:lineRule="auto"/>
        <w:jc w:val="left"/>
        <w:rPr>
          <w:rFonts w:ascii="黑体" w:eastAsia="黑体"/>
          <w:bCs/>
          <w:kern w:val="44"/>
          <w:sz w:val="24"/>
        </w:rPr>
      </w:pPr>
      <w:r>
        <w:rPr>
          <w:rFonts w:ascii="黑体" w:eastAsia="黑体"/>
          <w:bCs/>
          <w:kern w:val="44"/>
          <w:sz w:val="24"/>
        </w:rPr>
        <w:t>11.8</w:t>
      </w:r>
      <w:r>
        <w:rPr>
          <w:rFonts w:hint="eastAsia" w:ascii="黑体" w:eastAsia="黑体"/>
          <w:bCs/>
          <w:kern w:val="44"/>
          <w:sz w:val="24"/>
          <w:lang w:val="en-US" w:eastAsia="zh-CN"/>
        </w:rPr>
        <w:t xml:space="preserve"> </w:t>
      </w:r>
      <w:r>
        <w:rPr>
          <w:rFonts w:hint="eastAsia" w:ascii="黑体" w:eastAsia="黑体"/>
          <w:bCs/>
          <w:kern w:val="44"/>
          <w:sz w:val="24"/>
        </w:rPr>
        <w:t>工作时间的限制</w:t>
      </w:r>
      <w:r>
        <w:rPr>
          <w:rFonts w:ascii="黑体" w:eastAsia="黑体"/>
          <w:bCs/>
          <w:kern w:val="44"/>
          <w:sz w:val="24"/>
        </w:rPr>
        <w:t xml:space="preserve"> </w:t>
      </w:r>
    </w:p>
    <w:p w14:paraId="409A757A">
      <w:pPr>
        <w:widowControl/>
        <w:adjustRightInd w:val="0"/>
        <w:snapToGrid w:val="0"/>
        <w:spacing w:line="360" w:lineRule="auto"/>
        <w:ind w:left="0" w:leftChars="0" w:firstLine="480" w:firstLineChars="200"/>
        <w:jc w:val="left"/>
        <w:rPr>
          <w:rFonts w:ascii="宋体" w:hAnsi="宋体" w:cs="Times New Roman"/>
          <w:kern w:val="2"/>
          <w:sz w:val="24"/>
          <w:szCs w:val="24"/>
          <w:lang w:bidi="ar"/>
        </w:rPr>
      </w:pPr>
      <w:r>
        <w:rPr>
          <w:rFonts w:hint="eastAsia" w:ascii="宋体" w:hAnsi="宋体" w:cs="Times New Roman"/>
          <w:kern w:val="2"/>
          <w:sz w:val="24"/>
          <w:szCs w:val="24"/>
          <w:lang w:bidi="ar"/>
        </w:rPr>
        <w:t>承包人在夜间或国家规定的节假日进行永久工程的施工，应向监理人报告，以便监理人履行监理职责和义务。</w:t>
      </w:r>
      <w:r>
        <w:rPr>
          <w:rFonts w:ascii="宋体" w:hAnsi="宋体" w:cs="Times New Roman"/>
          <w:kern w:val="2"/>
          <w:sz w:val="24"/>
          <w:szCs w:val="24"/>
          <w:lang w:bidi="ar"/>
        </w:rPr>
        <w:t xml:space="preserve"> </w:t>
      </w:r>
    </w:p>
    <w:p w14:paraId="1672DC8C">
      <w:pPr>
        <w:widowControl/>
        <w:adjustRightInd w:val="0"/>
        <w:snapToGrid w:val="0"/>
        <w:spacing w:line="360" w:lineRule="auto"/>
        <w:ind w:left="0" w:leftChars="0" w:firstLine="480" w:firstLineChars="200"/>
        <w:jc w:val="left"/>
        <w:rPr>
          <w:rFonts w:ascii="宋体" w:hAnsi="宋体" w:cs="Times New Roman"/>
          <w:kern w:val="2"/>
          <w:sz w:val="24"/>
          <w:szCs w:val="24"/>
          <w:lang w:bidi="ar"/>
        </w:rPr>
      </w:pPr>
      <w:r>
        <w:rPr>
          <w:rFonts w:hint="eastAsia" w:ascii="宋体" w:hAnsi="宋体" w:cs="Times New Roman"/>
          <w:kern w:val="2"/>
          <w:sz w:val="24"/>
          <w:szCs w:val="24"/>
          <w:lang w:bidi="ar"/>
        </w:rPr>
        <w:t>但是，为了抢救生命或保护财产，或为了工程的安全、质量而不可避免地短暂作业，则不必事先向监理人报告。但承包人应在事后立即向监理人报告。</w:t>
      </w:r>
      <w:r>
        <w:rPr>
          <w:rFonts w:ascii="宋体" w:hAnsi="宋体" w:cs="Times New Roman"/>
          <w:kern w:val="2"/>
          <w:sz w:val="24"/>
          <w:szCs w:val="24"/>
          <w:lang w:bidi="ar"/>
        </w:rPr>
        <w:t xml:space="preserve"> </w:t>
      </w:r>
    </w:p>
    <w:p w14:paraId="2DE3F878">
      <w:pPr>
        <w:widowControl/>
        <w:adjustRightInd w:val="0"/>
        <w:snapToGrid w:val="0"/>
        <w:spacing w:line="360" w:lineRule="auto"/>
        <w:ind w:left="0" w:leftChars="0" w:firstLine="480" w:firstLineChars="200"/>
        <w:jc w:val="left"/>
        <w:rPr>
          <w:rFonts w:ascii="宋体" w:hAnsi="宋体" w:cs="Times New Roman"/>
          <w:kern w:val="2"/>
          <w:sz w:val="24"/>
          <w:szCs w:val="24"/>
          <w:lang w:bidi="ar"/>
        </w:rPr>
      </w:pPr>
      <w:r>
        <w:rPr>
          <w:rFonts w:hint="eastAsia" w:ascii="宋体" w:hAnsi="宋体" w:cs="Times New Roman"/>
          <w:kern w:val="2"/>
          <w:sz w:val="24"/>
          <w:szCs w:val="24"/>
          <w:lang w:bidi="ar"/>
        </w:rPr>
        <w:t>本款规定不适用于习惯上或施工本身要求实行连续生产的作业。</w:t>
      </w:r>
    </w:p>
    <w:bookmarkEnd w:id="781"/>
    <w:p w14:paraId="31D8EA19">
      <w:pPr>
        <w:pStyle w:val="2"/>
        <w:spacing w:before="360" w:after="240" w:line="240" w:lineRule="atLeast"/>
        <w:rPr>
          <w:rFonts w:ascii="黑体"/>
          <w:b w:val="0"/>
          <w:sz w:val="28"/>
          <w:szCs w:val="28"/>
        </w:rPr>
      </w:pPr>
      <w:bookmarkStart w:id="782" w:name="_Toc53685761"/>
      <w:r>
        <w:rPr>
          <w:rFonts w:ascii="黑体"/>
          <w:b w:val="0"/>
          <w:sz w:val="28"/>
          <w:szCs w:val="28"/>
        </w:rPr>
        <w:t xml:space="preserve">12. </w:t>
      </w:r>
      <w:r>
        <w:rPr>
          <w:rFonts w:hint="eastAsia" w:ascii="黑体"/>
          <w:b w:val="0"/>
          <w:sz w:val="28"/>
          <w:szCs w:val="28"/>
        </w:rPr>
        <w:t>暂停</w:t>
      </w:r>
      <w:bookmarkEnd w:id="782"/>
      <w:r>
        <w:rPr>
          <w:rFonts w:hint="eastAsia" w:ascii="黑体"/>
          <w:b w:val="0"/>
          <w:sz w:val="28"/>
          <w:szCs w:val="28"/>
        </w:rPr>
        <w:t>工作</w:t>
      </w:r>
    </w:p>
    <w:p w14:paraId="4F40B6B6">
      <w:pPr>
        <w:spacing w:line="360" w:lineRule="auto"/>
        <w:jc w:val="left"/>
        <w:rPr>
          <w:rFonts w:ascii="黑体" w:eastAsia="黑体"/>
          <w:bCs/>
          <w:kern w:val="44"/>
          <w:sz w:val="24"/>
        </w:rPr>
      </w:pPr>
      <w:bookmarkStart w:id="783" w:name="_Hlk52791712"/>
      <w:r>
        <w:rPr>
          <w:rFonts w:ascii="黑体" w:eastAsia="黑体"/>
          <w:bCs/>
          <w:kern w:val="44"/>
          <w:sz w:val="24"/>
        </w:rPr>
        <w:t>12.1</w:t>
      </w:r>
      <w:r>
        <w:rPr>
          <w:rFonts w:hint="eastAsia" w:ascii="黑体" w:eastAsia="黑体"/>
          <w:bCs/>
          <w:kern w:val="44"/>
          <w:sz w:val="24"/>
          <w:lang w:val="en-US" w:eastAsia="zh-CN"/>
        </w:rPr>
        <w:t xml:space="preserve"> </w:t>
      </w:r>
      <w:r>
        <w:rPr>
          <w:rFonts w:ascii="黑体" w:eastAsia="黑体"/>
          <w:bCs/>
          <w:kern w:val="44"/>
          <w:sz w:val="24"/>
        </w:rPr>
        <w:t>由</w:t>
      </w:r>
      <w:r>
        <w:rPr>
          <w:rFonts w:hint="eastAsia" w:ascii="黑体" w:eastAsia="黑体"/>
          <w:bCs/>
          <w:kern w:val="44"/>
          <w:sz w:val="24"/>
        </w:rPr>
        <w:t>发包人暂停工作</w:t>
      </w:r>
    </w:p>
    <w:p w14:paraId="563FC6A3">
      <w:pPr>
        <w:widowControl/>
        <w:spacing w:line="360" w:lineRule="auto"/>
        <w:ind w:firstLine="480" w:firstLineChars="200"/>
        <w:jc w:val="left"/>
        <w:rPr>
          <w:rFonts w:ascii="宋体" w:hAnsi="宋体"/>
          <w:bCs/>
          <w:sz w:val="24"/>
        </w:rPr>
      </w:pPr>
      <w:r>
        <w:rPr>
          <w:rFonts w:ascii="宋体" w:hAnsi="宋体"/>
          <w:bCs/>
          <w:sz w:val="24"/>
          <w:lang w:bidi="ar"/>
        </w:rPr>
        <w:t xml:space="preserve">第12.1.1项细化为： </w:t>
      </w:r>
    </w:p>
    <w:p w14:paraId="55237A8A">
      <w:pPr>
        <w:widowControl/>
        <w:spacing w:line="360" w:lineRule="auto"/>
        <w:ind w:firstLine="480" w:firstLineChars="200"/>
        <w:jc w:val="left"/>
        <w:rPr>
          <w:rFonts w:ascii="宋体" w:hAnsi="宋体"/>
          <w:bCs/>
          <w:sz w:val="24"/>
          <w:lang w:bidi="ar"/>
        </w:rPr>
      </w:pPr>
      <w:r>
        <w:rPr>
          <w:rFonts w:ascii="宋体" w:hAnsi="宋体"/>
          <w:bCs/>
          <w:sz w:val="24"/>
          <w:lang w:bidi="ar"/>
        </w:rPr>
        <w:t>发包人认为必要时，可通过监理人向承包人发出暂停工作的指示，承包人应按监理人指示暂停工作。由于发包人原因引起的暂停工作造成工期延误的，承包人有权要求发包人延长工期，有关费用包含在总承包风险费中，发包人不另行支付。如承包人按照监理人的指示退场、进场的，进出场费用由发包人按实际情况予以补偿。</w:t>
      </w:r>
    </w:p>
    <w:p w14:paraId="083C6EEA">
      <w:pPr>
        <w:widowControl/>
        <w:spacing w:line="360" w:lineRule="auto"/>
        <w:ind w:firstLine="480" w:firstLineChars="200"/>
        <w:jc w:val="left"/>
        <w:rPr>
          <w:rFonts w:ascii="宋体" w:hAnsi="宋体"/>
          <w:bCs/>
          <w:sz w:val="24"/>
          <w:lang w:bidi="ar"/>
        </w:rPr>
      </w:pPr>
      <w:r>
        <w:rPr>
          <w:rFonts w:ascii="宋体" w:hAnsi="宋体"/>
          <w:bCs/>
          <w:sz w:val="24"/>
          <w:lang w:bidi="ar"/>
        </w:rPr>
        <w:t>第12.1.2</w:t>
      </w:r>
      <w:r>
        <w:rPr>
          <w:rFonts w:hint="eastAsia" w:ascii="宋体" w:hAnsi="宋体"/>
          <w:bCs/>
          <w:sz w:val="24"/>
          <w:lang w:val="en-US" w:eastAsia="zh-CN" w:bidi="ar"/>
        </w:rPr>
        <w:t>项</w:t>
      </w:r>
      <w:r>
        <w:rPr>
          <w:rFonts w:ascii="宋体" w:hAnsi="宋体"/>
          <w:bCs/>
          <w:sz w:val="24"/>
          <w:lang w:bidi="ar"/>
        </w:rPr>
        <w:t>细化为：</w:t>
      </w:r>
    </w:p>
    <w:p w14:paraId="59558F90">
      <w:pPr>
        <w:widowControl/>
        <w:spacing w:line="360" w:lineRule="auto"/>
        <w:ind w:firstLine="480" w:firstLineChars="200"/>
        <w:jc w:val="left"/>
        <w:rPr>
          <w:rFonts w:ascii="宋体" w:hAnsi="宋体"/>
          <w:bCs/>
          <w:sz w:val="24"/>
          <w:lang w:bidi="ar"/>
        </w:rPr>
      </w:pPr>
      <w:r>
        <w:rPr>
          <w:rFonts w:ascii="宋体" w:hAnsi="宋体"/>
          <w:bCs/>
          <w:sz w:val="24"/>
          <w:lang w:bidi="ar"/>
        </w:rPr>
        <w:t>因下列暂停施工增加的费用和（或）工期延误由承包人承担：</w:t>
      </w:r>
    </w:p>
    <w:p w14:paraId="3FBE864F">
      <w:pPr>
        <w:widowControl/>
        <w:spacing w:line="360" w:lineRule="auto"/>
        <w:ind w:firstLine="480" w:firstLineChars="200"/>
        <w:jc w:val="left"/>
        <w:rPr>
          <w:rFonts w:ascii="宋体" w:hAnsi="宋体"/>
          <w:bCs/>
          <w:sz w:val="24"/>
          <w:lang w:bidi="ar"/>
        </w:rPr>
      </w:pPr>
      <w:r>
        <w:rPr>
          <w:rFonts w:ascii="宋体" w:hAnsi="宋体"/>
          <w:bCs/>
          <w:sz w:val="24"/>
          <w:lang w:bidi="ar"/>
        </w:rPr>
        <w:t>（1）承包人违约引起的暂停施工；</w:t>
      </w:r>
    </w:p>
    <w:p w14:paraId="193C5B68">
      <w:pPr>
        <w:widowControl/>
        <w:spacing w:line="360" w:lineRule="auto"/>
        <w:ind w:firstLine="480" w:firstLineChars="200"/>
        <w:jc w:val="left"/>
        <w:rPr>
          <w:rFonts w:ascii="宋体" w:hAnsi="宋体"/>
          <w:bCs/>
          <w:sz w:val="24"/>
          <w:lang w:bidi="ar"/>
        </w:rPr>
      </w:pPr>
      <w:r>
        <w:rPr>
          <w:rFonts w:ascii="宋体" w:hAnsi="宋体"/>
          <w:bCs/>
          <w:sz w:val="24"/>
          <w:lang w:bidi="ar"/>
        </w:rPr>
        <w:t>（2）由于承包人原因为工程合理施工和安全保障所必需的暂停施工；</w:t>
      </w:r>
    </w:p>
    <w:p w14:paraId="4ED423CF">
      <w:pPr>
        <w:widowControl/>
        <w:spacing w:line="360" w:lineRule="auto"/>
        <w:ind w:firstLine="480" w:firstLineChars="200"/>
        <w:jc w:val="left"/>
        <w:rPr>
          <w:rFonts w:ascii="宋体" w:hAnsi="宋体"/>
          <w:bCs/>
          <w:sz w:val="24"/>
          <w:lang w:bidi="ar"/>
        </w:rPr>
      </w:pPr>
      <w:r>
        <w:rPr>
          <w:rFonts w:ascii="宋体" w:hAnsi="宋体"/>
          <w:bCs/>
          <w:sz w:val="24"/>
          <w:lang w:bidi="ar"/>
        </w:rPr>
        <w:t>（3）承包人擅自暂停施工；</w:t>
      </w:r>
    </w:p>
    <w:p w14:paraId="36F149EC">
      <w:pPr>
        <w:widowControl/>
        <w:spacing w:line="360" w:lineRule="auto"/>
        <w:ind w:firstLine="480" w:firstLineChars="200"/>
        <w:jc w:val="left"/>
        <w:rPr>
          <w:rFonts w:ascii="宋体" w:hAnsi="宋体"/>
          <w:bCs/>
          <w:sz w:val="24"/>
          <w:lang w:bidi="ar"/>
        </w:rPr>
      </w:pPr>
      <w:r>
        <w:rPr>
          <w:rFonts w:ascii="宋体" w:hAnsi="宋体"/>
          <w:bCs/>
          <w:sz w:val="24"/>
          <w:lang w:bidi="ar"/>
        </w:rPr>
        <w:t>（4）承包人其他原因引起的暂停施工；</w:t>
      </w:r>
    </w:p>
    <w:p w14:paraId="569811DE">
      <w:pPr>
        <w:widowControl/>
        <w:spacing w:line="360" w:lineRule="auto"/>
        <w:ind w:firstLine="480" w:firstLineChars="200"/>
        <w:jc w:val="left"/>
        <w:rPr>
          <w:rFonts w:ascii="宋体" w:hAnsi="宋体"/>
          <w:bCs/>
          <w:sz w:val="24"/>
          <w:lang w:bidi="ar"/>
        </w:rPr>
      </w:pPr>
      <w:r>
        <w:rPr>
          <w:rFonts w:ascii="宋体" w:hAnsi="宋体"/>
          <w:bCs/>
          <w:sz w:val="24"/>
          <w:lang w:bidi="ar"/>
        </w:rPr>
        <w:t>（5）现场气候条件导致的必要停工(第11.4款规定的异常恶劣的气候条件除外)；</w:t>
      </w:r>
    </w:p>
    <w:p w14:paraId="3FEB7703">
      <w:pPr>
        <w:widowControl/>
        <w:spacing w:line="360" w:lineRule="auto"/>
        <w:ind w:firstLine="480" w:firstLineChars="200"/>
        <w:jc w:val="left"/>
        <w:rPr>
          <w:rFonts w:ascii="宋体" w:hAnsi="宋体"/>
          <w:bCs/>
          <w:sz w:val="24"/>
          <w:lang w:bidi="ar"/>
        </w:rPr>
      </w:pPr>
      <w:r>
        <w:rPr>
          <w:rFonts w:ascii="宋体" w:hAnsi="宋体"/>
          <w:bCs/>
          <w:sz w:val="24"/>
          <w:lang w:bidi="ar"/>
        </w:rPr>
        <w:t xml:space="preserve">（6）由于承包人未积极协调地方关系引起地方阻工的暂停施工； </w:t>
      </w:r>
    </w:p>
    <w:p w14:paraId="38B6E592">
      <w:pPr>
        <w:widowControl/>
        <w:spacing w:line="360" w:lineRule="auto"/>
        <w:ind w:firstLine="480" w:firstLineChars="200"/>
        <w:jc w:val="left"/>
        <w:rPr>
          <w:rFonts w:ascii="宋体" w:hAnsi="宋体"/>
          <w:bCs/>
          <w:sz w:val="24"/>
          <w:lang w:bidi="ar"/>
        </w:rPr>
      </w:pPr>
      <w:r>
        <w:rPr>
          <w:rFonts w:ascii="宋体" w:hAnsi="宋体"/>
          <w:bCs/>
          <w:sz w:val="24"/>
          <w:lang w:bidi="ar"/>
        </w:rPr>
        <w:t xml:space="preserve">（7）为质量、安全、环保、水保保障所必须的暂停施工； </w:t>
      </w:r>
    </w:p>
    <w:p w14:paraId="1968DE5F">
      <w:pPr>
        <w:widowControl/>
        <w:spacing w:line="360" w:lineRule="auto"/>
        <w:ind w:firstLine="480" w:firstLineChars="200"/>
        <w:jc w:val="left"/>
        <w:rPr>
          <w:rFonts w:ascii="宋体" w:hAnsi="宋体"/>
          <w:bCs/>
          <w:sz w:val="24"/>
          <w:lang w:bidi="ar"/>
        </w:rPr>
      </w:pPr>
      <w:r>
        <w:rPr>
          <w:rFonts w:ascii="宋体" w:hAnsi="宋体"/>
          <w:bCs/>
          <w:sz w:val="24"/>
          <w:lang w:bidi="ar"/>
        </w:rPr>
        <w:t>（8）</w:t>
      </w:r>
      <w:r>
        <w:rPr>
          <w:rFonts w:hint="eastAsia" w:ascii="宋体" w:hAnsi="宋体"/>
          <w:bCs/>
          <w:sz w:val="24"/>
          <w:lang w:bidi="ar"/>
        </w:rPr>
        <w:t>约定由承包人承担的</w:t>
      </w:r>
      <w:r>
        <w:rPr>
          <w:rFonts w:ascii="宋体" w:hAnsi="宋体"/>
          <w:bCs/>
          <w:sz w:val="24"/>
          <w:lang w:bidi="ar"/>
        </w:rPr>
        <w:t xml:space="preserve">不利物质条件导致的暂停施工； </w:t>
      </w:r>
    </w:p>
    <w:p w14:paraId="09DF2D0E">
      <w:pPr>
        <w:widowControl/>
        <w:spacing w:line="360" w:lineRule="auto"/>
        <w:ind w:firstLine="480" w:firstLineChars="200"/>
        <w:jc w:val="left"/>
        <w:rPr>
          <w:rFonts w:ascii="宋体" w:hAnsi="宋体"/>
          <w:bCs/>
          <w:sz w:val="24"/>
          <w:lang w:bidi="ar"/>
        </w:rPr>
      </w:pPr>
      <w:r>
        <w:rPr>
          <w:rFonts w:ascii="宋体" w:hAnsi="宋体"/>
          <w:bCs/>
          <w:sz w:val="24"/>
          <w:lang w:bidi="ar"/>
        </w:rPr>
        <w:t xml:space="preserve">（9）发包人因特殊情况要求承包人暂停施工。 </w:t>
      </w:r>
    </w:p>
    <w:p w14:paraId="59102293">
      <w:pPr>
        <w:widowControl/>
        <w:spacing w:line="360" w:lineRule="auto"/>
        <w:ind w:firstLine="480" w:firstLineChars="200"/>
        <w:jc w:val="left"/>
        <w:rPr>
          <w:rFonts w:ascii="宋体" w:hAnsi="宋体"/>
          <w:bCs/>
          <w:sz w:val="24"/>
          <w:lang w:bidi="ar"/>
        </w:rPr>
      </w:pPr>
      <w:r>
        <w:rPr>
          <w:rFonts w:ascii="宋体" w:hAnsi="宋体"/>
          <w:bCs/>
          <w:sz w:val="24"/>
          <w:lang w:bidi="ar"/>
        </w:rPr>
        <w:t>（10）当发包人根据本公路的施工在节假日或其他特殊情况下需要而暂停施工时，承包人必须无条件执行，发包人将视实际产生的影响结果做出是否适当延长工期的决定。承包人在编制投标文件时应充分考虑因此停工产生的费用及工期延误，不得因此而拖延总工期，除非发包人同意的工期延长。</w:t>
      </w:r>
      <w:bookmarkEnd w:id="783"/>
    </w:p>
    <w:p w14:paraId="77FF8316">
      <w:pPr>
        <w:pStyle w:val="2"/>
        <w:spacing w:before="240" w:after="240" w:line="240" w:lineRule="atLeast"/>
        <w:rPr>
          <w:rFonts w:ascii="黑体"/>
          <w:b w:val="0"/>
          <w:sz w:val="24"/>
          <w:szCs w:val="24"/>
        </w:rPr>
      </w:pPr>
      <w:bookmarkStart w:id="784" w:name="_Toc53685764"/>
      <w:r>
        <w:rPr>
          <w:rFonts w:ascii="黑体"/>
          <w:b w:val="0"/>
          <w:sz w:val="28"/>
          <w:szCs w:val="28"/>
        </w:rPr>
        <w:t>13</w:t>
      </w:r>
      <w:r>
        <w:rPr>
          <w:rFonts w:hint="eastAsia" w:ascii="黑体"/>
          <w:b w:val="0"/>
          <w:sz w:val="28"/>
          <w:szCs w:val="28"/>
        </w:rPr>
        <w:t>．工程质量</w:t>
      </w:r>
    </w:p>
    <w:p w14:paraId="601E2CD5">
      <w:pPr>
        <w:spacing w:line="360" w:lineRule="auto"/>
        <w:jc w:val="left"/>
        <w:rPr>
          <w:rFonts w:ascii="黑体" w:eastAsia="黑体"/>
          <w:bCs/>
          <w:kern w:val="44"/>
          <w:sz w:val="24"/>
        </w:rPr>
      </w:pPr>
      <w:r>
        <w:rPr>
          <w:rFonts w:ascii="黑体" w:eastAsia="黑体"/>
          <w:bCs/>
          <w:kern w:val="44"/>
          <w:sz w:val="24"/>
        </w:rPr>
        <w:t>13.1</w:t>
      </w:r>
      <w:r>
        <w:rPr>
          <w:rFonts w:hint="eastAsia" w:ascii="黑体" w:eastAsia="黑体"/>
          <w:bCs/>
          <w:kern w:val="44"/>
          <w:sz w:val="24"/>
          <w:lang w:val="en-US" w:eastAsia="zh-CN"/>
        </w:rPr>
        <w:t xml:space="preserve"> </w:t>
      </w:r>
      <w:r>
        <w:rPr>
          <w:rFonts w:hint="eastAsia" w:ascii="黑体" w:eastAsia="黑体"/>
          <w:bCs/>
          <w:kern w:val="44"/>
          <w:sz w:val="24"/>
        </w:rPr>
        <w:t>工程质量要求</w:t>
      </w:r>
    </w:p>
    <w:p w14:paraId="1CE0D457">
      <w:pPr>
        <w:spacing w:line="360" w:lineRule="auto"/>
        <w:ind w:firstLine="480" w:firstLineChars="200"/>
        <w:jc w:val="left"/>
        <w:rPr>
          <w:rFonts w:ascii="宋体" w:hAnsi="宋体"/>
          <w:bCs/>
          <w:sz w:val="24"/>
        </w:rPr>
      </w:pPr>
      <w:r>
        <w:rPr>
          <w:rFonts w:hint="eastAsia" w:ascii="宋体" w:hAnsi="宋体"/>
          <w:bCs/>
          <w:sz w:val="24"/>
        </w:rPr>
        <w:t>第</w:t>
      </w:r>
      <w:r>
        <w:rPr>
          <w:rFonts w:ascii="宋体" w:hAnsi="宋体"/>
          <w:bCs/>
          <w:sz w:val="24"/>
        </w:rPr>
        <w:t>13.1.1</w:t>
      </w:r>
      <w:r>
        <w:rPr>
          <w:rFonts w:hint="eastAsia" w:ascii="宋体" w:hAnsi="宋体"/>
          <w:bCs/>
          <w:sz w:val="24"/>
        </w:rPr>
        <w:t>项约定为：</w:t>
      </w:r>
      <w:r>
        <w:rPr>
          <w:rFonts w:ascii="宋体" w:hAnsi="宋体"/>
          <w:bCs/>
          <w:sz w:val="24"/>
        </w:rPr>
        <w:t xml:space="preserve"> </w:t>
      </w:r>
    </w:p>
    <w:p w14:paraId="4DAEDA61">
      <w:pPr>
        <w:spacing w:line="360" w:lineRule="auto"/>
        <w:ind w:firstLine="480" w:firstLineChars="200"/>
        <w:jc w:val="left"/>
        <w:rPr>
          <w:rFonts w:ascii="宋体" w:hAnsi="宋体"/>
          <w:bCs/>
          <w:sz w:val="24"/>
        </w:rPr>
      </w:pPr>
      <w:r>
        <w:rPr>
          <w:rFonts w:hint="eastAsia" w:ascii="宋体" w:hAnsi="宋体"/>
          <w:bCs/>
          <w:sz w:val="24"/>
        </w:rPr>
        <w:t>工程质量验收按技术规范及《公路工程质量检验评定标准》执行。</w:t>
      </w:r>
    </w:p>
    <w:p w14:paraId="4BCC8149">
      <w:pPr>
        <w:spacing w:line="360" w:lineRule="auto"/>
        <w:ind w:firstLine="480" w:firstLineChars="200"/>
        <w:jc w:val="left"/>
        <w:rPr>
          <w:rFonts w:ascii="宋体" w:hAnsi="宋体"/>
          <w:bCs/>
          <w:sz w:val="24"/>
        </w:rPr>
      </w:pPr>
      <w:r>
        <w:rPr>
          <w:rFonts w:hint="eastAsia" w:ascii="宋体" w:hAnsi="宋体"/>
          <w:bCs/>
          <w:sz w:val="24"/>
        </w:rPr>
        <w:t>工程质量验收标准：交工验收时达到合格；竣工验收时达到优良。</w:t>
      </w:r>
    </w:p>
    <w:p w14:paraId="1CC6A1BB">
      <w:pPr>
        <w:spacing w:line="360" w:lineRule="auto"/>
        <w:ind w:firstLine="2640" w:firstLineChars="1100"/>
        <w:jc w:val="left"/>
        <w:rPr>
          <w:rFonts w:ascii="宋体" w:hAnsi="宋体"/>
          <w:bCs/>
          <w:sz w:val="24"/>
        </w:rPr>
      </w:pPr>
      <w:r>
        <w:rPr>
          <w:rFonts w:hint="eastAsia" w:ascii="宋体" w:hAnsi="宋体" w:cs="宋体"/>
          <w:bCs/>
          <w:sz w:val="24"/>
        </w:rPr>
        <w:t xml:space="preserve">□ </w:t>
      </w:r>
      <w:r>
        <w:rPr>
          <w:rFonts w:hint="eastAsia" w:ascii="宋体" w:hAnsi="宋体"/>
          <w:bCs/>
          <w:sz w:val="24"/>
        </w:rPr>
        <w:t>房建工程交（竣）工验收标准：合格。</w:t>
      </w:r>
    </w:p>
    <w:p w14:paraId="2A4FD879">
      <w:pPr>
        <w:spacing w:line="360" w:lineRule="auto"/>
        <w:ind w:firstLine="480" w:firstLineChars="200"/>
        <w:jc w:val="left"/>
        <w:rPr>
          <w:rFonts w:hAnsi="宋体"/>
          <w:bCs/>
          <w:sz w:val="24"/>
        </w:rPr>
      </w:pPr>
      <w:r>
        <w:rPr>
          <w:rFonts w:hint="eastAsia" w:ascii="宋体" w:hAnsi="宋体"/>
          <w:bCs/>
          <w:sz w:val="24"/>
        </w:rPr>
        <w:t>本款补充第</w:t>
      </w:r>
      <w:r>
        <w:rPr>
          <w:rFonts w:ascii="宋体" w:hAnsi="宋体"/>
          <w:bCs/>
          <w:sz w:val="24"/>
        </w:rPr>
        <w:t>13.1.4</w:t>
      </w:r>
      <w:r>
        <w:rPr>
          <w:rFonts w:hint="eastAsia" w:ascii="宋体" w:hAnsi="宋体"/>
          <w:bCs/>
          <w:sz w:val="24"/>
        </w:rPr>
        <w:t>项</w:t>
      </w:r>
      <w:r>
        <w:rPr>
          <w:rFonts w:hint="eastAsia" w:ascii="宋体" w:hAnsi="宋体" w:cs="宋体"/>
          <w:bCs/>
          <w:sz w:val="24"/>
        </w:rPr>
        <w:t>～</w:t>
      </w:r>
      <w:r>
        <w:rPr>
          <w:rFonts w:hint="eastAsia" w:ascii="宋体" w:hAnsi="宋体"/>
          <w:bCs/>
          <w:sz w:val="24"/>
        </w:rPr>
        <w:t>第</w:t>
      </w:r>
      <w:r>
        <w:rPr>
          <w:rFonts w:ascii="宋体" w:hAnsi="宋体"/>
          <w:bCs/>
          <w:sz w:val="24"/>
        </w:rPr>
        <w:t>13.1.</w:t>
      </w:r>
      <w:r>
        <w:rPr>
          <w:rFonts w:hint="eastAsia" w:ascii="宋体" w:hAnsi="宋体"/>
          <w:bCs/>
          <w:sz w:val="24"/>
        </w:rPr>
        <w:t>7项：</w:t>
      </w:r>
      <w:r>
        <w:rPr>
          <w:rFonts w:ascii="宋体" w:hAnsi="宋体"/>
          <w:bCs/>
          <w:sz w:val="24"/>
        </w:rPr>
        <w:t xml:space="preserve"> </w:t>
      </w:r>
    </w:p>
    <w:p w14:paraId="0D73DC69">
      <w:pPr>
        <w:spacing w:line="360" w:lineRule="auto"/>
        <w:ind w:firstLine="480" w:firstLineChars="200"/>
        <w:jc w:val="left"/>
        <w:rPr>
          <w:rFonts w:hAnsi="宋体"/>
          <w:bCs/>
          <w:sz w:val="24"/>
        </w:rPr>
      </w:pPr>
      <w:r>
        <w:rPr>
          <w:rFonts w:ascii="宋体" w:hAnsi="宋体"/>
          <w:bCs/>
          <w:sz w:val="24"/>
        </w:rPr>
        <w:t xml:space="preserve">13.1.4 </w:t>
      </w:r>
      <w:r>
        <w:rPr>
          <w:rFonts w:hint="eastAsia" w:ascii="宋体" w:hAnsi="宋体"/>
          <w:bCs/>
          <w:sz w:val="24"/>
        </w:rPr>
        <w:t>发包人和承包人应严格遵守《关于严格落实公路工程质量责任制的若干意见》的相关规定，认真执行工程质量责任登记制度并按要求填写工程质量责任登记表。</w:t>
      </w:r>
      <w:r>
        <w:rPr>
          <w:rFonts w:ascii="宋体" w:hAnsi="宋体"/>
          <w:bCs/>
          <w:sz w:val="24"/>
        </w:rPr>
        <w:t xml:space="preserve"> </w:t>
      </w:r>
    </w:p>
    <w:p w14:paraId="6BAE8F40">
      <w:pPr>
        <w:spacing w:line="360" w:lineRule="auto"/>
        <w:ind w:firstLine="480" w:firstLineChars="200"/>
        <w:jc w:val="left"/>
        <w:rPr>
          <w:rFonts w:ascii="宋体" w:hAnsi="宋体"/>
          <w:bCs/>
          <w:sz w:val="24"/>
        </w:rPr>
      </w:pPr>
      <w:r>
        <w:rPr>
          <w:rFonts w:ascii="宋体" w:hAnsi="宋体"/>
          <w:bCs/>
          <w:sz w:val="24"/>
        </w:rPr>
        <w:t xml:space="preserve">13.1.5 </w:t>
      </w:r>
      <w:r>
        <w:rPr>
          <w:rFonts w:hint="eastAsia" w:ascii="宋体" w:hAnsi="宋体"/>
          <w:bCs/>
          <w:sz w:val="24"/>
        </w:rPr>
        <w:t>本项目严格执行质量责任追究制度。质量事故处理实行</w:t>
      </w:r>
      <w:r>
        <w:rPr>
          <w:rFonts w:ascii="宋体" w:hAnsi="宋体"/>
          <w:bCs/>
          <w:sz w:val="24"/>
        </w:rPr>
        <w:t>“</w:t>
      </w:r>
      <w:r>
        <w:rPr>
          <w:rFonts w:hint="eastAsia" w:ascii="宋体" w:hAnsi="宋体"/>
          <w:bCs/>
          <w:sz w:val="24"/>
        </w:rPr>
        <w:t>四不放过</w:t>
      </w:r>
      <w:r>
        <w:rPr>
          <w:rFonts w:ascii="宋体" w:hAnsi="宋体"/>
          <w:bCs/>
          <w:sz w:val="24"/>
        </w:rPr>
        <w:t>”</w:t>
      </w:r>
      <w:r>
        <w:rPr>
          <w:rFonts w:hint="eastAsia" w:ascii="宋体" w:hAnsi="宋体"/>
          <w:bCs/>
          <w:sz w:val="24"/>
        </w:rPr>
        <w:t>原则：事故原因调查不清不放过；事故责任者没有受到教育不放过；没有防范措施不放过；相关责任人没受到处理不放过。</w:t>
      </w:r>
    </w:p>
    <w:p w14:paraId="7D9E4C35">
      <w:pPr>
        <w:widowControl/>
        <w:spacing w:line="360" w:lineRule="auto"/>
        <w:ind w:firstLine="480" w:firstLineChars="200"/>
        <w:jc w:val="left"/>
        <w:rPr>
          <w:rFonts w:ascii="宋体" w:hAnsi="宋体"/>
          <w:bCs/>
          <w:sz w:val="24"/>
        </w:rPr>
      </w:pPr>
      <w:r>
        <w:rPr>
          <w:rFonts w:hint="eastAsia" w:ascii="宋体" w:hAnsi="宋体"/>
          <w:bCs/>
          <w:sz w:val="24"/>
          <w:lang w:bidi="ar"/>
        </w:rPr>
        <w:t xml:space="preserve">13.1.6 因第三方原因（如其他标段承包人）对本合同工程造成的损伤，使工程质量达不到合同约定验收标准的，承包人应第一时间指出，并协商相关责任人进行协商处理；如因第三方原因造成重大质量问题或对工期造成影响时，承包人应报监理人和发包人，并根据发包人的指示完成相关工作。如因承包人未及时指出损伤而造成责任无法认定的，或未及时报送损伤情况，耽误发包人决策的，承包人应承担上述原因引起的费用增加和（或）工期延误。 </w:t>
      </w:r>
    </w:p>
    <w:p w14:paraId="43F8858F">
      <w:pPr>
        <w:widowControl/>
        <w:spacing w:line="360" w:lineRule="auto"/>
        <w:ind w:firstLine="480" w:firstLineChars="200"/>
        <w:jc w:val="left"/>
        <w:rPr>
          <w:rFonts w:ascii="宋体" w:hAnsi="宋体"/>
          <w:bCs/>
          <w:sz w:val="24"/>
        </w:rPr>
      </w:pPr>
      <w:r>
        <w:rPr>
          <w:rFonts w:hint="eastAsia" w:ascii="宋体" w:hAnsi="宋体"/>
          <w:bCs/>
          <w:sz w:val="24"/>
          <w:lang w:bidi="ar"/>
        </w:rPr>
        <w:t>13.1.7 承包人对施工过程中出现的工程质量缺陷、质量问题或质量事故不及时进行整改或修复，发包人将暂不支付工程款，直至整改或修复工作结束并符合规范要求。</w:t>
      </w:r>
    </w:p>
    <w:p w14:paraId="34353D5C">
      <w:pPr>
        <w:pStyle w:val="2"/>
        <w:spacing w:before="240" w:after="240" w:line="240" w:lineRule="atLeast"/>
        <w:rPr>
          <w:rFonts w:ascii="黑体"/>
          <w:b w:val="0"/>
          <w:sz w:val="24"/>
          <w:szCs w:val="24"/>
        </w:rPr>
      </w:pPr>
      <w:r>
        <w:rPr>
          <w:rFonts w:hint="eastAsia" w:ascii="黑体"/>
          <w:b w:val="0"/>
          <w:sz w:val="24"/>
          <w:szCs w:val="24"/>
        </w:rPr>
        <w:t>1</w:t>
      </w:r>
      <w:r>
        <w:rPr>
          <w:rFonts w:ascii="黑体"/>
          <w:b w:val="0"/>
          <w:sz w:val="24"/>
          <w:szCs w:val="24"/>
        </w:rPr>
        <w:t>3.2</w:t>
      </w:r>
      <w:r>
        <w:rPr>
          <w:rFonts w:hint="eastAsia" w:ascii="黑体"/>
          <w:b w:val="0"/>
          <w:sz w:val="24"/>
          <w:szCs w:val="24"/>
          <w:lang w:val="en-US" w:eastAsia="zh-CN"/>
        </w:rPr>
        <w:t xml:space="preserve"> </w:t>
      </w:r>
      <w:r>
        <w:rPr>
          <w:rFonts w:hint="eastAsia" w:ascii="黑体"/>
          <w:b w:val="0"/>
          <w:sz w:val="24"/>
          <w:szCs w:val="24"/>
        </w:rPr>
        <w:t>承包人的质量检查</w:t>
      </w:r>
    </w:p>
    <w:p w14:paraId="0B16C181">
      <w:pPr>
        <w:spacing w:line="360" w:lineRule="auto"/>
        <w:ind w:firstLine="480" w:firstLineChars="200"/>
        <w:jc w:val="left"/>
        <w:rPr>
          <w:rFonts w:ascii="宋体" w:hAnsi="宋体"/>
          <w:bCs/>
          <w:sz w:val="24"/>
        </w:rPr>
      </w:pPr>
      <w:r>
        <w:rPr>
          <w:rFonts w:hint="eastAsia" w:ascii="宋体" w:hAnsi="宋体"/>
          <w:bCs/>
          <w:sz w:val="24"/>
        </w:rPr>
        <w:t>本款细化为：</w:t>
      </w:r>
    </w:p>
    <w:p w14:paraId="6F42A0D3">
      <w:pPr>
        <w:widowControl/>
        <w:spacing w:line="360" w:lineRule="auto"/>
        <w:ind w:firstLine="480" w:firstLineChars="200"/>
        <w:jc w:val="left"/>
        <w:rPr>
          <w:rFonts w:ascii="宋体" w:hAnsi="宋体"/>
          <w:bCs/>
          <w:sz w:val="24"/>
          <w:lang w:bidi="ar"/>
        </w:rPr>
      </w:pPr>
      <w:r>
        <w:rPr>
          <w:rFonts w:ascii="宋体" w:hAnsi="宋体"/>
          <w:bCs/>
          <w:sz w:val="24"/>
        </w:rPr>
        <w:t>13.2.1</w:t>
      </w:r>
      <w:r>
        <w:rPr>
          <w:rFonts w:hint="eastAsia" w:ascii="宋体" w:hAnsi="宋体"/>
          <w:bCs/>
          <w:sz w:val="24"/>
          <w:lang w:val="en-US" w:eastAsia="zh-CN"/>
        </w:rPr>
        <w:t xml:space="preserve"> </w:t>
      </w:r>
      <w:r>
        <w:rPr>
          <w:rFonts w:ascii="宋体" w:hAnsi="宋体"/>
          <w:bCs/>
          <w:sz w:val="24"/>
          <w:lang w:bidi="ar"/>
        </w:rPr>
        <w:t xml:space="preserve">承包人应在施工现场设置专门的质量检查机构，配备专职质量检查人员，建立完善的质量检查制度。承包人应在开工至少28天之前，提交工程质量保证措施文件，包括质量检查机构的组织和职责、质检人员的组成、质量检查程序和实施细则等，报送监理人审批。 </w:t>
      </w:r>
    </w:p>
    <w:p w14:paraId="0922B107">
      <w:pPr>
        <w:widowControl/>
        <w:spacing w:line="360" w:lineRule="auto"/>
        <w:ind w:firstLine="480" w:firstLineChars="200"/>
        <w:jc w:val="left"/>
        <w:rPr>
          <w:rFonts w:ascii="宋体" w:hAnsi="宋体"/>
          <w:bCs/>
          <w:sz w:val="24"/>
        </w:rPr>
      </w:pPr>
      <w:r>
        <w:rPr>
          <w:rFonts w:ascii="宋体" w:hAnsi="宋体"/>
          <w:bCs/>
          <w:sz w:val="24"/>
          <w:lang w:bidi="ar"/>
        </w:rPr>
        <w:t>13.2.2 承包人应加强对施工人员的质量教育和技术培训，定期考核施工人员的劳动技能，严格执行规范和操作规程。</w:t>
      </w:r>
      <w:r>
        <w:rPr>
          <w:rFonts w:ascii="宋体" w:hAnsi="宋体"/>
          <w:bCs/>
          <w:sz w:val="24"/>
        </w:rPr>
        <w:t xml:space="preserve"> </w:t>
      </w:r>
    </w:p>
    <w:p w14:paraId="34B377D4">
      <w:pPr>
        <w:spacing w:line="360" w:lineRule="auto"/>
        <w:ind w:firstLine="480" w:firstLineChars="200"/>
        <w:jc w:val="left"/>
        <w:rPr>
          <w:rFonts w:ascii="宋体" w:hAnsi="宋体"/>
          <w:bCs/>
          <w:sz w:val="24"/>
        </w:rPr>
      </w:pPr>
      <w:r>
        <w:rPr>
          <w:rFonts w:hint="eastAsia" w:ascii="宋体" w:hAnsi="宋体"/>
          <w:bCs/>
          <w:sz w:val="24"/>
        </w:rPr>
        <w:t>13.2.3</w:t>
      </w:r>
      <w:r>
        <w:rPr>
          <w:rFonts w:hint="eastAsia" w:ascii="宋体" w:hAnsi="宋体"/>
          <w:bCs/>
          <w:sz w:val="24"/>
          <w:lang w:val="en-US" w:eastAsia="zh-CN"/>
        </w:rPr>
        <w:t xml:space="preserve"> </w:t>
      </w:r>
      <w:r>
        <w:rPr>
          <w:rFonts w:hint="eastAsia" w:ascii="宋体" w:hAnsi="宋体"/>
          <w:bCs/>
          <w:sz w:val="24"/>
        </w:rPr>
        <w:t>公路工程施行质量责任终身制。承包人应当书面明确相应的项目负责人和质量负责人。承包人的相关人员按照国家法律法规和有关规定在工程合理使用年限内承担相应的质量责任。</w:t>
      </w:r>
      <w:r>
        <w:rPr>
          <w:rFonts w:ascii="宋体" w:hAnsi="宋体"/>
          <w:bCs/>
          <w:sz w:val="24"/>
        </w:rPr>
        <w:t xml:space="preserve"> </w:t>
      </w:r>
    </w:p>
    <w:p w14:paraId="78B0534E">
      <w:pPr>
        <w:spacing w:line="360" w:lineRule="auto"/>
        <w:ind w:firstLine="480" w:firstLineChars="200"/>
        <w:jc w:val="left"/>
        <w:rPr>
          <w:rFonts w:ascii="宋体" w:hAnsi="宋体"/>
          <w:bCs/>
          <w:sz w:val="24"/>
        </w:rPr>
      </w:pPr>
      <w:r>
        <w:rPr>
          <w:rFonts w:hint="eastAsia" w:ascii="宋体" w:hAnsi="宋体"/>
          <w:bCs/>
          <w:sz w:val="24"/>
        </w:rPr>
        <w:t>13.2.4</w:t>
      </w:r>
      <w:r>
        <w:rPr>
          <w:rFonts w:hint="eastAsia" w:ascii="宋体" w:hAnsi="宋体"/>
          <w:bCs/>
          <w:sz w:val="24"/>
          <w:lang w:val="en-US" w:eastAsia="zh-CN"/>
        </w:rPr>
        <w:t xml:space="preserve"> </w:t>
      </w:r>
      <w:r>
        <w:rPr>
          <w:rFonts w:hint="eastAsia" w:ascii="宋体" w:hAnsi="宋体"/>
          <w:bCs/>
          <w:sz w:val="24"/>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r>
        <w:rPr>
          <w:rFonts w:ascii="宋体" w:hAnsi="宋体"/>
          <w:bCs/>
          <w:sz w:val="24"/>
        </w:rPr>
        <w:t xml:space="preserve"> </w:t>
      </w:r>
    </w:p>
    <w:p w14:paraId="0F722CBE">
      <w:pPr>
        <w:spacing w:line="360" w:lineRule="auto"/>
        <w:ind w:firstLine="480" w:firstLineChars="200"/>
        <w:jc w:val="left"/>
        <w:rPr>
          <w:rFonts w:ascii="宋体" w:hAnsi="宋体"/>
          <w:bCs/>
          <w:sz w:val="24"/>
        </w:rPr>
      </w:pPr>
      <w:r>
        <w:rPr>
          <w:rFonts w:hint="eastAsia" w:ascii="宋体" w:hAnsi="宋体"/>
          <w:bCs/>
          <w:sz w:val="24"/>
        </w:rPr>
        <w:t>13.2.5</w:t>
      </w:r>
      <w:r>
        <w:rPr>
          <w:rFonts w:hint="eastAsia" w:ascii="宋体" w:hAnsi="宋体"/>
          <w:bCs/>
          <w:sz w:val="24"/>
          <w:lang w:val="en-US" w:eastAsia="zh-CN"/>
        </w:rPr>
        <w:t xml:space="preserve"> </w:t>
      </w:r>
      <w:r>
        <w:rPr>
          <w:rFonts w:hint="eastAsia" w:ascii="宋体" w:hAnsi="宋体"/>
          <w:bCs/>
          <w:sz w:val="24"/>
        </w:rPr>
        <w:t>承包人对工程施工质量负责，应当按合同约定设立现场质量管理机构、配备工程技术人员和质量管理人员，落实工程施工质量责任制。</w:t>
      </w:r>
      <w:r>
        <w:rPr>
          <w:rFonts w:ascii="宋体" w:hAnsi="宋体"/>
          <w:bCs/>
          <w:sz w:val="24"/>
        </w:rPr>
        <w:t xml:space="preserve"> </w:t>
      </w:r>
    </w:p>
    <w:p w14:paraId="69A77982">
      <w:pPr>
        <w:spacing w:line="360" w:lineRule="auto"/>
        <w:ind w:firstLine="480" w:firstLineChars="200"/>
        <w:jc w:val="left"/>
        <w:rPr>
          <w:rFonts w:ascii="宋体" w:hAnsi="宋体"/>
          <w:bCs/>
          <w:sz w:val="24"/>
        </w:rPr>
      </w:pPr>
      <w:r>
        <w:rPr>
          <w:rFonts w:hint="eastAsia" w:ascii="宋体" w:hAnsi="宋体"/>
          <w:bCs/>
          <w:sz w:val="24"/>
        </w:rPr>
        <w:t>13.2.6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r>
        <w:rPr>
          <w:rFonts w:ascii="宋体" w:hAnsi="宋体"/>
          <w:bCs/>
          <w:sz w:val="24"/>
        </w:rPr>
        <w:t xml:space="preserve"> </w:t>
      </w:r>
    </w:p>
    <w:p w14:paraId="222754DA">
      <w:pPr>
        <w:spacing w:line="360" w:lineRule="auto"/>
        <w:ind w:firstLine="480" w:firstLineChars="200"/>
        <w:jc w:val="left"/>
        <w:rPr>
          <w:rFonts w:ascii="宋体" w:hAnsi="宋体"/>
          <w:bCs/>
          <w:sz w:val="24"/>
        </w:rPr>
      </w:pPr>
      <w:r>
        <w:rPr>
          <w:rFonts w:hint="eastAsia" w:ascii="宋体" w:hAnsi="宋体"/>
          <w:bCs/>
          <w:sz w:val="24"/>
        </w:rPr>
        <w:t>13.2.7</w:t>
      </w:r>
      <w:r>
        <w:rPr>
          <w:rFonts w:hint="eastAsia" w:ascii="宋体" w:hAnsi="宋体"/>
          <w:bCs/>
          <w:sz w:val="24"/>
          <w:lang w:val="en-US" w:eastAsia="zh-CN"/>
        </w:rPr>
        <w:t xml:space="preserve"> </w:t>
      </w:r>
      <w:r>
        <w:rPr>
          <w:rFonts w:hint="eastAsia" w:ascii="宋体" w:hAnsi="宋体"/>
          <w:bCs/>
          <w:sz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r>
        <w:rPr>
          <w:rFonts w:ascii="宋体" w:hAnsi="宋体"/>
          <w:bCs/>
          <w:sz w:val="24"/>
        </w:rPr>
        <w:t xml:space="preserve"> </w:t>
      </w:r>
    </w:p>
    <w:p w14:paraId="1B081D5D">
      <w:pPr>
        <w:spacing w:line="360" w:lineRule="auto"/>
        <w:ind w:firstLine="480" w:firstLineChars="200"/>
        <w:jc w:val="left"/>
        <w:rPr>
          <w:rFonts w:ascii="宋体" w:hAnsi="宋体"/>
          <w:bCs/>
          <w:sz w:val="24"/>
        </w:rPr>
      </w:pPr>
      <w:r>
        <w:rPr>
          <w:rFonts w:hint="eastAsia" w:ascii="宋体" w:hAnsi="宋体"/>
          <w:bCs/>
          <w:sz w:val="24"/>
        </w:rPr>
        <w:t>13.2.8</w:t>
      </w:r>
      <w:r>
        <w:rPr>
          <w:rFonts w:hint="eastAsia" w:ascii="宋体" w:hAnsi="宋体"/>
          <w:bCs/>
          <w:sz w:val="24"/>
          <w:lang w:val="en-US" w:eastAsia="zh-CN"/>
        </w:rPr>
        <w:t xml:space="preserve"> </w:t>
      </w:r>
      <w:r>
        <w:rPr>
          <w:rFonts w:hint="eastAsia" w:ascii="宋体" w:hAnsi="宋体"/>
          <w:bCs/>
          <w:sz w:val="24"/>
        </w:rPr>
        <w:t>承包人应当按照合同约定设立工地试验室，配齐检测和试验仪器、仪表，及时校正确保其精度；严格按照工程技术标准、检测规范和规程，在核定的试验检测参数范围内开展试验检测活动，并确保规范规定的检验、抽检频率。承包人应当对其设立的工地试验室所出具的试验检测数据和报告的真实性、客观性、准确性负责。</w:t>
      </w:r>
      <w:r>
        <w:rPr>
          <w:rFonts w:ascii="宋体" w:hAnsi="宋体"/>
          <w:bCs/>
          <w:sz w:val="24"/>
        </w:rPr>
        <w:t xml:space="preserve"> </w:t>
      </w:r>
    </w:p>
    <w:p w14:paraId="322ACD82">
      <w:pPr>
        <w:spacing w:line="360" w:lineRule="auto"/>
        <w:ind w:firstLine="480" w:firstLineChars="200"/>
        <w:jc w:val="left"/>
        <w:rPr>
          <w:rFonts w:hAnsi="宋体"/>
          <w:bCs/>
          <w:sz w:val="24"/>
        </w:rPr>
      </w:pPr>
      <w:r>
        <w:rPr>
          <w:rFonts w:hint="eastAsia" w:ascii="宋体" w:hAnsi="宋体"/>
          <w:bCs/>
          <w:sz w:val="24"/>
        </w:rPr>
        <w:t>13.2.9</w:t>
      </w:r>
      <w:r>
        <w:rPr>
          <w:rFonts w:hint="eastAsia" w:ascii="宋体" w:hAnsi="宋体"/>
          <w:bCs/>
          <w:sz w:val="24"/>
          <w:lang w:val="en-US" w:eastAsia="zh-CN"/>
        </w:rPr>
        <w:t xml:space="preserve"> </w:t>
      </w:r>
      <w:r>
        <w:rPr>
          <w:rFonts w:hint="eastAsia" w:ascii="宋体" w:hAnsi="宋体"/>
          <w:bCs/>
          <w:sz w:val="24"/>
        </w:rPr>
        <w:t>承包人应当依法规范分包行为，并对承担的工程质量负总责，分包单位对分包合同范围内的工程质量负责。</w:t>
      </w:r>
      <w:r>
        <w:rPr>
          <w:rFonts w:ascii="宋体" w:hAnsi="宋体"/>
          <w:bCs/>
          <w:sz w:val="24"/>
        </w:rPr>
        <w:t xml:space="preserve"> </w:t>
      </w:r>
    </w:p>
    <w:p w14:paraId="1254CDBF">
      <w:pPr>
        <w:spacing w:line="360" w:lineRule="auto"/>
        <w:ind w:firstLine="480" w:firstLineChars="200"/>
        <w:jc w:val="left"/>
        <w:rPr>
          <w:rFonts w:ascii="宋体" w:hAnsi="宋体"/>
          <w:bCs/>
          <w:sz w:val="24"/>
        </w:rPr>
      </w:pPr>
      <w:r>
        <w:rPr>
          <w:rFonts w:hint="eastAsia" w:ascii="宋体" w:hAnsi="宋体"/>
          <w:bCs/>
          <w:sz w:val="24"/>
        </w:rPr>
        <w:t>13.2.10</w:t>
      </w:r>
      <w:r>
        <w:rPr>
          <w:rFonts w:hint="eastAsia" w:ascii="宋体" w:hAnsi="宋体"/>
          <w:bCs/>
          <w:sz w:val="24"/>
          <w:lang w:val="en-US" w:eastAsia="zh-CN"/>
        </w:rPr>
        <w:t xml:space="preserve"> </w:t>
      </w:r>
      <w:r>
        <w:rPr>
          <w:rFonts w:hint="eastAsia" w:ascii="宋体" w:hAnsi="宋体"/>
          <w:bCs/>
          <w:sz w:val="24"/>
        </w:rPr>
        <w:t>承包人驻工程现场机构应在现场驻地和重要的分部、分项工程施工现场设置明显的工程质量责任登记表公示牌。</w:t>
      </w:r>
    </w:p>
    <w:p w14:paraId="73876D83">
      <w:pPr>
        <w:pStyle w:val="2"/>
        <w:spacing w:before="240" w:after="240" w:line="240" w:lineRule="atLeast"/>
        <w:rPr>
          <w:rFonts w:ascii="黑体"/>
          <w:sz w:val="24"/>
          <w:szCs w:val="24"/>
        </w:rPr>
      </w:pPr>
      <w:r>
        <w:rPr>
          <w:rFonts w:ascii="黑体"/>
          <w:b w:val="0"/>
          <w:sz w:val="24"/>
          <w:szCs w:val="24"/>
        </w:rPr>
        <w:t>13.3</w:t>
      </w:r>
      <w:r>
        <w:rPr>
          <w:rFonts w:hint="eastAsia" w:ascii="黑体"/>
          <w:b w:val="0"/>
          <w:sz w:val="24"/>
          <w:szCs w:val="24"/>
          <w:lang w:val="en-US" w:eastAsia="zh-CN"/>
        </w:rPr>
        <w:t xml:space="preserve"> </w:t>
      </w:r>
      <w:r>
        <w:rPr>
          <w:rFonts w:hint="eastAsia" w:ascii="黑体"/>
          <w:b w:val="0"/>
          <w:sz w:val="24"/>
          <w:szCs w:val="24"/>
        </w:rPr>
        <w:t>监理人的质量检查</w:t>
      </w:r>
    </w:p>
    <w:p w14:paraId="2AB218A5">
      <w:pPr>
        <w:spacing w:line="360" w:lineRule="auto"/>
        <w:ind w:firstLine="480" w:firstLineChars="200"/>
        <w:rPr>
          <w:rFonts w:ascii="宋体" w:hAnsi="宋体"/>
          <w:bCs/>
          <w:sz w:val="24"/>
        </w:rPr>
      </w:pPr>
      <w:r>
        <w:rPr>
          <w:rFonts w:hint="eastAsia" w:ascii="宋体" w:hAnsi="宋体"/>
          <w:bCs/>
          <w:sz w:val="24"/>
        </w:rPr>
        <w:t>本款补充：</w:t>
      </w:r>
      <w:r>
        <w:rPr>
          <w:rFonts w:ascii="宋体" w:hAnsi="宋体"/>
          <w:bCs/>
          <w:sz w:val="24"/>
        </w:rPr>
        <w:t xml:space="preserve"> </w:t>
      </w:r>
    </w:p>
    <w:p w14:paraId="211CF434">
      <w:pPr>
        <w:spacing w:line="360" w:lineRule="auto"/>
        <w:ind w:firstLine="480" w:firstLineChars="200"/>
        <w:rPr>
          <w:rFonts w:ascii="宋体" w:hAnsi="宋体"/>
          <w:bCs/>
          <w:sz w:val="24"/>
        </w:rPr>
      </w:pPr>
      <w:r>
        <w:rPr>
          <w:rFonts w:hint="eastAsia" w:ascii="宋体" w:hAnsi="宋体"/>
          <w:bCs/>
          <w:sz w:val="24"/>
        </w:rPr>
        <w:t>监理人及其委派的检验人员，应能进入工程现场，以及材料或工程设备的制造、加工或制配的车间和场所，包括不属于承包人的车间或场所进行检查，承包人应为此提供便利和协助。</w:t>
      </w:r>
      <w:r>
        <w:rPr>
          <w:rFonts w:ascii="宋体" w:hAnsi="宋体"/>
          <w:bCs/>
          <w:sz w:val="24"/>
        </w:rPr>
        <w:t xml:space="preserve"> </w:t>
      </w:r>
    </w:p>
    <w:p w14:paraId="402C7999">
      <w:pPr>
        <w:spacing w:line="360" w:lineRule="auto"/>
        <w:ind w:firstLine="480" w:firstLineChars="200"/>
        <w:rPr>
          <w:rFonts w:ascii="宋体" w:hAnsi="宋体"/>
          <w:b/>
          <w:sz w:val="24"/>
        </w:rPr>
      </w:pPr>
      <w:r>
        <w:rPr>
          <w:rFonts w:hint="eastAsia" w:ascii="宋体" w:hAnsi="宋体"/>
          <w:bCs/>
          <w:sz w:val="24"/>
        </w:rPr>
        <w:t>监理人可以将材料或工程设备的检查和检验委托给一家独立的有质量检验认证资格的检验单位。该独立检验单位的检验结果应视为监理人完成的。监理人应将这种委托的通知书不少于</w:t>
      </w:r>
      <w:r>
        <w:rPr>
          <w:rFonts w:ascii="宋体" w:hAnsi="宋体"/>
          <w:bCs/>
          <w:sz w:val="24"/>
        </w:rPr>
        <w:t>7</w:t>
      </w:r>
      <w:r>
        <w:rPr>
          <w:rFonts w:hint="eastAsia" w:ascii="宋体" w:hAnsi="宋体"/>
          <w:bCs/>
          <w:sz w:val="24"/>
        </w:rPr>
        <w:t>天前交给承包人。</w:t>
      </w:r>
    </w:p>
    <w:p w14:paraId="46F0A784">
      <w:pPr>
        <w:pStyle w:val="2"/>
        <w:spacing w:before="240" w:after="240" w:line="240" w:lineRule="atLeast"/>
        <w:rPr>
          <w:rFonts w:ascii="黑体"/>
          <w:b w:val="0"/>
          <w:sz w:val="24"/>
          <w:szCs w:val="24"/>
        </w:rPr>
      </w:pPr>
      <w:r>
        <w:rPr>
          <w:rFonts w:ascii="黑体"/>
          <w:b w:val="0"/>
          <w:sz w:val="24"/>
          <w:szCs w:val="24"/>
        </w:rPr>
        <w:t xml:space="preserve">13.4 </w:t>
      </w:r>
      <w:r>
        <w:rPr>
          <w:rFonts w:hint="eastAsia" w:ascii="黑体"/>
          <w:b w:val="0"/>
          <w:sz w:val="24"/>
          <w:szCs w:val="24"/>
        </w:rPr>
        <w:t>工程隐蔽部位覆盖前的检查</w:t>
      </w:r>
      <w:bookmarkEnd w:id="784"/>
    </w:p>
    <w:p w14:paraId="071DD043">
      <w:pPr>
        <w:adjustRightInd w:val="0"/>
        <w:snapToGrid w:val="0"/>
        <w:spacing w:line="360" w:lineRule="auto"/>
        <w:ind w:firstLine="360" w:firstLineChars="150"/>
        <w:rPr>
          <w:rFonts w:ascii="黑体" w:hAnsi="黑体" w:eastAsia="黑体"/>
          <w:sz w:val="24"/>
        </w:rPr>
      </w:pPr>
      <w:r>
        <w:rPr>
          <w:rFonts w:ascii="黑体" w:hAnsi="黑体" w:eastAsia="黑体"/>
          <w:sz w:val="24"/>
        </w:rPr>
        <w:t>13.4.1</w:t>
      </w:r>
      <w:r>
        <w:rPr>
          <w:rFonts w:hint="eastAsia" w:ascii="黑体" w:hAnsi="黑体" w:eastAsia="黑体"/>
          <w:sz w:val="24"/>
          <w:lang w:val="en-US" w:eastAsia="zh-CN"/>
        </w:rPr>
        <w:t xml:space="preserve"> </w:t>
      </w:r>
      <w:r>
        <w:rPr>
          <w:rFonts w:ascii="黑体" w:hAnsi="黑体" w:eastAsia="黑体"/>
          <w:sz w:val="24"/>
        </w:rPr>
        <w:t>通知监理人检查</w:t>
      </w:r>
    </w:p>
    <w:p w14:paraId="7906AFA9">
      <w:pPr>
        <w:adjustRightInd w:val="0"/>
        <w:snapToGrid w:val="0"/>
        <w:spacing w:line="360" w:lineRule="auto"/>
        <w:ind w:firstLine="480" w:firstLineChars="200"/>
        <w:rPr>
          <w:rFonts w:hAnsi="宋体"/>
          <w:sz w:val="24"/>
        </w:rPr>
      </w:pPr>
      <w:r>
        <w:rPr>
          <w:rFonts w:hint="eastAsia" w:ascii="宋体" w:hAnsi="宋体"/>
          <w:sz w:val="24"/>
        </w:rPr>
        <w:t>本项补充：</w:t>
      </w:r>
      <w:r>
        <w:rPr>
          <w:rFonts w:ascii="宋体" w:hAnsi="宋体"/>
          <w:sz w:val="24"/>
        </w:rPr>
        <w:t xml:space="preserve"> </w:t>
      </w:r>
    </w:p>
    <w:p w14:paraId="52AB0269">
      <w:pPr>
        <w:adjustRightInd w:val="0"/>
        <w:snapToGrid w:val="0"/>
        <w:spacing w:line="360" w:lineRule="auto"/>
        <w:ind w:firstLine="480" w:firstLineChars="200"/>
        <w:rPr>
          <w:rFonts w:ascii="宋体" w:hAnsi="宋体"/>
          <w:sz w:val="24"/>
        </w:rPr>
      </w:pPr>
      <w:r>
        <w:rPr>
          <w:rFonts w:hint="eastAsia" w:ascii="宋体" w:hAnsi="宋体"/>
          <w:sz w:val="24"/>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5F2E825D">
      <w:pPr>
        <w:adjustRightInd w:val="0"/>
        <w:snapToGrid w:val="0"/>
        <w:spacing w:line="360" w:lineRule="auto"/>
        <w:ind w:firstLine="480" w:firstLineChars="200"/>
        <w:rPr>
          <w:rFonts w:ascii="宋体" w:hAnsi="宋体"/>
          <w:spacing w:val="-4"/>
          <w:sz w:val="24"/>
        </w:rPr>
      </w:pPr>
      <w:r>
        <w:rPr>
          <w:rFonts w:hint="eastAsia" w:ascii="宋体" w:hAnsi="宋体"/>
          <w:bCs/>
          <w:sz w:val="24"/>
        </w:rPr>
        <w:t>通知监理人检查的期限：</w:t>
      </w:r>
      <w:r>
        <w:rPr>
          <w:rFonts w:hint="eastAsia" w:ascii="宋体" w:hAnsi="宋体"/>
          <w:spacing w:val="-4"/>
          <w:sz w:val="24"/>
        </w:rPr>
        <w:t>承包人应通知监理人在接到通知书</w:t>
      </w:r>
      <w:r>
        <w:rPr>
          <w:rFonts w:ascii="宋体" w:hAnsi="宋体"/>
          <w:spacing w:val="-4"/>
          <w:sz w:val="24"/>
        </w:rPr>
        <w:t>24小时内检查。</w:t>
      </w:r>
    </w:p>
    <w:p w14:paraId="7C94E3B8">
      <w:pPr>
        <w:adjustRightInd w:val="0"/>
        <w:snapToGrid w:val="0"/>
        <w:spacing w:line="360" w:lineRule="auto"/>
        <w:ind w:firstLine="360" w:firstLineChars="150"/>
        <w:rPr>
          <w:rFonts w:ascii="黑体" w:hAnsi="黑体" w:eastAsia="黑体"/>
          <w:sz w:val="24"/>
        </w:rPr>
      </w:pPr>
      <w:r>
        <w:rPr>
          <w:rFonts w:ascii="黑体" w:hAnsi="黑体" w:eastAsia="黑体"/>
          <w:sz w:val="24"/>
        </w:rPr>
        <w:t>13.4.2</w:t>
      </w:r>
      <w:r>
        <w:rPr>
          <w:rFonts w:hint="eastAsia" w:ascii="黑体" w:hAnsi="黑体" w:eastAsia="黑体"/>
          <w:sz w:val="24"/>
          <w:lang w:val="en-US" w:eastAsia="zh-CN"/>
        </w:rPr>
        <w:t xml:space="preserve"> </w:t>
      </w:r>
      <w:r>
        <w:rPr>
          <w:rFonts w:ascii="黑体" w:hAnsi="黑体" w:eastAsia="黑体"/>
          <w:sz w:val="24"/>
        </w:rPr>
        <w:t>监理人未到场检查</w:t>
      </w:r>
    </w:p>
    <w:p w14:paraId="4505971F">
      <w:pPr>
        <w:adjustRightInd w:val="0"/>
        <w:snapToGrid w:val="0"/>
        <w:spacing w:line="360" w:lineRule="auto"/>
        <w:ind w:firstLine="480" w:firstLineChars="200"/>
        <w:rPr>
          <w:rFonts w:ascii="宋体" w:hAnsi="宋体"/>
          <w:sz w:val="24"/>
        </w:rPr>
      </w:pPr>
      <w:r>
        <w:rPr>
          <w:rFonts w:ascii="宋体" w:hAnsi="宋体"/>
          <w:sz w:val="24"/>
        </w:rPr>
        <w:t>本项第一句修改为：监理人未在第13.4.1项约定的时间后12小时内到场。</w:t>
      </w:r>
    </w:p>
    <w:p w14:paraId="7549A899">
      <w:pPr>
        <w:pStyle w:val="2"/>
        <w:keepNext w:val="0"/>
        <w:keepLines w:val="0"/>
        <w:widowControl/>
        <w:spacing w:before="240" w:after="240" w:line="240" w:lineRule="atLeast"/>
        <w:jc w:val="left"/>
        <w:rPr>
          <w:rFonts w:ascii="黑体"/>
          <w:b w:val="0"/>
          <w:sz w:val="24"/>
          <w:szCs w:val="24"/>
        </w:rPr>
      </w:pPr>
      <w:r>
        <w:rPr>
          <w:rFonts w:hint="eastAsia" w:ascii="黑体"/>
          <w:b w:val="0"/>
          <w:sz w:val="24"/>
          <w:szCs w:val="24"/>
          <w:lang w:bidi="ar"/>
        </w:rPr>
        <w:t xml:space="preserve">13.5 清除不合格工程 </w:t>
      </w:r>
    </w:p>
    <w:p w14:paraId="50F79B72">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第13.5.1项补充： </w:t>
      </w:r>
    </w:p>
    <w:p w14:paraId="31A363D0">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如果承包人未在规定时间内执行监理人的指示，发包人有权雇用他人执行，由此增加的费用和（或）工期延误由承包人承担。</w:t>
      </w:r>
    </w:p>
    <w:p w14:paraId="6FB0EBAF">
      <w:pPr>
        <w:pStyle w:val="2"/>
        <w:spacing w:before="360" w:after="240" w:line="240" w:lineRule="atLeast"/>
        <w:rPr>
          <w:rFonts w:ascii="黑体"/>
          <w:b w:val="0"/>
          <w:sz w:val="28"/>
          <w:szCs w:val="28"/>
        </w:rPr>
      </w:pPr>
      <w:bookmarkStart w:id="785" w:name="_Toc53685765"/>
      <w:r>
        <w:rPr>
          <w:rFonts w:ascii="黑体"/>
          <w:b w:val="0"/>
          <w:sz w:val="28"/>
          <w:szCs w:val="28"/>
        </w:rPr>
        <w:t>14</w:t>
      </w:r>
      <w:r>
        <w:rPr>
          <w:rFonts w:hint="eastAsia" w:ascii="黑体"/>
          <w:b w:val="0"/>
          <w:sz w:val="28"/>
          <w:szCs w:val="28"/>
        </w:rPr>
        <w:t>．试验和检验</w:t>
      </w:r>
      <w:bookmarkEnd w:id="785"/>
    </w:p>
    <w:p w14:paraId="360A735B">
      <w:pPr>
        <w:pStyle w:val="2"/>
        <w:keepNext w:val="0"/>
        <w:keepLines w:val="0"/>
        <w:widowControl/>
        <w:spacing w:before="240" w:after="240" w:line="240" w:lineRule="atLeast"/>
        <w:jc w:val="left"/>
        <w:rPr>
          <w:rFonts w:ascii="黑体"/>
          <w:b w:val="0"/>
          <w:sz w:val="24"/>
          <w:szCs w:val="24"/>
        </w:rPr>
      </w:pPr>
      <w:bookmarkStart w:id="786" w:name="_Toc53685766"/>
      <w:bookmarkStart w:id="787" w:name="_Toc53685767"/>
      <w:r>
        <w:rPr>
          <w:rFonts w:hint="eastAsia" w:ascii="黑体"/>
          <w:b w:val="0"/>
          <w:sz w:val="24"/>
          <w:szCs w:val="24"/>
          <w:lang w:bidi="ar"/>
        </w:rPr>
        <w:t xml:space="preserve">14.1 材料、工程设备和工程的试验和检验 </w:t>
      </w:r>
    </w:p>
    <w:p w14:paraId="3C9AE046">
      <w:pPr>
        <w:widowControl/>
        <w:adjustRightInd w:val="0"/>
        <w:snapToGrid w:val="0"/>
        <w:spacing w:line="360" w:lineRule="auto"/>
        <w:ind w:left="0" w:leftChars="0" w:firstLine="480" w:firstLineChars="200"/>
        <w:jc w:val="left"/>
        <w:rPr>
          <w:rFonts w:ascii="宋体" w:hAnsi="宋体"/>
          <w:sz w:val="24"/>
        </w:rPr>
      </w:pPr>
      <w:r>
        <w:rPr>
          <w:rFonts w:hint="eastAsia" w:ascii="宋体" w:hAnsi="宋体"/>
          <w:sz w:val="24"/>
          <w:lang w:bidi="ar"/>
        </w:rPr>
        <w:t xml:space="preserve">第14.1.2项补充： </w:t>
      </w:r>
    </w:p>
    <w:p w14:paraId="5672AF6C">
      <w:pPr>
        <w:widowControl/>
        <w:adjustRightInd w:val="0"/>
        <w:snapToGrid w:val="0"/>
        <w:spacing w:line="360" w:lineRule="auto"/>
        <w:ind w:left="0" w:leftChars="0" w:firstLine="480" w:firstLineChars="200"/>
        <w:jc w:val="left"/>
        <w:rPr>
          <w:rFonts w:ascii="宋体" w:hAnsi="宋体"/>
          <w:sz w:val="24"/>
        </w:rPr>
      </w:pPr>
      <w:r>
        <w:rPr>
          <w:rFonts w:hint="eastAsia" w:ascii="宋体" w:hAnsi="宋体"/>
          <w:sz w:val="24"/>
          <w:lang w:bidi="ar"/>
        </w:rPr>
        <w:t>对于承包人不能完成的试验或检验，承包人应委托具有相应资格的第三方进行试验、检验，有关费用由承包人承担。</w:t>
      </w:r>
    </w:p>
    <w:p w14:paraId="46C5C4F6">
      <w:pPr>
        <w:pStyle w:val="2"/>
        <w:spacing w:before="240" w:after="240" w:line="240" w:lineRule="atLeast"/>
        <w:rPr>
          <w:rFonts w:ascii="黑体"/>
          <w:b w:val="0"/>
          <w:sz w:val="24"/>
          <w:szCs w:val="24"/>
        </w:rPr>
      </w:pPr>
      <w:r>
        <w:rPr>
          <w:rFonts w:ascii="黑体"/>
          <w:b w:val="0"/>
          <w:sz w:val="24"/>
          <w:szCs w:val="24"/>
        </w:rPr>
        <w:t xml:space="preserve">14.2 </w:t>
      </w:r>
      <w:r>
        <w:rPr>
          <w:rFonts w:hint="eastAsia" w:ascii="黑体"/>
          <w:b w:val="0"/>
          <w:sz w:val="24"/>
          <w:szCs w:val="24"/>
        </w:rPr>
        <w:t>现场材料试验</w:t>
      </w:r>
      <w:bookmarkEnd w:id="786"/>
    </w:p>
    <w:p w14:paraId="608C89CD">
      <w:pPr>
        <w:adjustRightInd w:val="0"/>
        <w:snapToGrid w:val="0"/>
        <w:spacing w:line="360" w:lineRule="auto"/>
        <w:ind w:left="0" w:leftChars="0" w:firstLine="480" w:firstLineChars="200"/>
        <w:rPr>
          <w:rFonts w:ascii="宋体" w:hAnsi="宋体"/>
          <w:sz w:val="24"/>
        </w:rPr>
      </w:pPr>
      <w:r>
        <w:rPr>
          <w:rFonts w:hint="eastAsia" w:ascii="宋体" w:hAnsi="宋体"/>
          <w:sz w:val="24"/>
        </w:rPr>
        <w:t>本款补充第</w:t>
      </w:r>
      <w:r>
        <w:rPr>
          <w:rFonts w:ascii="宋体" w:hAnsi="宋体"/>
          <w:sz w:val="24"/>
        </w:rPr>
        <w:t>14.2.3</w:t>
      </w:r>
      <w:r>
        <w:rPr>
          <w:rFonts w:hint="eastAsia" w:ascii="宋体" w:hAnsi="宋体"/>
          <w:sz w:val="24"/>
        </w:rPr>
        <w:t>项：</w:t>
      </w:r>
    </w:p>
    <w:p w14:paraId="30C8E032">
      <w:pPr>
        <w:adjustRightInd w:val="0"/>
        <w:snapToGrid w:val="0"/>
        <w:spacing w:line="360" w:lineRule="auto"/>
        <w:ind w:left="0" w:leftChars="0" w:firstLine="360" w:firstLineChars="150"/>
        <w:rPr>
          <w:rFonts w:ascii="黑体" w:hAnsi="黑体" w:eastAsia="黑体"/>
          <w:sz w:val="24"/>
        </w:rPr>
      </w:pPr>
      <w:r>
        <w:rPr>
          <w:rFonts w:ascii="黑体" w:hAnsi="黑体" w:eastAsia="黑体"/>
          <w:sz w:val="24"/>
        </w:rPr>
        <w:t>14.2.3</w:t>
      </w:r>
      <w:r>
        <w:rPr>
          <w:rFonts w:hint="default" w:ascii="黑体" w:hAnsi="黑体" w:eastAsia="黑体"/>
          <w:sz w:val="24"/>
          <w:lang w:val="en-US" w:eastAsia="zh-CN"/>
        </w:rPr>
        <w:t xml:space="preserve"> </w:t>
      </w:r>
      <w:r>
        <w:rPr>
          <w:rFonts w:hint="default" w:ascii="黑体" w:hAnsi="黑体" w:eastAsia="黑体" w:cs="Times New Roman"/>
          <w:sz w:val="24"/>
        </w:rPr>
        <w:t>承包人的工地试验室</w:t>
      </w:r>
    </w:p>
    <w:p w14:paraId="5B46BBE9">
      <w:pPr>
        <w:tabs>
          <w:tab w:val="left" w:pos="700"/>
        </w:tabs>
        <w:spacing w:line="360" w:lineRule="auto"/>
        <w:ind w:left="181" w:leftChars="86" w:firstLine="470" w:firstLineChars="196"/>
        <w:rPr>
          <w:rFonts w:ascii="宋体" w:hAnsi="宋体"/>
          <w:sz w:val="24"/>
        </w:rPr>
      </w:pPr>
      <w:r>
        <w:rPr>
          <w:rFonts w:hint="eastAsia" w:ascii="宋体" w:hAnsi="宋体"/>
          <w:sz w:val="24"/>
        </w:rPr>
        <w:t>（1）承包人的工地试验室的规模、场地建设、信息化建设等应满足</w:t>
      </w:r>
      <w:bookmarkStart w:id="788" w:name="_Hlk98249924"/>
      <w:r>
        <w:rPr>
          <w:rFonts w:hint="eastAsia" w:ascii="宋体" w:hAnsi="宋体"/>
          <w:sz w:val="24"/>
        </w:rPr>
        <w:t>四川省交通运输厅《</w:t>
      </w:r>
      <w:r>
        <w:rPr>
          <w:rFonts w:ascii="宋体" w:hAnsi="宋体"/>
          <w:sz w:val="24"/>
        </w:rPr>
        <w:t>四川省公路水运工程工地试验室和</w:t>
      </w:r>
      <w:r>
        <w:rPr>
          <w:rFonts w:hint="eastAsia" w:ascii="宋体" w:hAnsi="宋体"/>
          <w:sz w:val="24"/>
        </w:rPr>
        <w:t>现场检测项目管理办法》（2</w:t>
      </w:r>
      <w:r>
        <w:rPr>
          <w:rFonts w:ascii="宋体" w:hAnsi="宋体"/>
          <w:sz w:val="24"/>
        </w:rPr>
        <w:t>022</w:t>
      </w:r>
      <w:r>
        <w:rPr>
          <w:rFonts w:hint="eastAsia" w:ascii="宋体" w:hAnsi="宋体"/>
          <w:sz w:val="24"/>
        </w:rPr>
        <w:t>年5月1日起施行）</w:t>
      </w:r>
      <w:bookmarkEnd w:id="788"/>
      <w:r>
        <w:rPr>
          <w:rFonts w:hint="eastAsia" w:ascii="宋体" w:hAnsi="宋体"/>
          <w:sz w:val="24"/>
        </w:rPr>
        <w:t>的规定，按照</w:t>
      </w:r>
      <w:r>
        <w:rPr>
          <w:rFonts w:hint="eastAsia" w:ascii="宋体" w:hAnsi="宋体" w:cs="宋体"/>
          <w:sz w:val="24"/>
          <w:shd w:val="clear" w:color="auto" w:fill="FFFFFF"/>
        </w:rPr>
        <w:t>交通运输部《公路工程工地试验室标准化指南》《“两区三厂”建设安全标准化指南》相关要求进行建设</w:t>
      </w:r>
      <w:r>
        <w:rPr>
          <w:rFonts w:hint="eastAsia" w:ascii="宋体" w:hAnsi="宋体"/>
          <w:sz w:val="24"/>
        </w:rPr>
        <w:t>，费用由承包人承担。</w:t>
      </w:r>
    </w:p>
    <w:p w14:paraId="18500AAF">
      <w:pPr>
        <w:tabs>
          <w:tab w:val="left" w:pos="700"/>
        </w:tabs>
        <w:spacing w:line="360" w:lineRule="auto"/>
        <w:ind w:left="181" w:leftChars="86" w:firstLine="470" w:firstLineChars="196"/>
        <w:rPr>
          <w:rFonts w:ascii="宋体" w:hAnsi="宋体"/>
          <w:sz w:val="24"/>
        </w:rPr>
      </w:pPr>
      <w:r>
        <w:rPr>
          <w:rFonts w:hint="eastAsia" w:ascii="宋体" w:hAnsi="宋体"/>
          <w:sz w:val="24"/>
        </w:rPr>
        <w:t>（2）工地试验室应在合同签订后按计划时间组建完毕报监理人审查后，按照四川省交通运输厅《</w:t>
      </w:r>
      <w:r>
        <w:rPr>
          <w:rFonts w:ascii="宋体" w:hAnsi="宋体"/>
          <w:sz w:val="24"/>
        </w:rPr>
        <w:t>四川省公路水运工程工地试验室和</w:t>
      </w:r>
      <w:r>
        <w:rPr>
          <w:rFonts w:hint="eastAsia" w:ascii="宋体" w:hAnsi="宋体"/>
          <w:sz w:val="24"/>
        </w:rPr>
        <w:t>现场检测项目管理办法》（2</w:t>
      </w:r>
      <w:r>
        <w:rPr>
          <w:rFonts w:ascii="宋体" w:hAnsi="宋体"/>
          <w:sz w:val="24"/>
        </w:rPr>
        <w:t>022</w:t>
      </w:r>
      <w:r>
        <w:rPr>
          <w:rFonts w:hint="eastAsia" w:ascii="宋体" w:hAnsi="宋体"/>
          <w:sz w:val="24"/>
        </w:rPr>
        <w:t>年5月1日起施行）规定，经发包人验收后报送项目质监机构，项目质监机构应对工地试验室验收工作进行检查，并对通过验收的工地试验室进行登记备案，取得质监机构“公路水运工程工地试验室备案通知书”。</w:t>
      </w:r>
    </w:p>
    <w:p w14:paraId="0E250804">
      <w:pPr>
        <w:tabs>
          <w:tab w:val="left" w:pos="700"/>
        </w:tabs>
        <w:spacing w:line="360" w:lineRule="auto"/>
        <w:ind w:left="181" w:leftChars="86" w:firstLine="470" w:firstLineChars="196"/>
        <w:rPr>
          <w:rFonts w:ascii="宋体" w:hAnsi="宋体"/>
          <w:sz w:val="24"/>
        </w:rPr>
      </w:pPr>
      <w:r>
        <w:rPr>
          <w:rFonts w:hint="eastAsia" w:ascii="宋体" w:hAnsi="宋体"/>
          <w:sz w:val="24"/>
        </w:rPr>
        <w:t>（3）</w:t>
      </w:r>
      <w:r>
        <w:rPr>
          <w:rFonts w:hint="eastAsia" w:ascii="宋体" w:hAnsi="宋体" w:cs="宋体"/>
          <w:sz w:val="24"/>
          <w:shd w:val="clear" w:color="auto" w:fill="FFFFFF"/>
        </w:rPr>
        <w:t>承包人工地试验室的持证试验检测人员均应在“公路水运工程试验检测管理信息系统”中录入到母体检测机构，且不得同时在两个及两个以上工地试验室从事检测工作。承包人工地试验室试验检测人员应保持稳定，因特殊原因需变更的，须报建设单位审批同意，但变更后的人员资格条件不得降低，同时将变更情况向项目质监机构报备。</w:t>
      </w:r>
    </w:p>
    <w:p w14:paraId="0E8C1F9F">
      <w:pPr>
        <w:tabs>
          <w:tab w:val="left" w:pos="700"/>
        </w:tabs>
        <w:spacing w:line="360" w:lineRule="auto"/>
        <w:ind w:left="181" w:leftChars="86" w:firstLine="470" w:firstLineChars="196"/>
        <w:rPr>
          <w:rFonts w:ascii="宋体" w:hAnsi="宋体"/>
          <w:sz w:val="24"/>
        </w:rPr>
      </w:pPr>
      <w:r>
        <w:rPr>
          <w:rFonts w:hint="eastAsia" w:ascii="宋体" w:hAnsi="宋体"/>
          <w:sz w:val="24"/>
        </w:rPr>
        <w:t>（4）承包人的工地试验室应优先配置具有自动采集、储存、处理、上传和打印于一体的智能化检测仪器设备。标准养护室应配置全自动温、湿度同步控制设备；检测区各功能室应具备实时监控功能，用以记录工地试验室检测行为；拌</w:t>
      </w:r>
      <w:r>
        <w:rPr>
          <w:rFonts w:hint="eastAsia" w:ascii="宋体" w:hAnsi="宋体"/>
          <w:sz w:val="24"/>
          <w:lang w:val="en-US" w:eastAsia="zh-CN"/>
        </w:rPr>
        <w:t>和场</w:t>
      </w:r>
      <w:r>
        <w:rPr>
          <w:rFonts w:hint="eastAsia" w:ascii="宋体" w:hAnsi="宋体"/>
          <w:sz w:val="24"/>
        </w:rPr>
        <w:t>也应安装自动采集设备，对相关数据实现自动采集及上传。</w:t>
      </w:r>
    </w:p>
    <w:p w14:paraId="2CDB960E">
      <w:pPr>
        <w:tabs>
          <w:tab w:val="left" w:pos="700"/>
        </w:tabs>
        <w:spacing w:line="360" w:lineRule="auto"/>
        <w:ind w:left="181" w:leftChars="86" w:firstLine="470" w:firstLineChars="196"/>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）承包人的工地试验室应纳入发包人的项目工程质量检测管理信息监控系统，对检测人员身份进行登记管理，关键试验仪器检测数据做到自动采集、实时上传监控系统，保证数据的真实性、降低出错率。</w:t>
      </w:r>
    </w:p>
    <w:p w14:paraId="4C42A266">
      <w:pPr>
        <w:tabs>
          <w:tab w:val="left" w:pos="700"/>
        </w:tabs>
        <w:adjustRightInd w:val="0"/>
        <w:snapToGrid w:val="0"/>
        <w:spacing w:line="360" w:lineRule="auto"/>
        <w:ind w:left="181" w:leftChars="86"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）承包人</w:t>
      </w:r>
      <w:r>
        <w:rPr>
          <w:rFonts w:hint="eastAsia" w:ascii="宋体" w:hAnsi="宋体" w:cs="宋体"/>
          <w:sz w:val="24"/>
          <w:shd w:val="clear" w:color="auto" w:fill="FFFFFF"/>
        </w:rPr>
        <w:t>工地试验室按照施工技术规范和检验评定标准要求，承担施工自检任务，完成相应的标准试验、工艺试验和抽样试验。</w:t>
      </w:r>
    </w:p>
    <w:p w14:paraId="0E514962">
      <w:pPr>
        <w:tabs>
          <w:tab w:val="left" w:pos="700"/>
        </w:tabs>
        <w:adjustRightInd w:val="0"/>
        <w:snapToGrid w:val="0"/>
        <w:spacing w:line="360" w:lineRule="auto"/>
        <w:ind w:left="181" w:leftChars="86" w:firstLine="480" w:firstLineChars="200"/>
        <w:rPr>
          <w:rFonts w:ascii="宋体" w:hAnsi="宋体"/>
          <w:sz w:val="24"/>
        </w:rPr>
      </w:pPr>
      <w:r>
        <w:rPr>
          <w:rFonts w:hint="eastAsia" w:ascii="宋体" w:hAnsi="宋体"/>
          <w:sz w:val="24"/>
        </w:rPr>
        <w:t>如果承包人的工地试验室的试验检测工作环境或质量不能满足有关规范、规程的要求和标准时，监理人和发包人有权强制要求该项试验检测工作由有资质的试验室完成，费用由承包人承担。</w:t>
      </w:r>
    </w:p>
    <w:p w14:paraId="720D6DB6">
      <w:pPr>
        <w:tabs>
          <w:tab w:val="left" w:pos="700"/>
        </w:tabs>
        <w:adjustRightInd w:val="0"/>
        <w:snapToGrid w:val="0"/>
        <w:spacing w:line="360" w:lineRule="auto"/>
        <w:ind w:left="181" w:leftChars="86" w:firstLine="480" w:firstLineChars="200"/>
        <w:rPr>
          <w:rFonts w:ascii="宋体" w:hAnsi="宋体" w:cs="宋体"/>
          <w:sz w:val="24"/>
          <w:shd w:val="clear" w:color="auto" w:fill="FFFFFF"/>
        </w:rPr>
      </w:pPr>
      <w:r>
        <w:rPr>
          <w:rFonts w:hint="eastAsia" w:ascii="宋体" w:hAnsi="宋体"/>
          <w:sz w:val="24"/>
        </w:rPr>
        <w:t>（</w:t>
      </w:r>
      <w:r>
        <w:rPr>
          <w:rFonts w:ascii="宋体" w:hAnsi="宋体"/>
          <w:sz w:val="24"/>
        </w:rPr>
        <w:t>7</w:t>
      </w:r>
      <w:r>
        <w:rPr>
          <w:rFonts w:hint="eastAsia" w:ascii="宋体" w:hAnsi="宋体"/>
          <w:sz w:val="24"/>
        </w:rPr>
        <w:t>）承包人工地试验室的</w:t>
      </w:r>
      <w:r>
        <w:rPr>
          <w:rFonts w:hint="eastAsia" w:ascii="宋体" w:hAnsi="宋体" w:cs="宋体"/>
          <w:sz w:val="24"/>
          <w:shd w:val="clear" w:color="auto" w:fill="FFFFFF"/>
        </w:rPr>
        <w:t>母体检测机构应加强对工地试验室履行指导和监管职责，并且定期对其运行情况开展检查，同时应对派驻现场的试验检测人员进行岗位能力进行考核。</w:t>
      </w:r>
    </w:p>
    <w:p w14:paraId="30188DB4">
      <w:pPr>
        <w:tabs>
          <w:tab w:val="left" w:pos="700"/>
        </w:tabs>
        <w:adjustRightInd w:val="0"/>
        <w:snapToGrid w:val="0"/>
        <w:spacing w:line="360" w:lineRule="auto"/>
        <w:ind w:left="181" w:leftChars="86" w:firstLine="480" w:firstLineChars="200"/>
        <w:rPr>
          <w:rFonts w:ascii="宋体" w:hAnsi="宋体"/>
          <w:b/>
          <w:sz w:val="24"/>
        </w:rPr>
      </w:pPr>
      <w:r>
        <w:rPr>
          <w:rFonts w:hint="eastAsia" w:ascii="宋体" w:hAnsi="宋体"/>
          <w:sz w:val="24"/>
        </w:rPr>
        <w:t>（</w:t>
      </w:r>
      <w:r>
        <w:rPr>
          <w:rFonts w:ascii="宋体" w:hAnsi="宋体"/>
          <w:sz w:val="24"/>
        </w:rPr>
        <w:t>8</w:t>
      </w:r>
      <w:r>
        <w:rPr>
          <w:rFonts w:hint="eastAsia" w:ascii="宋体" w:hAnsi="宋体"/>
          <w:sz w:val="24"/>
        </w:rPr>
        <w:t>）工地试验室应接受监理试验室监督与检查，以及发包人对工地试验室的管理和检查。同时还应接受交通运输主管部门、项目质监机构采取“双随机一公开”等方式，对其进行定期或不定期的监督检查，及时纠正、查处违规行为。</w:t>
      </w:r>
    </w:p>
    <w:p w14:paraId="77796336">
      <w:pPr>
        <w:pStyle w:val="2"/>
        <w:spacing w:before="240" w:after="240" w:line="240" w:lineRule="atLeast"/>
        <w:ind w:firstLine="480" w:firstLineChars="200"/>
        <w:rPr>
          <w:rFonts w:ascii="宋体" w:hAnsi="宋体" w:eastAsia="宋体"/>
          <w:b w:val="0"/>
          <w:bCs w:val="0"/>
          <w:kern w:val="2"/>
          <w:sz w:val="24"/>
          <w:szCs w:val="24"/>
        </w:rPr>
      </w:pPr>
      <w:r>
        <w:rPr>
          <w:rFonts w:hint="eastAsia" w:ascii="宋体" w:hAnsi="宋体" w:eastAsia="宋体"/>
          <w:b w:val="0"/>
          <w:bCs w:val="0"/>
          <w:kern w:val="2"/>
          <w:sz w:val="24"/>
          <w:szCs w:val="24"/>
          <w:lang w:val="en-US" w:eastAsia="zh-CN"/>
        </w:rPr>
        <w:t>本条</w:t>
      </w:r>
      <w:r>
        <w:rPr>
          <w:rFonts w:hint="eastAsia" w:ascii="宋体" w:hAnsi="宋体" w:eastAsia="宋体"/>
          <w:b w:val="0"/>
          <w:bCs w:val="0"/>
          <w:kern w:val="2"/>
          <w:sz w:val="24"/>
          <w:szCs w:val="24"/>
        </w:rPr>
        <w:t>补充第</w:t>
      </w:r>
      <w:r>
        <w:rPr>
          <w:rFonts w:ascii="宋体" w:hAnsi="宋体" w:eastAsia="宋体"/>
          <w:b w:val="0"/>
          <w:bCs w:val="0"/>
          <w:kern w:val="2"/>
          <w:sz w:val="24"/>
          <w:szCs w:val="24"/>
        </w:rPr>
        <w:t>14.4</w:t>
      </w:r>
      <w:r>
        <w:rPr>
          <w:rFonts w:hint="eastAsia" w:ascii="宋体" w:hAnsi="宋体" w:eastAsia="宋体"/>
          <w:b w:val="0"/>
          <w:bCs w:val="0"/>
          <w:kern w:val="2"/>
          <w:sz w:val="24"/>
          <w:szCs w:val="24"/>
        </w:rPr>
        <w:t>款：</w:t>
      </w:r>
    </w:p>
    <w:p w14:paraId="7C7D0D49">
      <w:pPr>
        <w:pStyle w:val="2"/>
        <w:spacing w:before="240" w:after="240" w:line="240" w:lineRule="atLeast"/>
        <w:rPr>
          <w:rFonts w:ascii="黑体"/>
          <w:b w:val="0"/>
          <w:sz w:val="24"/>
          <w:szCs w:val="24"/>
        </w:rPr>
      </w:pPr>
      <w:r>
        <w:rPr>
          <w:rFonts w:ascii="黑体"/>
          <w:b w:val="0"/>
          <w:sz w:val="24"/>
          <w:szCs w:val="24"/>
        </w:rPr>
        <w:t>14.4</w:t>
      </w:r>
      <w:r>
        <w:rPr>
          <w:rFonts w:hint="eastAsia" w:ascii="黑体"/>
          <w:b w:val="0"/>
          <w:sz w:val="24"/>
          <w:szCs w:val="24"/>
          <w:lang w:val="en-US" w:eastAsia="zh-CN"/>
        </w:rPr>
        <w:t xml:space="preserve"> </w:t>
      </w:r>
      <w:r>
        <w:rPr>
          <w:rFonts w:hint="eastAsia" w:ascii="黑体"/>
          <w:b w:val="0"/>
          <w:sz w:val="24"/>
          <w:szCs w:val="24"/>
        </w:rPr>
        <w:t>试验和检验费用</w:t>
      </w:r>
      <w:bookmarkEnd w:id="787"/>
    </w:p>
    <w:p w14:paraId="2A286CDB">
      <w:pPr>
        <w:adjustRightInd w:val="0"/>
        <w:snapToGrid w:val="0"/>
        <w:spacing w:line="360" w:lineRule="auto"/>
        <w:ind w:firstLine="360" w:firstLineChars="150"/>
        <w:rPr>
          <w:rFonts w:ascii="黑体" w:hAnsi="黑体" w:eastAsia="黑体"/>
          <w:sz w:val="24"/>
        </w:rPr>
      </w:pPr>
      <w:r>
        <w:rPr>
          <w:rFonts w:ascii="黑体" w:hAnsi="黑体" w:eastAsia="黑体"/>
          <w:sz w:val="24"/>
        </w:rPr>
        <w:t>14.4.1</w:t>
      </w:r>
      <w:r>
        <w:rPr>
          <w:rFonts w:hint="default" w:ascii="黑体" w:hAnsi="黑体" w:eastAsia="黑体"/>
          <w:sz w:val="24"/>
          <w:lang w:val="en-US" w:eastAsia="zh-CN"/>
        </w:rPr>
        <w:t xml:space="preserve"> </w:t>
      </w:r>
      <w:r>
        <w:rPr>
          <w:rFonts w:ascii="黑体" w:hAnsi="黑体" w:eastAsia="黑体"/>
          <w:sz w:val="24"/>
        </w:rPr>
        <w:t>承包人应完成的试验和检验</w:t>
      </w:r>
    </w:p>
    <w:p w14:paraId="5B383917">
      <w:pPr>
        <w:tabs>
          <w:tab w:val="left" w:pos="700"/>
        </w:tabs>
        <w:adjustRightInd w:val="0"/>
        <w:snapToGrid w:val="0"/>
        <w:spacing w:line="360" w:lineRule="auto"/>
        <w:ind w:firstLine="480" w:firstLineChars="200"/>
        <w:rPr>
          <w:rFonts w:hAnsi="宋体"/>
          <w:sz w:val="24"/>
        </w:rPr>
      </w:pPr>
      <w:bookmarkStart w:id="789" w:name="_Hlk94095423"/>
      <w:r>
        <w:rPr>
          <w:rFonts w:hint="eastAsia" w:ascii="宋体" w:hAnsi="宋体"/>
          <w:sz w:val="24"/>
        </w:rPr>
        <w:t>（</w:t>
      </w:r>
      <w:r>
        <w:rPr>
          <w:rFonts w:ascii="宋体" w:hAnsi="宋体"/>
          <w:sz w:val="24"/>
        </w:rPr>
        <w:t>1</w:t>
      </w:r>
      <w:r>
        <w:rPr>
          <w:rFonts w:hint="eastAsia" w:ascii="宋体" w:hAnsi="宋体"/>
          <w:sz w:val="24"/>
        </w:rPr>
        <w:t xml:space="preserve">）承包人应负责提供合同和技术规范规定的试验和检验所需的全部样品，承担其费用。 </w:t>
      </w:r>
    </w:p>
    <w:p w14:paraId="1D7663D2">
      <w:pPr>
        <w:tabs>
          <w:tab w:val="left" w:pos="700"/>
        </w:tabs>
        <w:adjustRightInd w:val="0"/>
        <w:snapToGrid w:val="0"/>
        <w:spacing w:line="360" w:lineRule="auto"/>
        <w:ind w:firstLine="480" w:firstLineChars="200"/>
        <w:rPr>
          <w:rFonts w:hAnsi="宋体"/>
          <w:sz w:val="24"/>
        </w:rPr>
      </w:pPr>
      <w:r>
        <w:rPr>
          <w:rFonts w:hint="eastAsia" w:ascii="宋体" w:hAnsi="宋体"/>
          <w:sz w:val="24"/>
        </w:rPr>
        <w:t>（</w:t>
      </w:r>
      <w:r>
        <w:rPr>
          <w:rFonts w:ascii="宋体" w:hAnsi="宋体"/>
          <w:sz w:val="24"/>
        </w:rPr>
        <w:t>2</w:t>
      </w:r>
      <w:r>
        <w:rPr>
          <w:rFonts w:hint="eastAsia" w:ascii="宋体" w:hAnsi="宋体"/>
          <w:sz w:val="24"/>
        </w:rPr>
        <w:t>）在合同中明确规定的试验和检验，包括无须在工程量清单中单独列项和已在工程量清单中单独列项的试验和检验，其试验和检验的费用由承包人承担。</w:t>
      </w:r>
      <w:r>
        <w:rPr>
          <w:rFonts w:ascii="宋体" w:hAnsi="宋体"/>
          <w:sz w:val="24"/>
        </w:rPr>
        <w:t xml:space="preserve"> </w:t>
      </w:r>
    </w:p>
    <w:p w14:paraId="14FDED6B">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bookmarkEnd w:id="789"/>
    </w:p>
    <w:p w14:paraId="03A6BBF4">
      <w:pPr>
        <w:adjustRightInd w:val="0"/>
        <w:snapToGrid w:val="0"/>
        <w:spacing w:line="360" w:lineRule="auto"/>
        <w:ind w:firstLine="360" w:firstLineChars="150"/>
        <w:rPr>
          <w:rFonts w:ascii="黑体" w:hAnsi="黑体" w:eastAsia="黑体"/>
          <w:sz w:val="24"/>
        </w:rPr>
      </w:pPr>
      <w:r>
        <w:rPr>
          <w:rFonts w:ascii="黑体" w:hAnsi="黑体" w:eastAsia="黑体"/>
          <w:sz w:val="24"/>
        </w:rPr>
        <w:t>14.4.2</w:t>
      </w:r>
      <w:r>
        <w:rPr>
          <w:rFonts w:hint="default" w:ascii="黑体" w:hAnsi="黑体" w:eastAsia="黑体"/>
          <w:sz w:val="24"/>
          <w:lang w:val="en-US" w:eastAsia="zh-CN"/>
        </w:rPr>
        <w:t xml:space="preserve"> </w:t>
      </w:r>
      <w:r>
        <w:rPr>
          <w:rFonts w:ascii="黑体" w:hAnsi="黑体" w:eastAsia="黑体"/>
          <w:sz w:val="24"/>
        </w:rPr>
        <w:t>配合试验检测第三方抽检和复测</w:t>
      </w:r>
    </w:p>
    <w:p w14:paraId="6F542008">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发包人、监理人、发包人认可的相关部门或其它第三方机构对工程的所有部位及其施工工艺、工程设备和材料进行检查和检验时，承包人应为上述人员的检查和检验提供方便，包括到施工现场，或制造、加工地点，或其它地方进行察看和查阅施工原始记录，还应按发包人或监理人的指示进行施工现场取样试验、工程复核测量和设备性能检测，提供试验样品，提交试验报告和测量成果等工作。 </w:t>
      </w:r>
    </w:p>
    <w:p w14:paraId="0093757B">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rPr>
        <w:t>14.4.3</w:t>
      </w:r>
      <w:r>
        <w:rPr>
          <w:rFonts w:hint="eastAsia" w:ascii="宋体" w:hAnsi="宋体"/>
          <w:sz w:val="24"/>
          <w:lang w:val="en-US" w:eastAsia="zh-CN"/>
        </w:rPr>
        <w:t xml:space="preserve"> </w:t>
      </w:r>
      <w:r>
        <w:rPr>
          <w:rFonts w:hint="eastAsia" w:ascii="宋体" w:hAnsi="宋体"/>
          <w:sz w:val="24"/>
        </w:rPr>
        <w:t>发包人要求的第三方试验和检测内容：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506CD85F">
      <w:pPr>
        <w:pStyle w:val="2"/>
        <w:spacing w:before="360" w:after="240" w:line="240" w:lineRule="atLeast"/>
        <w:rPr>
          <w:rFonts w:ascii="黑体"/>
          <w:b w:val="0"/>
          <w:sz w:val="28"/>
          <w:szCs w:val="28"/>
        </w:rPr>
      </w:pPr>
      <w:bookmarkStart w:id="790" w:name="_Toc53685768"/>
      <w:r>
        <w:rPr>
          <w:rFonts w:ascii="黑体"/>
          <w:b w:val="0"/>
          <w:sz w:val="28"/>
          <w:szCs w:val="28"/>
        </w:rPr>
        <w:t>15</w:t>
      </w:r>
      <w:r>
        <w:rPr>
          <w:rFonts w:hint="eastAsia" w:ascii="黑体"/>
          <w:b w:val="0"/>
          <w:sz w:val="28"/>
          <w:szCs w:val="28"/>
        </w:rPr>
        <w:t>．变更</w:t>
      </w:r>
      <w:bookmarkEnd w:id="790"/>
    </w:p>
    <w:p w14:paraId="3B77D1B8">
      <w:pPr>
        <w:pStyle w:val="2"/>
        <w:spacing w:before="240" w:after="240" w:line="240" w:lineRule="atLeast"/>
        <w:rPr>
          <w:rFonts w:ascii="黑体"/>
          <w:b w:val="0"/>
          <w:sz w:val="24"/>
          <w:szCs w:val="24"/>
        </w:rPr>
      </w:pPr>
      <w:bookmarkStart w:id="791" w:name="_Toc53685769"/>
      <w:r>
        <w:rPr>
          <w:rFonts w:ascii="黑体"/>
          <w:b w:val="0"/>
          <w:sz w:val="24"/>
          <w:szCs w:val="24"/>
        </w:rPr>
        <w:t xml:space="preserve">15.1 </w:t>
      </w:r>
      <w:r>
        <w:rPr>
          <w:rFonts w:hint="eastAsia" w:ascii="黑体"/>
          <w:b w:val="0"/>
          <w:sz w:val="24"/>
          <w:szCs w:val="24"/>
        </w:rPr>
        <w:t>变更</w:t>
      </w:r>
      <w:bookmarkEnd w:id="791"/>
      <w:r>
        <w:rPr>
          <w:rFonts w:hint="eastAsia" w:ascii="黑体"/>
          <w:b w:val="0"/>
          <w:sz w:val="24"/>
          <w:szCs w:val="24"/>
        </w:rPr>
        <w:t>权</w:t>
      </w:r>
    </w:p>
    <w:p w14:paraId="662E3702">
      <w:pPr>
        <w:widowControl/>
        <w:tabs>
          <w:tab w:val="left" w:pos="700"/>
        </w:tabs>
        <w:adjustRightInd w:val="0"/>
        <w:snapToGrid w:val="0"/>
        <w:spacing w:line="360" w:lineRule="auto"/>
        <w:ind w:firstLine="480" w:firstLineChars="200"/>
        <w:jc w:val="left"/>
        <w:rPr>
          <w:rFonts w:ascii="宋体" w:hAnsi="宋体" w:cs="Arial"/>
          <w:sz w:val="24"/>
        </w:rPr>
      </w:pPr>
      <w:r>
        <w:rPr>
          <w:rFonts w:hint="eastAsia" w:ascii="宋体" w:hAnsi="宋体" w:cs="Arial"/>
          <w:sz w:val="24"/>
          <w:lang w:bidi="ar"/>
        </w:rPr>
        <w:t xml:space="preserve">本款补充： </w:t>
      </w:r>
    </w:p>
    <w:p w14:paraId="62C5478B">
      <w:pPr>
        <w:widowControl/>
        <w:tabs>
          <w:tab w:val="left" w:pos="700"/>
        </w:tabs>
        <w:adjustRightInd w:val="0"/>
        <w:snapToGrid w:val="0"/>
        <w:spacing w:line="360" w:lineRule="auto"/>
        <w:ind w:firstLine="480" w:firstLineChars="200"/>
        <w:jc w:val="left"/>
        <w:rPr>
          <w:rFonts w:ascii="宋体" w:hAnsi="宋体" w:cs="Arial"/>
          <w:sz w:val="24"/>
        </w:rPr>
      </w:pPr>
      <w:r>
        <w:rPr>
          <w:rFonts w:hint="eastAsia" w:ascii="宋体" w:hAnsi="宋体" w:cs="Arial"/>
          <w:sz w:val="24"/>
          <w:lang w:bidi="ar"/>
        </w:rPr>
        <w:t xml:space="preserve">如果承包人为了便于组织施工、赶工，或为了施工安全，避免干扰等原因需采取相应的技术措施，而提出的局部变更设计，除须得到监理人和发包人批准外，还应遵守第15.3款规定，且由此而增加的费用应由承包人自行负担。 </w:t>
      </w:r>
    </w:p>
    <w:p w14:paraId="71E9FBBE">
      <w:pPr>
        <w:tabs>
          <w:tab w:val="left" w:pos="700"/>
        </w:tabs>
        <w:adjustRightInd w:val="0"/>
        <w:snapToGrid w:val="0"/>
        <w:spacing w:line="360" w:lineRule="auto"/>
        <w:ind w:firstLine="480" w:firstLineChars="200"/>
        <w:rPr>
          <w:rFonts w:ascii="宋体" w:hAnsi="宋体" w:cs="Arial"/>
          <w:sz w:val="24"/>
        </w:rPr>
      </w:pPr>
      <w:r>
        <w:rPr>
          <w:rFonts w:hint="eastAsia" w:ascii="宋体" w:hAnsi="宋体" w:cs="Arial"/>
          <w:sz w:val="24"/>
        </w:rPr>
        <w:t>变更应按照交通运输部《公路工程设计变更管理办法》《四川省普通国省干线公路建设项目设计变更管理办法》及</w:t>
      </w:r>
      <w:r>
        <w:rPr>
          <w:rFonts w:hint="eastAsia" w:ascii="宋体" w:hAnsi="宋体" w:cs="Arial"/>
          <w:sz w:val="24"/>
          <w:lang w:val="en-US" w:eastAsia="zh-CN"/>
        </w:rPr>
        <w:t>具有审批权限的交通运输主管部门或者地方政府投资</w:t>
      </w:r>
      <w:r>
        <w:rPr>
          <w:rFonts w:hint="eastAsia" w:ascii="宋体" w:hAnsi="宋体" w:cs="Arial"/>
          <w:sz w:val="24"/>
        </w:rPr>
        <w:t>有关管理办法执行。</w:t>
      </w:r>
    </w:p>
    <w:p w14:paraId="7607B6C4">
      <w:pPr>
        <w:pStyle w:val="2"/>
        <w:keepNext w:val="0"/>
        <w:keepLines w:val="0"/>
        <w:widowControl/>
        <w:spacing w:before="240" w:after="240" w:line="240" w:lineRule="atLeast"/>
        <w:jc w:val="left"/>
        <w:rPr>
          <w:rFonts w:ascii="黑体"/>
          <w:b w:val="0"/>
          <w:sz w:val="24"/>
          <w:szCs w:val="24"/>
        </w:rPr>
      </w:pPr>
      <w:r>
        <w:rPr>
          <w:rFonts w:hint="eastAsia" w:ascii="黑体"/>
          <w:b w:val="0"/>
          <w:sz w:val="24"/>
          <w:szCs w:val="24"/>
          <w:lang w:bidi="ar"/>
        </w:rPr>
        <w:t xml:space="preserve">15.2 承包人的合理化建议 </w:t>
      </w:r>
    </w:p>
    <w:p w14:paraId="3D197D2A">
      <w:pPr>
        <w:widowControl/>
        <w:tabs>
          <w:tab w:val="left" w:pos="700"/>
        </w:tabs>
        <w:adjustRightInd w:val="0"/>
        <w:snapToGrid w:val="0"/>
        <w:spacing w:line="360" w:lineRule="auto"/>
        <w:ind w:firstLine="480" w:firstLineChars="200"/>
        <w:jc w:val="left"/>
        <w:rPr>
          <w:rFonts w:ascii="宋体" w:hAnsi="宋体" w:cs="Arial"/>
          <w:sz w:val="24"/>
          <w:lang w:bidi="ar"/>
        </w:rPr>
      </w:pPr>
      <w:r>
        <w:rPr>
          <w:rFonts w:hint="eastAsia" w:ascii="宋体" w:hAnsi="宋体" w:cs="Arial"/>
          <w:sz w:val="24"/>
          <w:lang w:bidi="ar"/>
        </w:rPr>
        <w:t xml:space="preserve">第15.2.2项约定为： </w:t>
      </w:r>
    </w:p>
    <w:p w14:paraId="2BCE0D67">
      <w:pPr>
        <w:widowControl/>
        <w:tabs>
          <w:tab w:val="left" w:pos="700"/>
        </w:tabs>
        <w:adjustRightInd w:val="0"/>
        <w:snapToGrid w:val="0"/>
        <w:spacing w:line="360" w:lineRule="auto"/>
        <w:ind w:firstLine="480" w:firstLineChars="200"/>
        <w:jc w:val="left"/>
        <w:rPr>
          <w:rFonts w:ascii="宋体" w:hAnsi="宋体" w:cs="Arial"/>
          <w:sz w:val="24"/>
          <w:lang w:bidi="ar"/>
        </w:rPr>
      </w:pPr>
      <w:r>
        <w:rPr>
          <w:rFonts w:hint="eastAsia" w:ascii="宋体" w:hAnsi="宋体" w:cs="Arial"/>
          <w:sz w:val="24"/>
          <w:lang w:bidi="ar"/>
        </w:rPr>
        <w:t xml:space="preserve">承包人提出的合理化建议缩短了工期，发包人按第11.6款的规定给予奖励。 </w:t>
      </w:r>
    </w:p>
    <w:p w14:paraId="4FA40ADA">
      <w:pPr>
        <w:widowControl/>
        <w:tabs>
          <w:tab w:val="left" w:pos="700"/>
        </w:tabs>
        <w:adjustRightInd w:val="0"/>
        <w:snapToGrid w:val="0"/>
        <w:spacing w:line="360" w:lineRule="auto"/>
        <w:ind w:firstLine="480" w:firstLineChars="200"/>
        <w:jc w:val="left"/>
        <w:rPr>
          <w:rFonts w:ascii="宋体" w:hAnsi="宋体" w:cs="Arial"/>
          <w:sz w:val="24"/>
        </w:rPr>
      </w:pPr>
      <w:r>
        <w:rPr>
          <w:rFonts w:hint="eastAsia" w:ascii="宋体" w:hAnsi="宋体" w:cs="Arial"/>
          <w:sz w:val="24"/>
          <w:lang w:bidi="ar"/>
        </w:rPr>
        <w:t>承包人合理化建议（包括但不限于：施工图优化设计、采用了新材料新技术新工艺等）提高了工程经济效益的，</w:t>
      </w:r>
      <w:r>
        <w:rPr>
          <w:rFonts w:hint="eastAsia" w:ascii="宋体" w:hAnsi="宋体" w:cs="Arial"/>
          <w:sz w:val="24"/>
          <w:lang w:val="en-US" w:eastAsia="zh-CN" w:bidi="ar"/>
        </w:rPr>
        <w:t>在</w:t>
      </w:r>
      <w:r>
        <w:rPr>
          <w:rFonts w:hint="eastAsia" w:ascii="宋体" w:hAnsi="宋体" w:cs="Arial"/>
          <w:sz w:val="24"/>
          <w:lang w:bidi="ar"/>
        </w:rPr>
        <w:t>建设期合理化建议按照风险划分和奖励进行处理；对运营期有影响的，发包人的奖励措施为</w:t>
      </w:r>
      <w:r>
        <w:rPr>
          <w:rFonts w:ascii="宋体" w:hAnsi="宋体" w:cs="Arial"/>
          <w:sz w:val="24"/>
          <w:u w:val="single"/>
          <w:lang w:bidi="ar"/>
        </w:rPr>
        <w:t xml:space="preserve">   </w:t>
      </w:r>
      <w:r>
        <w:rPr>
          <w:rFonts w:hint="eastAsia" w:ascii="宋体" w:hAnsi="宋体" w:cs="Arial"/>
          <w:sz w:val="24"/>
          <w:u w:val="single"/>
          <w:lang w:bidi="ar"/>
        </w:rPr>
        <w:t xml:space="preserve">     </w:t>
      </w:r>
      <w:r>
        <w:rPr>
          <w:rFonts w:ascii="宋体" w:hAnsi="宋体" w:cs="Arial"/>
          <w:sz w:val="24"/>
          <w:u w:val="single"/>
          <w:lang w:bidi="ar"/>
        </w:rPr>
        <w:t xml:space="preserve">  </w:t>
      </w:r>
      <w:r>
        <w:rPr>
          <w:rFonts w:hint="eastAsia" w:ascii="宋体" w:hAnsi="宋体" w:cs="Arial"/>
          <w:sz w:val="24"/>
          <w:u w:val="single"/>
          <w:lang w:bidi="ar"/>
        </w:rPr>
        <w:t xml:space="preserve"> </w:t>
      </w:r>
      <w:r>
        <w:rPr>
          <w:rFonts w:hint="eastAsia" w:ascii="宋体" w:hAnsi="宋体" w:cs="Arial"/>
          <w:sz w:val="24"/>
          <w:lang w:bidi="ar"/>
        </w:rPr>
        <w:t>。</w:t>
      </w:r>
    </w:p>
    <w:p w14:paraId="559A0196">
      <w:pPr>
        <w:pStyle w:val="2"/>
        <w:spacing w:before="240" w:after="240" w:line="240" w:lineRule="atLeast"/>
        <w:rPr>
          <w:rFonts w:ascii="黑体"/>
          <w:b w:val="0"/>
          <w:sz w:val="24"/>
          <w:szCs w:val="24"/>
        </w:rPr>
      </w:pPr>
      <w:bookmarkStart w:id="792" w:name="_Toc53685770"/>
      <w:r>
        <w:rPr>
          <w:rFonts w:ascii="黑体"/>
          <w:b w:val="0"/>
          <w:sz w:val="24"/>
          <w:szCs w:val="24"/>
        </w:rPr>
        <w:t xml:space="preserve">15.3  </w:t>
      </w:r>
      <w:r>
        <w:rPr>
          <w:rFonts w:hint="eastAsia" w:ascii="黑体"/>
          <w:b w:val="0"/>
          <w:sz w:val="24"/>
          <w:szCs w:val="24"/>
        </w:rPr>
        <w:t>变更程序</w:t>
      </w:r>
      <w:bookmarkEnd w:id="792"/>
    </w:p>
    <w:p w14:paraId="199B9B47">
      <w:pPr>
        <w:snapToGrid w:val="0"/>
        <w:spacing w:line="360" w:lineRule="auto"/>
        <w:ind w:firstLine="360" w:firstLineChars="150"/>
        <w:rPr>
          <w:rFonts w:ascii="黑体" w:hAnsi="黑体" w:eastAsia="黑体"/>
          <w:sz w:val="24"/>
        </w:rPr>
      </w:pPr>
      <w:r>
        <w:rPr>
          <w:rFonts w:ascii="黑体" w:hAnsi="黑体" w:eastAsia="黑体"/>
          <w:sz w:val="24"/>
        </w:rPr>
        <w:t>15.3.1</w:t>
      </w:r>
      <w:r>
        <w:rPr>
          <w:rFonts w:hint="eastAsia" w:ascii="黑体" w:hAnsi="黑体" w:eastAsia="黑体"/>
          <w:sz w:val="24"/>
          <w:lang w:val="en-US" w:eastAsia="zh-CN"/>
        </w:rPr>
        <w:t xml:space="preserve"> </w:t>
      </w:r>
      <w:r>
        <w:rPr>
          <w:rFonts w:hint="eastAsia" w:ascii="黑体" w:hAnsi="黑体" w:eastAsia="黑体"/>
          <w:sz w:val="24"/>
        </w:rPr>
        <w:t>变更的提出</w:t>
      </w:r>
    </w:p>
    <w:p w14:paraId="0182E77F">
      <w:pPr>
        <w:pStyle w:val="26"/>
        <w:snapToGrid w:val="0"/>
        <w:spacing w:line="360" w:lineRule="auto"/>
        <w:ind w:firstLine="480" w:firstLineChars="200"/>
        <w:rPr>
          <w:rFonts w:hint="eastAsia" w:hAnsi="宋体"/>
          <w:sz w:val="24"/>
          <w:szCs w:val="24"/>
        </w:rPr>
      </w:pPr>
      <w:r>
        <w:rPr>
          <w:rFonts w:hint="eastAsia" w:hAnsi="宋体"/>
          <w:sz w:val="24"/>
          <w:szCs w:val="24"/>
        </w:rPr>
        <w:t>本项补充：</w:t>
      </w:r>
    </w:p>
    <w:p w14:paraId="41EEC9AA">
      <w:pPr>
        <w:pStyle w:val="26"/>
        <w:snapToGrid w:val="0"/>
        <w:spacing w:line="360" w:lineRule="auto"/>
        <w:ind w:firstLine="480" w:firstLineChars="20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）当监理发出变更指令时，承包人不得拒绝，否则，发包人将变更工程交由其他单位实施，</w:t>
      </w:r>
      <w:r>
        <w:rPr>
          <w:rFonts w:hint="eastAsia" w:hAnsi="宋体"/>
          <w:bCs/>
          <w:sz w:val="24"/>
          <w:szCs w:val="24"/>
        </w:rPr>
        <w:t>发生的费用发包人可以从应付或到期应付给承包人的任何款项中或采用其他方法扣除</w:t>
      </w:r>
      <w:r>
        <w:rPr>
          <w:rFonts w:hint="eastAsia" w:hAnsi="宋体"/>
          <w:sz w:val="24"/>
          <w:szCs w:val="24"/>
        </w:rPr>
        <w:t>。如果变更指令是监理口头发出的，承包人应当收到监理下达的口头指令后</w:t>
      </w:r>
      <w:r>
        <w:rPr>
          <w:rFonts w:hAnsi="宋体"/>
          <w:sz w:val="24"/>
          <w:szCs w:val="24"/>
        </w:rPr>
        <w:t>24</w:t>
      </w:r>
      <w:r>
        <w:rPr>
          <w:rFonts w:hint="eastAsia" w:hAnsi="宋体"/>
          <w:sz w:val="24"/>
          <w:szCs w:val="24"/>
        </w:rPr>
        <w:t>小时内向监理提交书面的变更确认报告，并附由此可能产生的费用及延误的工期的报告，经监理及发包人审批同意后按变更程序实施。任何未按合同约定的变更程序实施的变更将不予认可。</w:t>
      </w:r>
    </w:p>
    <w:p w14:paraId="58EB4866">
      <w:pPr>
        <w:pStyle w:val="26"/>
        <w:widowControl/>
        <w:snapToGrid w:val="0"/>
        <w:spacing w:line="360" w:lineRule="auto"/>
        <w:ind w:firstLine="480" w:firstLineChars="200"/>
        <w:jc w:val="left"/>
        <w:rPr>
          <w:rFonts w:hAnsi="宋体"/>
          <w:sz w:val="24"/>
          <w:szCs w:val="24"/>
        </w:rPr>
      </w:pPr>
      <w:r>
        <w:rPr>
          <w:rFonts w:hint="eastAsia" w:hAnsi="宋体"/>
          <w:sz w:val="24"/>
          <w:szCs w:val="24"/>
          <w:lang w:bidi="ar"/>
        </w:rPr>
        <w:t>（5）尽管</w:t>
      </w:r>
      <w:r>
        <w:rPr>
          <w:rFonts w:hint="eastAsia" w:hAnsi="宋体"/>
          <w:sz w:val="24"/>
          <w:szCs w:val="24"/>
          <w:lang w:eastAsia="zh-CN" w:bidi="ar"/>
        </w:rPr>
        <w:t>交通运输主管部门</w:t>
      </w:r>
      <w:r>
        <w:rPr>
          <w:rFonts w:hint="eastAsia" w:hAnsi="宋体"/>
          <w:sz w:val="24"/>
          <w:szCs w:val="24"/>
          <w:lang w:bidi="ar"/>
        </w:rPr>
        <w:t xml:space="preserve">批准了施工图设计，若优化的施工图设计还存在设计缺陷、质量问题，承包人仍承担全部质量责任。 </w:t>
      </w:r>
    </w:p>
    <w:p w14:paraId="68AADD2D">
      <w:pPr>
        <w:pStyle w:val="26"/>
        <w:widowControl/>
        <w:snapToGrid w:val="0"/>
        <w:spacing w:line="360" w:lineRule="auto"/>
        <w:ind w:firstLine="480" w:firstLineChars="200"/>
        <w:jc w:val="left"/>
        <w:rPr>
          <w:rFonts w:hAnsi="宋体"/>
          <w:sz w:val="24"/>
          <w:szCs w:val="24"/>
        </w:rPr>
      </w:pPr>
      <w:r>
        <w:rPr>
          <w:rFonts w:hint="eastAsia" w:hAnsi="宋体"/>
          <w:sz w:val="24"/>
          <w:szCs w:val="24"/>
          <w:lang w:bidi="ar"/>
        </w:rPr>
        <w:t xml:space="preserve">（6）承包人有权向发包人和监理人提交书面变更建议，包括：缩短工期，降低发包人的工程施工、维护、营运的费用，提高竣工工程的效率或价值，给发包人带来的长远利益和其他利益。发包人和监理人接到此类建议后，发出：不采纳、采纳、补充进一步资料的书面通知。 </w:t>
      </w:r>
    </w:p>
    <w:p w14:paraId="557655D8">
      <w:pPr>
        <w:pStyle w:val="26"/>
        <w:snapToGrid w:val="0"/>
        <w:spacing w:line="360" w:lineRule="auto"/>
        <w:ind w:firstLine="480" w:firstLineChars="200"/>
        <w:rPr>
          <w:rFonts w:hAnsi="宋体"/>
          <w:sz w:val="24"/>
          <w:szCs w:val="24"/>
        </w:rPr>
      </w:pPr>
      <w:r>
        <w:rPr>
          <w:rFonts w:hint="eastAsia" w:hAnsi="宋体"/>
          <w:sz w:val="24"/>
          <w:szCs w:val="24"/>
          <w:lang w:bidi="ar"/>
        </w:rPr>
        <w:t xml:space="preserve">（7）为完成本合同工程，除本合同规定可以调整合同总价的项目外，其它任何超出工程内容的项目、数量的增加以及由此增加的费用由承包人负责，但相关的变更手续必须按照规定办理。 </w:t>
      </w:r>
    </w:p>
    <w:p w14:paraId="3C8F3262">
      <w:pPr>
        <w:snapToGrid w:val="0"/>
        <w:spacing w:line="360" w:lineRule="auto"/>
        <w:ind w:firstLine="360" w:firstLineChars="150"/>
        <w:rPr>
          <w:rFonts w:ascii="黑体" w:hAnsi="黑体" w:eastAsia="黑体"/>
          <w:sz w:val="24"/>
        </w:rPr>
      </w:pPr>
      <w:bookmarkStart w:id="793" w:name="_Hlk94095629"/>
      <w:r>
        <w:rPr>
          <w:rFonts w:ascii="黑体" w:hAnsi="黑体" w:eastAsia="黑体"/>
          <w:sz w:val="24"/>
        </w:rPr>
        <w:t>15.3.2</w:t>
      </w:r>
      <w:r>
        <w:rPr>
          <w:rFonts w:hint="eastAsia" w:ascii="黑体" w:hAnsi="黑体" w:eastAsia="黑体"/>
          <w:sz w:val="24"/>
          <w:lang w:val="en-US" w:eastAsia="zh-CN"/>
        </w:rPr>
        <w:t xml:space="preserve"> </w:t>
      </w:r>
      <w:r>
        <w:rPr>
          <w:rFonts w:hint="eastAsia" w:ascii="黑体" w:hAnsi="黑体" w:eastAsia="黑体"/>
          <w:sz w:val="24"/>
        </w:rPr>
        <w:t>变更估价</w:t>
      </w:r>
    </w:p>
    <w:p w14:paraId="228D2AB5">
      <w:pPr>
        <w:pStyle w:val="26"/>
        <w:snapToGrid w:val="0"/>
        <w:spacing w:line="360" w:lineRule="auto"/>
        <w:ind w:firstLine="597" w:firstLineChars="249"/>
        <w:rPr>
          <w:rFonts w:hAnsi="宋体"/>
          <w:sz w:val="24"/>
        </w:rPr>
      </w:pPr>
      <w:r>
        <w:rPr>
          <w:rFonts w:hint="eastAsia" w:hAnsi="宋体"/>
          <w:sz w:val="24"/>
          <w:szCs w:val="24"/>
        </w:rPr>
        <w:t>本项细化为：</w:t>
      </w:r>
    </w:p>
    <w:p w14:paraId="48CE9FA9">
      <w:pPr>
        <w:tabs>
          <w:tab w:val="left" w:pos="700"/>
        </w:tabs>
        <w:adjustRightInd w:val="0"/>
        <w:snapToGrid w:val="0"/>
        <w:spacing w:line="360" w:lineRule="auto"/>
        <w:ind w:firstLine="600" w:firstLineChars="250"/>
        <w:rPr>
          <w:rFonts w:ascii="宋体" w:hAnsi="宋体"/>
          <w:sz w:val="24"/>
        </w:rPr>
      </w:pPr>
      <w:r>
        <w:rPr>
          <w:rFonts w:hint="eastAsia" w:ascii="宋体" w:hAnsi="宋体"/>
          <w:sz w:val="24"/>
        </w:rPr>
        <w:t>工程量清单中无相同子目或类似子目的，新增子目单价按以下原则编制：</w:t>
      </w:r>
    </w:p>
    <w:p w14:paraId="5C28EAF2">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）设计变更工程新增子目预算单价除房建工程外均按交通运输部现行《公路工程基本建设项目概算、预算编制办法》及四川省补充规定进行编制。</w:t>
      </w:r>
    </w:p>
    <w:p w14:paraId="7CAAB19C">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）新增子目单价可采用下述方法计算：</w:t>
      </w:r>
    </w:p>
    <w:p w14:paraId="3E15C74F">
      <w:pPr>
        <w:tabs>
          <w:tab w:val="left" w:pos="700"/>
        </w:tabs>
        <w:adjustRightInd w:val="0"/>
        <w:snapToGrid w:val="0"/>
        <w:spacing w:line="360" w:lineRule="auto"/>
        <w:ind w:firstLine="480" w:firstLineChars="200"/>
        <w:rPr>
          <w:rFonts w:ascii="宋体" w:hAnsi="宋体"/>
          <w:sz w:val="24"/>
        </w:rPr>
      </w:pPr>
      <w:r>
        <w:rPr>
          <w:rFonts w:hint="eastAsia" w:ascii="宋体" w:hAnsi="宋体" w:cs="宋体"/>
          <w:sz w:val="24"/>
        </w:rPr>
        <w:t xml:space="preserve">□ </w:t>
      </w:r>
      <w:r>
        <w:rPr>
          <w:rFonts w:hint="eastAsia" w:ascii="宋体" w:hAnsi="宋体"/>
          <w:sz w:val="24"/>
        </w:rPr>
        <w:t>方法一：新增子目单价</w:t>
      </w:r>
      <w:r>
        <w:rPr>
          <w:sz w:val="24"/>
        </w:rPr>
        <w:t>=</w:t>
      </w:r>
      <w:r>
        <w:rPr>
          <w:rFonts w:hint="eastAsia" w:ascii="宋体" w:hAnsi="宋体"/>
          <w:sz w:val="24"/>
        </w:rPr>
        <w:t>变更预算单价×投标净价</w:t>
      </w:r>
      <w:r>
        <w:rPr>
          <w:rFonts w:ascii="宋体" w:hAnsi="宋体"/>
          <w:sz w:val="24"/>
        </w:rPr>
        <w:t>/</w:t>
      </w:r>
      <w:r>
        <w:rPr>
          <w:rFonts w:hint="eastAsia" w:ascii="宋体" w:hAnsi="宋体"/>
          <w:sz w:val="24"/>
        </w:rPr>
        <w:t>投标控制净价（其中，投标净价为承包人投标报价扣除非竞争性部分费用，投标控制净价为发包人公布的最高投标限价扣除非竞争性部分费用）。</w:t>
      </w:r>
    </w:p>
    <w:p w14:paraId="4A72A9AA">
      <w:pPr>
        <w:tabs>
          <w:tab w:val="left" w:pos="700"/>
        </w:tabs>
        <w:adjustRightInd w:val="0"/>
        <w:snapToGrid w:val="0"/>
        <w:spacing w:line="360" w:lineRule="auto"/>
        <w:ind w:firstLine="480" w:firstLineChars="200"/>
        <w:jc w:val="left"/>
        <w:rPr>
          <w:rFonts w:ascii="宋体" w:hAnsi="宋体"/>
          <w:sz w:val="24"/>
        </w:rPr>
      </w:pPr>
      <w:r>
        <w:rPr>
          <w:rFonts w:hint="eastAsia" w:ascii="宋体" w:hAnsi="宋体" w:cs="宋体"/>
          <w:sz w:val="24"/>
        </w:rPr>
        <w:t xml:space="preserve">□ </w:t>
      </w:r>
      <w:r>
        <w:rPr>
          <w:rFonts w:hint="eastAsia" w:ascii="宋体" w:hAnsi="宋体"/>
          <w:sz w:val="24"/>
        </w:rPr>
        <w:t>方法二：发包人具体约定为：</w:t>
      </w:r>
      <w:r>
        <w:rPr>
          <w:rFonts w:hint="eastAsia" w:ascii="宋体" w:hAnsi="宋体"/>
          <w:sz w:val="24"/>
          <w:u w:val="single"/>
        </w:rPr>
        <w:t xml:space="preserve">       </w:t>
      </w:r>
      <w:r>
        <w:rPr>
          <w:rFonts w:hint="eastAsia" w:ascii="宋体" w:hAnsi="宋体"/>
          <w:sz w:val="24"/>
        </w:rPr>
        <w:t>。</w:t>
      </w:r>
    </w:p>
    <w:p w14:paraId="6E6D932D">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（3）对于涉及新技术、新工艺或定额中缺漏的项目，由发包人会同监理人、承包人根据施工组织方案与施工工艺，参考有关行业定额，合理确定定额消耗量。</w:t>
      </w:r>
      <w:bookmarkEnd w:id="793"/>
    </w:p>
    <w:p w14:paraId="0CAFAEA9">
      <w:pPr>
        <w:pStyle w:val="2"/>
        <w:spacing w:before="240" w:after="240" w:line="240" w:lineRule="atLeast"/>
        <w:rPr>
          <w:rFonts w:ascii="黑体"/>
          <w:b w:val="0"/>
          <w:sz w:val="24"/>
          <w:szCs w:val="24"/>
        </w:rPr>
      </w:pPr>
      <w:r>
        <w:rPr>
          <w:rFonts w:ascii="黑体"/>
          <w:b w:val="0"/>
          <w:sz w:val="24"/>
          <w:szCs w:val="24"/>
        </w:rPr>
        <w:t xml:space="preserve">15.4 </w:t>
      </w:r>
      <w:r>
        <w:rPr>
          <w:rFonts w:hint="eastAsia" w:ascii="黑体"/>
          <w:b w:val="0"/>
          <w:sz w:val="24"/>
          <w:szCs w:val="24"/>
          <w:lang w:val="en-US" w:eastAsia="zh-CN"/>
        </w:rPr>
        <w:t xml:space="preserve"> </w:t>
      </w:r>
      <w:r>
        <w:rPr>
          <w:rFonts w:hint="eastAsia" w:ascii="黑体"/>
          <w:b w:val="0"/>
          <w:sz w:val="24"/>
          <w:szCs w:val="24"/>
        </w:rPr>
        <w:t>暂列金额</w:t>
      </w:r>
    </w:p>
    <w:p w14:paraId="2325C8F9">
      <w:pPr>
        <w:tabs>
          <w:tab w:val="left" w:pos="700"/>
        </w:tabs>
        <w:adjustRightInd w:val="0"/>
        <w:snapToGrid w:val="0"/>
        <w:spacing w:line="360" w:lineRule="auto"/>
        <w:ind w:firstLine="480" w:firstLineChars="200"/>
        <w:rPr>
          <w:rFonts w:hAnsi="宋体"/>
          <w:sz w:val="24"/>
        </w:rPr>
      </w:pPr>
      <w:r>
        <w:rPr>
          <w:rFonts w:hint="eastAsia" w:ascii="宋体" w:hAnsi="宋体"/>
          <w:sz w:val="24"/>
        </w:rPr>
        <w:t>本款细化为：</w:t>
      </w:r>
      <w:r>
        <w:rPr>
          <w:rFonts w:ascii="宋体" w:hAnsi="宋体"/>
          <w:sz w:val="24"/>
        </w:rPr>
        <w:t xml:space="preserve"> </w:t>
      </w:r>
    </w:p>
    <w:p w14:paraId="3D683483">
      <w:pPr>
        <w:tabs>
          <w:tab w:val="left" w:pos="700"/>
        </w:tabs>
        <w:adjustRightInd w:val="0"/>
        <w:snapToGrid w:val="0"/>
        <w:spacing w:line="360" w:lineRule="auto"/>
        <w:ind w:firstLine="480" w:firstLineChars="200"/>
        <w:rPr>
          <w:rFonts w:hAnsi="宋体"/>
          <w:sz w:val="24"/>
        </w:rPr>
      </w:pPr>
      <w:r>
        <w:rPr>
          <w:rFonts w:ascii="宋体" w:hAnsi="宋体"/>
          <w:sz w:val="24"/>
        </w:rPr>
        <w:t xml:space="preserve">15.4.1 </w:t>
      </w:r>
      <w:r>
        <w:rPr>
          <w:rFonts w:hint="eastAsia" w:ascii="宋体" w:hAnsi="宋体"/>
          <w:sz w:val="24"/>
        </w:rPr>
        <w:t>暂列金额应由监理人报发包人批准后全部或部分地使用，或者根本不予动用。</w:t>
      </w:r>
      <w:r>
        <w:rPr>
          <w:rFonts w:ascii="宋体" w:hAnsi="宋体"/>
          <w:sz w:val="24"/>
        </w:rPr>
        <w:t xml:space="preserve"> </w:t>
      </w:r>
    </w:p>
    <w:p w14:paraId="1466BF5F">
      <w:pPr>
        <w:tabs>
          <w:tab w:val="left" w:pos="700"/>
        </w:tabs>
        <w:adjustRightInd w:val="0"/>
        <w:snapToGrid w:val="0"/>
        <w:spacing w:line="360" w:lineRule="auto"/>
        <w:ind w:firstLine="480" w:firstLineChars="200"/>
        <w:rPr>
          <w:rFonts w:hAnsi="宋体"/>
          <w:sz w:val="24"/>
        </w:rPr>
      </w:pPr>
      <w:r>
        <w:rPr>
          <w:rFonts w:ascii="宋体" w:hAnsi="宋体"/>
          <w:sz w:val="24"/>
        </w:rPr>
        <w:t xml:space="preserve">15.4.2 </w:t>
      </w:r>
      <w:r>
        <w:rPr>
          <w:rFonts w:hint="eastAsia" w:ascii="宋体" w:hAnsi="宋体"/>
          <w:sz w:val="24"/>
        </w:rPr>
        <w:t>对于经发包人批准的每一笔暂列金额，监理人有权向承包人发出实施工程或提供材料、工程设备或服务的指令。这些指令应由承包人完成，监理人应根据第</w:t>
      </w:r>
      <w:r>
        <w:rPr>
          <w:rFonts w:ascii="宋体" w:hAnsi="宋体"/>
          <w:sz w:val="24"/>
        </w:rPr>
        <w:t>15.3</w:t>
      </w:r>
      <w:r>
        <w:rPr>
          <w:rFonts w:hint="eastAsia" w:ascii="宋体" w:hAnsi="宋体"/>
          <w:sz w:val="24"/>
        </w:rPr>
        <w:t>款约定的变更估价原则和第</w:t>
      </w:r>
      <w:r>
        <w:rPr>
          <w:rFonts w:ascii="宋体" w:hAnsi="宋体"/>
          <w:sz w:val="24"/>
        </w:rPr>
        <w:t>15.5</w:t>
      </w:r>
      <w:r>
        <w:rPr>
          <w:rFonts w:hint="eastAsia" w:ascii="宋体" w:hAnsi="宋体"/>
          <w:sz w:val="24"/>
        </w:rPr>
        <w:t>款的规定，对合同价格进行相应调整。</w:t>
      </w:r>
      <w:r>
        <w:rPr>
          <w:rFonts w:ascii="宋体" w:hAnsi="宋体"/>
          <w:sz w:val="24"/>
        </w:rPr>
        <w:t xml:space="preserve"> </w:t>
      </w:r>
    </w:p>
    <w:p w14:paraId="6742BB82">
      <w:pPr>
        <w:tabs>
          <w:tab w:val="left" w:pos="700"/>
        </w:tabs>
        <w:adjustRightInd w:val="0"/>
        <w:snapToGrid w:val="0"/>
        <w:spacing w:line="360" w:lineRule="auto"/>
        <w:ind w:firstLine="480" w:firstLineChars="200"/>
        <w:rPr>
          <w:rFonts w:hAnsi="宋体"/>
          <w:sz w:val="24"/>
        </w:rPr>
      </w:pPr>
      <w:r>
        <w:rPr>
          <w:rFonts w:ascii="宋体" w:hAnsi="宋体"/>
          <w:sz w:val="24"/>
        </w:rPr>
        <w:t xml:space="preserve">15.4.3 </w:t>
      </w:r>
      <w:r>
        <w:rPr>
          <w:rFonts w:hint="eastAsia" w:ascii="宋体" w:hAnsi="宋体"/>
          <w:sz w:val="24"/>
        </w:rPr>
        <w:t>当监理人提出要求时，承包人应提供有关暂列金额支出的所有报价单、发票、凭证和账单或收据，除非该工作是根据已标价工程量清单列明的单价或总额价进行的估价。</w:t>
      </w:r>
    </w:p>
    <w:p w14:paraId="1718EBE7">
      <w:pPr>
        <w:pStyle w:val="2"/>
        <w:spacing w:before="240" w:after="240" w:line="240" w:lineRule="atLeast"/>
        <w:rPr>
          <w:rFonts w:ascii="黑体"/>
          <w:b w:val="0"/>
          <w:sz w:val="24"/>
          <w:szCs w:val="24"/>
        </w:rPr>
      </w:pPr>
      <w:bookmarkStart w:id="794" w:name="_Toc53685773"/>
      <w:bookmarkStart w:id="795" w:name="_Hlk100227822"/>
      <w:r>
        <w:rPr>
          <w:rFonts w:ascii="黑体"/>
          <w:b w:val="0"/>
          <w:sz w:val="24"/>
          <w:szCs w:val="24"/>
        </w:rPr>
        <w:t xml:space="preserve">15.6 </w:t>
      </w:r>
      <w:r>
        <w:rPr>
          <w:rFonts w:hint="eastAsia" w:ascii="黑体"/>
          <w:b w:val="0"/>
          <w:sz w:val="24"/>
          <w:szCs w:val="24"/>
        </w:rPr>
        <w:t>暂估价</w:t>
      </w:r>
      <w:bookmarkEnd w:id="794"/>
    </w:p>
    <w:p w14:paraId="6726FC57">
      <w:pPr>
        <w:adjustRightInd w:val="0"/>
        <w:snapToGrid w:val="0"/>
        <w:spacing w:line="360" w:lineRule="auto"/>
        <w:ind w:firstLine="470" w:firstLineChars="196"/>
        <w:rPr>
          <w:rFonts w:hint="eastAsia" w:ascii="宋体" w:hAnsi="宋体"/>
          <w:sz w:val="24"/>
        </w:rPr>
      </w:pPr>
      <w:r>
        <w:rPr>
          <w:rFonts w:hint="eastAsia" w:ascii="宋体" w:hAnsi="宋体"/>
          <w:sz w:val="24"/>
        </w:rPr>
        <w:t>第</w:t>
      </w:r>
      <w:r>
        <w:rPr>
          <w:rFonts w:ascii="宋体" w:hAnsi="宋体"/>
          <w:sz w:val="24"/>
        </w:rPr>
        <w:t>15.6.1</w:t>
      </w:r>
      <w:r>
        <w:rPr>
          <w:rFonts w:hint="eastAsia" w:ascii="宋体" w:hAnsi="宋体"/>
          <w:sz w:val="24"/>
        </w:rPr>
        <w:t>项约定</w:t>
      </w:r>
      <w:bookmarkEnd w:id="795"/>
      <w:r>
        <w:rPr>
          <w:rFonts w:hint="eastAsia" w:ascii="宋体" w:hAnsi="宋体"/>
          <w:sz w:val="24"/>
          <w:lang w:val="en-US" w:eastAsia="zh-CN"/>
        </w:rPr>
        <w:t>为</w:t>
      </w:r>
      <w:r>
        <w:rPr>
          <w:rFonts w:hint="eastAsia" w:ascii="宋体" w:hAnsi="宋体"/>
          <w:sz w:val="24"/>
        </w:rPr>
        <w:t>：</w:t>
      </w:r>
    </w:p>
    <w:p w14:paraId="5A31C307">
      <w:pPr>
        <w:adjustRightInd w:val="0"/>
        <w:snapToGrid w:val="0"/>
        <w:spacing w:line="360" w:lineRule="auto"/>
        <w:ind w:firstLine="470" w:firstLineChars="196"/>
        <w:rPr>
          <w:rFonts w:ascii="宋体" w:hAnsi="宋体"/>
          <w:sz w:val="24"/>
        </w:rPr>
      </w:pPr>
      <w:r>
        <w:rPr>
          <w:rFonts w:hint="eastAsia" w:ascii="宋体" w:hAnsi="宋体"/>
          <w:sz w:val="24"/>
        </w:rPr>
        <w:t>依法必须招标时发包人和承包人的权利义务约定：</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0A55195B">
      <w:pPr>
        <w:spacing w:line="360" w:lineRule="auto"/>
        <w:ind w:firstLine="470" w:firstLineChars="196"/>
        <w:rPr>
          <w:rFonts w:hint="eastAsia" w:ascii="宋体" w:hAnsi="宋体"/>
          <w:sz w:val="24"/>
        </w:rPr>
      </w:pPr>
      <w:r>
        <w:rPr>
          <w:rFonts w:hint="eastAsia" w:ascii="宋体" w:hAnsi="宋体"/>
          <w:sz w:val="24"/>
        </w:rPr>
        <w:t>第</w:t>
      </w:r>
      <w:r>
        <w:rPr>
          <w:rFonts w:ascii="宋体" w:hAnsi="宋体"/>
          <w:sz w:val="24"/>
        </w:rPr>
        <w:t>15.6.3</w:t>
      </w:r>
      <w:r>
        <w:rPr>
          <w:rFonts w:hint="eastAsia" w:ascii="宋体" w:hAnsi="宋体"/>
          <w:sz w:val="24"/>
        </w:rPr>
        <w:t>项约定</w:t>
      </w:r>
      <w:r>
        <w:rPr>
          <w:rFonts w:hint="eastAsia" w:ascii="宋体" w:hAnsi="宋体"/>
          <w:sz w:val="24"/>
          <w:lang w:val="en-US" w:eastAsia="zh-CN"/>
        </w:rPr>
        <w:t>为</w:t>
      </w:r>
      <w:r>
        <w:rPr>
          <w:rFonts w:hint="eastAsia" w:ascii="宋体" w:hAnsi="宋体"/>
          <w:sz w:val="24"/>
        </w:rPr>
        <w:t>：</w:t>
      </w:r>
    </w:p>
    <w:p w14:paraId="64EE92F6">
      <w:pPr>
        <w:spacing w:line="360" w:lineRule="auto"/>
        <w:ind w:firstLine="470" w:firstLineChars="196"/>
        <w:rPr>
          <w:rFonts w:ascii="宋体" w:hAnsi="宋体"/>
          <w:sz w:val="24"/>
        </w:rPr>
      </w:pPr>
      <w:r>
        <w:rPr>
          <w:rFonts w:hint="eastAsia" w:ascii="宋体" w:hAnsi="宋体"/>
          <w:sz w:val="24"/>
        </w:rPr>
        <w:t>不属于依法必须招标的暂估价工程最终价格的估价人：</w:t>
      </w:r>
      <w:r>
        <w:rPr>
          <w:rFonts w:hint="eastAsia" w:ascii="宋体" w:hAnsi="宋体"/>
          <w:sz w:val="24"/>
          <w:u w:val="single"/>
        </w:rPr>
        <w:t>发包人</w:t>
      </w:r>
      <w:r>
        <w:rPr>
          <w:rFonts w:hint="eastAsia" w:ascii="宋体" w:hAnsi="宋体"/>
          <w:sz w:val="24"/>
        </w:rPr>
        <w:t>。</w:t>
      </w:r>
    </w:p>
    <w:p w14:paraId="2EC44575">
      <w:pPr>
        <w:widowControl/>
        <w:adjustRightInd w:val="0"/>
        <w:snapToGrid w:val="0"/>
        <w:spacing w:line="360" w:lineRule="auto"/>
        <w:ind w:firstLine="470" w:firstLineChars="196"/>
        <w:jc w:val="left"/>
        <w:rPr>
          <w:rFonts w:ascii="宋体" w:hAnsi="宋体"/>
          <w:sz w:val="24"/>
          <w:lang w:bidi="ar"/>
        </w:rPr>
      </w:pPr>
      <w:r>
        <w:rPr>
          <w:rFonts w:ascii="宋体" w:hAnsi="宋体"/>
          <w:sz w:val="24"/>
          <w:lang w:bidi="ar"/>
        </w:rPr>
        <w:t>本条补充</w:t>
      </w:r>
      <w:r>
        <w:rPr>
          <w:rFonts w:hint="eastAsia" w:ascii="宋体" w:hAnsi="宋体"/>
          <w:sz w:val="24"/>
          <w:lang w:val="en-US" w:eastAsia="zh-CN" w:bidi="ar"/>
        </w:rPr>
        <w:t>第</w:t>
      </w:r>
      <w:r>
        <w:rPr>
          <w:rFonts w:ascii="宋体" w:hAnsi="宋体"/>
          <w:sz w:val="24"/>
          <w:lang w:bidi="ar"/>
        </w:rPr>
        <w:t xml:space="preserve">15.7款： </w:t>
      </w:r>
    </w:p>
    <w:p w14:paraId="531BE62B">
      <w:pPr>
        <w:pStyle w:val="2"/>
        <w:widowControl/>
        <w:adjustRightInd w:val="0"/>
        <w:snapToGrid w:val="0"/>
        <w:spacing w:before="240" w:after="240" w:line="240" w:lineRule="atLeast"/>
        <w:jc w:val="left"/>
        <w:rPr>
          <w:rFonts w:ascii="黑体"/>
          <w:b w:val="0"/>
          <w:sz w:val="24"/>
          <w:szCs w:val="24"/>
        </w:rPr>
      </w:pPr>
      <w:r>
        <w:rPr>
          <w:rFonts w:ascii="黑体" w:eastAsia="黑体"/>
          <w:b w:val="0"/>
          <w:bCs/>
          <w:kern w:val="44"/>
          <w:sz w:val="24"/>
          <w:szCs w:val="24"/>
          <w:lang w:bidi="ar"/>
        </w:rPr>
        <w:t xml:space="preserve">15.7 风险划分原则 </w:t>
      </w:r>
    </w:p>
    <w:p w14:paraId="284D81CB">
      <w:pPr>
        <w:widowControl/>
        <w:spacing w:line="360" w:lineRule="auto"/>
        <w:ind w:firstLine="470" w:firstLineChars="196"/>
        <w:jc w:val="left"/>
        <w:rPr>
          <w:rFonts w:ascii="宋体" w:hAnsi="宋体"/>
          <w:sz w:val="24"/>
        </w:rPr>
      </w:pPr>
      <w:r>
        <w:rPr>
          <w:rFonts w:hint="eastAsia" w:ascii="宋体" w:hAnsi="宋体"/>
          <w:sz w:val="24"/>
          <w:lang w:bidi="ar"/>
        </w:rPr>
        <w:t xml:space="preserve">发包人应当承担的风险包括： </w:t>
      </w:r>
    </w:p>
    <w:p w14:paraId="6E3D7622">
      <w:pPr>
        <w:widowControl/>
        <w:spacing w:line="360" w:lineRule="auto"/>
        <w:ind w:firstLine="470" w:firstLineChars="196"/>
        <w:jc w:val="left"/>
        <w:rPr>
          <w:rFonts w:ascii="宋体" w:hAnsi="宋体"/>
          <w:sz w:val="24"/>
          <w:lang w:bidi="ar"/>
        </w:rPr>
      </w:pPr>
      <w:r>
        <w:rPr>
          <w:rFonts w:hint="eastAsia" w:ascii="宋体" w:hAnsi="宋体"/>
          <w:sz w:val="24"/>
          <w:lang w:bidi="ar"/>
        </w:rPr>
        <w:t>（1）发包人提出的工期调整、重大或者较大设计变更、建设标准或者工程规模的调整；</w:t>
      </w:r>
    </w:p>
    <w:p w14:paraId="1E875A83">
      <w:pPr>
        <w:widowControl/>
        <w:spacing w:line="360" w:lineRule="auto"/>
        <w:ind w:firstLine="480" w:firstLineChars="200"/>
        <w:jc w:val="left"/>
        <w:rPr>
          <w:rFonts w:ascii="宋体" w:hAnsi="宋体"/>
          <w:sz w:val="24"/>
          <w:lang w:bidi="ar"/>
        </w:rPr>
      </w:pPr>
      <w:r>
        <w:rPr>
          <w:rFonts w:hint="eastAsia" w:ascii="宋体" w:hAnsi="宋体"/>
          <w:sz w:val="24"/>
          <w:lang w:bidi="ar"/>
        </w:rPr>
        <w:t>（2）因国家税收等政策调整引起的税费变化；</w:t>
      </w:r>
    </w:p>
    <w:p w14:paraId="07195E2D">
      <w:pPr>
        <w:widowControl/>
        <w:spacing w:line="360" w:lineRule="auto"/>
        <w:ind w:firstLine="470" w:firstLineChars="196"/>
        <w:jc w:val="left"/>
        <w:rPr>
          <w:rFonts w:hint="eastAsia" w:ascii="宋体" w:hAnsi="宋体" w:eastAsia="宋体"/>
          <w:sz w:val="24"/>
          <w:lang w:eastAsia="zh-CN" w:bidi="ar"/>
        </w:rPr>
      </w:pPr>
      <w:r>
        <w:rPr>
          <w:rFonts w:hint="eastAsia" w:ascii="宋体" w:hAnsi="宋体"/>
          <w:sz w:val="24"/>
          <w:lang w:bidi="ar"/>
        </w:rPr>
        <w:t>（3）施工图勘察设计时发现的在初步设计阶段难以预见的滑坡、泥石流、突泥、涌水、溶洞、采空区、有毒气体等重大地质变化，其损失与处治费用约定由发包人和承包人共同承担，具体各自承担比例为：</w:t>
      </w:r>
      <w:r>
        <w:rPr>
          <w:rFonts w:hint="eastAsia" w:ascii="宋体" w:hAnsi="宋体"/>
          <w:sz w:val="24"/>
          <w:u w:val="single"/>
          <w:lang w:bidi="ar"/>
        </w:rPr>
        <w:t xml:space="preserve">     </w:t>
      </w:r>
      <w:r>
        <w:rPr>
          <w:rFonts w:hint="eastAsia" w:ascii="宋体" w:hAnsi="宋体"/>
          <w:sz w:val="24"/>
          <w:lang w:bidi="ar"/>
        </w:rPr>
        <w:t>。工程实施中出现重大地质变化的，其损失与处治费用除保险公司赔付外，由发包人和承包人共同承担，具体各自承担比例为：</w:t>
      </w:r>
      <w:r>
        <w:rPr>
          <w:rFonts w:hint="eastAsia" w:ascii="宋体" w:hAnsi="宋体"/>
          <w:sz w:val="24"/>
          <w:u w:val="single"/>
          <w:lang w:bidi="ar"/>
        </w:rPr>
        <w:t xml:space="preserve">     </w:t>
      </w:r>
      <w:r>
        <w:rPr>
          <w:rFonts w:hint="eastAsia" w:ascii="宋体" w:hAnsi="宋体"/>
          <w:sz w:val="24"/>
          <w:lang w:bidi="ar"/>
        </w:rPr>
        <w:t>。因总承包单位施工组织、措施不当造成的上述问题，其损失与处治费用由总承包单位承担</w:t>
      </w:r>
      <w:r>
        <w:rPr>
          <w:rFonts w:hint="eastAsia" w:ascii="宋体" w:hAnsi="宋体"/>
          <w:sz w:val="24"/>
          <w:lang w:eastAsia="zh-CN" w:bidi="ar"/>
        </w:rPr>
        <w:t>。</w:t>
      </w:r>
    </w:p>
    <w:p w14:paraId="2A57691C">
      <w:pPr>
        <w:widowControl/>
        <w:spacing w:line="360" w:lineRule="auto"/>
        <w:ind w:firstLine="480" w:firstLineChars="200"/>
        <w:jc w:val="left"/>
        <w:rPr>
          <w:rFonts w:hint="eastAsia" w:ascii="宋体" w:hAnsi="宋体" w:eastAsia="宋体"/>
          <w:sz w:val="24"/>
          <w:lang w:eastAsia="zh-CN" w:bidi="ar"/>
        </w:rPr>
      </w:pPr>
      <w:r>
        <w:rPr>
          <w:rFonts w:hint="eastAsia" w:ascii="宋体" w:hAnsi="宋体"/>
          <w:sz w:val="24"/>
          <w:lang w:bidi="ar"/>
        </w:rPr>
        <w:t>（4）第16.1款约定的物价波动引起的调整</w:t>
      </w:r>
      <w:r>
        <w:rPr>
          <w:rFonts w:hint="eastAsia" w:ascii="宋体" w:hAnsi="宋体"/>
          <w:sz w:val="24"/>
          <w:lang w:eastAsia="zh-CN" w:bidi="ar"/>
        </w:rPr>
        <w:t>。</w:t>
      </w:r>
    </w:p>
    <w:p w14:paraId="65794705">
      <w:pPr>
        <w:widowControl/>
        <w:spacing w:line="360" w:lineRule="auto"/>
        <w:ind w:firstLine="480" w:firstLineChars="200"/>
        <w:jc w:val="left"/>
        <w:rPr>
          <w:rFonts w:ascii="宋体" w:hAnsi="宋体"/>
          <w:sz w:val="24"/>
          <w:lang w:bidi="ar"/>
        </w:rPr>
      </w:pPr>
      <w:r>
        <w:rPr>
          <w:rFonts w:hint="eastAsia" w:ascii="宋体" w:hAnsi="宋体"/>
          <w:sz w:val="24"/>
          <w:lang w:bidi="ar"/>
        </w:rPr>
        <w:t>（5）其他不可抗力所造成的工程费用的增加。</w:t>
      </w:r>
    </w:p>
    <w:p w14:paraId="7BD768E8">
      <w:pPr>
        <w:widowControl/>
        <w:spacing w:line="360" w:lineRule="auto"/>
        <w:ind w:firstLine="480" w:firstLineChars="200"/>
        <w:jc w:val="left"/>
        <w:rPr>
          <w:rFonts w:ascii="宋体" w:hAnsi="宋体"/>
          <w:sz w:val="24"/>
          <w:u w:val="single"/>
          <w:lang w:bidi="ar"/>
        </w:rPr>
      </w:pPr>
      <w:r>
        <w:rPr>
          <w:rFonts w:hint="eastAsia" w:ascii="宋体" w:hAnsi="宋体"/>
          <w:sz w:val="24"/>
          <w:lang w:bidi="ar"/>
        </w:rPr>
        <w:t>（6）</w:t>
      </w:r>
      <w:r>
        <w:rPr>
          <w:rFonts w:hint="eastAsia" w:ascii="宋体" w:hAnsi="宋体" w:eastAsia="宋体"/>
          <w:color w:val="auto"/>
          <w:sz w:val="24"/>
          <w:shd w:val="clear" w:color="auto" w:fill="auto"/>
          <w:lang w:bidi="ar"/>
        </w:rPr>
        <w:t>发包人和承包人的其他约定：</w:t>
      </w:r>
      <w:r>
        <w:rPr>
          <w:rFonts w:ascii="宋体" w:hAnsi="宋体" w:eastAsia="宋体"/>
          <w:color w:val="auto"/>
          <w:sz w:val="24"/>
          <w:u w:val="single"/>
          <w:shd w:val="clear" w:color="auto" w:fill="auto"/>
          <w:lang w:bidi="ar"/>
        </w:rPr>
        <w:t xml:space="preserve">  </w:t>
      </w:r>
      <w:r>
        <w:rPr>
          <w:rFonts w:hint="eastAsia" w:ascii="宋体" w:hAnsi="宋体"/>
          <w:sz w:val="24"/>
          <w:u w:val="single"/>
          <w:lang w:bidi="ar"/>
        </w:rPr>
        <w:t xml:space="preserve">    </w:t>
      </w:r>
      <w:r>
        <w:rPr>
          <w:rFonts w:ascii="宋体" w:hAnsi="宋体" w:eastAsia="宋体"/>
          <w:color w:val="auto"/>
          <w:sz w:val="24"/>
          <w:u w:val="single"/>
          <w:shd w:val="clear" w:color="auto" w:fill="auto"/>
          <w:lang w:bidi="ar"/>
        </w:rPr>
        <w:t xml:space="preserve">   </w:t>
      </w:r>
      <w:r>
        <w:rPr>
          <w:rFonts w:hint="eastAsia" w:ascii="宋体" w:hAnsi="宋体"/>
          <w:sz w:val="24"/>
          <w:u w:val="none"/>
          <w:lang w:bidi="ar"/>
        </w:rPr>
        <w:t>。</w:t>
      </w:r>
    </w:p>
    <w:p w14:paraId="509A452D">
      <w:pPr>
        <w:widowControl/>
        <w:numPr>
          <w:ilvl w:val="255"/>
          <w:numId w:val="0"/>
        </w:numPr>
        <w:spacing w:line="360" w:lineRule="auto"/>
        <w:ind w:firstLine="470" w:firstLineChars="196"/>
        <w:jc w:val="left"/>
        <w:rPr>
          <w:rFonts w:ascii="宋体" w:hAnsi="宋体"/>
          <w:sz w:val="24"/>
          <w:lang w:bidi="ar"/>
        </w:rPr>
      </w:pPr>
      <w:r>
        <w:rPr>
          <w:rFonts w:hint="eastAsia" w:ascii="宋体" w:hAnsi="宋体"/>
          <w:sz w:val="24"/>
          <w:lang w:bidi="ar"/>
        </w:rPr>
        <w:t>除发包人承担的风险和发包人承担的费用外，其他风险均属于承包人风险，承包人风险引起的费用变化，均由承包人自行承担，相关价格不予调整。</w:t>
      </w:r>
    </w:p>
    <w:p w14:paraId="68ABD12E">
      <w:pPr>
        <w:pStyle w:val="2"/>
        <w:spacing w:before="360" w:after="240" w:line="240" w:lineRule="atLeast"/>
        <w:rPr>
          <w:rFonts w:ascii="黑体"/>
          <w:b w:val="0"/>
          <w:sz w:val="28"/>
          <w:szCs w:val="28"/>
        </w:rPr>
      </w:pPr>
      <w:bookmarkStart w:id="796" w:name="_Toc53685774"/>
      <w:r>
        <w:rPr>
          <w:rFonts w:ascii="黑体"/>
          <w:b w:val="0"/>
          <w:sz w:val="28"/>
          <w:szCs w:val="28"/>
        </w:rPr>
        <w:t>1</w:t>
      </w:r>
      <w:r>
        <w:rPr>
          <w:rFonts w:hint="eastAsia" w:ascii="黑体"/>
          <w:b w:val="0"/>
          <w:sz w:val="28"/>
          <w:szCs w:val="28"/>
        </w:rPr>
        <w:t>6．价格</w:t>
      </w:r>
      <w:bookmarkEnd w:id="796"/>
      <w:r>
        <w:rPr>
          <w:rFonts w:hint="eastAsia" w:ascii="黑体"/>
          <w:b w:val="0"/>
          <w:sz w:val="28"/>
          <w:szCs w:val="28"/>
        </w:rPr>
        <w:t>调整</w:t>
      </w:r>
    </w:p>
    <w:p w14:paraId="3054D692">
      <w:pPr>
        <w:pStyle w:val="2"/>
        <w:spacing w:before="240" w:after="240" w:line="240" w:lineRule="atLeast"/>
        <w:rPr>
          <w:rFonts w:ascii="黑体"/>
          <w:b w:val="0"/>
          <w:bCs w:val="0"/>
          <w:sz w:val="24"/>
        </w:rPr>
      </w:pPr>
      <w:bookmarkStart w:id="797" w:name="_Toc53685775"/>
      <w:r>
        <w:rPr>
          <w:rFonts w:ascii="黑体"/>
          <w:b w:val="0"/>
          <w:sz w:val="24"/>
          <w:szCs w:val="24"/>
        </w:rPr>
        <w:t>16.1</w:t>
      </w:r>
      <w:r>
        <w:rPr>
          <w:rFonts w:hint="eastAsia" w:ascii="黑体"/>
          <w:b w:val="0"/>
          <w:sz w:val="24"/>
          <w:szCs w:val="24"/>
          <w:lang w:val="en-US" w:eastAsia="zh-CN"/>
        </w:rPr>
        <w:t xml:space="preserve"> </w:t>
      </w:r>
      <w:r>
        <w:rPr>
          <w:rFonts w:hint="eastAsia" w:ascii="黑体"/>
          <w:b w:val="0"/>
          <w:sz w:val="24"/>
          <w:szCs w:val="24"/>
        </w:rPr>
        <w:t>物价波动引起的调整（</w:t>
      </w:r>
      <w:r>
        <w:rPr>
          <w:rFonts w:ascii="黑体"/>
          <w:b w:val="0"/>
          <w:sz w:val="24"/>
          <w:szCs w:val="24"/>
        </w:rPr>
        <w:t>A）</w:t>
      </w:r>
    </w:p>
    <w:p w14:paraId="7474A67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除专用合同条款另有约定外，因物价波动引起的价格调整按照第1</w:t>
      </w:r>
      <w:r>
        <w:rPr>
          <w:rFonts w:asciiTheme="minorEastAsia" w:hAnsiTheme="minorEastAsia" w:eastAsiaTheme="minorEastAsia"/>
          <w:sz w:val="24"/>
        </w:rPr>
        <w:t>6.1.1</w:t>
      </w:r>
      <w:r>
        <w:rPr>
          <w:rFonts w:hint="eastAsia" w:asciiTheme="minorEastAsia" w:hAnsiTheme="minorEastAsia" w:eastAsiaTheme="minorEastAsia"/>
          <w:sz w:val="24"/>
        </w:rPr>
        <w:t>项或第1</w:t>
      </w:r>
      <w:r>
        <w:rPr>
          <w:rFonts w:asciiTheme="minorEastAsia" w:hAnsiTheme="minorEastAsia" w:eastAsiaTheme="minorEastAsia"/>
          <w:sz w:val="24"/>
        </w:rPr>
        <w:t>6.1.2</w:t>
      </w:r>
      <w:r>
        <w:rPr>
          <w:rFonts w:hint="eastAsia" w:asciiTheme="minorEastAsia" w:hAnsiTheme="minorEastAsia" w:eastAsiaTheme="minorEastAsia"/>
          <w:sz w:val="24"/>
        </w:rPr>
        <w:t>项约定的原则处理。</w:t>
      </w:r>
    </w:p>
    <w:p w14:paraId="4CAF3D84">
      <w:pPr>
        <w:adjustRightInd w:val="0"/>
        <w:snapToGrid w:val="0"/>
        <w:spacing w:line="360" w:lineRule="auto"/>
        <w:ind w:firstLine="360" w:firstLineChars="150"/>
        <w:rPr>
          <w:rFonts w:ascii="黑体" w:hAnsi="黑体" w:eastAsia="黑体"/>
          <w:sz w:val="24"/>
        </w:rPr>
      </w:pPr>
      <w:r>
        <w:rPr>
          <w:rFonts w:ascii="黑体" w:hAnsi="黑体" w:eastAsia="黑体"/>
          <w:sz w:val="24"/>
        </w:rPr>
        <w:t>16.1.1</w:t>
      </w:r>
      <w:r>
        <w:rPr>
          <w:rFonts w:hint="eastAsia" w:ascii="黑体" w:hAnsi="黑体" w:eastAsia="黑体"/>
          <w:sz w:val="24"/>
          <w:lang w:val="en-US" w:eastAsia="zh-CN"/>
        </w:rPr>
        <w:t xml:space="preserve"> </w:t>
      </w:r>
      <w:r>
        <w:rPr>
          <w:rFonts w:hint="eastAsia" w:ascii="黑体" w:hAnsi="黑体" w:eastAsia="黑体"/>
          <w:sz w:val="24"/>
        </w:rPr>
        <w:t>采用价格指数调整价格差额</w:t>
      </w:r>
    </w:p>
    <w:p w14:paraId="73EBF891">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调价范围：</w:t>
      </w:r>
      <w:r>
        <w:rPr>
          <w:rFonts w:hint="eastAsia" w:asciiTheme="minorEastAsia" w:hAnsiTheme="minorEastAsia" w:eastAsiaTheme="minorEastAsia"/>
          <w:sz w:val="24"/>
          <w:lang w:bidi="ar"/>
        </w:rPr>
        <w:t xml:space="preserve">只限于建设项目的永久工程，临时工程不予材料价差调整。 </w:t>
      </w:r>
    </w:p>
    <w:p w14:paraId="31076037">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调价时间：见专用合同条款数据表。</w:t>
      </w:r>
    </w:p>
    <w:p w14:paraId="5FD854CB">
      <w:pPr>
        <w:widowControl/>
        <w:spacing w:line="360" w:lineRule="auto"/>
        <w:ind w:firstLine="480" w:firstLineChars="200"/>
        <w:jc w:val="left"/>
        <w:rPr>
          <w:rFonts w:asciiTheme="minorEastAsia" w:hAnsiTheme="minorEastAsia" w:eastAsiaTheme="minorEastAsia"/>
          <w:sz w:val="24"/>
          <w:lang w:bidi="ar"/>
        </w:rPr>
      </w:pPr>
      <w:r>
        <w:rPr>
          <w:rFonts w:hint="eastAsia" w:asciiTheme="minorEastAsia" w:hAnsiTheme="minorEastAsia" w:eastAsiaTheme="minorEastAsia"/>
          <w:sz w:val="24"/>
          <w:lang w:bidi="ar"/>
        </w:rPr>
        <w:t>价差调整</w:t>
      </w:r>
      <w:r>
        <w:rPr>
          <w:rFonts w:hint="eastAsia" w:asciiTheme="minorEastAsia" w:hAnsiTheme="minorEastAsia" w:eastAsiaTheme="minorEastAsia"/>
          <w:sz w:val="24"/>
          <w:lang w:val="en-US" w:eastAsia="zh-CN" w:bidi="ar"/>
        </w:rPr>
        <w:t>内容</w:t>
      </w:r>
      <w:r>
        <w:rPr>
          <w:rFonts w:hint="eastAsia" w:asciiTheme="minorEastAsia" w:hAnsiTheme="minorEastAsia" w:eastAsiaTheme="minorEastAsia"/>
          <w:sz w:val="24"/>
          <w:lang w:bidi="ar"/>
        </w:rPr>
        <w:t>：</w:t>
      </w:r>
      <w:r>
        <w:rPr>
          <w:rFonts w:hint="eastAsia" w:ascii="宋体" w:hAnsi="宋体" w:eastAsia="宋体" w:cs="宋体"/>
          <w:sz w:val="24"/>
          <w:lang w:bidi="ar"/>
        </w:rPr>
        <w:t>□</w:t>
      </w:r>
      <w:r>
        <w:rPr>
          <w:rFonts w:hint="eastAsia" w:asciiTheme="minorEastAsia" w:hAnsiTheme="minorEastAsia" w:eastAsiaTheme="minorEastAsia"/>
          <w:sz w:val="24"/>
          <w:lang w:bidi="ar"/>
        </w:rPr>
        <w:t>人工</w:t>
      </w:r>
      <w:r>
        <w:rPr>
          <w:rFonts w:hint="eastAsia" w:asciiTheme="minorEastAsia" w:hAnsiTheme="minorEastAsia" w:eastAsiaTheme="minorEastAsia"/>
          <w:sz w:val="24"/>
          <w:lang w:val="en-US" w:eastAsia="zh-CN" w:bidi="ar"/>
        </w:rPr>
        <w:t xml:space="preserve">  </w:t>
      </w:r>
      <w:r>
        <w:rPr>
          <w:rFonts w:hint="eastAsia" w:ascii="宋体" w:hAnsi="宋体" w:eastAsia="宋体" w:cs="宋体"/>
          <w:sz w:val="24"/>
          <w:lang w:val="en-US" w:eastAsia="zh-CN" w:bidi="ar"/>
        </w:rPr>
        <w:t>□</w:t>
      </w:r>
      <w:r>
        <w:rPr>
          <w:rFonts w:hint="eastAsia" w:asciiTheme="minorEastAsia" w:hAnsiTheme="minorEastAsia" w:eastAsiaTheme="minorEastAsia"/>
          <w:sz w:val="24"/>
          <w:lang w:bidi="ar"/>
        </w:rPr>
        <w:t>材料</w:t>
      </w:r>
    </w:p>
    <w:p w14:paraId="0E36938E">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en-US" w:eastAsia="zh-CN" w:bidi="ar"/>
        </w:rPr>
        <w:t>其中</w:t>
      </w:r>
      <w:r>
        <w:rPr>
          <w:rFonts w:hint="eastAsia" w:asciiTheme="minorEastAsia" w:hAnsiTheme="minorEastAsia" w:eastAsiaTheme="minorEastAsia"/>
          <w:sz w:val="24"/>
          <w:lang w:bidi="ar"/>
        </w:rPr>
        <w:t>准予材料价差调整的材料品种仅限于：</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 xml:space="preserve"> ，其他材料均不予材料价差调整。</w:t>
      </w:r>
    </w:p>
    <w:p w14:paraId="12B2AB1A">
      <w:pPr>
        <w:widowControl/>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lang w:bidi="ar"/>
        </w:rPr>
        <w:t>风险幅度：材料价差在风险幅度内的波动作为承包人的风险，不进行材料价差调整。各种材料价格变化的风险幅度：调整当期价格与材料基准价格变化幅度在</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%之内(含)不调价，超过</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u w:val="single"/>
          <w:lang w:val="en-US" w:eastAsia="zh-CN" w:bidi="ar"/>
        </w:rPr>
        <w:t xml:space="preserve"> </w:t>
      </w:r>
      <w:r>
        <w:rPr>
          <w:rFonts w:hint="eastAsia" w:asciiTheme="minorEastAsia" w:hAnsiTheme="minorEastAsia" w:eastAsiaTheme="minorEastAsia"/>
          <w:sz w:val="24"/>
          <w:lang w:bidi="ar"/>
        </w:rPr>
        <w:t>%予以调价。</w:t>
      </w:r>
    </w:p>
    <w:p w14:paraId="6F70FE63">
      <w:pPr>
        <w:spacing w:line="360" w:lineRule="auto"/>
        <w:ind w:firstLine="465"/>
        <w:jc w:val="left"/>
        <w:rPr>
          <w:rFonts w:asciiTheme="minorEastAsia" w:hAnsiTheme="minorEastAsia" w:eastAsiaTheme="minorEastAsia"/>
          <w:sz w:val="24"/>
          <w:u w:val="single"/>
        </w:rPr>
      </w:pPr>
      <w:r>
        <w:rPr>
          <w:rFonts w:hint="eastAsia" w:asciiTheme="minorEastAsia" w:hAnsiTheme="minorEastAsia" w:eastAsiaTheme="minorEastAsia"/>
          <w:sz w:val="24"/>
        </w:rPr>
        <w:t>具体要求</w:t>
      </w:r>
      <w:r>
        <w:rPr>
          <w:rFonts w:asciiTheme="minorEastAsia" w:hAnsiTheme="minorEastAsia" w:eastAsiaTheme="minorEastAsia"/>
          <w:sz w:val="24"/>
        </w:rPr>
        <w:t>：</w:t>
      </w:r>
      <w:r>
        <w:rPr>
          <w:rFonts w:asciiTheme="minorEastAsia" w:hAnsiTheme="minorEastAsia" w:eastAsiaTheme="minorEastAsia"/>
          <w:sz w:val="24"/>
          <w:u w:val="single"/>
        </w:rPr>
        <w:t xml:space="preserve">                                                </w:t>
      </w:r>
    </w:p>
    <w:p w14:paraId="1DE81F45">
      <w:pPr>
        <w:spacing w:line="360" w:lineRule="auto"/>
        <w:ind w:firstLine="465"/>
        <w:jc w:val="left"/>
        <w:rPr>
          <w:rFonts w:asciiTheme="minorEastAsia" w:hAnsiTheme="minorEastAsia" w:eastAsiaTheme="minorEastAsia"/>
          <w:sz w:val="24"/>
        </w:rPr>
      </w:pPr>
      <w:r>
        <w:rPr>
          <w:rFonts w:asciiTheme="minorEastAsia" w:hAnsiTheme="minorEastAsia" w:eastAsiaTheme="minorEastAsia"/>
          <w:sz w:val="24"/>
        </w:rPr>
        <w:t xml:space="preserve">  16.1.1.1</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调价基本公式：</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14:paraId="44B80446">
      <w:pPr>
        <w:spacing w:line="360" w:lineRule="auto"/>
        <w:ind w:firstLine="720" w:firstLineChars="300"/>
        <w:jc w:val="left"/>
        <w:rPr>
          <w:rFonts w:asciiTheme="minorEastAsia" w:hAnsiTheme="minorEastAsia" w:eastAsiaTheme="minorEastAsia"/>
          <w:sz w:val="24"/>
          <w:u w:val="single"/>
        </w:rPr>
      </w:pPr>
      <w:r>
        <w:rPr>
          <w:rFonts w:asciiTheme="minorEastAsia" w:hAnsiTheme="minorEastAsia" w:eastAsiaTheme="minorEastAsia"/>
          <w:sz w:val="24"/>
        </w:rPr>
        <w:t>16.1.1.2</w:t>
      </w:r>
      <w:r>
        <w:rPr>
          <w:rFonts w:hint="eastAsia"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价格调整幅度的计算：</w:t>
      </w:r>
      <w:r>
        <w:rPr>
          <w:rFonts w:asciiTheme="minorEastAsia" w:hAnsiTheme="minorEastAsia" w:eastAsiaTheme="minorEastAsia"/>
          <w:sz w:val="24"/>
          <w:u w:val="single"/>
        </w:rPr>
        <w:t xml:space="preserve">                               </w:t>
      </w:r>
    </w:p>
    <w:p w14:paraId="60B08190">
      <w:pPr>
        <w:spacing w:line="360" w:lineRule="auto"/>
        <w:ind w:firstLine="720" w:firstLineChars="300"/>
        <w:jc w:val="left"/>
        <w:rPr>
          <w:rFonts w:cs="Arial" w:asciiTheme="minorEastAsia" w:hAnsiTheme="minorEastAsia" w:eastAsiaTheme="minorEastAsia"/>
          <w:sz w:val="24"/>
        </w:rPr>
      </w:pPr>
      <w:r>
        <w:rPr>
          <w:rFonts w:asciiTheme="minorEastAsia" w:hAnsiTheme="minorEastAsia" w:eastAsiaTheme="minorEastAsia"/>
          <w:sz w:val="24"/>
        </w:rPr>
        <w:t>16.1.1.3</w:t>
      </w:r>
      <w:r>
        <w:rPr>
          <w:rFonts w:hint="eastAsia"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工期延误后的价格调整：</w:t>
      </w:r>
      <w:r>
        <w:rPr>
          <w:rFonts w:asciiTheme="minorEastAsia" w:hAnsiTheme="minorEastAsia" w:eastAsiaTheme="minorEastAsia"/>
          <w:sz w:val="24"/>
          <w:u w:val="single"/>
        </w:rPr>
        <w:t xml:space="preserve">                             </w:t>
      </w:r>
    </w:p>
    <w:p w14:paraId="18B3FD17">
      <w:pPr>
        <w:spacing w:line="360" w:lineRule="auto"/>
        <w:ind w:firstLine="720" w:firstLineChars="300"/>
        <w:jc w:val="left"/>
        <w:rPr>
          <w:rFonts w:cs="Arial" w:asciiTheme="minorEastAsia" w:hAnsiTheme="minorEastAsia" w:eastAsiaTheme="minorEastAsia"/>
          <w:sz w:val="24"/>
        </w:rPr>
      </w:pPr>
      <w:r>
        <w:rPr>
          <w:rFonts w:asciiTheme="minorEastAsia" w:hAnsiTheme="minorEastAsia" w:eastAsiaTheme="minorEastAsia"/>
          <w:sz w:val="24"/>
        </w:rPr>
        <w:t>16.1.1.4</w:t>
      </w:r>
      <w:r>
        <w:rPr>
          <w:rFonts w:hint="eastAsia" w:asciiTheme="minorEastAsia" w:hAnsiTheme="minorEastAsia" w:eastAsiaTheme="minorEastAsia"/>
          <w:sz w:val="24"/>
          <w:lang w:val="en-US" w:eastAsia="zh-CN"/>
        </w:rPr>
        <w:t xml:space="preserve"> </w:t>
      </w:r>
      <w:r>
        <w:rPr>
          <w:rFonts w:hint="eastAsia" w:hAnsi="宋体" w:cs="Arial"/>
          <w:sz w:val="24"/>
        </w:rPr>
        <w:t>因价格调整引起的税收、管理费、利润等一切费用，均由承包人自行承担。</w:t>
      </w:r>
    </w:p>
    <w:p w14:paraId="08DF3E1D">
      <w:pPr>
        <w:pStyle w:val="26"/>
        <w:spacing w:line="360" w:lineRule="auto"/>
        <w:ind w:firstLine="480" w:firstLineChars="200"/>
        <w:rPr>
          <w:rFonts w:cs="Arial" w:asciiTheme="minorEastAsia" w:hAnsiTheme="minorEastAsia" w:eastAsiaTheme="minorEastAsia"/>
          <w:sz w:val="24"/>
        </w:rPr>
      </w:pPr>
      <w:r>
        <w:rPr>
          <w:rFonts w:asciiTheme="minorEastAsia" w:hAnsiTheme="minorEastAsia" w:eastAsiaTheme="minorEastAsia"/>
          <w:sz w:val="24"/>
        </w:rPr>
        <w:t xml:space="preserve">  16.1.1.5</w:t>
      </w:r>
      <w:r>
        <w:rPr>
          <w:rFonts w:hint="eastAsia" w:asciiTheme="minorEastAsia" w:hAnsiTheme="minorEastAsia" w:eastAsiaTheme="minorEastAsia"/>
          <w:sz w:val="24"/>
          <w:lang w:val="en-US" w:eastAsia="zh-CN"/>
        </w:rPr>
        <w:t xml:space="preserve"> </w:t>
      </w:r>
      <w:r>
        <w:rPr>
          <w:rFonts w:hint="eastAsia" w:hAnsi="宋体" w:cs="Arial"/>
          <w:sz w:val="24"/>
          <w:szCs w:val="24"/>
        </w:rPr>
        <w:t>其他约定：</w:t>
      </w:r>
      <w:r>
        <w:rPr>
          <w:rFonts w:hAnsi="宋体" w:cs="Arial"/>
          <w:b/>
          <w:bCs/>
          <w:sz w:val="24"/>
          <w:szCs w:val="24"/>
          <w:u w:val="single"/>
        </w:rPr>
        <w:t xml:space="preserve">             </w:t>
      </w:r>
      <w:r>
        <w:rPr>
          <w:rFonts w:hint="eastAsia" w:hAnsi="宋体" w:cs="Arial"/>
          <w:sz w:val="24"/>
          <w:szCs w:val="24"/>
        </w:rPr>
        <w:t>。</w:t>
      </w:r>
    </w:p>
    <w:p w14:paraId="65DD07A4">
      <w:pPr>
        <w:snapToGrid w:val="0"/>
        <w:spacing w:line="360" w:lineRule="auto"/>
        <w:ind w:firstLine="360" w:firstLineChars="150"/>
        <w:rPr>
          <w:rFonts w:ascii="黑体" w:hAnsi="黑体" w:eastAsia="黑体"/>
          <w:sz w:val="24"/>
        </w:rPr>
      </w:pPr>
      <w:r>
        <w:rPr>
          <w:rFonts w:ascii="黑体" w:hAnsi="黑体" w:eastAsia="黑体"/>
          <w:sz w:val="24"/>
        </w:rPr>
        <w:t>16.1.2</w:t>
      </w:r>
      <w:r>
        <w:rPr>
          <w:rFonts w:hint="eastAsia" w:ascii="黑体" w:hAnsi="黑体" w:eastAsia="黑体"/>
          <w:sz w:val="24"/>
          <w:lang w:val="en-US" w:eastAsia="zh-CN"/>
        </w:rPr>
        <w:t xml:space="preserve"> </w:t>
      </w:r>
      <w:r>
        <w:rPr>
          <w:rFonts w:hint="eastAsia" w:ascii="黑体" w:hAnsi="黑体" w:eastAsia="黑体"/>
          <w:sz w:val="24"/>
        </w:rPr>
        <w:t>采用造价信息调整价格差额</w:t>
      </w:r>
    </w:p>
    <w:p w14:paraId="0EEF84DD">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调价范围：</w:t>
      </w:r>
      <w:r>
        <w:rPr>
          <w:rFonts w:hint="eastAsia" w:asciiTheme="minorEastAsia" w:hAnsiTheme="minorEastAsia" w:eastAsiaTheme="minorEastAsia"/>
          <w:sz w:val="24"/>
          <w:lang w:bidi="ar"/>
        </w:rPr>
        <w:t xml:space="preserve">只限于建设项目的永久工程，临时工程不予材料价差调整。 </w:t>
      </w:r>
    </w:p>
    <w:p w14:paraId="2F582B49">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调价时间：见专用合同条款数据表。</w:t>
      </w:r>
    </w:p>
    <w:p w14:paraId="3C74542D">
      <w:pPr>
        <w:widowControl/>
        <w:spacing w:line="360" w:lineRule="auto"/>
        <w:ind w:firstLine="480" w:firstLineChars="200"/>
        <w:jc w:val="left"/>
        <w:rPr>
          <w:rFonts w:asciiTheme="minorEastAsia" w:hAnsiTheme="minorEastAsia" w:eastAsiaTheme="minorEastAsia"/>
          <w:sz w:val="24"/>
          <w:lang w:bidi="ar"/>
        </w:rPr>
      </w:pPr>
      <w:r>
        <w:rPr>
          <w:rFonts w:hint="eastAsia" w:asciiTheme="minorEastAsia" w:hAnsiTheme="minorEastAsia" w:eastAsiaTheme="minorEastAsia"/>
          <w:sz w:val="24"/>
          <w:lang w:bidi="ar"/>
        </w:rPr>
        <w:t>价差调整</w:t>
      </w:r>
      <w:r>
        <w:rPr>
          <w:rFonts w:hint="eastAsia" w:asciiTheme="minorEastAsia" w:hAnsiTheme="minorEastAsia" w:eastAsiaTheme="minorEastAsia"/>
          <w:sz w:val="24"/>
          <w:lang w:val="en-US" w:eastAsia="zh-CN" w:bidi="ar"/>
        </w:rPr>
        <w:t>内容</w:t>
      </w:r>
      <w:r>
        <w:rPr>
          <w:rFonts w:hint="eastAsia" w:asciiTheme="minorEastAsia" w:hAnsiTheme="minorEastAsia" w:eastAsiaTheme="minorEastAsia"/>
          <w:sz w:val="24"/>
          <w:lang w:bidi="ar"/>
        </w:rPr>
        <w:t>：</w:t>
      </w:r>
      <w:r>
        <w:rPr>
          <w:rFonts w:hint="eastAsia" w:ascii="宋体" w:hAnsi="宋体" w:eastAsia="宋体" w:cs="宋体"/>
          <w:sz w:val="24"/>
          <w:lang w:bidi="ar"/>
        </w:rPr>
        <w:t>□</w:t>
      </w:r>
      <w:r>
        <w:rPr>
          <w:rFonts w:hint="eastAsia" w:asciiTheme="minorEastAsia" w:hAnsiTheme="minorEastAsia" w:eastAsiaTheme="minorEastAsia"/>
          <w:sz w:val="24"/>
          <w:lang w:bidi="ar"/>
        </w:rPr>
        <w:t>人工</w:t>
      </w:r>
      <w:r>
        <w:rPr>
          <w:rFonts w:hint="eastAsia" w:asciiTheme="minorEastAsia" w:hAnsiTheme="minorEastAsia" w:eastAsiaTheme="minorEastAsia"/>
          <w:sz w:val="24"/>
          <w:lang w:val="en-US" w:eastAsia="zh-CN" w:bidi="ar"/>
        </w:rPr>
        <w:t xml:space="preserve">  </w:t>
      </w:r>
      <w:r>
        <w:rPr>
          <w:rFonts w:hint="eastAsia" w:ascii="宋体" w:hAnsi="宋体" w:eastAsia="宋体" w:cs="宋体"/>
          <w:sz w:val="24"/>
          <w:lang w:val="en-US" w:eastAsia="zh-CN" w:bidi="ar"/>
        </w:rPr>
        <w:t>□</w:t>
      </w:r>
      <w:r>
        <w:rPr>
          <w:rFonts w:hint="eastAsia" w:asciiTheme="minorEastAsia" w:hAnsiTheme="minorEastAsia" w:eastAsiaTheme="minorEastAsia"/>
          <w:sz w:val="24"/>
          <w:lang w:bidi="ar"/>
        </w:rPr>
        <w:t>材料</w:t>
      </w:r>
    </w:p>
    <w:p w14:paraId="633B43A5">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en-US" w:eastAsia="zh-CN" w:bidi="ar"/>
        </w:rPr>
        <w:t>其中</w:t>
      </w:r>
      <w:r>
        <w:rPr>
          <w:rFonts w:hint="eastAsia" w:asciiTheme="minorEastAsia" w:hAnsiTheme="minorEastAsia" w:eastAsiaTheme="minorEastAsia"/>
          <w:sz w:val="24"/>
          <w:lang w:bidi="ar"/>
        </w:rPr>
        <w:t>准予材料价差调整的材料品种仅限于：</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 xml:space="preserve"> ，其他材料均不予材料价差调整。</w:t>
      </w:r>
    </w:p>
    <w:p w14:paraId="0005C5E3">
      <w:pPr>
        <w:spacing w:line="360" w:lineRule="auto"/>
        <w:ind w:firstLine="465"/>
        <w:jc w:val="left"/>
        <w:rPr>
          <w:rFonts w:asciiTheme="minorEastAsia" w:hAnsiTheme="minorEastAsia" w:eastAsiaTheme="minorEastAsia"/>
          <w:sz w:val="24"/>
        </w:rPr>
      </w:pPr>
      <w:r>
        <w:rPr>
          <w:rFonts w:hint="eastAsia" w:asciiTheme="minorEastAsia" w:hAnsiTheme="minorEastAsia" w:eastAsiaTheme="minorEastAsia"/>
          <w:sz w:val="24"/>
          <w:lang w:bidi="ar"/>
        </w:rPr>
        <w:t>风险幅度：材料价差在风险幅度内的波动作为承包人的风险，不进行材料价差调整。各种材料价格变化的风险幅度：调整当期价格与材料基准价格变化幅度在</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%之内(含)不调价，超过</w:t>
      </w:r>
      <w:r>
        <w:rPr>
          <w:rFonts w:hint="eastAsia" w:asciiTheme="minorEastAsia" w:hAnsiTheme="minorEastAsia" w:eastAsiaTheme="minorEastAsia"/>
          <w:sz w:val="24"/>
          <w:u w:val="single"/>
          <w:lang w:bidi="ar"/>
        </w:rPr>
        <w:t xml:space="preserve">±    </w:t>
      </w:r>
      <w:r>
        <w:rPr>
          <w:rFonts w:hint="eastAsia" w:asciiTheme="minorEastAsia" w:hAnsiTheme="minorEastAsia" w:eastAsiaTheme="minorEastAsia"/>
          <w:sz w:val="24"/>
          <w:lang w:bidi="ar"/>
        </w:rPr>
        <w:t>%予以调价。</w:t>
      </w:r>
    </w:p>
    <w:p w14:paraId="72480FB2">
      <w:pPr>
        <w:spacing w:line="360" w:lineRule="auto"/>
        <w:ind w:firstLine="465"/>
        <w:jc w:val="left"/>
        <w:rPr>
          <w:rFonts w:asciiTheme="minorEastAsia" w:hAnsiTheme="minorEastAsia" w:eastAsiaTheme="minorEastAsia"/>
          <w:sz w:val="24"/>
          <w:u w:val="single"/>
        </w:rPr>
      </w:pPr>
      <w:r>
        <w:rPr>
          <w:rFonts w:hint="eastAsia" w:asciiTheme="minorEastAsia" w:hAnsiTheme="minorEastAsia" w:eastAsiaTheme="minorEastAsia"/>
          <w:sz w:val="24"/>
        </w:rPr>
        <w:t>具体要求</w:t>
      </w:r>
      <w:r>
        <w:rPr>
          <w:rFonts w:asciiTheme="minorEastAsia" w:hAnsiTheme="minorEastAsia" w:eastAsiaTheme="minorEastAsia"/>
          <w:sz w:val="24"/>
        </w:rPr>
        <w:t>：</w:t>
      </w:r>
      <w:r>
        <w:rPr>
          <w:rFonts w:asciiTheme="minorEastAsia" w:hAnsiTheme="minorEastAsia" w:eastAsiaTheme="minorEastAsia"/>
          <w:sz w:val="24"/>
          <w:u w:val="single"/>
        </w:rPr>
        <w:t xml:space="preserve">                                                </w:t>
      </w:r>
    </w:p>
    <w:p w14:paraId="26E25DE7">
      <w:pPr>
        <w:spacing w:line="360" w:lineRule="auto"/>
        <w:ind w:firstLine="465"/>
        <w:jc w:val="left"/>
        <w:rPr>
          <w:rFonts w:asciiTheme="minorEastAsia" w:hAnsiTheme="minorEastAsia" w:eastAsiaTheme="minorEastAsia"/>
          <w:sz w:val="24"/>
        </w:rPr>
      </w:pPr>
      <w:r>
        <w:rPr>
          <w:rFonts w:asciiTheme="minorEastAsia" w:hAnsiTheme="minorEastAsia" w:eastAsiaTheme="minorEastAsia"/>
          <w:sz w:val="24"/>
        </w:rPr>
        <w:t xml:space="preserve">  16.1.</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.1</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调价基本公式：</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14:paraId="1BE77A49">
      <w:pPr>
        <w:spacing w:line="360" w:lineRule="auto"/>
        <w:ind w:firstLine="720" w:firstLineChars="300"/>
        <w:jc w:val="left"/>
        <w:rPr>
          <w:rFonts w:asciiTheme="minorEastAsia" w:hAnsiTheme="minorEastAsia" w:eastAsiaTheme="minorEastAsia"/>
          <w:sz w:val="24"/>
          <w:u w:val="single"/>
        </w:rPr>
      </w:pPr>
      <w:r>
        <w:rPr>
          <w:rFonts w:asciiTheme="minorEastAsia" w:hAnsiTheme="minorEastAsia" w:eastAsiaTheme="minorEastAsia"/>
          <w:sz w:val="24"/>
        </w:rPr>
        <w:t>16.1.</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价格调整幅度的计算：</w:t>
      </w:r>
      <w:r>
        <w:rPr>
          <w:rFonts w:asciiTheme="minorEastAsia" w:hAnsiTheme="minorEastAsia" w:eastAsiaTheme="minorEastAsia"/>
          <w:sz w:val="24"/>
          <w:u w:val="single"/>
        </w:rPr>
        <w:t xml:space="preserve">                               </w:t>
      </w:r>
    </w:p>
    <w:p w14:paraId="1B60CC69">
      <w:pPr>
        <w:spacing w:line="360" w:lineRule="auto"/>
        <w:ind w:firstLine="720" w:firstLineChars="300"/>
        <w:jc w:val="left"/>
        <w:rPr>
          <w:rFonts w:cs="Arial" w:asciiTheme="minorEastAsia" w:hAnsiTheme="minorEastAsia" w:eastAsiaTheme="minorEastAsia"/>
          <w:sz w:val="24"/>
        </w:rPr>
      </w:pPr>
      <w:r>
        <w:rPr>
          <w:rFonts w:asciiTheme="minorEastAsia" w:hAnsiTheme="minorEastAsia" w:eastAsiaTheme="minorEastAsia"/>
          <w:sz w:val="24"/>
        </w:rPr>
        <w:t>16.1.</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.3</w:t>
      </w:r>
      <w:r>
        <w:rPr>
          <w:rFonts w:hint="eastAsia"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工期延误后的价格调整：</w:t>
      </w:r>
      <w:r>
        <w:rPr>
          <w:rFonts w:asciiTheme="minorEastAsia" w:hAnsiTheme="minorEastAsia" w:eastAsiaTheme="minorEastAsia"/>
          <w:sz w:val="24"/>
          <w:u w:val="single"/>
        </w:rPr>
        <w:t xml:space="preserve">                             </w:t>
      </w:r>
    </w:p>
    <w:p w14:paraId="4AA7031A">
      <w:pPr>
        <w:spacing w:line="360" w:lineRule="auto"/>
        <w:ind w:firstLine="720" w:firstLineChars="300"/>
        <w:jc w:val="left"/>
        <w:rPr>
          <w:rFonts w:cs="Arial" w:asciiTheme="minorEastAsia" w:hAnsiTheme="minorEastAsia" w:eastAsiaTheme="minorEastAsia"/>
          <w:sz w:val="24"/>
        </w:rPr>
      </w:pPr>
      <w:r>
        <w:rPr>
          <w:rFonts w:asciiTheme="minorEastAsia" w:hAnsiTheme="minorEastAsia" w:eastAsiaTheme="minorEastAsia"/>
          <w:sz w:val="24"/>
        </w:rPr>
        <w:t>16.1.</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.4</w:t>
      </w:r>
      <w:r>
        <w:rPr>
          <w:rFonts w:hint="eastAsia" w:asciiTheme="minorEastAsia" w:hAnsiTheme="minorEastAsia" w:eastAsiaTheme="minorEastAsia"/>
          <w:sz w:val="24"/>
          <w:lang w:val="en-US" w:eastAsia="zh-CN"/>
        </w:rPr>
        <w:t xml:space="preserve"> </w:t>
      </w:r>
      <w:r>
        <w:rPr>
          <w:rFonts w:hint="eastAsia" w:hAnsi="宋体" w:cs="Arial"/>
          <w:sz w:val="24"/>
        </w:rPr>
        <w:t>因价格调整引起的税收、管理费、利润等一切费用，均由承包人自行承担。</w:t>
      </w:r>
    </w:p>
    <w:p w14:paraId="64E6C307">
      <w:pPr>
        <w:pStyle w:val="26"/>
        <w:spacing w:line="360" w:lineRule="auto"/>
        <w:ind w:firstLine="744" w:firstLineChars="310"/>
        <w:rPr>
          <w:rFonts w:hAnsi="宋体" w:cs="Arial"/>
          <w:sz w:val="24"/>
          <w:szCs w:val="24"/>
        </w:rPr>
      </w:pPr>
      <w:r>
        <w:rPr>
          <w:rFonts w:asciiTheme="minorEastAsia" w:hAnsiTheme="minorEastAsia" w:eastAsiaTheme="minorEastAsia"/>
          <w:sz w:val="24"/>
        </w:rPr>
        <w:t>16.1.</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.5</w:t>
      </w:r>
      <w:r>
        <w:rPr>
          <w:rFonts w:hint="eastAsia" w:asciiTheme="minorEastAsia" w:hAnsiTheme="minorEastAsia" w:eastAsiaTheme="minorEastAsia"/>
          <w:sz w:val="24"/>
          <w:lang w:val="en-US" w:eastAsia="zh-CN"/>
        </w:rPr>
        <w:t xml:space="preserve"> </w:t>
      </w:r>
      <w:r>
        <w:rPr>
          <w:rFonts w:hint="eastAsia" w:hAnsi="宋体" w:cs="Arial"/>
          <w:sz w:val="24"/>
          <w:szCs w:val="24"/>
        </w:rPr>
        <w:t>其他约定：</w:t>
      </w:r>
      <w:r>
        <w:rPr>
          <w:rFonts w:hAnsi="宋体" w:cs="Arial"/>
          <w:b/>
          <w:bCs/>
          <w:sz w:val="24"/>
          <w:szCs w:val="24"/>
          <w:u w:val="single"/>
        </w:rPr>
        <w:t xml:space="preserve">             </w:t>
      </w:r>
      <w:r>
        <w:rPr>
          <w:rFonts w:hAnsi="宋体" w:cs="Arial"/>
          <w:b/>
          <w:bCs/>
          <w:sz w:val="24"/>
          <w:szCs w:val="24"/>
        </w:rPr>
        <w:t xml:space="preserve"> </w:t>
      </w:r>
      <w:r>
        <w:rPr>
          <w:rFonts w:hint="eastAsia" w:hAnsi="宋体" w:cs="Arial"/>
          <w:sz w:val="24"/>
          <w:szCs w:val="24"/>
        </w:rPr>
        <w:t>。</w:t>
      </w:r>
    </w:p>
    <w:bookmarkEnd w:id="797"/>
    <w:p w14:paraId="723E2411">
      <w:pPr>
        <w:pStyle w:val="2"/>
        <w:spacing w:before="240" w:after="240" w:line="240" w:lineRule="atLeast"/>
        <w:rPr>
          <w:rFonts w:ascii="黑体"/>
          <w:b w:val="0"/>
          <w:sz w:val="24"/>
          <w:szCs w:val="24"/>
        </w:rPr>
      </w:pPr>
      <w:r>
        <w:rPr>
          <w:rFonts w:ascii="黑体"/>
          <w:b w:val="0"/>
          <w:sz w:val="24"/>
          <w:szCs w:val="24"/>
        </w:rPr>
        <w:t>16.1</w:t>
      </w:r>
      <w:r>
        <w:rPr>
          <w:rFonts w:hint="eastAsia" w:ascii="黑体"/>
          <w:b w:val="0"/>
          <w:sz w:val="24"/>
          <w:szCs w:val="24"/>
        </w:rPr>
        <w:t xml:space="preserve"> 物价波动引起的价格调整（</w:t>
      </w:r>
      <w:r>
        <w:rPr>
          <w:rFonts w:ascii="黑体"/>
          <w:b w:val="0"/>
          <w:sz w:val="24"/>
          <w:szCs w:val="24"/>
        </w:rPr>
        <w:t>B</w:t>
      </w:r>
      <w:r>
        <w:rPr>
          <w:rFonts w:hint="eastAsia" w:ascii="黑体"/>
          <w:b w:val="0"/>
          <w:sz w:val="24"/>
          <w:szCs w:val="24"/>
        </w:rPr>
        <w:t>）</w:t>
      </w:r>
    </w:p>
    <w:p w14:paraId="136AB757">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除法律规定或专用合同条款另有约定外，合同价格不因物价波动进行调整。</w:t>
      </w:r>
    </w:p>
    <w:p w14:paraId="609F8CC4">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本款补充第16.3款：</w:t>
      </w:r>
    </w:p>
    <w:p w14:paraId="11FDBC71">
      <w:pPr>
        <w:pStyle w:val="2"/>
        <w:adjustRightInd w:val="0"/>
        <w:snapToGrid w:val="0"/>
        <w:spacing w:before="240" w:after="240" w:line="240" w:lineRule="atLeast"/>
        <w:rPr>
          <w:rFonts w:ascii="黑体"/>
          <w:b w:val="0"/>
          <w:sz w:val="24"/>
          <w:szCs w:val="24"/>
        </w:rPr>
      </w:pPr>
      <w:r>
        <w:rPr>
          <w:rFonts w:hint="eastAsia" w:ascii="黑体"/>
          <w:b w:val="0"/>
          <w:sz w:val="24"/>
          <w:szCs w:val="24"/>
        </w:rPr>
        <w:t>16.3</w:t>
      </w:r>
      <w:r>
        <w:rPr>
          <w:rFonts w:hint="eastAsia" w:ascii="黑体"/>
          <w:b w:val="0"/>
          <w:sz w:val="24"/>
          <w:szCs w:val="24"/>
          <w:lang w:val="en-US" w:eastAsia="zh-CN"/>
        </w:rPr>
        <w:t xml:space="preserve"> </w:t>
      </w:r>
      <w:r>
        <w:rPr>
          <w:rFonts w:hint="eastAsia" w:ascii="黑体"/>
          <w:b w:val="0"/>
          <w:sz w:val="24"/>
          <w:szCs w:val="24"/>
        </w:rPr>
        <w:t>施工图勘察设计费用的调整</w:t>
      </w:r>
    </w:p>
    <w:p w14:paraId="473ADC8A">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本款约定为：</w:t>
      </w:r>
      <w:r>
        <w:rPr>
          <w:rFonts w:hint="eastAsia" w:ascii="宋体" w:hAnsi="宋体"/>
          <w:sz w:val="24"/>
          <w:u w:val="single"/>
        </w:rPr>
        <w:t xml:space="preserve">           </w:t>
      </w:r>
      <w:r>
        <w:rPr>
          <w:rFonts w:hint="eastAsia" w:ascii="宋体" w:hAnsi="宋体"/>
          <w:sz w:val="24"/>
        </w:rPr>
        <w:t>。</w:t>
      </w:r>
    </w:p>
    <w:p w14:paraId="3BC606A8">
      <w:pPr>
        <w:pStyle w:val="2"/>
        <w:spacing w:before="360" w:after="240" w:line="240" w:lineRule="atLeast"/>
        <w:rPr>
          <w:rFonts w:ascii="黑体"/>
          <w:b w:val="0"/>
          <w:sz w:val="28"/>
          <w:szCs w:val="28"/>
        </w:rPr>
      </w:pPr>
      <w:bookmarkStart w:id="798" w:name="_Toc53685776"/>
      <w:r>
        <w:rPr>
          <w:rFonts w:ascii="黑体"/>
          <w:b w:val="0"/>
          <w:sz w:val="28"/>
          <w:szCs w:val="28"/>
        </w:rPr>
        <w:t xml:space="preserve">17. </w:t>
      </w:r>
      <w:r>
        <w:rPr>
          <w:rFonts w:hint="eastAsia" w:ascii="黑体"/>
          <w:b w:val="0"/>
          <w:sz w:val="28"/>
          <w:szCs w:val="28"/>
        </w:rPr>
        <w:t>合同价格与支付</w:t>
      </w:r>
      <w:bookmarkEnd w:id="798"/>
    </w:p>
    <w:p w14:paraId="5B063440">
      <w:pPr>
        <w:pStyle w:val="2"/>
        <w:spacing w:before="240" w:after="240" w:line="240" w:lineRule="atLeast"/>
        <w:rPr>
          <w:rFonts w:ascii="黑体"/>
          <w:b w:val="0"/>
          <w:sz w:val="24"/>
          <w:szCs w:val="24"/>
        </w:rPr>
      </w:pPr>
      <w:bookmarkStart w:id="799" w:name="_Toc53685777"/>
      <w:r>
        <w:rPr>
          <w:rFonts w:ascii="黑体"/>
          <w:b w:val="0"/>
          <w:sz w:val="24"/>
          <w:szCs w:val="24"/>
        </w:rPr>
        <w:t xml:space="preserve">17.1 </w:t>
      </w:r>
      <w:bookmarkEnd w:id="799"/>
      <w:r>
        <w:rPr>
          <w:rFonts w:hint="eastAsia" w:ascii="黑体"/>
          <w:b w:val="0"/>
          <w:sz w:val="24"/>
          <w:szCs w:val="24"/>
        </w:rPr>
        <w:t>合同价格</w:t>
      </w:r>
    </w:p>
    <w:p w14:paraId="4ADDB41E">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本款约定为： </w:t>
      </w:r>
    </w:p>
    <w:p w14:paraId="5BAF0215">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17.1.1 本合同为总价合同，为完成本项目工程勘察设计、施工等所包含的全部费用，包括但不限于： </w:t>
      </w:r>
    </w:p>
    <w:p w14:paraId="685A36B7">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（1）完成本合同工程勘察设计、专题研究等所有工作量和提供全套相关文件； </w:t>
      </w:r>
    </w:p>
    <w:p w14:paraId="37FB24C6">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（2）为实施和完成本合同工程所需的全部劳务、材料、机械、质检(自检)、安装、缺陷修复、保险、培训、管理、税费、利润、工艺试验等费用；</w:t>
      </w:r>
    </w:p>
    <w:p w14:paraId="6ABC31CD">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（3）所有会议（含评审会议等）会务费用及后续服务的全部费用； </w:t>
      </w:r>
    </w:p>
    <w:p w14:paraId="3030C270">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（4）承包人因完成本项目工作必须缴纳的所有税费均由承包人承担，并包含在签约合同价之中； </w:t>
      </w:r>
    </w:p>
    <w:p w14:paraId="0718FB3E">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（5）其他合同明示或暗示的所有责任、义务和一切风险。除按照合同作出的调整(如有)外，为完成本合同工程中全部工作所需的全部费用，以及总承包风险费皆包含在签约合同价中。 </w:t>
      </w:r>
    </w:p>
    <w:p w14:paraId="72F6260A">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设计施工总承包价格实行总价包干，在合同执行过程中，除根据第15.7.1项和第16款确定的费用变化外，施工承包费用及勘察设计费用均不得调整。</w:t>
      </w:r>
    </w:p>
    <w:p w14:paraId="50C575EE">
      <w:pPr>
        <w:tabs>
          <w:tab w:val="left" w:pos="700"/>
        </w:tabs>
        <w:adjustRightInd w:val="0"/>
        <w:snapToGrid w:val="0"/>
        <w:spacing w:line="360" w:lineRule="auto"/>
        <w:ind w:firstLine="480" w:firstLineChars="200"/>
        <w:rPr>
          <w:rFonts w:ascii="宋体" w:hAnsi="宋体"/>
          <w:sz w:val="24"/>
          <w:lang w:bidi="ar"/>
        </w:rPr>
      </w:pPr>
      <w:r>
        <w:rPr>
          <w:rFonts w:hint="eastAsia" w:ascii="宋体" w:hAnsi="宋体"/>
          <w:sz w:val="24"/>
          <w:lang w:bidi="ar"/>
        </w:rPr>
        <w:t>17.1.2 承包人应在施工图设计完成后，依据经行业主管部门批准的施工图设计文件，参照交通运输部《公路工程标准施工招标文件》（2018年版）和项目专用技术规范、工程量清单计量规则、参照清单说明中要求，在保证签约合同价不变的情况下，重新核算并调整施工报价清单(包括但不限于清单细目的增减、数量变化及综合单价的调整)，并提交对应的单价分析资料。发包人负责对调整的施工价格清单进行审定，最终审定后的施工价格清单作为进度付款的依据。最终施工价格清单中列出的任何工作量和价格数据应仅限用于合同约定的变更和支付的参考资料，而不能用于其他目的。</w:t>
      </w:r>
    </w:p>
    <w:p w14:paraId="15945F67">
      <w:pPr>
        <w:tabs>
          <w:tab w:val="left" w:pos="700"/>
        </w:tabs>
        <w:adjustRightInd w:val="0"/>
        <w:snapToGrid w:val="0"/>
        <w:spacing w:before="240" w:after="240" w:line="360" w:lineRule="auto"/>
        <w:rPr>
          <w:rFonts w:ascii="黑体" w:hAnsi="黑体" w:eastAsia="黑体" w:cs="黑体"/>
          <w:sz w:val="24"/>
        </w:rPr>
      </w:pPr>
      <w:bookmarkStart w:id="800" w:name="_Toc53685778"/>
      <w:r>
        <w:rPr>
          <w:rFonts w:hint="eastAsia" w:ascii="黑体" w:hAnsi="黑体" w:eastAsia="黑体" w:cs="黑体"/>
          <w:sz w:val="24"/>
        </w:rPr>
        <w:t>17.2 预付款</w:t>
      </w:r>
      <w:bookmarkEnd w:id="800"/>
    </w:p>
    <w:p w14:paraId="109379F4">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17.2.1 预付款 </w:t>
      </w:r>
    </w:p>
    <w:p w14:paraId="42E71643">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本项约定为： </w:t>
      </w:r>
    </w:p>
    <w:p w14:paraId="2F07652F">
      <w:pPr>
        <w:widowControl/>
        <w:tabs>
          <w:tab w:val="left" w:pos="700"/>
        </w:tabs>
        <w:adjustRightInd w:val="0"/>
        <w:snapToGrid w:val="0"/>
        <w:spacing w:line="360" w:lineRule="auto"/>
        <w:ind w:firstLine="480" w:firstLineChars="200"/>
        <w:jc w:val="both"/>
        <w:rPr>
          <w:rFonts w:ascii="宋体" w:hAnsi="宋体"/>
          <w:sz w:val="24"/>
        </w:rPr>
      </w:pPr>
      <w:r>
        <w:rPr>
          <w:rFonts w:hint="eastAsia" w:ascii="宋体" w:hAnsi="宋体"/>
          <w:sz w:val="24"/>
          <w:lang w:bidi="ar"/>
        </w:rPr>
        <w:t>（1）开工预付款的金额</w:t>
      </w:r>
      <w:r>
        <w:rPr>
          <w:rFonts w:hint="eastAsia" w:ascii="宋体" w:hAnsi="宋体"/>
          <w:sz w:val="24"/>
          <w:lang w:val="en-US" w:eastAsia="zh-CN" w:bidi="ar"/>
        </w:rPr>
        <w:t>见</w:t>
      </w:r>
      <w:r>
        <w:rPr>
          <w:rFonts w:hint="eastAsia" w:ascii="宋体" w:hAnsi="宋体"/>
          <w:sz w:val="24"/>
          <w:lang w:bidi="ar"/>
        </w:rPr>
        <w:t xml:space="preserve">项目专用合同条款数据表。在承包人签订了合同协议书且承包人承诺的主要设备进场后，监理人应在当期进度付款证书中向承包人支付开工预付款。 </w:t>
      </w:r>
    </w:p>
    <w:p w14:paraId="4B6EBCDB">
      <w:pPr>
        <w:widowControl/>
        <w:tabs>
          <w:tab w:val="left" w:pos="700"/>
        </w:tabs>
        <w:adjustRightInd w:val="0"/>
        <w:snapToGrid w:val="0"/>
        <w:spacing w:line="360" w:lineRule="auto"/>
        <w:ind w:firstLine="480" w:firstLineChars="200"/>
        <w:jc w:val="both"/>
        <w:rPr>
          <w:rFonts w:ascii="宋体" w:hAnsi="宋体"/>
          <w:sz w:val="24"/>
        </w:rPr>
      </w:pPr>
      <w:r>
        <w:rPr>
          <w:rFonts w:hint="eastAsia" w:ascii="宋体" w:hAnsi="宋体"/>
          <w:sz w:val="24"/>
          <w:lang w:bidi="ar"/>
        </w:rPr>
        <w:t xml:space="preserve">承包人不得将该预付款用于与本工程无关的支出，监理人有权监督承包人对该 项费用的使用，如经查实承包人滥用开工预付款，发包人有权立即向银行索赔履约保证金，并解除合同。 </w:t>
      </w:r>
    </w:p>
    <w:p w14:paraId="0C6B6F87">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t xml:space="preserve">（2）材料、设备预付款按项目专用合同条款数据表中所列主要材料、设备单据费用（进口的材料、设备为到岸价，国内采购的为出厂价或销售价，地方材料为堆场价）的百分比支付。其预付条件为： </w:t>
      </w:r>
    </w:p>
    <w:p w14:paraId="32496090">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fldChar w:fldCharType="begin"/>
      </w:r>
      <w:r>
        <w:rPr>
          <w:rFonts w:hint="eastAsia" w:ascii="宋体" w:hAnsi="宋体"/>
          <w:sz w:val="24"/>
          <w:lang w:bidi="ar"/>
        </w:rPr>
        <w:instrText xml:space="preserve"> = 1 \* GB3 \* MERGEFORMAT </w:instrText>
      </w:r>
      <w:r>
        <w:rPr>
          <w:rFonts w:hint="eastAsia" w:ascii="宋体" w:hAnsi="宋体"/>
          <w:sz w:val="24"/>
          <w:lang w:bidi="ar"/>
        </w:rPr>
        <w:fldChar w:fldCharType="separate"/>
      </w:r>
      <w:r>
        <w:rPr>
          <w:sz w:val="24"/>
        </w:rPr>
        <w:t>①</w:t>
      </w:r>
      <w:r>
        <w:rPr>
          <w:rFonts w:hint="eastAsia" w:ascii="宋体" w:hAnsi="宋体"/>
          <w:sz w:val="24"/>
          <w:lang w:bidi="ar"/>
        </w:rPr>
        <w:fldChar w:fldCharType="end"/>
      </w:r>
      <w:r>
        <w:rPr>
          <w:rFonts w:hint="eastAsia" w:ascii="宋体" w:hAnsi="宋体"/>
          <w:sz w:val="24"/>
          <w:lang w:bidi="ar"/>
        </w:rPr>
        <w:t>材料、设备符合规范要求并经监理人认可；</w:t>
      </w:r>
    </w:p>
    <w:p w14:paraId="434EB65F">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fldChar w:fldCharType="begin"/>
      </w:r>
      <w:r>
        <w:rPr>
          <w:rFonts w:hint="eastAsia" w:ascii="宋体" w:hAnsi="宋体"/>
          <w:sz w:val="24"/>
          <w:lang w:bidi="ar"/>
        </w:rPr>
        <w:instrText xml:space="preserve"> = 2 \* GB3 \* MERGEFORMAT </w:instrText>
      </w:r>
      <w:r>
        <w:rPr>
          <w:rFonts w:hint="eastAsia" w:ascii="宋体" w:hAnsi="宋体"/>
          <w:sz w:val="24"/>
          <w:lang w:bidi="ar"/>
        </w:rPr>
        <w:fldChar w:fldCharType="separate"/>
      </w:r>
      <w:r>
        <w:rPr>
          <w:sz w:val="24"/>
        </w:rPr>
        <w:t>②</w:t>
      </w:r>
      <w:r>
        <w:rPr>
          <w:rFonts w:hint="eastAsia" w:ascii="宋体" w:hAnsi="宋体"/>
          <w:sz w:val="24"/>
          <w:lang w:bidi="ar"/>
        </w:rPr>
        <w:fldChar w:fldCharType="end"/>
      </w:r>
      <w:r>
        <w:rPr>
          <w:rFonts w:hint="eastAsia" w:ascii="宋体" w:hAnsi="宋体"/>
          <w:sz w:val="24"/>
          <w:lang w:bidi="ar"/>
        </w:rPr>
        <w:t xml:space="preserve">承包人已出具材料、设备费用凭证或支付单据； </w:t>
      </w:r>
    </w:p>
    <w:p w14:paraId="68F44BF0">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bidi="ar"/>
        </w:rPr>
        <w:fldChar w:fldCharType="begin"/>
      </w:r>
      <w:r>
        <w:rPr>
          <w:rFonts w:hint="eastAsia" w:ascii="宋体" w:hAnsi="宋体"/>
          <w:sz w:val="24"/>
          <w:lang w:bidi="ar"/>
        </w:rPr>
        <w:instrText xml:space="preserve"> = 3 \* GB3 \* MERGEFORMAT </w:instrText>
      </w:r>
      <w:r>
        <w:rPr>
          <w:rFonts w:hint="eastAsia" w:ascii="宋体" w:hAnsi="宋体"/>
          <w:sz w:val="24"/>
          <w:lang w:bidi="ar"/>
        </w:rPr>
        <w:fldChar w:fldCharType="separate"/>
      </w:r>
      <w:r>
        <w:rPr>
          <w:sz w:val="24"/>
        </w:rPr>
        <w:t>③</w:t>
      </w:r>
      <w:r>
        <w:rPr>
          <w:rFonts w:hint="eastAsia" w:ascii="宋体" w:hAnsi="宋体"/>
          <w:sz w:val="24"/>
          <w:lang w:bidi="ar"/>
        </w:rPr>
        <w:fldChar w:fldCharType="end"/>
      </w:r>
      <w:r>
        <w:rPr>
          <w:rFonts w:hint="eastAsia" w:ascii="宋体" w:hAnsi="宋体"/>
          <w:sz w:val="24"/>
          <w:lang w:bidi="ar"/>
        </w:rPr>
        <w:t xml:space="preserve">材料、设备已在现场交货，且存储良好，监理人认为材料、设备的存储方法符合要求。 </w:t>
      </w:r>
    </w:p>
    <w:p w14:paraId="2104D566">
      <w:pPr>
        <w:tabs>
          <w:tab w:val="left" w:pos="700"/>
        </w:tabs>
        <w:adjustRightInd w:val="0"/>
        <w:snapToGrid w:val="0"/>
        <w:spacing w:line="360" w:lineRule="auto"/>
        <w:ind w:firstLine="480" w:firstLineChars="200"/>
        <w:rPr>
          <w:rFonts w:hAnsi="宋体"/>
          <w:sz w:val="24"/>
        </w:rPr>
      </w:pPr>
      <w:r>
        <w:rPr>
          <w:rFonts w:hint="eastAsia" w:ascii="宋体" w:hAnsi="宋体"/>
          <w:sz w:val="24"/>
          <w:lang w:bidi="ar"/>
        </w:rPr>
        <w:t>则监理人应将此项金额作为材料、设备预付款计入下一次的进度付款证书中。在预计交工前3个月，将不再支付材料、设备预付款。</w:t>
      </w:r>
    </w:p>
    <w:p w14:paraId="6C70E314">
      <w:pPr>
        <w:widowControl/>
        <w:adjustRightInd w:val="0"/>
        <w:snapToGrid w:val="0"/>
        <w:spacing w:line="360" w:lineRule="auto"/>
        <w:ind w:firstLine="360" w:firstLineChars="150"/>
        <w:jc w:val="left"/>
        <w:rPr>
          <w:rFonts w:ascii="黑体" w:hAnsi="黑体" w:eastAsia="黑体"/>
          <w:sz w:val="24"/>
        </w:rPr>
      </w:pPr>
      <w:r>
        <w:rPr>
          <w:rFonts w:ascii="黑体" w:hAnsi="黑体" w:eastAsia="黑体"/>
          <w:sz w:val="24"/>
          <w:lang w:bidi="ar"/>
        </w:rPr>
        <w:t xml:space="preserve">17.2.2 预付款保函 </w:t>
      </w:r>
    </w:p>
    <w:p w14:paraId="519B33FC">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本项细化为： </w:t>
      </w:r>
    </w:p>
    <w:p w14:paraId="1AB9E8D0">
      <w:pPr>
        <w:widowControl/>
        <w:tabs>
          <w:tab w:val="left" w:pos="700"/>
        </w:tabs>
        <w:adjustRightInd w:val="0"/>
        <w:snapToGrid w:val="0"/>
        <w:spacing w:line="360" w:lineRule="auto"/>
        <w:ind w:firstLine="480" w:firstLineChars="200"/>
        <w:jc w:val="left"/>
        <w:rPr>
          <w:rFonts w:ascii="黑体" w:hAnsi="黑体" w:eastAsia="黑体"/>
          <w:sz w:val="24"/>
        </w:rPr>
      </w:pPr>
      <w:r>
        <w:rPr>
          <w:rFonts w:hint="eastAsia" w:ascii="宋体" w:hAnsi="宋体"/>
          <w:sz w:val="24"/>
          <w:lang w:bidi="ar"/>
        </w:rPr>
        <w:t xml:space="preserve">承包人无须向发包人提交预付款保函。发包人向承包人支付的预付款，应按照第17.2.1项规定使用，承包人提交的履约保证金对预付款的正常使用承担保证责任。 </w:t>
      </w:r>
    </w:p>
    <w:p w14:paraId="33DD34CE">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17.2.3 预付款的扣回与还清 </w:t>
      </w:r>
    </w:p>
    <w:p w14:paraId="0D2FA7D8">
      <w:pPr>
        <w:widowControl/>
        <w:tabs>
          <w:tab w:val="left" w:pos="700"/>
        </w:tabs>
        <w:adjustRightInd w:val="0"/>
        <w:snapToGrid w:val="0"/>
        <w:spacing w:line="360" w:lineRule="auto"/>
        <w:ind w:firstLine="480" w:firstLineChars="200"/>
        <w:rPr>
          <w:rFonts w:ascii="宋体" w:hAnsi="宋体"/>
          <w:sz w:val="24"/>
          <w:lang w:bidi="ar"/>
        </w:rPr>
      </w:pPr>
      <w:r>
        <w:rPr>
          <w:rFonts w:hint="eastAsia" w:ascii="宋体" w:hAnsi="宋体"/>
          <w:sz w:val="24"/>
          <w:lang w:bidi="ar"/>
        </w:rPr>
        <w:t xml:space="preserve">本项约定为： </w:t>
      </w:r>
    </w:p>
    <w:p w14:paraId="2AF804CA">
      <w:pPr>
        <w:widowControl/>
        <w:tabs>
          <w:tab w:val="left" w:pos="700"/>
        </w:tabs>
        <w:adjustRightInd w:val="0"/>
        <w:snapToGrid w:val="0"/>
        <w:spacing w:line="360" w:lineRule="auto"/>
        <w:ind w:firstLine="480" w:firstLineChars="200"/>
        <w:rPr>
          <w:rFonts w:ascii="宋体" w:hAnsi="宋体"/>
          <w:sz w:val="24"/>
          <w:lang w:bidi="ar"/>
        </w:rPr>
      </w:pPr>
      <w:r>
        <w:rPr>
          <w:rFonts w:hint="eastAsia" w:ascii="宋体" w:hAnsi="宋体"/>
          <w:sz w:val="24"/>
          <w:lang w:bidi="ar"/>
        </w:rPr>
        <w:t>（1）开工预付款在进度付款证书的累计金额未达到签约合同价的30%之前不予扣回，在达到签约合同价30%之后，分期从各月的进度付款证书中扣回，全部金额在进度付款证书的累计金额达到签约合同价的80</w:t>
      </w:r>
      <w:r>
        <w:rPr>
          <w:rFonts w:hint="default" w:ascii="宋体" w:hAnsi="宋体"/>
          <w:sz w:val="24"/>
          <w:lang w:val="en-US" w:bidi="ar"/>
        </w:rPr>
        <w:t>%</w:t>
      </w:r>
      <w:r>
        <w:rPr>
          <w:rFonts w:hint="eastAsia" w:ascii="宋体" w:hAnsi="宋体"/>
          <w:sz w:val="24"/>
          <w:lang w:bidi="ar"/>
        </w:rPr>
        <w:t xml:space="preserve">时扣完。 </w:t>
      </w:r>
    </w:p>
    <w:p w14:paraId="7869BA0E">
      <w:pPr>
        <w:widowControl/>
        <w:tabs>
          <w:tab w:val="left" w:pos="700"/>
        </w:tabs>
        <w:adjustRightInd w:val="0"/>
        <w:snapToGrid w:val="0"/>
        <w:spacing w:line="360" w:lineRule="auto"/>
        <w:ind w:firstLine="480" w:firstLineChars="200"/>
        <w:jc w:val="left"/>
        <w:rPr>
          <w:rFonts w:ascii="宋体" w:hAnsi="宋体"/>
          <w:sz w:val="24"/>
          <w:u w:val="single"/>
        </w:rPr>
      </w:pPr>
      <w:r>
        <w:rPr>
          <w:rFonts w:hint="eastAsia" w:ascii="宋体" w:hAnsi="宋体"/>
          <w:sz w:val="24"/>
          <w:lang w:bidi="ar"/>
        </w:rPr>
        <w:t xml:space="preserve">（2）当材料、设备已用于或安装在永久工程之中时，材料、设备预付款应从进度付款证书中扣回，扣回期不超过3个月。已经支付材料、设备预付款的材料、设备的所有权应属于发包人。 </w:t>
      </w:r>
    </w:p>
    <w:p w14:paraId="34D0BC8A">
      <w:pPr>
        <w:pStyle w:val="2"/>
        <w:spacing w:before="240" w:after="240" w:line="240" w:lineRule="atLeast"/>
        <w:rPr>
          <w:rFonts w:ascii="黑体"/>
          <w:b w:val="0"/>
          <w:sz w:val="24"/>
          <w:szCs w:val="24"/>
        </w:rPr>
      </w:pPr>
      <w:bookmarkStart w:id="801" w:name="_Toc53685779"/>
      <w:r>
        <w:rPr>
          <w:rFonts w:ascii="黑体"/>
          <w:b w:val="0"/>
          <w:sz w:val="24"/>
          <w:szCs w:val="24"/>
        </w:rPr>
        <w:t xml:space="preserve">17.3 </w:t>
      </w:r>
      <w:r>
        <w:rPr>
          <w:rFonts w:hint="eastAsia" w:ascii="黑体"/>
          <w:b w:val="0"/>
          <w:sz w:val="24"/>
          <w:szCs w:val="24"/>
        </w:rPr>
        <w:t>工程进度付款</w:t>
      </w:r>
      <w:bookmarkEnd w:id="801"/>
    </w:p>
    <w:p w14:paraId="4FEDD4D9">
      <w:pPr>
        <w:adjustRightInd w:val="0"/>
        <w:snapToGrid w:val="0"/>
        <w:spacing w:line="360" w:lineRule="auto"/>
        <w:ind w:firstLine="360" w:firstLineChars="150"/>
        <w:rPr>
          <w:rFonts w:ascii="黑体" w:hAnsi="黑体" w:eastAsia="黑体"/>
          <w:sz w:val="24"/>
        </w:rPr>
      </w:pPr>
      <w:r>
        <w:rPr>
          <w:rFonts w:ascii="黑体" w:hAnsi="黑体" w:eastAsia="黑体"/>
          <w:sz w:val="24"/>
        </w:rPr>
        <w:t>17.3.</w:t>
      </w:r>
      <w:r>
        <w:rPr>
          <w:rFonts w:hint="eastAsia" w:ascii="黑体" w:hAnsi="黑体" w:eastAsia="黑体"/>
          <w:sz w:val="24"/>
        </w:rPr>
        <w:t>2</w:t>
      </w:r>
      <w:r>
        <w:rPr>
          <w:rFonts w:hint="eastAsia" w:ascii="黑体" w:hAnsi="黑体" w:eastAsia="黑体"/>
          <w:sz w:val="24"/>
          <w:lang w:val="en-US" w:eastAsia="zh-CN"/>
        </w:rPr>
        <w:t xml:space="preserve"> </w:t>
      </w:r>
      <w:r>
        <w:rPr>
          <w:rFonts w:hint="eastAsia" w:ascii="黑体" w:hAnsi="黑体" w:eastAsia="黑体"/>
          <w:sz w:val="24"/>
        </w:rPr>
        <w:t>进度付款</w:t>
      </w:r>
    </w:p>
    <w:p w14:paraId="16E881F0">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17.3.2.1 勘察设计费用支付</w:t>
      </w:r>
    </w:p>
    <w:p w14:paraId="577E2BAB">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（1）合同签署后28天内，发包人向承包人支付勘察设计费用的</w:t>
      </w:r>
      <w:r>
        <w:rPr>
          <w:rFonts w:ascii="宋体" w:hAnsi="宋体"/>
          <w:sz w:val="24"/>
          <w:u w:val="single"/>
          <w:lang w:bidi="ar"/>
        </w:rPr>
        <w:t xml:space="preserve">    </w:t>
      </w:r>
      <w:r>
        <w:rPr>
          <w:rFonts w:hint="eastAsia" w:ascii="宋体" w:hAnsi="宋体"/>
          <w:sz w:val="24"/>
          <w:lang w:bidi="ar"/>
        </w:rPr>
        <w:t>%；</w:t>
      </w:r>
    </w:p>
    <w:p w14:paraId="654EF59B">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（2）勘察工作按期全部完成并经发包人和主管部门验收合格后28天内，支付勘察工作费用的</w:t>
      </w:r>
      <w:r>
        <w:rPr>
          <w:rFonts w:hint="eastAsia" w:ascii="宋体" w:hAnsi="宋体"/>
          <w:sz w:val="24"/>
          <w:u w:val="single"/>
          <w:lang w:bidi="ar"/>
        </w:rPr>
        <w:t xml:space="preserve">  </w:t>
      </w:r>
      <w:r>
        <w:rPr>
          <w:rFonts w:hint="eastAsia" w:ascii="宋体" w:hAnsi="宋体"/>
          <w:sz w:val="24"/>
          <w:u w:val="single"/>
          <w:lang w:val="en-US" w:eastAsia="zh-CN" w:bidi="ar"/>
        </w:rPr>
        <w:t xml:space="preserve"> </w:t>
      </w:r>
      <w:r>
        <w:rPr>
          <w:rFonts w:hint="eastAsia" w:ascii="宋体" w:hAnsi="宋体"/>
          <w:sz w:val="24"/>
          <w:u w:val="single"/>
          <w:lang w:bidi="ar"/>
        </w:rPr>
        <w:t xml:space="preserve"> </w:t>
      </w:r>
      <w:r>
        <w:rPr>
          <w:rFonts w:hint="eastAsia" w:ascii="宋体" w:hAnsi="宋体"/>
          <w:sz w:val="24"/>
          <w:lang w:bidi="ar"/>
        </w:rPr>
        <w:t xml:space="preserve">%； </w:t>
      </w:r>
    </w:p>
    <w:p w14:paraId="5F63A5DE">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（3）施工图设计文件按期全部完成并经发包人、初设单位和主管部门审查、批准后28天内，支付设计工作费用的</w:t>
      </w:r>
      <w:r>
        <w:rPr>
          <w:rFonts w:hint="eastAsia" w:ascii="宋体" w:hAnsi="宋体"/>
          <w:sz w:val="24"/>
          <w:u w:val="single"/>
          <w:lang w:bidi="ar"/>
        </w:rPr>
        <w:t xml:space="preserve">    </w:t>
      </w:r>
      <w:r>
        <w:rPr>
          <w:rFonts w:hint="eastAsia" w:ascii="宋体" w:hAnsi="宋体"/>
          <w:sz w:val="24"/>
          <w:lang w:bidi="ar"/>
        </w:rPr>
        <w:t xml:space="preserve">%； </w:t>
      </w:r>
    </w:p>
    <w:p w14:paraId="3D765CB4">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（4）交工验收完成后，累计支付</w:t>
      </w:r>
      <w:r>
        <w:rPr>
          <w:rFonts w:hint="eastAsia" w:ascii="宋体" w:hAnsi="宋体"/>
          <w:sz w:val="24"/>
          <w:lang w:val="en-US" w:eastAsia="zh-CN" w:bidi="ar"/>
        </w:rPr>
        <w:t>至</w:t>
      </w:r>
      <w:r>
        <w:rPr>
          <w:rFonts w:hint="eastAsia" w:ascii="宋体" w:hAnsi="宋体"/>
          <w:sz w:val="24"/>
          <w:lang w:bidi="ar"/>
        </w:rPr>
        <w:t>勘察工作费用</w:t>
      </w:r>
      <w:r>
        <w:rPr>
          <w:rFonts w:hint="eastAsia" w:ascii="宋体" w:hAnsi="宋体"/>
          <w:sz w:val="24"/>
          <w:u w:val="single"/>
          <w:lang w:bidi="ar"/>
        </w:rPr>
        <w:t xml:space="preserve">   </w:t>
      </w:r>
      <w:r>
        <w:rPr>
          <w:rFonts w:hint="eastAsia" w:ascii="宋体" w:hAnsi="宋体"/>
          <w:sz w:val="24"/>
          <w:lang w:bidi="ar"/>
        </w:rPr>
        <w:t>%和设计工作费用</w:t>
      </w:r>
      <w:r>
        <w:rPr>
          <w:rFonts w:hint="eastAsia" w:ascii="宋体" w:hAnsi="宋体"/>
          <w:sz w:val="24"/>
          <w:u w:val="single"/>
          <w:lang w:bidi="ar"/>
        </w:rPr>
        <w:t xml:space="preserve">   </w:t>
      </w:r>
      <w:r>
        <w:rPr>
          <w:rFonts w:hint="eastAsia" w:ascii="宋体" w:hAnsi="宋体"/>
          <w:sz w:val="24"/>
          <w:lang w:bidi="ar"/>
        </w:rPr>
        <w:t xml:space="preserve">%； </w:t>
      </w:r>
    </w:p>
    <w:p w14:paraId="75A219F4">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（5）勘察工作费用的</w:t>
      </w:r>
      <w:r>
        <w:rPr>
          <w:rFonts w:hint="eastAsia" w:ascii="宋体" w:hAnsi="宋体"/>
          <w:sz w:val="24"/>
          <w:u w:val="single"/>
          <w:lang w:bidi="ar"/>
        </w:rPr>
        <w:t xml:space="preserve">    </w:t>
      </w:r>
      <w:r>
        <w:rPr>
          <w:rFonts w:hint="eastAsia" w:ascii="宋体" w:hAnsi="宋体"/>
          <w:sz w:val="24"/>
          <w:lang w:bidi="ar"/>
        </w:rPr>
        <w:t>%和设计工作费用的</w:t>
      </w:r>
      <w:r>
        <w:rPr>
          <w:rFonts w:hint="eastAsia" w:ascii="宋体" w:hAnsi="宋体"/>
          <w:sz w:val="24"/>
          <w:u w:val="single"/>
          <w:lang w:bidi="ar"/>
        </w:rPr>
        <w:t xml:space="preserve">    </w:t>
      </w:r>
      <w:r>
        <w:rPr>
          <w:rFonts w:hint="eastAsia" w:ascii="宋体" w:hAnsi="宋体"/>
          <w:sz w:val="24"/>
          <w:u w:val="none"/>
          <w:lang w:bidi="ar"/>
        </w:rPr>
        <w:t>%</w:t>
      </w:r>
      <w:r>
        <w:rPr>
          <w:rFonts w:hint="eastAsia" w:ascii="宋体" w:hAnsi="宋体"/>
          <w:sz w:val="24"/>
          <w:lang w:bidi="ar"/>
        </w:rPr>
        <w:t>为质量保证金；</w:t>
      </w:r>
    </w:p>
    <w:p w14:paraId="4F4B34EF">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（6）承包人如为设计单位与施工单位组成的联合体，发包人将向设计单位直接支付勘察设计费用(另行签订补充协议约定)。 </w:t>
      </w:r>
    </w:p>
    <w:p w14:paraId="6041FA15">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17.3.2.2 施工费用支付 </w:t>
      </w:r>
    </w:p>
    <w:p w14:paraId="7E263A8F">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1）施工费用的支付以第17.1.2项最终确定的施工价格清单为依据。清单中每个细目总价包干，清单细目的合价作为该细目工程支付的最终款额。当该细目工程实际完成数量超过报价清单中的数量时，全额(不包括质量保证金)支付该细目报价清单合价款额，超出的工程量从总承包风险费用中支出；当该细目工程实际完成数量未超过清单中的数量时，该细目工程验收合格后，按实际完成工程量支付，余额自动转入总承包风险费。当该细目取消时，全额自动转入总承包风险费。 </w:t>
      </w:r>
    </w:p>
    <w:p w14:paraId="42D2D283">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（2）总承包风险费的支付 </w:t>
      </w:r>
    </w:p>
    <w:p w14:paraId="1A0D1A9B">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当发生第15.7.3项规定的应由承包人承担的风险用总承包风险费支付的情形时，应根据第15.3.2项确定的单价，按实际工程数量，计算计量支付额，随同当期进度付款支付给承包人。支付的总承包风险费总额应不超过承包人在投标文件中填报的风险费金额。 </w:t>
      </w:r>
    </w:p>
    <w:p w14:paraId="40D6FB86">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fldChar w:fldCharType="begin"/>
      </w:r>
      <w:r>
        <w:rPr>
          <w:rFonts w:hint="eastAsia" w:ascii="宋体" w:hAnsi="宋体"/>
          <w:sz w:val="24"/>
          <w:lang w:bidi="ar"/>
        </w:rPr>
        <w:instrText xml:space="preserve"> = 1 \* GB3 \* MERGEFORMAT </w:instrText>
      </w:r>
      <w:r>
        <w:rPr>
          <w:rFonts w:hint="eastAsia" w:ascii="宋体" w:hAnsi="宋体"/>
          <w:sz w:val="24"/>
          <w:lang w:bidi="ar"/>
        </w:rPr>
        <w:fldChar w:fldCharType="separate"/>
      </w:r>
      <w:r>
        <w:t>①</w:t>
      </w:r>
      <w:r>
        <w:rPr>
          <w:rFonts w:hint="eastAsia" w:ascii="宋体" w:hAnsi="宋体"/>
          <w:sz w:val="24"/>
          <w:lang w:bidi="ar"/>
        </w:rPr>
        <w:fldChar w:fldCharType="end"/>
      </w:r>
      <w:r>
        <w:rPr>
          <w:rFonts w:hint="eastAsia" w:ascii="宋体" w:hAnsi="宋体"/>
          <w:sz w:val="24"/>
          <w:lang w:bidi="ar"/>
        </w:rPr>
        <w:t xml:space="preserve">总承包风险费的支付原则 </w:t>
      </w:r>
    </w:p>
    <w:p w14:paraId="1914B1D7">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val="en-US" w:eastAsia="zh-CN" w:bidi="ar"/>
        </w:rPr>
        <w:t>a.</w:t>
      </w:r>
      <w:r>
        <w:rPr>
          <w:rFonts w:hint="eastAsia" w:ascii="宋体" w:hAnsi="宋体"/>
          <w:sz w:val="24"/>
          <w:lang w:bidi="ar"/>
        </w:rPr>
        <w:t xml:space="preserve">在工程实施过程中，承包人发现有与原初步设计或深化技术设计或批准的施工图存在必须进行的补充设计、变更设计的，可以向监理人和发包人提出使用总承包风险费，用于本项工程。 </w:t>
      </w:r>
    </w:p>
    <w:p w14:paraId="31A54581">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val="en-US" w:eastAsia="zh-CN" w:bidi="ar"/>
        </w:rPr>
        <w:t>b.</w:t>
      </w:r>
      <w:r>
        <w:rPr>
          <w:rFonts w:hint="eastAsia" w:ascii="宋体" w:hAnsi="宋体"/>
          <w:sz w:val="24"/>
          <w:lang w:bidi="ar"/>
        </w:rPr>
        <w:t xml:space="preserve">在工程实施过程中，为确保工程质量和安全，监理人和发包人根据工程的实际情况，有权指令承包人进行补充设计、变更设计，并明确是否可以动用总承包风险费实施本项工程。 </w:t>
      </w:r>
    </w:p>
    <w:p w14:paraId="34DF8F0B">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val="en-US" w:eastAsia="zh-CN" w:bidi="ar"/>
        </w:rPr>
        <w:t>c.</w:t>
      </w:r>
      <w:r>
        <w:rPr>
          <w:rFonts w:hint="eastAsia" w:ascii="宋体" w:hAnsi="宋体"/>
          <w:sz w:val="24"/>
          <w:lang w:bidi="ar"/>
        </w:rPr>
        <w:t xml:space="preserve">不论该项总承包风险费的使用是否获得监理人和发包人的批准，承包人均应根据工程实际情况对实体工程予以实施；承包人拒不实施监理人和发包人指令的，发包人有权分割工程并按有关规定由其他承包人实施，费用按实施工程概预算标准从承包人总额报价中直接扣除用于支付。 </w:t>
      </w:r>
    </w:p>
    <w:p w14:paraId="437C681C">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val="en-US" w:eastAsia="zh-CN" w:bidi="ar"/>
        </w:rPr>
        <w:t>d.</w:t>
      </w:r>
      <w:r>
        <w:rPr>
          <w:rFonts w:hint="eastAsia" w:ascii="宋体" w:hAnsi="宋体"/>
          <w:sz w:val="24"/>
          <w:lang w:bidi="ar"/>
        </w:rPr>
        <w:t xml:space="preserve">无论报价中的总承包风险费是否已经使用完毕，承包人均不得以任何理由拒绝实施监理人和发包人指令的风险工程。 </w:t>
      </w:r>
    </w:p>
    <w:p w14:paraId="211EC1DA">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fldChar w:fldCharType="begin"/>
      </w:r>
      <w:r>
        <w:rPr>
          <w:rFonts w:hint="eastAsia" w:ascii="宋体" w:hAnsi="宋体"/>
          <w:sz w:val="24"/>
          <w:lang w:bidi="ar"/>
        </w:rPr>
        <w:instrText xml:space="preserve"> = 2 \* GB3 \* MERGEFORMAT </w:instrText>
      </w:r>
      <w:r>
        <w:rPr>
          <w:rFonts w:hint="eastAsia" w:ascii="宋体" w:hAnsi="宋体"/>
          <w:sz w:val="24"/>
          <w:lang w:bidi="ar"/>
        </w:rPr>
        <w:fldChar w:fldCharType="separate"/>
      </w:r>
      <w:r>
        <w:t>②</w:t>
      </w:r>
      <w:r>
        <w:rPr>
          <w:rFonts w:hint="eastAsia" w:ascii="宋体" w:hAnsi="宋体"/>
          <w:sz w:val="24"/>
          <w:lang w:bidi="ar"/>
        </w:rPr>
        <w:fldChar w:fldCharType="end"/>
      </w:r>
      <w:r>
        <w:rPr>
          <w:rFonts w:hint="eastAsia" w:ascii="宋体" w:hAnsi="宋体"/>
          <w:sz w:val="24"/>
          <w:lang w:bidi="ar"/>
        </w:rPr>
        <w:t xml:space="preserve">总承包风险费的支付方式 </w:t>
      </w:r>
    </w:p>
    <w:p w14:paraId="78C47EE9">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已发生的风险金在当期计量中申请计量，余额在工程交工验收后申请一次性支付。 </w:t>
      </w:r>
    </w:p>
    <w:p w14:paraId="75D70710">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在项目实施过程中，累计支付的总承包风险费总额达到承包人在投标文件中填报的总承包风险费金额的</w:t>
      </w:r>
      <w:r>
        <w:rPr>
          <w:rFonts w:hint="eastAsia" w:ascii="宋体" w:hAnsi="宋体"/>
          <w:sz w:val="24"/>
          <w:u w:val="single"/>
          <w:lang w:bidi="ar"/>
        </w:rPr>
        <w:t xml:space="preserve">    </w:t>
      </w:r>
      <w:r>
        <w:rPr>
          <w:rFonts w:hint="eastAsia" w:ascii="宋体" w:hAnsi="宋体"/>
          <w:sz w:val="24"/>
          <w:lang w:bidi="ar"/>
        </w:rPr>
        <w:t>%时，即停止支付。如未发生或支付的总承包风险费总额没有达到总承包风险费金额的</w:t>
      </w:r>
      <w:r>
        <w:rPr>
          <w:rFonts w:hint="eastAsia" w:ascii="宋体" w:hAnsi="宋体"/>
          <w:sz w:val="24"/>
          <w:u w:val="single"/>
          <w:lang w:bidi="ar"/>
        </w:rPr>
        <w:t xml:space="preserve">    </w:t>
      </w:r>
      <w:r>
        <w:rPr>
          <w:rFonts w:hint="eastAsia" w:ascii="宋体" w:hAnsi="宋体"/>
          <w:sz w:val="24"/>
          <w:lang w:bidi="ar"/>
        </w:rPr>
        <w:t xml:space="preserve">%时，余额可由承包人在交工验收后一次性申请支付。 </w:t>
      </w:r>
    </w:p>
    <w:p w14:paraId="69DE3746">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（3）除合同条款另有约定，根据第15.7.2项进行的价格调整，计入相应进度付款周期的计量支付价款中。 </w:t>
      </w:r>
    </w:p>
    <w:p w14:paraId="5503F866">
      <w:pPr>
        <w:numPr>
          <w:ilvl w:val="255"/>
          <w:numId w:val="0"/>
        </w:numPr>
        <w:adjustRightInd w:val="0"/>
        <w:snapToGrid w:val="0"/>
        <w:spacing w:line="360" w:lineRule="auto"/>
        <w:ind w:firstLine="480" w:firstLineChars="200"/>
        <w:rPr>
          <w:rFonts w:ascii="宋体" w:hAnsi="宋体"/>
          <w:sz w:val="24"/>
        </w:rPr>
      </w:pPr>
      <w:r>
        <w:rPr>
          <w:rFonts w:hint="eastAsia" w:ascii="宋体" w:hAnsi="宋体"/>
          <w:sz w:val="24"/>
          <w:lang w:bidi="ar"/>
        </w:rPr>
        <w:t xml:space="preserve">（4）根据第16.1款进行的价格调整，按合同条款约定的时间进行支付。 </w:t>
      </w:r>
    </w:p>
    <w:p w14:paraId="50056769">
      <w:pPr>
        <w:adjustRightInd w:val="0"/>
        <w:snapToGrid w:val="0"/>
        <w:spacing w:line="360" w:lineRule="auto"/>
        <w:ind w:firstLine="360" w:firstLineChars="150"/>
        <w:rPr>
          <w:rFonts w:ascii="黑体" w:hAnsi="黑体" w:eastAsia="黑体"/>
          <w:sz w:val="24"/>
        </w:rPr>
      </w:pPr>
      <w:r>
        <w:rPr>
          <w:rFonts w:ascii="黑体" w:hAnsi="黑体" w:eastAsia="黑体"/>
          <w:sz w:val="24"/>
        </w:rPr>
        <w:t>17.3.3</w:t>
      </w:r>
      <w:r>
        <w:rPr>
          <w:rFonts w:hint="eastAsia" w:ascii="黑体" w:hAnsi="黑体" w:eastAsia="黑体"/>
          <w:sz w:val="24"/>
          <w:lang w:val="en-US" w:eastAsia="zh-CN"/>
        </w:rPr>
        <w:t xml:space="preserve"> </w:t>
      </w:r>
      <w:r>
        <w:rPr>
          <w:rFonts w:ascii="黑体" w:hAnsi="黑体" w:eastAsia="黑体"/>
          <w:sz w:val="24"/>
        </w:rPr>
        <w:t>进度付款申请单</w:t>
      </w:r>
    </w:p>
    <w:p w14:paraId="31E0CE7C">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进度付款申请单的份数：</w:t>
      </w:r>
      <w:r>
        <w:rPr>
          <w:rFonts w:hint="eastAsia" w:ascii="宋体" w:hAnsi="宋体"/>
          <w:sz w:val="24"/>
          <w:lang w:bidi="ar"/>
        </w:rPr>
        <w:t>在项目专用合同条款数据表中约定</w:t>
      </w:r>
      <w:r>
        <w:rPr>
          <w:rFonts w:hint="eastAsia" w:ascii="宋体" w:hAnsi="宋体"/>
          <w:sz w:val="24"/>
        </w:rPr>
        <w:t>。</w:t>
      </w:r>
    </w:p>
    <w:p w14:paraId="35DE265B">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进度付款申请单的内容：</w:t>
      </w:r>
      <w:r>
        <w:rPr>
          <w:rFonts w:hint="eastAsia" w:ascii="宋体" w:hAnsi="宋体"/>
          <w:sz w:val="24"/>
          <w:u w:val="single"/>
        </w:rPr>
        <w:t>按监理人的要求</w:t>
      </w:r>
      <w:r>
        <w:rPr>
          <w:rFonts w:hint="eastAsia" w:ascii="宋体" w:hAnsi="宋体"/>
          <w:sz w:val="24"/>
        </w:rPr>
        <w:t>。</w:t>
      </w:r>
    </w:p>
    <w:p w14:paraId="3441708F">
      <w:pPr>
        <w:adjustRightInd w:val="0"/>
        <w:snapToGrid w:val="0"/>
        <w:spacing w:line="360" w:lineRule="auto"/>
        <w:ind w:firstLine="360" w:firstLineChars="150"/>
        <w:rPr>
          <w:rFonts w:ascii="黑体" w:hAnsi="黑体" w:eastAsia="黑体"/>
          <w:sz w:val="24"/>
        </w:rPr>
      </w:pPr>
      <w:r>
        <w:rPr>
          <w:rFonts w:hint="eastAsia" w:ascii="黑体" w:hAnsi="黑体" w:eastAsia="黑体"/>
          <w:sz w:val="24"/>
        </w:rPr>
        <w:t>17.3.</w:t>
      </w:r>
      <w:r>
        <w:rPr>
          <w:rFonts w:ascii="黑体" w:hAnsi="黑体" w:eastAsia="黑体"/>
          <w:sz w:val="24"/>
        </w:rPr>
        <w:t>4</w:t>
      </w:r>
      <w:r>
        <w:rPr>
          <w:rFonts w:hint="eastAsia" w:ascii="黑体" w:hAnsi="黑体" w:eastAsia="黑体"/>
          <w:sz w:val="24"/>
        </w:rPr>
        <w:t xml:space="preserve"> 进度付款证书和支付时间</w:t>
      </w:r>
    </w:p>
    <w:p w14:paraId="2460C2CD">
      <w:pPr>
        <w:adjustRightInd w:val="0"/>
        <w:snapToGrid w:val="0"/>
        <w:spacing w:line="360" w:lineRule="auto"/>
        <w:ind w:firstLine="480" w:firstLineChars="200"/>
        <w:rPr>
          <w:rFonts w:hAnsi="宋体"/>
          <w:sz w:val="24"/>
        </w:rPr>
      </w:pPr>
      <w:r>
        <w:rPr>
          <w:rFonts w:hint="eastAsia" w:ascii="宋体" w:hAnsi="宋体"/>
          <w:sz w:val="24"/>
        </w:rPr>
        <w:t>本项（</w:t>
      </w:r>
      <w:r>
        <w:rPr>
          <w:rFonts w:ascii="宋体" w:hAnsi="宋体"/>
          <w:sz w:val="24"/>
        </w:rPr>
        <w:t>1</w:t>
      </w:r>
      <w:r>
        <w:rPr>
          <w:rFonts w:hint="eastAsia" w:ascii="宋体" w:hAnsi="宋体"/>
          <w:sz w:val="24"/>
        </w:rPr>
        <w:t>）目补充：</w:t>
      </w:r>
      <w:r>
        <w:rPr>
          <w:rFonts w:ascii="宋体" w:hAnsi="宋体"/>
          <w:sz w:val="24"/>
        </w:rPr>
        <w:t xml:space="preserve"> </w:t>
      </w:r>
    </w:p>
    <w:p w14:paraId="2DBC8C03">
      <w:pPr>
        <w:adjustRightInd w:val="0"/>
        <w:snapToGrid w:val="0"/>
        <w:spacing w:line="360" w:lineRule="auto"/>
        <w:ind w:firstLine="480" w:firstLineChars="200"/>
        <w:rPr>
          <w:rFonts w:ascii="宋体" w:hAnsi="宋体"/>
          <w:sz w:val="24"/>
        </w:rPr>
      </w:pPr>
      <w:r>
        <w:rPr>
          <w:rFonts w:hint="eastAsia" w:ascii="宋体" w:hAnsi="宋体"/>
          <w:sz w:val="24"/>
        </w:rPr>
        <w:t>如果该付款周期应结算的价款经扣留和扣回后的款额少于专用合同条款数据表中列明的进度付款证书的最低金额，则该付款周期监理人可不核证支付，上述款额将按付款周期结转，直至累计应支付的款额达到专用合同条款数据表中列明的进度付款证书的最低金额为止。</w:t>
      </w:r>
    </w:p>
    <w:p w14:paraId="121711A4">
      <w:pPr>
        <w:adjustRightInd w:val="0"/>
        <w:snapToGrid w:val="0"/>
        <w:spacing w:line="360" w:lineRule="auto"/>
        <w:ind w:firstLine="480" w:firstLineChars="200"/>
        <w:rPr>
          <w:rFonts w:ascii="宋体" w:hAnsi="宋体"/>
          <w:sz w:val="24"/>
        </w:rPr>
      </w:pPr>
      <w:r>
        <w:rPr>
          <w:rFonts w:hint="eastAsia" w:ascii="宋体" w:hAnsi="宋体"/>
          <w:sz w:val="24"/>
        </w:rPr>
        <w:t>本项第（2）目约定为：</w:t>
      </w:r>
    </w:p>
    <w:p w14:paraId="655E84D3">
      <w:pPr>
        <w:adjustRightInd w:val="0"/>
        <w:snapToGrid w:val="0"/>
        <w:spacing w:line="360" w:lineRule="auto"/>
        <w:ind w:firstLine="480" w:firstLineChars="200"/>
        <w:rPr>
          <w:rFonts w:ascii="宋体" w:hAnsi="宋体"/>
          <w:sz w:val="24"/>
        </w:rPr>
      </w:pPr>
      <w:r>
        <w:rPr>
          <w:rFonts w:hint="eastAsia" w:ascii="宋体" w:hAnsi="宋体"/>
          <w:sz w:val="24"/>
        </w:rPr>
        <w:t>（2）发包人在收到经监理人审核并签字确认的进度付款申请单</w:t>
      </w:r>
      <w:r>
        <w:rPr>
          <w:rFonts w:hint="eastAsia" w:ascii="宋体" w:hAnsi="宋体"/>
          <w:sz w:val="24"/>
          <w:lang w:bidi="ar"/>
        </w:rPr>
        <w:t>且承包人提交了合格的增值税专用发票</w:t>
      </w:r>
      <w:r>
        <w:rPr>
          <w:rFonts w:hint="eastAsia" w:ascii="宋体" w:hAnsi="宋体"/>
          <w:sz w:val="24"/>
        </w:rPr>
        <w:t>后的28天内，将进度应付款支付给承包人。</w:t>
      </w:r>
    </w:p>
    <w:p w14:paraId="05F1AB9A">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发包人不按期支付的，按项目专用合同条款数据表中约定的利率向承包人支付逾期付款违约金。违约金计算基数为发包人的全部未付款额，时间从应付而未付该款额之日算起（不计复利）</w:t>
      </w:r>
      <w:r>
        <w:rPr>
          <w:rFonts w:hint="eastAsia" w:ascii="宋体" w:hAnsi="宋体"/>
          <w:sz w:val="24"/>
        </w:rPr>
        <w:t>。</w:t>
      </w:r>
    </w:p>
    <w:p w14:paraId="6C0554C6">
      <w:pPr>
        <w:widowControl/>
        <w:tabs>
          <w:tab w:val="left" w:pos="700"/>
        </w:tabs>
        <w:adjustRightInd w:val="0"/>
        <w:snapToGrid w:val="0"/>
        <w:spacing w:line="360" w:lineRule="auto"/>
        <w:ind w:firstLine="480" w:firstLineChars="200"/>
        <w:jc w:val="left"/>
        <w:rPr>
          <w:rFonts w:ascii="宋体" w:hAnsi="宋体"/>
          <w:bCs/>
          <w:sz w:val="24"/>
        </w:rPr>
      </w:pPr>
      <w:bookmarkStart w:id="802" w:name="_Toc53685780"/>
      <w:r>
        <w:rPr>
          <w:rFonts w:ascii="宋体" w:hAnsi="宋体"/>
          <w:bCs/>
          <w:sz w:val="24"/>
          <w:lang w:bidi="ar"/>
        </w:rPr>
        <w:t xml:space="preserve">本款补充第17.3.6项： </w:t>
      </w:r>
    </w:p>
    <w:p w14:paraId="284C960D">
      <w:pPr>
        <w:widowControl/>
        <w:adjustRightInd w:val="0"/>
        <w:snapToGrid w:val="0"/>
        <w:spacing w:line="360" w:lineRule="auto"/>
        <w:ind w:firstLine="360" w:firstLineChars="150"/>
        <w:jc w:val="left"/>
        <w:rPr>
          <w:rFonts w:ascii="黑体" w:hAnsi="黑体" w:eastAsia="黑体"/>
          <w:sz w:val="24"/>
        </w:rPr>
      </w:pPr>
      <w:r>
        <w:rPr>
          <w:rFonts w:hint="eastAsia" w:ascii="黑体" w:hAnsi="黑体" w:eastAsia="黑体"/>
          <w:sz w:val="24"/>
          <w:lang w:bidi="ar"/>
        </w:rPr>
        <w:t xml:space="preserve">17.3.6 农民工工资保证金 </w:t>
      </w:r>
    </w:p>
    <w:p w14:paraId="0FE19BB2">
      <w:pPr>
        <w:widowControl/>
        <w:tabs>
          <w:tab w:val="left" w:pos="700"/>
        </w:tabs>
        <w:adjustRightInd w:val="0"/>
        <w:snapToGrid w:val="0"/>
        <w:spacing w:line="360" w:lineRule="auto"/>
        <w:ind w:firstLine="480" w:firstLineChars="200"/>
        <w:rPr>
          <w:rFonts w:ascii="宋体" w:hAnsi="宋体"/>
          <w:bCs/>
          <w:sz w:val="24"/>
          <w:lang w:bidi="ar"/>
        </w:rPr>
      </w:pPr>
      <w:r>
        <w:rPr>
          <w:rFonts w:hint="eastAsia" w:ascii="宋体" w:hAnsi="宋体"/>
          <w:sz w:val="24"/>
          <w:lang w:bidi="ar"/>
        </w:rPr>
        <w:t>见第4.8.7项约定。</w:t>
      </w:r>
    </w:p>
    <w:p w14:paraId="0C479AD3">
      <w:pPr>
        <w:pStyle w:val="2"/>
        <w:spacing w:before="240" w:after="240" w:line="240" w:lineRule="atLeast"/>
        <w:rPr>
          <w:rFonts w:ascii="黑体"/>
          <w:b w:val="0"/>
          <w:sz w:val="24"/>
          <w:szCs w:val="24"/>
        </w:rPr>
      </w:pPr>
      <w:r>
        <w:rPr>
          <w:rFonts w:ascii="黑体"/>
          <w:b w:val="0"/>
          <w:sz w:val="24"/>
          <w:szCs w:val="24"/>
        </w:rPr>
        <w:t>17.4</w:t>
      </w:r>
      <w:r>
        <w:rPr>
          <w:rFonts w:hint="eastAsia" w:ascii="黑体"/>
          <w:b w:val="0"/>
          <w:sz w:val="24"/>
          <w:szCs w:val="24"/>
        </w:rPr>
        <w:t xml:space="preserve"> 质量保证金</w:t>
      </w:r>
      <w:bookmarkEnd w:id="802"/>
    </w:p>
    <w:p w14:paraId="783FB712">
      <w:pPr>
        <w:tabs>
          <w:tab w:val="left" w:pos="700"/>
        </w:tabs>
        <w:adjustRightInd w:val="0"/>
        <w:snapToGrid w:val="0"/>
        <w:spacing w:line="360" w:lineRule="auto"/>
        <w:ind w:firstLine="480" w:firstLineChars="200"/>
        <w:rPr>
          <w:rFonts w:ascii="宋体" w:hAnsi="宋体"/>
          <w:bCs/>
          <w:sz w:val="24"/>
        </w:rPr>
      </w:pPr>
      <w:r>
        <w:rPr>
          <w:rFonts w:hint="eastAsia" w:ascii="宋体" w:hAnsi="宋体"/>
          <w:bCs/>
          <w:sz w:val="24"/>
        </w:rPr>
        <w:t>第</w:t>
      </w:r>
      <w:r>
        <w:rPr>
          <w:rFonts w:ascii="宋体" w:hAnsi="宋体"/>
          <w:bCs/>
          <w:sz w:val="24"/>
        </w:rPr>
        <w:t>17.4.1</w:t>
      </w:r>
      <w:r>
        <w:rPr>
          <w:rFonts w:hint="eastAsia" w:ascii="宋体" w:hAnsi="宋体"/>
          <w:bCs/>
          <w:sz w:val="24"/>
        </w:rPr>
        <w:t>项细化为</w:t>
      </w:r>
      <w:r>
        <w:rPr>
          <w:rFonts w:ascii="宋体" w:hAnsi="宋体"/>
          <w:bCs/>
          <w:sz w:val="24"/>
        </w:rPr>
        <w:t>：</w:t>
      </w:r>
    </w:p>
    <w:p w14:paraId="092ACA01">
      <w:pPr>
        <w:widowControl/>
        <w:tabs>
          <w:tab w:val="left" w:pos="700"/>
        </w:tabs>
        <w:adjustRightInd w:val="0"/>
        <w:snapToGrid w:val="0"/>
        <w:spacing w:line="360" w:lineRule="auto"/>
        <w:ind w:firstLine="480" w:firstLineChars="200"/>
        <w:jc w:val="left"/>
        <w:rPr>
          <w:rFonts w:ascii="宋体" w:hAnsi="宋体"/>
          <w:bCs/>
          <w:sz w:val="24"/>
        </w:rPr>
      </w:pPr>
      <w:r>
        <w:rPr>
          <w:rFonts w:ascii="宋体" w:hAnsi="宋体"/>
          <w:bCs/>
          <w:sz w:val="24"/>
          <w:lang w:bidi="ar"/>
        </w:rPr>
        <w:t xml:space="preserve">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 </w:t>
      </w:r>
    </w:p>
    <w:p w14:paraId="63288894">
      <w:pPr>
        <w:widowControl/>
        <w:tabs>
          <w:tab w:val="left" w:pos="700"/>
        </w:tabs>
        <w:adjustRightInd w:val="0"/>
        <w:snapToGrid w:val="0"/>
        <w:spacing w:line="360" w:lineRule="auto"/>
        <w:ind w:firstLine="480" w:firstLineChars="200"/>
        <w:jc w:val="left"/>
        <w:rPr>
          <w:rFonts w:ascii="宋体" w:hAnsi="宋体"/>
          <w:bCs/>
          <w:sz w:val="24"/>
        </w:rPr>
      </w:pPr>
      <w:r>
        <w:rPr>
          <w:rFonts w:ascii="宋体" w:hAnsi="宋体"/>
          <w:bCs/>
          <w:sz w:val="24"/>
          <w:lang w:bidi="ar"/>
        </w:rPr>
        <w:t xml:space="preserve">质量保证金采用现金、支票形式提交的，发包人应在项目专用合同条款数据表中明确是否计付利息以及利息的计算方式。 </w:t>
      </w:r>
    </w:p>
    <w:p w14:paraId="5071CD77">
      <w:pPr>
        <w:tabs>
          <w:tab w:val="left" w:pos="700"/>
        </w:tabs>
        <w:adjustRightInd w:val="0"/>
        <w:snapToGrid w:val="0"/>
        <w:spacing w:line="360" w:lineRule="auto"/>
        <w:ind w:firstLine="480" w:firstLineChars="200"/>
        <w:rPr>
          <w:rFonts w:hint="eastAsia" w:ascii="宋体" w:hAnsi="宋体"/>
          <w:bCs/>
          <w:sz w:val="24"/>
          <w:lang w:val="en-US" w:eastAsia="zh-CN" w:bidi="ar"/>
        </w:rPr>
      </w:pPr>
      <w:r>
        <w:rPr>
          <w:rFonts w:hint="eastAsia" w:ascii="宋体" w:hAnsi="宋体"/>
          <w:bCs/>
          <w:sz w:val="24"/>
          <w:lang w:val="en-US" w:eastAsia="zh-CN" w:bidi="ar"/>
        </w:rPr>
        <w:t>第</w:t>
      </w:r>
      <w:r>
        <w:rPr>
          <w:rFonts w:ascii="宋体" w:hAnsi="宋体"/>
          <w:bCs/>
          <w:sz w:val="24"/>
          <w:lang w:bidi="ar"/>
        </w:rPr>
        <w:t>17.4.2</w:t>
      </w:r>
      <w:r>
        <w:rPr>
          <w:rFonts w:hint="eastAsia" w:ascii="宋体" w:hAnsi="宋体"/>
          <w:bCs/>
          <w:sz w:val="24"/>
          <w:lang w:val="en-US" w:eastAsia="zh-CN" w:bidi="ar"/>
        </w:rPr>
        <w:t>项细化为：</w:t>
      </w:r>
    </w:p>
    <w:p w14:paraId="6F9DB0A8">
      <w:pPr>
        <w:tabs>
          <w:tab w:val="left" w:pos="700"/>
        </w:tabs>
        <w:adjustRightInd w:val="0"/>
        <w:snapToGrid w:val="0"/>
        <w:spacing w:line="360" w:lineRule="auto"/>
        <w:ind w:firstLine="480" w:firstLineChars="200"/>
        <w:rPr>
          <w:rFonts w:ascii="宋体" w:hAnsi="宋体"/>
          <w:sz w:val="24"/>
        </w:rPr>
      </w:pPr>
      <w:r>
        <w:rPr>
          <w:rFonts w:ascii="宋体" w:hAnsi="宋体"/>
          <w:bCs/>
          <w:sz w:val="24"/>
          <w:lang w:bidi="ar"/>
        </w:rPr>
        <w:t>在第1.1.4.5目约定的缺陷责任期满，且质量监督机构已按规定对工程质量检测鉴定合格，并签发缺陷终止证书后，且工程项目经审计合格后28天内</w:t>
      </w:r>
      <w:r>
        <w:rPr>
          <w:rFonts w:hint="eastAsia" w:ascii="宋体" w:hAnsi="宋体"/>
          <w:bCs/>
          <w:sz w:val="24"/>
          <w:lang w:bidi="ar"/>
        </w:rPr>
        <w:t>，</w:t>
      </w:r>
      <w:r>
        <w:rPr>
          <w:rFonts w:ascii="宋体" w:hAnsi="宋体"/>
          <w:bCs/>
          <w:sz w:val="24"/>
          <w:lang w:bidi="ar"/>
        </w:rPr>
        <w:t>发包人应当在核实后将剩余</w:t>
      </w:r>
      <w:r>
        <w:rPr>
          <w:rFonts w:hint="eastAsia" w:ascii="宋体" w:hAnsi="宋体"/>
          <w:bCs/>
          <w:sz w:val="24"/>
          <w:lang w:val="en-US" w:eastAsia="zh-CN" w:bidi="ar"/>
        </w:rPr>
        <w:t>质量</w:t>
      </w:r>
      <w:r>
        <w:rPr>
          <w:rFonts w:ascii="宋体" w:hAnsi="宋体"/>
          <w:bCs/>
          <w:sz w:val="24"/>
          <w:lang w:bidi="ar"/>
        </w:rPr>
        <w:t xml:space="preserve">保证金返还承包人。 </w:t>
      </w:r>
    </w:p>
    <w:p w14:paraId="14165045">
      <w:pPr>
        <w:pStyle w:val="2"/>
        <w:spacing w:before="240" w:after="240" w:line="240" w:lineRule="atLeast"/>
        <w:rPr>
          <w:rFonts w:ascii="黑体"/>
          <w:b w:val="0"/>
          <w:sz w:val="24"/>
          <w:szCs w:val="24"/>
        </w:rPr>
      </w:pPr>
      <w:r>
        <w:rPr>
          <w:rFonts w:ascii="黑体"/>
          <w:b w:val="0"/>
          <w:sz w:val="24"/>
          <w:szCs w:val="24"/>
        </w:rPr>
        <w:t>17.5</w:t>
      </w:r>
      <w:r>
        <w:rPr>
          <w:rFonts w:hint="eastAsia" w:ascii="黑体"/>
          <w:b w:val="0"/>
          <w:sz w:val="24"/>
          <w:szCs w:val="24"/>
          <w:lang w:val="en-US" w:eastAsia="zh-CN"/>
        </w:rPr>
        <w:t xml:space="preserve"> </w:t>
      </w:r>
      <w:r>
        <w:rPr>
          <w:rFonts w:hint="eastAsia" w:ascii="黑体"/>
          <w:b w:val="0"/>
          <w:sz w:val="24"/>
          <w:szCs w:val="24"/>
        </w:rPr>
        <w:t>交工结算</w:t>
      </w:r>
    </w:p>
    <w:p w14:paraId="54DA200D">
      <w:pPr>
        <w:adjustRightInd w:val="0"/>
        <w:snapToGrid w:val="0"/>
        <w:spacing w:line="360" w:lineRule="auto"/>
        <w:ind w:firstLine="360" w:firstLineChars="150"/>
        <w:rPr>
          <w:rFonts w:ascii="黑体" w:hAnsi="黑体" w:eastAsia="黑体"/>
          <w:sz w:val="24"/>
        </w:rPr>
      </w:pPr>
      <w:r>
        <w:rPr>
          <w:rFonts w:ascii="黑体" w:hAnsi="黑体" w:eastAsia="黑体"/>
          <w:sz w:val="24"/>
        </w:rPr>
        <w:t>17.5.l</w:t>
      </w:r>
      <w:r>
        <w:rPr>
          <w:rFonts w:hint="eastAsia" w:ascii="黑体" w:hAnsi="黑体" w:eastAsia="黑体"/>
          <w:sz w:val="24"/>
          <w:lang w:val="en-US" w:eastAsia="zh-CN"/>
        </w:rPr>
        <w:t xml:space="preserve"> </w:t>
      </w:r>
      <w:r>
        <w:rPr>
          <w:rFonts w:hint="eastAsia" w:ascii="黑体" w:hAnsi="黑体" w:eastAsia="黑体"/>
          <w:sz w:val="24"/>
        </w:rPr>
        <w:t>交工付款申请单</w:t>
      </w:r>
    </w:p>
    <w:p w14:paraId="4CB78613">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本项（</w:t>
      </w:r>
      <w:r>
        <w:rPr>
          <w:rFonts w:ascii="宋体" w:hAnsi="宋体"/>
          <w:sz w:val="24"/>
        </w:rPr>
        <w:t>l</w:t>
      </w:r>
      <w:r>
        <w:rPr>
          <w:rFonts w:hint="eastAsia" w:ascii="宋体" w:hAnsi="宋体"/>
          <w:sz w:val="24"/>
        </w:rPr>
        <w:t>）目约定为：</w:t>
      </w:r>
    </w:p>
    <w:p w14:paraId="3980360D">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承包人向监理人提交交工付款申请单（包括相关证明材料）的份数</w:t>
      </w:r>
      <w:r>
        <w:rPr>
          <w:rFonts w:hint="eastAsia" w:ascii="宋体" w:hAnsi="宋体"/>
          <w:sz w:val="24"/>
          <w:lang w:val="en-US" w:eastAsia="zh-CN"/>
        </w:rPr>
        <w:t>及期限</w:t>
      </w:r>
      <w:r>
        <w:rPr>
          <w:rFonts w:hint="eastAsia" w:ascii="宋体" w:hAnsi="宋体"/>
          <w:sz w:val="24"/>
        </w:rPr>
        <w:t>：</w:t>
      </w:r>
      <w:r>
        <w:rPr>
          <w:rFonts w:hint="eastAsia" w:ascii="宋体" w:hAnsi="宋体"/>
          <w:sz w:val="24"/>
          <w:lang w:val="en-US" w:eastAsia="zh-CN"/>
        </w:rPr>
        <w:t>见专用合同条款数据表</w:t>
      </w:r>
      <w:r>
        <w:rPr>
          <w:rFonts w:hint="eastAsia" w:ascii="宋体" w:hAnsi="宋体"/>
          <w:sz w:val="24"/>
        </w:rPr>
        <w:t>。</w:t>
      </w:r>
    </w:p>
    <w:p w14:paraId="2D82B5A7">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17.5.2 </w:t>
      </w:r>
      <w:r>
        <w:rPr>
          <w:rFonts w:hint="eastAsia" w:ascii="黑体" w:hAnsi="黑体" w:eastAsia="黑体"/>
          <w:sz w:val="24"/>
        </w:rPr>
        <w:t>交工付款证书及支付时间</w:t>
      </w:r>
      <w:r>
        <w:rPr>
          <w:rFonts w:ascii="黑体" w:hAnsi="黑体" w:eastAsia="黑体"/>
          <w:sz w:val="24"/>
        </w:rPr>
        <w:t xml:space="preserve"> </w:t>
      </w:r>
    </w:p>
    <w:p w14:paraId="370C3A28">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本项（</w:t>
      </w:r>
      <w:r>
        <w:rPr>
          <w:rFonts w:ascii="宋体" w:hAnsi="宋体"/>
          <w:sz w:val="24"/>
        </w:rPr>
        <w:t>2</w:t>
      </w:r>
      <w:r>
        <w:rPr>
          <w:rFonts w:hint="eastAsia" w:ascii="宋体" w:hAnsi="宋体"/>
          <w:sz w:val="24"/>
        </w:rPr>
        <w:t>）目细化为：</w:t>
      </w:r>
      <w:r>
        <w:rPr>
          <w:rFonts w:ascii="宋体" w:hAnsi="宋体"/>
          <w:sz w:val="24"/>
        </w:rPr>
        <w:t xml:space="preserve"> </w:t>
      </w:r>
    </w:p>
    <w:p w14:paraId="62042D89">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发包人应在监理人出具交工付款证书且承包人提交了合格的增值税专用发票后的</w:t>
      </w:r>
      <w:r>
        <w:rPr>
          <w:rFonts w:ascii="宋体" w:hAnsi="宋体"/>
          <w:sz w:val="24"/>
        </w:rPr>
        <w:t>14</w:t>
      </w:r>
      <w:r>
        <w:rPr>
          <w:rFonts w:hint="eastAsia" w:ascii="宋体" w:hAnsi="宋体"/>
          <w:sz w:val="24"/>
        </w:rPr>
        <w:t>天内，将应支付款支付给承包人。发包人不按期支付的，按第</w:t>
      </w:r>
      <w:r>
        <w:rPr>
          <w:rFonts w:ascii="宋体" w:hAnsi="宋体"/>
          <w:sz w:val="24"/>
        </w:rPr>
        <w:t>17.3.3</w:t>
      </w:r>
      <w:r>
        <w:rPr>
          <w:rFonts w:hint="eastAsia" w:ascii="宋体" w:hAnsi="宋体"/>
          <w:sz w:val="24"/>
          <w:lang w:val="en-US" w:eastAsia="zh-CN"/>
        </w:rPr>
        <w:t>项</w:t>
      </w:r>
      <w:r>
        <w:rPr>
          <w:rFonts w:hint="eastAsia" w:ascii="宋体" w:hAnsi="宋体"/>
          <w:sz w:val="24"/>
        </w:rPr>
        <w:t>（</w:t>
      </w:r>
      <w:r>
        <w:rPr>
          <w:rFonts w:ascii="宋体" w:hAnsi="宋体"/>
          <w:sz w:val="24"/>
        </w:rPr>
        <w:t>2</w:t>
      </w:r>
      <w:r>
        <w:rPr>
          <w:rFonts w:hint="eastAsia" w:ascii="宋体" w:hAnsi="宋体"/>
          <w:sz w:val="24"/>
        </w:rPr>
        <w:t>）目的约定，将逾期付款违约金支付给承包人。</w:t>
      </w:r>
    </w:p>
    <w:p w14:paraId="443BB84E">
      <w:pPr>
        <w:pStyle w:val="2"/>
        <w:spacing w:before="240" w:after="240" w:line="240" w:lineRule="atLeast"/>
        <w:rPr>
          <w:rFonts w:ascii="黑体"/>
          <w:b w:val="0"/>
          <w:sz w:val="24"/>
          <w:szCs w:val="24"/>
        </w:rPr>
      </w:pPr>
      <w:r>
        <w:rPr>
          <w:rFonts w:ascii="黑体"/>
          <w:b w:val="0"/>
          <w:sz w:val="24"/>
          <w:szCs w:val="24"/>
        </w:rPr>
        <w:t>17.6</w:t>
      </w:r>
      <w:r>
        <w:rPr>
          <w:rFonts w:hint="eastAsia" w:ascii="黑体"/>
          <w:b w:val="0"/>
          <w:sz w:val="24"/>
          <w:szCs w:val="24"/>
          <w:lang w:val="en-US" w:eastAsia="zh-CN"/>
        </w:rPr>
        <w:t xml:space="preserve"> </w:t>
      </w:r>
      <w:r>
        <w:rPr>
          <w:rFonts w:hint="eastAsia" w:ascii="黑体"/>
          <w:b w:val="0"/>
          <w:sz w:val="24"/>
          <w:szCs w:val="24"/>
        </w:rPr>
        <w:t>最终结清</w:t>
      </w:r>
    </w:p>
    <w:p w14:paraId="488C92BD">
      <w:pPr>
        <w:adjustRightInd w:val="0"/>
        <w:snapToGrid w:val="0"/>
        <w:spacing w:line="360" w:lineRule="auto"/>
        <w:ind w:firstLine="360" w:firstLineChars="150"/>
        <w:rPr>
          <w:rFonts w:ascii="黑体" w:hAnsi="黑体" w:eastAsia="黑体"/>
          <w:sz w:val="24"/>
        </w:rPr>
      </w:pPr>
      <w:r>
        <w:rPr>
          <w:rFonts w:ascii="黑体" w:hAnsi="黑体" w:eastAsia="黑体"/>
          <w:sz w:val="24"/>
        </w:rPr>
        <w:t>17.6.1</w:t>
      </w:r>
      <w:r>
        <w:rPr>
          <w:rFonts w:hint="eastAsia" w:ascii="黑体" w:hAnsi="黑体" w:eastAsia="黑体"/>
          <w:sz w:val="24"/>
          <w:lang w:val="en-US" w:eastAsia="zh-CN"/>
        </w:rPr>
        <w:t xml:space="preserve"> </w:t>
      </w:r>
      <w:r>
        <w:rPr>
          <w:rFonts w:hint="eastAsia" w:ascii="黑体" w:hAnsi="黑体" w:eastAsia="黑体"/>
          <w:sz w:val="24"/>
        </w:rPr>
        <w:t>最终结清申请单</w:t>
      </w:r>
    </w:p>
    <w:p w14:paraId="3756156D">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本项（</w:t>
      </w:r>
      <w:r>
        <w:rPr>
          <w:rFonts w:ascii="宋体" w:hAnsi="宋体"/>
          <w:sz w:val="24"/>
        </w:rPr>
        <w:t>1</w:t>
      </w:r>
      <w:r>
        <w:rPr>
          <w:rFonts w:hint="eastAsia" w:ascii="宋体" w:hAnsi="宋体"/>
          <w:sz w:val="24"/>
        </w:rPr>
        <w:t>）目约定为：</w:t>
      </w:r>
    </w:p>
    <w:p w14:paraId="2AA6442A">
      <w:pPr>
        <w:tabs>
          <w:tab w:val="left" w:pos="700"/>
        </w:tabs>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承包人向监理人提交最终结清申请单（包括相关证明材料）的份数</w:t>
      </w:r>
      <w:r>
        <w:rPr>
          <w:rFonts w:hint="eastAsia" w:ascii="宋体" w:hAnsi="宋体"/>
          <w:sz w:val="24"/>
          <w:lang w:val="en-US" w:eastAsia="zh-CN"/>
        </w:rPr>
        <w:t>及期限</w:t>
      </w:r>
      <w:r>
        <w:rPr>
          <w:rFonts w:hint="eastAsia" w:ascii="宋体" w:hAnsi="宋体"/>
          <w:sz w:val="24"/>
        </w:rPr>
        <w:t>：</w:t>
      </w:r>
      <w:r>
        <w:rPr>
          <w:rFonts w:hint="eastAsia" w:ascii="宋体" w:hAnsi="宋体"/>
          <w:sz w:val="24"/>
          <w:lang w:val="en-US" w:eastAsia="zh-CN"/>
        </w:rPr>
        <w:t>见专用合同条款数据表</w:t>
      </w:r>
      <w:r>
        <w:rPr>
          <w:rFonts w:hint="eastAsia" w:ascii="宋体" w:hAnsi="宋体"/>
          <w:sz w:val="24"/>
          <w:u w:val="none"/>
          <w:lang w:eastAsia="zh-CN"/>
        </w:rPr>
        <w:t>。</w:t>
      </w:r>
    </w:p>
    <w:p w14:paraId="6438A25C">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发包人应在监理人出具最终结清证书后的</w:t>
      </w:r>
      <w:r>
        <w:rPr>
          <w:rFonts w:ascii="宋体" w:hAnsi="宋体"/>
          <w:sz w:val="24"/>
        </w:rPr>
        <w:t>14</w:t>
      </w:r>
      <w:r>
        <w:rPr>
          <w:rFonts w:hint="eastAsia" w:ascii="宋体" w:hAnsi="宋体"/>
          <w:sz w:val="24"/>
        </w:rPr>
        <w:t>天内，将应支付款支付给承包人。发包人不按期支付的，按第</w:t>
      </w:r>
      <w:r>
        <w:rPr>
          <w:rFonts w:ascii="宋体" w:hAnsi="宋体"/>
          <w:sz w:val="24"/>
        </w:rPr>
        <w:t>17.3.3</w:t>
      </w:r>
      <w:r>
        <w:rPr>
          <w:rFonts w:hint="eastAsia" w:ascii="宋体" w:hAnsi="宋体"/>
          <w:sz w:val="24"/>
          <w:lang w:val="en-US" w:eastAsia="zh-CN"/>
        </w:rPr>
        <w:t>项</w:t>
      </w:r>
      <w:r>
        <w:rPr>
          <w:rFonts w:hint="eastAsia" w:ascii="宋体" w:hAnsi="宋体"/>
          <w:sz w:val="24"/>
        </w:rPr>
        <w:t>（</w:t>
      </w:r>
      <w:r>
        <w:rPr>
          <w:rFonts w:ascii="宋体" w:hAnsi="宋体"/>
          <w:sz w:val="24"/>
        </w:rPr>
        <w:t>2</w:t>
      </w:r>
      <w:r>
        <w:rPr>
          <w:rFonts w:hint="eastAsia" w:ascii="宋体" w:hAnsi="宋体"/>
          <w:sz w:val="24"/>
        </w:rPr>
        <w:t>）目的约定，将逾期付款违约金支付给承包人。</w:t>
      </w:r>
    </w:p>
    <w:p w14:paraId="0EED480D">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最终结清申请证书中的总金额应认为是代表了根据合同规定应付给承包人的全部款项的最后结算。</w:t>
      </w:r>
    </w:p>
    <w:p w14:paraId="6432826E">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17.6.2 </w:t>
      </w:r>
      <w:r>
        <w:rPr>
          <w:rFonts w:hint="eastAsia" w:ascii="黑体" w:hAnsi="黑体" w:eastAsia="黑体"/>
          <w:sz w:val="24"/>
        </w:rPr>
        <w:t>最终结清证书和支付时间</w:t>
      </w:r>
      <w:r>
        <w:rPr>
          <w:rFonts w:ascii="黑体" w:hAnsi="黑体" w:eastAsia="黑体"/>
          <w:sz w:val="24"/>
        </w:rPr>
        <w:t xml:space="preserve"> </w:t>
      </w:r>
    </w:p>
    <w:p w14:paraId="1E047DBF">
      <w:p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本项（</w:t>
      </w:r>
      <w:r>
        <w:rPr>
          <w:rFonts w:ascii="宋体" w:hAnsi="宋体"/>
          <w:sz w:val="24"/>
        </w:rPr>
        <w:t>2</w:t>
      </w:r>
      <w:r>
        <w:rPr>
          <w:rFonts w:hint="eastAsia" w:ascii="宋体" w:hAnsi="宋体"/>
          <w:sz w:val="24"/>
        </w:rPr>
        <w:t>）目细化为：</w:t>
      </w:r>
      <w:r>
        <w:rPr>
          <w:rFonts w:ascii="宋体" w:hAnsi="宋体"/>
          <w:sz w:val="24"/>
        </w:rPr>
        <w:t xml:space="preserve"> </w:t>
      </w:r>
    </w:p>
    <w:p w14:paraId="2229C526">
      <w:pPr>
        <w:numPr>
          <w:ilvl w:val="255"/>
          <w:numId w:val="0"/>
        </w:numPr>
        <w:tabs>
          <w:tab w:val="left" w:pos="700"/>
        </w:tabs>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）发包人应在监理人出具最终结清证书且承包人提交了合格的增值税专用发票后的</w:t>
      </w:r>
      <w:r>
        <w:rPr>
          <w:rFonts w:ascii="宋体" w:hAnsi="宋体"/>
          <w:sz w:val="24"/>
        </w:rPr>
        <w:t>14</w:t>
      </w:r>
      <w:r>
        <w:rPr>
          <w:rFonts w:hint="eastAsia" w:ascii="宋体" w:hAnsi="宋体"/>
          <w:sz w:val="24"/>
        </w:rPr>
        <w:t>天内，将应支付款支付给承包人。发包人不按期支付的，按第</w:t>
      </w:r>
      <w:r>
        <w:rPr>
          <w:rFonts w:ascii="宋体" w:hAnsi="宋体"/>
          <w:sz w:val="24"/>
        </w:rPr>
        <w:t>17.3.3</w:t>
      </w:r>
      <w:r>
        <w:rPr>
          <w:rFonts w:hint="eastAsia" w:ascii="宋体" w:hAnsi="宋体"/>
          <w:sz w:val="24"/>
          <w:lang w:val="en-US" w:eastAsia="zh-CN"/>
        </w:rPr>
        <w:t>项</w:t>
      </w:r>
      <w:r>
        <w:rPr>
          <w:rFonts w:hint="eastAsia" w:ascii="宋体" w:hAnsi="宋体"/>
          <w:sz w:val="24"/>
        </w:rPr>
        <w:t>（</w:t>
      </w:r>
      <w:r>
        <w:rPr>
          <w:rFonts w:ascii="宋体" w:hAnsi="宋体"/>
          <w:sz w:val="24"/>
        </w:rPr>
        <w:t>2</w:t>
      </w:r>
      <w:r>
        <w:rPr>
          <w:rFonts w:hint="eastAsia" w:ascii="宋体" w:hAnsi="宋体"/>
          <w:sz w:val="24"/>
        </w:rPr>
        <w:t>）目的约定，将逾期付款违约金支付给承包人。</w:t>
      </w:r>
    </w:p>
    <w:p w14:paraId="5BB80E04">
      <w:pPr>
        <w:widowControl/>
        <w:tabs>
          <w:tab w:val="left" w:pos="700"/>
        </w:tabs>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bidi="ar"/>
        </w:rPr>
        <w:t>本款</w:t>
      </w:r>
      <w:r>
        <w:rPr>
          <w:rFonts w:ascii="宋体" w:hAnsi="宋体"/>
          <w:sz w:val="24"/>
          <w:lang w:bidi="ar"/>
        </w:rPr>
        <w:t xml:space="preserve">补充第17.6.3项： </w:t>
      </w:r>
    </w:p>
    <w:p w14:paraId="4BC7E5C4">
      <w:pPr>
        <w:widowControl/>
        <w:adjustRightInd w:val="0"/>
        <w:snapToGrid w:val="0"/>
        <w:spacing w:line="360" w:lineRule="auto"/>
        <w:ind w:firstLine="360" w:firstLineChars="150"/>
        <w:jc w:val="left"/>
        <w:rPr>
          <w:rFonts w:ascii="黑体" w:hAnsi="黑体" w:eastAsia="黑体"/>
          <w:sz w:val="24"/>
        </w:rPr>
      </w:pPr>
      <w:r>
        <w:rPr>
          <w:rFonts w:ascii="黑体" w:hAnsi="黑体" w:eastAsia="黑体"/>
          <w:sz w:val="24"/>
          <w:lang w:bidi="ar"/>
        </w:rPr>
        <w:t xml:space="preserve">17.6.3 </w:t>
      </w:r>
      <w:r>
        <w:rPr>
          <w:rFonts w:hint="eastAsia" w:ascii="黑体" w:hAnsi="黑体" w:eastAsia="黑体"/>
          <w:sz w:val="24"/>
          <w:lang w:bidi="ar"/>
        </w:rPr>
        <w:t>第三方</w:t>
      </w:r>
      <w:r>
        <w:rPr>
          <w:rFonts w:ascii="黑体" w:hAnsi="黑体" w:eastAsia="黑体"/>
          <w:sz w:val="24"/>
          <w:lang w:bidi="ar"/>
        </w:rPr>
        <w:t>审计</w:t>
      </w:r>
      <w:r>
        <w:rPr>
          <w:rFonts w:hint="eastAsia" w:ascii="黑体" w:hAnsi="黑体" w:eastAsia="黑体"/>
          <w:sz w:val="24"/>
          <w:lang w:bidi="ar"/>
        </w:rPr>
        <w:t>对</w:t>
      </w:r>
      <w:r>
        <w:rPr>
          <w:rFonts w:ascii="黑体" w:hAnsi="黑体" w:eastAsia="黑体"/>
          <w:sz w:val="24"/>
          <w:lang w:bidi="ar"/>
        </w:rPr>
        <w:t>工程款支付</w:t>
      </w:r>
      <w:r>
        <w:rPr>
          <w:rFonts w:hint="eastAsia" w:ascii="黑体" w:hAnsi="黑体" w:eastAsia="黑体"/>
          <w:sz w:val="24"/>
          <w:lang w:bidi="ar"/>
        </w:rPr>
        <w:t>的影响</w:t>
      </w:r>
      <w:r>
        <w:rPr>
          <w:rFonts w:ascii="黑体" w:hAnsi="黑体" w:eastAsia="黑体"/>
          <w:sz w:val="24"/>
          <w:lang w:bidi="ar"/>
        </w:rPr>
        <w:t xml:space="preserve"> </w:t>
      </w:r>
    </w:p>
    <w:p w14:paraId="5AD11538">
      <w:pPr>
        <w:adjustRightInd w:val="0"/>
        <w:snapToGrid w:val="0"/>
        <w:spacing w:line="360" w:lineRule="auto"/>
        <w:ind w:firstLine="480" w:firstLineChars="200"/>
        <w:rPr>
          <w:rFonts w:ascii="宋体" w:hAnsi="宋体"/>
          <w:sz w:val="24"/>
        </w:rPr>
      </w:pPr>
      <w:r>
        <w:rPr>
          <w:rFonts w:hint="eastAsia"/>
          <w:sz w:val="24"/>
        </w:rPr>
        <w:t>经发包人审核确认承包人提交的交工付款申请后，双方签署交工初审结算报告，除非双方另有约定，否则，承包人不得再向发包人主张漏项、变更、费用调差等任何费用调整和索赔。交工初审结算报告作为提交竣工结（决）算审计的依据，不作为双方的最终结算依据。若交工初审金额超出竣工结（决）算审计金额，超出部分发包人有权从应付承包人任何合同款项中抵扣，不足抵扣的部分，承包人应当在竣工审计报告出具后</w:t>
      </w:r>
      <w:r>
        <w:rPr>
          <w:sz w:val="24"/>
        </w:rPr>
        <w:t>15</w:t>
      </w:r>
      <w:r>
        <w:rPr>
          <w:rFonts w:hint="eastAsia"/>
          <w:sz w:val="24"/>
        </w:rPr>
        <w:t>日内支付。每逾期一天按照第</w:t>
      </w:r>
      <w:r>
        <w:rPr>
          <w:rFonts w:hint="eastAsia" w:asciiTheme="minorEastAsia" w:hAnsiTheme="minorEastAsia" w:eastAsiaTheme="minorEastAsia"/>
          <w:sz w:val="24"/>
        </w:rPr>
        <w:t>1</w:t>
      </w:r>
      <w:r>
        <w:rPr>
          <w:rFonts w:asciiTheme="minorEastAsia" w:hAnsiTheme="minorEastAsia" w:eastAsiaTheme="minorEastAsia"/>
          <w:sz w:val="24"/>
        </w:rPr>
        <w:t>7.3.3</w:t>
      </w:r>
      <w:r>
        <w:rPr>
          <w:rFonts w:hint="eastAsia" w:asciiTheme="minorEastAsia" w:hAnsiTheme="minorEastAsia" w:eastAsiaTheme="minorEastAsia"/>
          <w:sz w:val="24"/>
          <w:lang w:val="en-US" w:eastAsia="zh-CN"/>
        </w:rPr>
        <w:t>项</w:t>
      </w:r>
      <w:r>
        <w:rPr>
          <w:rFonts w:hint="eastAsia" w:asciiTheme="minorEastAsia" w:hAnsiTheme="minorEastAsia" w:eastAsiaTheme="minorEastAsia"/>
          <w:sz w:val="24"/>
        </w:rPr>
        <w:t>（2）</w:t>
      </w:r>
      <w:r>
        <w:rPr>
          <w:rFonts w:hint="eastAsia"/>
          <w:sz w:val="24"/>
        </w:rPr>
        <w:t>目约定的逾期付款违约金利率承担应付未付金额的违约金。</w:t>
      </w:r>
      <w:r>
        <w:rPr>
          <w:rFonts w:ascii="宋体" w:hAnsi="宋体"/>
          <w:sz w:val="24"/>
        </w:rPr>
        <w:t xml:space="preserve"> </w:t>
      </w:r>
    </w:p>
    <w:p w14:paraId="600757D7">
      <w:pPr>
        <w:widowControl/>
        <w:tabs>
          <w:tab w:val="left" w:pos="700"/>
        </w:tabs>
        <w:adjustRightInd w:val="0"/>
        <w:snapToGrid w:val="0"/>
        <w:spacing w:line="360" w:lineRule="auto"/>
        <w:ind w:firstLine="480" w:firstLineChars="200"/>
        <w:jc w:val="left"/>
        <w:rPr>
          <w:rFonts w:ascii="宋体" w:hAnsi="宋体"/>
          <w:sz w:val="24"/>
          <w:lang w:bidi="ar"/>
        </w:rPr>
      </w:pPr>
      <w:r>
        <w:rPr>
          <w:rFonts w:ascii="宋体" w:hAnsi="宋体"/>
          <w:sz w:val="24"/>
          <w:lang w:bidi="ar"/>
        </w:rPr>
        <w:t>发包人不承担因项目竣工审计导致延迟付款的违约金和利息。</w:t>
      </w:r>
    </w:p>
    <w:p w14:paraId="7FE04CD9">
      <w:pPr>
        <w:widowControl/>
        <w:tabs>
          <w:tab w:val="left" w:pos="700"/>
        </w:tabs>
        <w:adjustRightInd w:val="0"/>
        <w:snapToGrid w:val="0"/>
        <w:spacing w:line="360" w:lineRule="auto"/>
        <w:ind w:firstLine="480" w:firstLineChars="200"/>
        <w:jc w:val="left"/>
        <w:rPr>
          <w:rFonts w:ascii="宋体" w:hAnsi="宋体"/>
          <w:sz w:val="24"/>
          <w:lang w:bidi="ar"/>
        </w:rPr>
      </w:pPr>
      <w:r>
        <w:rPr>
          <w:rFonts w:hint="eastAsia" w:ascii="宋体" w:hAnsi="宋体"/>
          <w:sz w:val="24"/>
          <w:lang w:val="en-US" w:eastAsia="zh-CN" w:bidi="ar"/>
        </w:rPr>
        <w:t>本条</w:t>
      </w:r>
      <w:r>
        <w:rPr>
          <w:rFonts w:ascii="宋体" w:hAnsi="宋体"/>
          <w:sz w:val="24"/>
          <w:lang w:bidi="ar"/>
        </w:rPr>
        <w:t>补充第17.7款</w:t>
      </w:r>
      <w:r>
        <w:rPr>
          <w:rFonts w:hint="eastAsia" w:ascii="宋体" w:hAnsi="宋体"/>
          <w:sz w:val="24"/>
          <w:lang w:bidi="ar"/>
        </w:rPr>
        <w:t>：</w:t>
      </w:r>
      <w:r>
        <w:rPr>
          <w:rFonts w:ascii="宋体" w:hAnsi="宋体"/>
          <w:sz w:val="24"/>
          <w:lang w:bidi="ar"/>
        </w:rPr>
        <w:t xml:space="preserve"> </w:t>
      </w:r>
    </w:p>
    <w:p w14:paraId="660D04B7">
      <w:pPr>
        <w:pStyle w:val="2"/>
        <w:keepNext w:val="0"/>
        <w:keepLines w:val="0"/>
        <w:widowControl/>
        <w:spacing w:before="240" w:after="240" w:line="240" w:lineRule="atLeast"/>
        <w:jc w:val="left"/>
        <w:rPr>
          <w:rFonts w:ascii="黑体"/>
          <w:b w:val="0"/>
          <w:sz w:val="24"/>
          <w:szCs w:val="24"/>
          <w:lang w:bidi="ar"/>
        </w:rPr>
      </w:pPr>
      <w:r>
        <w:rPr>
          <w:rFonts w:ascii="黑体"/>
          <w:b w:val="0"/>
          <w:sz w:val="24"/>
          <w:szCs w:val="24"/>
          <w:lang w:bidi="ar"/>
        </w:rPr>
        <w:t xml:space="preserve">17.7 计量工作的完备 </w:t>
      </w:r>
    </w:p>
    <w:p w14:paraId="754543D1">
      <w:pPr>
        <w:widowControl/>
        <w:tabs>
          <w:tab w:val="left" w:pos="700"/>
        </w:tabs>
        <w:adjustRightInd w:val="0"/>
        <w:snapToGrid w:val="0"/>
        <w:spacing w:line="360" w:lineRule="auto"/>
        <w:ind w:firstLine="480" w:firstLineChars="200"/>
        <w:jc w:val="left"/>
        <w:rPr>
          <w:rFonts w:ascii="宋体" w:hAnsi="宋体"/>
          <w:sz w:val="24"/>
          <w:lang w:bidi="ar"/>
        </w:rPr>
      </w:pPr>
      <w:r>
        <w:rPr>
          <w:rFonts w:ascii="宋体" w:hAnsi="宋体"/>
          <w:sz w:val="24"/>
          <w:lang w:bidi="ar"/>
        </w:rPr>
        <w:t>承包人申请完成的工程项目，应包括技术规范规定的所有相关工程。设计</w:t>
      </w:r>
      <w:r>
        <w:rPr>
          <w:rFonts w:hint="eastAsia" w:ascii="宋体" w:hAnsi="宋体"/>
          <w:sz w:val="24"/>
          <w:lang w:bidi="ar"/>
        </w:rPr>
        <w:t>文件</w:t>
      </w:r>
      <w:r>
        <w:rPr>
          <w:rFonts w:ascii="宋体" w:hAnsi="宋体"/>
          <w:sz w:val="24"/>
          <w:lang w:bidi="ar"/>
        </w:rPr>
        <w:t>中一些该承包人完成的工作，虽然清单中没有单独列出，但相关费用已考虑在其它工程子目的相应单价中，不另行计量。监理人在计量时发现有相关工程没有完成，则该项目暂不予计量并通知承包人继续完成相关工程，待该项目及所有相关工程均已完成并符合技术规范要求后再给予计量。承包人必须如实申报工程数量，若发现虚报工程数量，发包人有权对虚报的工程量进行扣除并对其所报工程量处以相应工程合同价10%的违约金，并从计量支付中予以扣除，承包人不得提出异议。发包人在必要时有权对承包人已取得的任何签证进行进一步核实和调查（包括已计量支付的内容），在发包人的要求下承包人必须积极配合调查、核实，并提供一切方便。如经核实有虚假成分，则因此所</w:t>
      </w:r>
      <w:r>
        <w:rPr>
          <w:rFonts w:hint="eastAsia" w:ascii="宋体" w:hAnsi="宋体"/>
          <w:sz w:val="24"/>
          <w:lang w:bidi="ar"/>
        </w:rPr>
        <w:t>发生</w:t>
      </w:r>
      <w:r>
        <w:rPr>
          <w:rFonts w:ascii="宋体" w:hAnsi="宋体"/>
          <w:sz w:val="24"/>
          <w:lang w:bidi="ar"/>
        </w:rPr>
        <w:t>的一切费用均由承包人承担，并按本款所述规定对承包人进行</w:t>
      </w:r>
      <w:r>
        <w:rPr>
          <w:rFonts w:hint="eastAsia" w:ascii="宋体" w:hAnsi="宋体"/>
          <w:sz w:val="24"/>
          <w:lang w:bidi="ar"/>
        </w:rPr>
        <w:t>违约</w:t>
      </w:r>
      <w:r>
        <w:rPr>
          <w:rFonts w:ascii="宋体" w:hAnsi="宋体"/>
          <w:sz w:val="24"/>
          <w:lang w:bidi="ar"/>
        </w:rPr>
        <w:t>处理。尽管所签证书中有监理人和发包人的签证，承包人也不能免除此类</w:t>
      </w:r>
      <w:r>
        <w:rPr>
          <w:rFonts w:hint="eastAsia" w:ascii="宋体" w:hAnsi="宋体"/>
          <w:sz w:val="24"/>
          <w:lang w:bidi="ar"/>
        </w:rPr>
        <w:t>违约处理</w:t>
      </w:r>
      <w:r>
        <w:rPr>
          <w:rFonts w:ascii="宋体" w:hAnsi="宋体"/>
          <w:sz w:val="24"/>
          <w:lang w:bidi="ar"/>
        </w:rPr>
        <w:t>。如果核实结果不存在虚假成分，则此次调查核实</w:t>
      </w:r>
      <w:r>
        <w:rPr>
          <w:rFonts w:hint="eastAsia" w:ascii="宋体" w:hAnsi="宋体"/>
          <w:sz w:val="24"/>
          <w:lang w:bidi="ar"/>
        </w:rPr>
        <w:t>发生</w:t>
      </w:r>
      <w:r>
        <w:rPr>
          <w:rFonts w:ascii="宋体" w:hAnsi="宋体"/>
          <w:sz w:val="24"/>
          <w:lang w:bidi="ar"/>
        </w:rPr>
        <w:t>费用由发包人承担。上级审计部门对工程进行审计核实的不符合计量规则的或虚假的计量，发包人将从承包人计量支付款、质量保证金或其它任何应付给承包人的款项中扣回</w:t>
      </w:r>
      <w:r>
        <w:rPr>
          <w:rFonts w:hint="eastAsia" w:ascii="宋体" w:hAnsi="宋体"/>
          <w:sz w:val="24"/>
          <w:lang w:bidi="ar"/>
        </w:rPr>
        <w:t>。</w:t>
      </w:r>
    </w:p>
    <w:p w14:paraId="68E661AF">
      <w:pPr>
        <w:pStyle w:val="2"/>
        <w:numPr>
          <w:ilvl w:val="0"/>
          <w:numId w:val="7"/>
        </w:numPr>
        <w:spacing w:before="360" w:after="240" w:line="240" w:lineRule="atLeast"/>
        <w:rPr>
          <w:rFonts w:ascii="黑体"/>
          <w:b w:val="0"/>
          <w:sz w:val="28"/>
          <w:szCs w:val="28"/>
        </w:rPr>
      </w:pPr>
      <w:bookmarkStart w:id="803" w:name="_Toc53685782"/>
      <w:r>
        <w:rPr>
          <w:rFonts w:ascii="黑体"/>
          <w:b w:val="0"/>
          <w:sz w:val="28"/>
          <w:szCs w:val="28"/>
        </w:rPr>
        <w:t>交工</w:t>
      </w:r>
      <w:r>
        <w:rPr>
          <w:rFonts w:hint="eastAsia" w:ascii="黑体"/>
          <w:b w:val="0"/>
          <w:sz w:val="28"/>
          <w:szCs w:val="28"/>
        </w:rPr>
        <w:t>验收</w:t>
      </w:r>
      <w:bookmarkEnd w:id="803"/>
    </w:p>
    <w:p w14:paraId="34C06237">
      <w:pPr>
        <w:pStyle w:val="2"/>
        <w:spacing w:before="240" w:after="240" w:line="240" w:lineRule="atLeast"/>
        <w:rPr>
          <w:rFonts w:ascii="黑体"/>
          <w:b w:val="0"/>
          <w:sz w:val="24"/>
          <w:szCs w:val="24"/>
        </w:rPr>
      </w:pPr>
      <w:bookmarkStart w:id="804" w:name="_Toc53685783"/>
      <w:r>
        <w:rPr>
          <w:rFonts w:ascii="黑体"/>
          <w:b w:val="0"/>
          <w:sz w:val="24"/>
          <w:szCs w:val="24"/>
        </w:rPr>
        <w:t>18.1 交工试验</w:t>
      </w:r>
    </w:p>
    <w:p w14:paraId="7020C716">
      <w:pPr>
        <w:widowControl/>
        <w:adjustRightInd w:val="0"/>
        <w:snapToGrid w:val="0"/>
        <w:spacing w:line="360" w:lineRule="auto"/>
        <w:ind w:firstLine="480" w:firstLineChars="200"/>
        <w:jc w:val="left"/>
        <w:rPr>
          <w:rFonts w:hint="eastAsia" w:ascii="宋体" w:hAnsi="宋体"/>
          <w:sz w:val="24"/>
          <w:lang w:val="en-US" w:eastAsia="zh-CN" w:bidi="ar"/>
        </w:rPr>
      </w:pPr>
      <w:r>
        <w:rPr>
          <w:rFonts w:hint="eastAsia" w:ascii="宋体" w:hAnsi="宋体"/>
          <w:sz w:val="24"/>
          <w:lang w:val="en-US" w:eastAsia="zh-CN" w:bidi="ar"/>
        </w:rPr>
        <w:t>第</w:t>
      </w:r>
      <w:r>
        <w:rPr>
          <w:rFonts w:ascii="宋体" w:hAnsi="宋体"/>
          <w:sz w:val="24"/>
          <w:lang w:bidi="ar"/>
        </w:rPr>
        <w:t>18.1.4</w:t>
      </w:r>
      <w:r>
        <w:rPr>
          <w:rFonts w:hint="eastAsia" w:ascii="宋体" w:hAnsi="宋体"/>
          <w:sz w:val="24"/>
          <w:lang w:val="en-US" w:eastAsia="zh-CN" w:bidi="ar"/>
        </w:rPr>
        <w:t>项细化为：</w:t>
      </w:r>
    </w:p>
    <w:p w14:paraId="4DF5AC28">
      <w:pPr>
        <w:widowControl/>
        <w:adjustRightInd w:val="0"/>
        <w:snapToGrid w:val="0"/>
        <w:spacing w:line="360" w:lineRule="auto"/>
        <w:ind w:firstLine="480" w:firstLineChars="200"/>
        <w:jc w:val="left"/>
        <w:rPr>
          <w:rFonts w:ascii="宋体" w:hAnsi="宋体"/>
          <w:sz w:val="24"/>
          <w:lang w:bidi="ar"/>
        </w:rPr>
      </w:pPr>
      <w:r>
        <w:rPr>
          <w:rFonts w:ascii="宋体" w:hAnsi="宋体"/>
          <w:sz w:val="24"/>
          <w:lang w:bidi="ar"/>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3A62933">
      <w:pPr>
        <w:pStyle w:val="2"/>
        <w:spacing w:before="240" w:after="240" w:line="240" w:lineRule="atLeast"/>
        <w:rPr>
          <w:rFonts w:ascii="黑体"/>
          <w:b w:val="0"/>
          <w:sz w:val="24"/>
          <w:szCs w:val="24"/>
        </w:rPr>
      </w:pPr>
      <w:r>
        <w:rPr>
          <w:rFonts w:ascii="黑体"/>
          <w:b w:val="0"/>
          <w:sz w:val="24"/>
          <w:szCs w:val="24"/>
        </w:rPr>
        <w:t xml:space="preserve">18.2 </w:t>
      </w:r>
      <w:r>
        <w:rPr>
          <w:rFonts w:hint="eastAsia" w:ascii="黑体"/>
          <w:b w:val="0"/>
          <w:sz w:val="24"/>
          <w:szCs w:val="24"/>
        </w:rPr>
        <w:t>交工验收申请报告</w:t>
      </w:r>
      <w:bookmarkEnd w:id="804"/>
    </w:p>
    <w:p w14:paraId="4EF5AAA9">
      <w:pPr>
        <w:widowControl/>
        <w:adjustRightInd w:val="0"/>
        <w:snapToGrid w:val="0"/>
        <w:spacing w:line="360" w:lineRule="auto"/>
        <w:ind w:firstLine="480" w:firstLineChars="200"/>
        <w:jc w:val="left"/>
        <w:rPr>
          <w:rFonts w:ascii="宋体" w:hAnsi="宋体"/>
          <w:sz w:val="24"/>
        </w:rPr>
      </w:pPr>
      <w:r>
        <w:rPr>
          <w:rFonts w:ascii="宋体" w:hAnsi="宋体"/>
          <w:sz w:val="24"/>
          <w:lang w:bidi="ar"/>
        </w:rPr>
        <w:t xml:space="preserve">本款细化为： </w:t>
      </w:r>
    </w:p>
    <w:p w14:paraId="018211B4">
      <w:pPr>
        <w:widowControl/>
        <w:adjustRightInd w:val="0"/>
        <w:snapToGrid w:val="0"/>
        <w:spacing w:line="360" w:lineRule="auto"/>
        <w:ind w:firstLine="480" w:firstLineChars="200"/>
        <w:jc w:val="left"/>
        <w:rPr>
          <w:rFonts w:ascii="宋体" w:hAnsi="宋体"/>
          <w:sz w:val="24"/>
        </w:rPr>
      </w:pPr>
      <w:r>
        <w:rPr>
          <w:rFonts w:ascii="宋体" w:hAnsi="宋体"/>
          <w:sz w:val="24"/>
          <w:lang w:bidi="ar"/>
        </w:rPr>
        <w:t xml:space="preserve">当工程具备以下条件时，承包人即可向监理人报送交工验收申请报告： </w:t>
      </w:r>
    </w:p>
    <w:p w14:paraId="393621F2">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（1）</w:t>
      </w:r>
      <w:r>
        <w:rPr>
          <w:rFonts w:ascii="宋体" w:hAnsi="宋体"/>
          <w:sz w:val="24"/>
          <w:lang w:bidi="ar"/>
        </w:rPr>
        <w:t xml:space="preserve">除监理人同意列入缺陷责任期内完成的尾工(甩项)工程和缺陷修补工作外， 合同范围内的全部单位工程以及有关工作，包括本合同要求的试验以及检验和验收均已完成，并符合本合同要求； </w:t>
      </w:r>
    </w:p>
    <w:p w14:paraId="4574F90C">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（2）</w:t>
      </w:r>
      <w:r>
        <w:rPr>
          <w:rFonts w:ascii="宋体" w:hAnsi="宋体"/>
          <w:sz w:val="24"/>
          <w:lang w:bidi="ar"/>
        </w:rPr>
        <w:t>承包人应按照《公路工程竣(交)工验收办法》和相关规定编制</w:t>
      </w:r>
      <w:r>
        <w:rPr>
          <w:rFonts w:hint="eastAsia" w:ascii="宋体" w:hAnsi="宋体"/>
          <w:sz w:val="24"/>
          <w:lang w:bidi="ar"/>
        </w:rPr>
        <w:t>交（竣）工</w:t>
      </w:r>
      <w:r>
        <w:rPr>
          <w:rFonts w:ascii="宋体" w:hAnsi="宋体"/>
          <w:sz w:val="24"/>
          <w:lang w:bidi="ar"/>
        </w:rPr>
        <w:t>资料</w:t>
      </w:r>
      <w:r>
        <w:rPr>
          <w:rFonts w:hint="eastAsia" w:ascii="宋体" w:hAnsi="宋体"/>
          <w:sz w:val="24"/>
          <w:lang w:eastAsia="zh-CN" w:bidi="ar"/>
        </w:rPr>
        <w:t>，</w:t>
      </w:r>
      <w:r>
        <w:rPr>
          <w:rFonts w:hint="eastAsia" w:ascii="宋体" w:hAnsi="宋体"/>
          <w:sz w:val="24"/>
        </w:rPr>
        <w:t>竣工</w:t>
      </w:r>
      <w:r>
        <w:rPr>
          <w:rFonts w:ascii="宋体" w:hAnsi="宋体"/>
          <w:sz w:val="24"/>
        </w:rPr>
        <w:t>资料的</w:t>
      </w:r>
      <w:r>
        <w:rPr>
          <w:rFonts w:hint="eastAsia" w:ascii="宋体" w:hAnsi="宋体"/>
          <w:sz w:val="24"/>
        </w:rPr>
        <w:t>份</w:t>
      </w:r>
      <w:r>
        <w:rPr>
          <w:rFonts w:ascii="宋体" w:hAnsi="宋体"/>
          <w:sz w:val="24"/>
        </w:rPr>
        <w:t>数</w:t>
      </w:r>
      <w:r>
        <w:rPr>
          <w:rFonts w:hint="eastAsia" w:ascii="宋体" w:hAnsi="宋体"/>
          <w:sz w:val="24"/>
          <w:lang w:val="en-US" w:eastAsia="zh-CN"/>
        </w:rPr>
        <w:t>见第5.5.1项规定</w:t>
      </w:r>
      <w:r>
        <w:rPr>
          <w:rFonts w:hint="eastAsia" w:ascii="宋体" w:hAnsi="宋体"/>
          <w:sz w:val="24"/>
          <w:lang w:eastAsia="zh-CN"/>
        </w:rPr>
        <w:t>；</w:t>
      </w:r>
      <w:r>
        <w:rPr>
          <w:rFonts w:ascii="宋体" w:hAnsi="宋体"/>
          <w:sz w:val="24"/>
          <w:lang w:bidi="ar"/>
        </w:rPr>
        <w:t xml:space="preserve"> </w:t>
      </w:r>
    </w:p>
    <w:p w14:paraId="7503D9F9">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（3）</w:t>
      </w:r>
      <w:r>
        <w:rPr>
          <w:rFonts w:ascii="宋体" w:hAnsi="宋体"/>
          <w:sz w:val="24"/>
          <w:lang w:bidi="ar"/>
        </w:rPr>
        <w:t xml:space="preserve">已按监理人的要求编制了在缺陷责任期内完成的尾工(甩项)工程和缺陷修补工作清单以及相应施工计划； </w:t>
      </w:r>
    </w:p>
    <w:p w14:paraId="713CA936">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（4）</w:t>
      </w:r>
      <w:r>
        <w:rPr>
          <w:rFonts w:ascii="宋体" w:hAnsi="宋体"/>
          <w:sz w:val="24"/>
          <w:lang w:bidi="ar"/>
        </w:rPr>
        <w:t xml:space="preserve">监理人要求在交工验收前应完成的其他工作； </w:t>
      </w:r>
    </w:p>
    <w:p w14:paraId="68AED917">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（5）</w:t>
      </w:r>
      <w:r>
        <w:rPr>
          <w:rFonts w:ascii="宋体" w:hAnsi="宋体"/>
          <w:sz w:val="24"/>
          <w:lang w:bidi="ar"/>
        </w:rPr>
        <w:t xml:space="preserve">监理人要求提交的交工验收资料清单； </w:t>
      </w:r>
    </w:p>
    <w:p w14:paraId="3888553A">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（6）</w:t>
      </w:r>
      <w:r>
        <w:rPr>
          <w:rFonts w:ascii="宋体" w:hAnsi="宋体"/>
          <w:sz w:val="24"/>
          <w:lang w:bidi="ar"/>
        </w:rPr>
        <w:t xml:space="preserve">本合同工程的质量检测评定报告； </w:t>
      </w:r>
    </w:p>
    <w:p w14:paraId="086BE0B2">
      <w:pPr>
        <w:adjustRightInd w:val="0"/>
        <w:snapToGrid w:val="0"/>
        <w:spacing w:line="360" w:lineRule="auto"/>
        <w:ind w:firstLine="480" w:firstLineChars="200"/>
        <w:rPr>
          <w:rFonts w:ascii="宋体" w:hAnsi="宋体"/>
          <w:sz w:val="24"/>
        </w:rPr>
      </w:pPr>
      <w:r>
        <w:rPr>
          <w:rFonts w:hint="eastAsia" w:ascii="宋体" w:hAnsi="宋体"/>
          <w:sz w:val="24"/>
          <w:lang w:bidi="ar"/>
        </w:rPr>
        <w:t>（7）</w:t>
      </w:r>
      <w:r>
        <w:rPr>
          <w:rFonts w:ascii="宋体" w:hAnsi="宋体"/>
          <w:sz w:val="24"/>
          <w:lang w:bidi="ar"/>
        </w:rPr>
        <w:t xml:space="preserve">达到有关法律法规的规定条件，以及满足发包人、质量监督部门和交通行业主管部门的要求。 </w:t>
      </w:r>
    </w:p>
    <w:p w14:paraId="140AD503">
      <w:pPr>
        <w:pStyle w:val="2"/>
        <w:spacing w:before="240" w:after="240" w:line="240" w:lineRule="atLeast"/>
        <w:rPr>
          <w:rFonts w:ascii="黑体"/>
          <w:b w:val="0"/>
          <w:sz w:val="24"/>
          <w:szCs w:val="24"/>
        </w:rPr>
      </w:pPr>
      <w:bookmarkStart w:id="805" w:name="_Toc53685785"/>
      <w:r>
        <w:rPr>
          <w:rFonts w:ascii="黑体"/>
          <w:b w:val="0"/>
          <w:sz w:val="24"/>
          <w:szCs w:val="24"/>
        </w:rPr>
        <w:t>18.3</w:t>
      </w:r>
      <w:bookmarkEnd w:id="805"/>
      <w:r>
        <w:rPr>
          <w:rFonts w:hint="eastAsia" w:ascii="黑体"/>
          <w:b w:val="0"/>
          <w:sz w:val="24"/>
          <w:szCs w:val="24"/>
          <w:lang w:val="en-US" w:eastAsia="zh-CN"/>
        </w:rPr>
        <w:t xml:space="preserve"> </w:t>
      </w:r>
      <w:r>
        <w:rPr>
          <w:rFonts w:hint="eastAsia" w:ascii="黑体"/>
          <w:b w:val="0"/>
          <w:sz w:val="24"/>
          <w:szCs w:val="24"/>
        </w:rPr>
        <w:t>交工验收</w:t>
      </w:r>
    </w:p>
    <w:p w14:paraId="3841D518">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18.3.2</w:t>
      </w:r>
      <w:r>
        <w:rPr>
          <w:rFonts w:hint="eastAsia" w:ascii="宋体" w:hAnsi="宋体"/>
          <w:sz w:val="24"/>
        </w:rPr>
        <w:t>项补充：</w:t>
      </w:r>
    </w:p>
    <w:p w14:paraId="1E90750C">
      <w:pPr>
        <w:adjustRightInd w:val="0"/>
        <w:snapToGrid w:val="0"/>
        <w:spacing w:line="360" w:lineRule="auto"/>
        <w:ind w:firstLine="480" w:firstLineChars="200"/>
        <w:rPr>
          <w:rFonts w:ascii="宋体" w:hAnsi="宋体"/>
          <w:sz w:val="24"/>
        </w:rPr>
      </w:pPr>
      <w:r>
        <w:rPr>
          <w:rFonts w:hint="eastAsia" w:ascii="宋体" w:hAnsi="宋体"/>
          <w:sz w:val="24"/>
        </w:rPr>
        <w:t>交工验收应按交通运输部</w:t>
      </w:r>
      <w:r>
        <w:rPr>
          <w:rFonts w:ascii="宋体" w:hAnsi="宋体"/>
          <w:sz w:val="24"/>
        </w:rPr>
        <w:t>2004</w:t>
      </w:r>
      <w:r>
        <w:rPr>
          <w:rFonts w:hint="eastAsia" w:ascii="宋体" w:hAnsi="宋体"/>
          <w:sz w:val="24"/>
        </w:rPr>
        <w:t>年第</w:t>
      </w:r>
      <w:r>
        <w:rPr>
          <w:rFonts w:ascii="宋体" w:hAnsi="宋体"/>
          <w:sz w:val="24"/>
        </w:rPr>
        <w:t>3</w:t>
      </w:r>
      <w:r>
        <w:rPr>
          <w:rFonts w:hint="eastAsia" w:ascii="宋体" w:hAnsi="宋体"/>
          <w:sz w:val="24"/>
        </w:rPr>
        <w:t>号令《公路工程竣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工验收办法》、交通运输部《公路工程竣</w:t>
      </w:r>
      <w:r>
        <w:rPr>
          <w:rFonts w:ascii="宋体" w:hAnsi="宋体"/>
          <w:sz w:val="24"/>
        </w:rPr>
        <w:t>(</w:t>
      </w:r>
      <w:r>
        <w:rPr>
          <w:rFonts w:hint="eastAsia" w:ascii="宋体" w:hAnsi="宋体"/>
          <w:sz w:val="24"/>
        </w:rPr>
        <w:t>交</w:t>
      </w:r>
      <w:r>
        <w:rPr>
          <w:rFonts w:ascii="宋体" w:hAnsi="宋体"/>
          <w:sz w:val="24"/>
        </w:rPr>
        <w:t>)</w:t>
      </w:r>
      <w:r>
        <w:rPr>
          <w:rFonts w:hint="eastAsia" w:ascii="宋体" w:hAnsi="宋体"/>
          <w:sz w:val="24"/>
        </w:rPr>
        <w:t>工验收办法实施细则》和四川省交通运输厅《公路工程竣（交）工验收实施细则》及发包人的相关规定执行。</w:t>
      </w:r>
    </w:p>
    <w:p w14:paraId="4A46387A">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18.3.5</w:t>
      </w:r>
      <w:r>
        <w:rPr>
          <w:rFonts w:hint="eastAsia" w:ascii="宋体" w:hAnsi="宋体"/>
          <w:sz w:val="24"/>
        </w:rPr>
        <w:t>项约定为：</w:t>
      </w:r>
    </w:p>
    <w:p w14:paraId="7D67350D">
      <w:pPr>
        <w:adjustRightInd w:val="0"/>
        <w:snapToGrid w:val="0"/>
        <w:spacing w:line="360" w:lineRule="auto"/>
        <w:ind w:firstLine="480" w:firstLineChars="200"/>
        <w:rPr>
          <w:rFonts w:ascii="宋体" w:hAnsi="宋体"/>
          <w:sz w:val="24"/>
        </w:rPr>
      </w:pPr>
      <w:r>
        <w:rPr>
          <w:rFonts w:hint="eastAsia" w:ascii="宋体" w:hAnsi="宋体"/>
          <w:sz w:val="24"/>
        </w:rPr>
        <w:t>经验收合格工程的实际交工日期，以最终提交交工验收申请报告的日期为准，并在工程接收证书中写明。</w:t>
      </w:r>
    </w:p>
    <w:p w14:paraId="3CB80F56">
      <w:pPr>
        <w:adjustRightInd w:val="0"/>
        <w:snapToGrid w:val="0"/>
        <w:spacing w:line="360" w:lineRule="auto"/>
        <w:ind w:firstLine="480" w:firstLineChars="200"/>
        <w:rPr>
          <w:rFonts w:ascii="宋体" w:hAnsi="宋体"/>
          <w:sz w:val="24"/>
        </w:rPr>
      </w:pPr>
      <w:bookmarkStart w:id="806" w:name="bookmark0"/>
      <w:bookmarkEnd w:id="806"/>
      <w:bookmarkStart w:id="807" w:name="bookmark1"/>
      <w:bookmarkEnd w:id="807"/>
      <w:bookmarkStart w:id="808" w:name="bookmark4"/>
      <w:bookmarkEnd w:id="808"/>
      <w:bookmarkStart w:id="809" w:name="bookmark3"/>
      <w:bookmarkEnd w:id="809"/>
      <w:bookmarkStart w:id="810" w:name="bookmark2"/>
      <w:bookmarkEnd w:id="810"/>
      <w:r>
        <w:rPr>
          <w:rFonts w:hint="eastAsia" w:ascii="宋体" w:hAnsi="宋体"/>
          <w:sz w:val="24"/>
        </w:rPr>
        <w:t>本款补充第</w:t>
      </w:r>
      <w:r>
        <w:rPr>
          <w:rFonts w:ascii="宋体" w:hAnsi="宋体"/>
          <w:sz w:val="24"/>
        </w:rPr>
        <w:t>18.3.7</w:t>
      </w:r>
      <w:r>
        <w:rPr>
          <w:rFonts w:hint="eastAsia" w:ascii="宋体" w:hAnsi="宋体"/>
          <w:sz w:val="24"/>
        </w:rPr>
        <w:t>项：</w:t>
      </w:r>
    </w:p>
    <w:p w14:paraId="25D43F94">
      <w:pPr>
        <w:adjustRightInd w:val="0"/>
        <w:snapToGrid w:val="0"/>
        <w:spacing w:line="360" w:lineRule="auto"/>
        <w:ind w:firstLine="480" w:firstLineChars="200"/>
        <w:rPr>
          <w:rFonts w:ascii="宋体" w:hAnsi="宋体"/>
          <w:sz w:val="24"/>
        </w:rPr>
      </w:pPr>
      <w:r>
        <w:rPr>
          <w:rFonts w:hint="eastAsia" w:ascii="宋体" w:hAnsi="宋体"/>
          <w:sz w:val="24"/>
        </w:rPr>
        <w:t>18.3.7</w:t>
      </w:r>
      <w:r>
        <w:rPr>
          <w:rFonts w:hint="eastAsia" w:ascii="宋体" w:hAnsi="宋体"/>
          <w:sz w:val="24"/>
          <w:lang w:val="en-US" w:eastAsia="zh-CN"/>
        </w:rPr>
        <w:t xml:space="preserve"> </w:t>
      </w:r>
      <w:r>
        <w:rPr>
          <w:rFonts w:hint="eastAsia" w:ascii="宋体" w:hAnsi="宋体"/>
          <w:sz w:val="24"/>
        </w:rPr>
        <w:t>组织办理交工验收和签发交工验收证书的费用由发包人承担</w:t>
      </w:r>
      <w:r>
        <w:rPr>
          <w:rFonts w:hint="eastAsia" w:ascii="宋体" w:hAnsi="宋体"/>
          <w:sz w:val="24"/>
          <w:lang w:eastAsia="zh-CN"/>
        </w:rPr>
        <w:t>，</w:t>
      </w:r>
      <w:r>
        <w:rPr>
          <w:rFonts w:hint="eastAsia" w:ascii="宋体" w:hAnsi="宋体"/>
          <w:sz w:val="24"/>
        </w:rPr>
        <w:t>但按照第</w:t>
      </w:r>
      <w:r>
        <w:rPr>
          <w:rFonts w:ascii="宋体" w:hAnsi="宋体"/>
          <w:sz w:val="24"/>
        </w:rPr>
        <w:t>18.3.4</w:t>
      </w:r>
      <w:r>
        <w:rPr>
          <w:rFonts w:hint="eastAsia" w:ascii="宋体" w:hAnsi="宋体"/>
          <w:sz w:val="24"/>
        </w:rPr>
        <w:t>项规定达不到合格标准的交工验收费用由承包人承担。</w:t>
      </w:r>
    </w:p>
    <w:p w14:paraId="02349A2E">
      <w:pPr>
        <w:pStyle w:val="2"/>
        <w:spacing w:before="240" w:after="240" w:line="240" w:lineRule="atLeast"/>
        <w:rPr>
          <w:rFonts w:ascii="黑体"/>
          <w:b w:val="0"/>
          <w:sz w:val="24"/>
          <w:szCs w:val="24"/>
        </w:rPr>
      </w:pPr>
      <w:r>
        <w:rPr>
          <w:rFonts w:hint="eastAsia" w:ascii="黑体"/>
          <w:b w:val="0"/>
          <w:sz w:val="24"/>
          <w:szCs w:val="24"/>
        </w:rPr>
        <w:t>1</w:t>
      </w:r>
      <w:r>
        <w:rPr>
          <w:rFonts w:ascii="黑体"/>
          <w:b w:val="0"/>
          <w:sz w:val="24"/>
          <w:szCs w:val="24"/>
        </w:rPr>
        <w:t xml:space="preserve">8.4 </w:t>
      </w:r>
      <w:r>
        <w:rPr>
          <w:rFonts w:hint="eastAsia" w:ascii="黑体"/>
          <w:b w:val="0"/>
          <w:sz w:val="24"/>
          <w:szCs w:val="24"/>
        </w:rPr>
        <w:t>竣工验收</w:t>
      </w:r>
    </w:p>
    <w:p w14:paraId="4411810D">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本款约定为：</w:t>
      </w:r>
    </w:p>
    <w:p w14:paraId="010E68A9">
      <w:pPr>
        <w:widowControl/>
        <w:adjustRightInd w:val="0"/>
        <w:snapToGrid w:val="0"/>
        <w:spacing w:line="360" w:lineRule="auto"/>
        <w:ind w:firstLine="480" w:firstLineChars="200"/>
        <w:jc w:val="left"/>
        <w:rPr>
          <w:rFonts w:ascii="宋体" w:hAnsi="宋体"/>
          <w:b/>
          <w:sz w:val="24"/>
        </w:rPr>
      </w:pPr>
      <w:r>
        <w:rPr>
          <w:rFonts w:hint="eastAsia" w:ascii="宋体" w:hAnsi="宋体"/>
          <w:sz w:val="24"/>
          <w:lang w:bidi="ar"/>
        </w:rPr>
        <w:t>当工程满足《公路工程竣(交)工验收办法》要求的竣工验收条件，行业主管部门将组织竣工验收。承包人应按照《公路工程竣(交)工验收办法》的相关规定，在缺陷责任期内为竣工验收补充竣工资料，并在签发缺陷责任期终止证书之前提交。</w:t>
      </w:r>
    </w:p>
    <w:p w14:paraId="73297D14">
      <w:pPr>
        <w:pStyle w:val="2"/>
        <w:spacing w:before="240" w:after="240" w:line="240" w:lineRule="atLeast"/>
        <w:rPr>
          <w:rFonts w:ascii="黑体"/>
          <w:b w:val="0"/>
          <w:sz w:val="24"/>
          <w:szCs w:val="24"/>
        </w:rPr>
      </w:pPr>
      <w:r>
        <w:rPr>
          <w:rFonts w:ascii="黑体"/>
          <w:b w:val="0"/>
          <w:sz w:val="24"/>
          <w:szCs w:val="24"/>
        </w:rPr>
        <w:t xml:space="preserve">18.6 </w:t>
      </w:r>
      <w:r>
        <w:rPr>
          <w:rFonts w:hint="eastAsia" w:ascii="黑体"/>
          <w:b w:val="0"/>
          <w:sz w:val="24"/>
          <w:szCs w:val="24"/>
        </w:rPr>
        <w:t>施工期</w:t>
      </w:r>
      <w:r>
        <w:rPr>
          <w:rFonts w:ascii="黑体"/>
          <w:b w:val="0"/>
          <w:sz w:val="24"/>
          <w:szCs w:val="24"/>
        </w:rPr>
        <w:t>运行</w:t>
      </w:r>
    </w:p>
    <w:p w14:paraId="63C57A43">
      <w:pPr>
        <w:widowControl/>
        <w:adjustRightInd w:val="0"/>
        <w:snapToGrid w:val="0"/>
        <w:spacing w:line="360" w:lineRule="auto"/>
        <w:ind w:firstLine="480" w:firstLineChars="200"/>
        <w:jc w:val="left"/>
        <w:rPr>
          <w:rFonts w:ascii="宋体" w:hAnsi="宋体"/>
          <w:sz w:val="24"/>
        </w:rPr>
      </w:pPr>
      <w:r>
        <w:rPr>
          <w:rFonts w:hint="eastAsia" w:ascii="宋体" w:hAnsi="宋体"/>
          <w:sz w:val="24"/>
        </w:rPr>
        <w:t>施工期</w:t>
      </w:r>
      <w:r>
        <w:rPr>
          <w:rFonts w:ascii="宋体" w:hAnsi="宋体"/>
          <w:sz w:val="24"/>
        </w:rPr>
        <w:t>运行范围</w:t>
      </w:r>
      <w:r>
        <w:rPr>
          <w:rFonts w:hint="eastAsia" w:ascii="宋体" w:hAnsi="宋体"/>
          <w:sz w:val="24"/>
          <w:lang w:val="en-US" w:eastAsia="zh-CN"/>
        </w:rPr>
        <w:t>在专用合同条款数据表中约定</w:t>
      </w:r>
      <w:r>
        <w:rPr>
          <w:rFonts w:hint="eastAsia" w:ascii="宋体" w:hAnsi="宋体"/>
          <w:sz w:val="24"/>
        </w:rPr>
        <w:t>。</w:t>
      </w:r>
    </w:p>
    <w:p w14:paraId="3102107C">
      <w:pPr>
        <w:pStyle w:val="2"/>
        <w:keepNext w:val="0"/>
        <w:keepLines w:val="0"/>
        <w:widowControl/>
        <w:spacing w:before="240" w:after="240" w:line="240" w:lineRule="atLeast"/>
        <w:jc w:val="left"/>
        <w:rPr>
          <w:rFonts w:ascii="黑体"/>
          <w:b w:val="0"/>
          <w:sz w:val="24"/>
          <w:szCs w:val="24"/>
        </w:rPr>
      </w:pPr>
      <w:r>
        <w:rPr>
          <w:rFonts w:hint="eastAsia" w:ascii="黑体"/>
          <w:b w:val="0"/>
          <w:sz w:val="24"/>
          <w:szCs w:val="24"/>
          <w:lang w:bidi="ar"/>
        </w:rPr>
        <w:t xml:space="preserve">18.7 交工清场 </w:t>
      </w:r>
    </w:p>
    <w:p w14:paraId="28363AB7">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本款补充第18.7.3项</w:t>
      </w:r>
      <w:r>
        <w:rPr>
          <w:rFonts w:hint="eastAsia" w:ascii="宋体" w:hAnsi="宋体"/>
          <w:sz w:val="24"/>
          <w:lang w:eastAsia="zh-CN" w:bidi="ar"/>
        </w:rPr>
        <w:t>、</w:t>
      </w:r>
      <w:r>
        <w:rPr>
          <w:rFonts w:hint="eastAsia" w:ascii="宋体" w:hAnsi="宋体"/>
          <w:sz w:val="24"/>
          <w:lang w:val="en-US" w:eastAsia="zh-CN" w:bidi="ar"/>
        </w:rPr>
        <w:t>第</w:t>
      </w:r>
      <w:r>
        <w:rPr>
          <w:rFonts w:hint="eastAsia" w:ascii="宋体" w:hAnsi="宋体"/>
          <w:sz w:val="24"/>
          <w:lang w:bidi="ar"/>
        </w:rPr>
        <w:t xml:space="preserve">18.7.4项： </w:t>
      </w:r>
    </w:p>
    <w:p w14:paraId="2180CD81">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 xml:space="preserve">18.7.3 承包人施工场地交工清场由承包人自行负责，发包人不承担因承包人未履行交工清场及其他扫尾工作而引起的各种纠纷和索赔。 </w:t>
      </w:r>
    </w:p>
    <w:p w14:paraId="09276D73">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18.7.4 工程实施过程中，对地方道路、地方水系等，如有毁损，应按不低于原标准及时进行修复。否则，将由发包人委托第三方对其恢复，所发生的费用发包人可以从应付给承包人的任何款项内扣除。</w:t>
      </w:r>
    </w:p>
    <w:p w14:paraId="05FACDD6">
      <w:pPr>
        <w:pStyle w:val="2"/>
        <w:widowControl/>
        <w:adjustRightInd w:val="0"/>
        <w:snapToGrid w:val="0"/>
        <w:spacing w:before="240" w:after="240" w:line="240" w:lineRule="atLeast"/>
        <w:ind w:firstLine="0" w:firstLineChars="0"/>
        <w:jc w:val="left"/>
        <w:rPr>
          <w:rFonts w:ascii="黑体" w:eastAsia="黑体"/>
          <w:b w:val="0"/>
          <w:bCs/>
          <w:kern w:val="44"/>
          <w:sz w:val="24"/>
          <w:szCs w:val="24"/>
        </w:rPr>
      </w:pPr>
      <w:r>
        <w:rPr>
          <w:rFonts w:hint="default" w:ascii="黑体" w:hAnsi="Times New Roman"/>
          <w:b w:val="0"/>
          <w:sz w:val="24"/>
          <w:szCs w:val="24"/>
        </w:rPr>
        <w:t>1</w:t>
      </w:r>
      <w:r>
        <w:rPr>
          <w:rFonts w:ascii="黑体" w:hAnsi="Times New Roman"/>
          <w:b w:val="0"/>
          <w:sz w:val="24"/>
          <w:szCs w:val="24"/>
        </w:rPr>
        <w:t>8.9</w:t>
      </w:r>
      <w:r>
        <w:rPr>
          <w:rFonts w:hint="eastAsia" w:ascii="黑体"/>
          <w:b w:val="0"/>
          <w:sz w:val="24"/>
          <w:szCs w:val="24"/>
          <w:lang w:val="en-US" w:eastAsia="zh-CN"/>
        </w:rPr>
        <w:t xml:space="preserve"> </w:t>
      </w:r>
      <w:r>
        <w:rPr>
          <w:rFonts w:ascii="黑体" w:hAnsi="Times New Roman"/>
          <w:b w:val="0"/>
          <w:sz w:val="24"/>
          <w:szCs w:val="24"/>
        </w:rPr>
        <w:t>竣工后试验</w:t>
      </w:r>
    </w:p>
    <w:p w14:paraId="170F84E6">
      <w:pPr>
        <w:widowControl/>
        <w:adjustRightInd w:val="0"/>
        <w:snapToGrid w:val="0"/>
        <w:spacing w:line="360" w:lineRule="auto"/>
        <w:ind w:firstLine="0" w:firstLineChars="0"/>
        <w:jc w:val="left"/>
        <w:rPr>
          <w:rFonts w:hint="eastAsia" w:ascii="宋体" w:hAnsi="宋体"/>
          <w:sz w:val="24"/>
          <w:lang w:bidi="ar"/>
        </w:rPr>
      </w:pPr>
      <w:r>
        <w:rPr>
          <w:rFonts w:hint="eastAsia" w:ascii="黑体" w:eastAsia="黑体"/>
          <w:bCs/>
          <w:kern w:val="44"/>
          <w:sz w:val="24"/>
        </w:rPr>
        <w:t xml:space="preserve"> </w:t>
      </w:r>
      <w:r>
        <w:rPr>
          <w:rFonts w:ascii="黑体" w:eastAsia="黑体"/>
          <w:bCs/>
          <w:kern w:val="44"/>
          <w:sz w:val="24"/>
        </w:rPr>
        <w:t xml:space="preserve">   </w:t>
      </w:r>
      <w:r>
        <w:rPr>
          <w:rFonts w:ascii="宋体" w:hAnsi="宋体" w:eastAsia="宋体"/>
          <w:bCs w:val="0"/>
          <w:kern w:val="2"/>
          <w:sz w:val="24"/>
        </w:rPr>
        <w:t>本条款不适用。</w:t>
      </w:r>
    </w:p>
    <w:p w14:paraId="2C73A788">
      <w:pPr>
        <w:pStyle w:val="2"/>
        <w:spacing w:before="360" w:after="240" w:line="240" w:lineRule="atLeast"/>
        <w:rPr>
          <w:rFonts w:ascii="黑体"/>
          <w:b w:val="0"/>
          <w:sz w:val="28"/>
          <w:szCs w:val="28"/>
        </w:rPr>
      </w:pPr>
      <w:r>
        <w:rPr>
          <w:rFonts w:ascii="黑体"/>
          <w:b w:val="0"/>
          <w:sz w:val="28"/>
          <w:szCs w:val="28"/>
        </w:rPr>
        <w:t xml:space="preserve">19. </w:t>
      </w:r>
      <w:r>
        <w:rPr>
          <w:rFonts w:hint="eastAsia" w:ascii="黑体"/>
          <w:b w:val="0"/>
          <w:sz w:val="28"/>
          <w:szCs w:val="28"/>
        </w:rPr>
        <w:t>缺陷责任与保修责任</w:t>
      </w:r>
    </w:p>
    <w:p w14:paraId="470C009A">
      <w:pPr>
        <w:pStyle w:val="2"/>
        <w:spacing w:before="240" w:after="240" w:line="240" w:lineRule="atLeast"/>
        <w:rPr>
          <w:rFonts w:ascii="黑体"/>
          <w:sz w:val="24"/>
          <w:szCs w:val="24"/>
        </w:rPr>
      </w:pPr>
      <w:r>
        <w:rPr>
          <w:rFonts w:ascii="黑体"/>
          <w:b w:val="0"/>
          <w:sz w:val="24"/>
          <w:szCs w:val="24"/>
        </w:rPr>
        <w:t xml:space="preserve">19.2 </w:t>
      </w:r>
      <w:r>
        <w:rPr>
          <w:rFonts w:hint="eastAsia" w:ascii="黑体"/>
          <w:b w:val="0"/>
          <w:sz w:val="24"/>
          <w:szCs w:val="24"/>
        </w:rPr>
        <w:t>缺陷责任</w:t>
      </w:r>
      <w:r>
        <w:rPr>
          <w:rFonts w:ascii="黑体"/>
          <w:b w:val="0"/>
          <w:sz w:val="24"/>
          <w:szCs w:val="24"/>
        </w:rPr>
        <w:t xml:space="preserve"> </w:t>
      </w:r>
    </w:p>
    <w:p w14:paraId="1EDE1CD0">
      <w:pPr>
        <w:adjustRightInd w:val="0"/>
        <w:snapToGrid w:val="0"/>
        <w:spacing w:line="360" w:lineRule="auto"/>
        <w:ind w:firstLine="480" w:firstLineChars="200"/>
        <w:rPr>
          <w:rFonts w:ascii="宋体" w:hAnsi="宋体"/>
          <w:sz w:val="24"/>
        </w:rPr>
      </w:pPr>
      <w:r>
        <w:rPr>
          <w:rFonts w:hint="eastAsia" w:ascii="宋体" w:hAnsi="宋体"/>
          <w:sz w:val="24"/>
        </w:rPr>
        <w:t>第</w:t>
      </w:r>
      <w:r>
        <w:rPr>
          <w:rFonts w:ascii="宋体" w:hAnsi="宋体"/>
          <w:sz w:val="24"/>
        </w:rPr>
        <w:t>19.2.2</w:t>
      </w:r>
      <w:r>
        <w:rPr>
          <w:rFonts w:hint="eastAsia" w:ascii="宋体" w:hAnsi="宋体"/>
          <w:sz w:val="24"/>
        </w:rPr>
        <w:t>项补充：</w:t>
      </w:r>
      <w:r>
        <w:rPr>
          <w:rFonts w:ascii="宋体" w:hAnsi="宋体"/>
          <w:sz w:val="24"/>
        </w:rPr>
        <w:t xml:space="preserve"> </w:t>
      </w:r>
    </w:p>
    <w:p w14:paraId="6FA1B39F">
      <w:pPr>
        <w:adjustRightInd w:val="0"/>
        <w:snapToGrid w:val="0"/>
        <w:spacing w:line="360" w:lineRule="auto"/>
        <w:ind w:firstLine="480" w:firstLineChars="200"/>
        <w:rPr>
          <w:rFonts w:ascii="宋体" w:hAnsi="宋体"/>
          <w:sz w:val="24"/>
        </w:rPr>
      </w:pPr>
      <w:r>
        <w:rPr>
          <w:rFonts w:hint="eastAsia" w:ascii="宋体" w:hAnsi="宋体"/>
          <w:sz w:val="24"/>
        </w:rPr>
        <w:t>在缺陷责任期内，承包人应尽快完成在交工验收证书中写明的未完成工作，并完成对本工程缺陷的修复或监理人指令的修补工作。</w:t>
      </w:r>
    </w:p>
    <w:p w14:paraId="068BB2A6">
      <w:pPr>
        <w:pStyle w:val="2"/>
        <w:keepNext w:val="0"/>
        <w:keepLines w:val="0"/>
        <w:widowControl/>
        <w:spacing w:before="240" w:after="240" w:line="240" w:lineRule="atLeast"/>
        <w:jc w:val="left"/>
        <w:rPr>
          <w:rFonts w:ascii="黑体"/>
          <w:b w:val="0"/>
          <w:sz w:val="24"/>
          <w:szCs w:val="24"/>
        </w:rPr>
      </w:pPr>
      <w:r>
        <w:rPr>
          <w:rFonts w:ascii="黑体"/>
          <w:b w:val="0"/>
          <w:sz w:val="24"/>
          <w:szCs w:val="24"/>
          <w:lang w:bidi="ar"/>
        </w:rPr>
        <w:t xml:space="preserve">19.3 缺陷责任期的延长 </w:t>
      </w:r>
    </w:p>
    <w:p w14:paraId="7BC8AE6C">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本款细化为：</w:t>
      </w:r>
    </w:p>
    <w:p w14:paraId="0C9287A7">
      <w:pPr>
        <w:widowControl/>
        <w:adjustRightInd w:val="0"/>
        <w:snapToGrid w:val="0"/>
        <w:spacing w:line="360" w:lineRule="auto"/>
        <w:ind w:firstLine="480" w:firstLineChars="200"/>
        <w:jc w:val="left"/>
        <w:rPr>
          <w:rFonts w:ascii="宋体" w:hAnsi="宋体"/>
          <w:sz w:val="24"/>
        </w:rPr>
      </w:pPr>
      <w:r>
        <w:rPr>
          <w:rFonts w:hint="eastAsia" w:ascii="宋体" w:hAnsi="宋体"/>
          <w:sz w:val="24"/>
          <w:lang w:bidi="ar"/>
        </w:rPr>
        <w:t>由于承包人原因造成某项缺陷或损坏使某项工程或工程设备不能按原定目标使用而需要再次检查、检验和修复的，发包人有权要求承包人相应延长缺陷责任期。所涉及的相关费用已包含在签约合同价中，发包人不另行支付。</w:t>
      </w:r>
    </w:p>
    <w:p w14:paraId="3D7DEF4F">
      <w:pPr>
        <w:pStyle w:val="2"/>
        <w:spacing w:before="240" w:after="240" w:line="240" w:lineRule="atLeast"/>
        <w:rPr>
          <w:rFonts w:ascii="黑体"/>
          <w:sz w:val="24"/>
          <w:szCs w:val="24"/>
        </w:rPr>
      </w:pPr>
      <w:r>
        <w:rPr>
          <w:rFonts w:ascii="黑体"/>
          <w:b w:val="0"/>
          <w:sz w:val="24"/>
          <w:szCs w:val="24"/>
        </w:rPr>
        <w:t xml:space="preserve">19.5 </w:t>
      </w:r>
      <w:r>
        <w:rPr>
          <w:rFonts w:hint="eastAsia" w:ascii="黑体"/>
          <w:b w:val="0"/>
          <w:sz w:val="24"/>
          <w:szCs w:val="24"/>
        </w:rPr>
        <w:t>承包人的进入权</w:t>
      </w:r>
      <w:r>
        <w:rPr>
          <w:rFonts w:ascii="黑体"/>
          <w:b w:val="0"/>
          <w:sz w:val="24"/>
          <w:szCs w:val="24"/>
        </w:rPr>
        <w:t xml:space="preserve"> </w:t>
      </w:r>
    </w:p>
    <w:p w14:paraId="021E2286">
      <w:pPr>
        <w:adjustRightInd w:val="0"/>
        <w:snapToGrid w:val="0"/>
        <w:spacing w:line="360" w:lineRule="auto"/>
        <w:ind w:firstLine="480" w:firstLineChars="200"/>
        <w:rPr>
          <w:rFonts w:ascii="宋体" w:hAnsi="宋体"/>
          <w:sz w:val="24"/>
        </w:rPr>
      </w:pPr>
      <w:r>
        <w:rPr>
          <w:rFonts w:hint="eastAsia" w:ascii="宋体" w:hAnsi="宋体"/>
          <w:sz w:val="24"/>
        </w:rPr>
        <w:t>本款补充：</w:t>
      </w:r>
      <w:r>
        <w:rPr>
          <w:rFonts w:ascii="宋体" w:hAnsi="宋体"/>
          <w:sz w:val="24"/>
        </w:rPr>
        <w:t xml:space="preserve"> </w:t>
      </w:r>
    </w:p>
    <w:p w14:paraId="6B6A8D3D">
      <w:pPr>
        <w:adjustRightInd w:val="0"/>
        <w:snapToGrid w:val="0"/>
        <w:spacing w:line="360" w:lineRule="auto"/>
        <w:ind w:firstLine="480" w:firstLineChars="200"/>
        <w:rPr>
          <w:rFonts w:ascii="宋体" w:hAnsi="宋体"/>
          <w:sz w:val="24"/>
        </w:rPr>
      </w:pPr>
      <w:r>
        <w:rPr>
          <w:rFonts w:hint="eastAsia" w:ascii="宋体" w:hAnsi="宋体"/>
          <w:sz w:val="24"/>
        </w:rPr>
        <w:t>承包人在缺陷修复施工过程中，应服从管养单位的有关安全管理规定，由于承包人自身原因造成的人员伤亡、设备和材料的损毁及罚款等责任由承包人自负。</w:t>
      </w:r>
    </w:p>
    <w:p w14:paraId="57EBDC4C">
      <w:pPr>
        <w:pStyle w:val="2"/>
        <w:spacing w:before="240" w:after="240" w:line="240" w:lineRule="atLeast"/>
        <w:rPr>
          <w:rFonts w:ascii="黑体"/>
          <w:b w:val="0"/>
          <w:sz w:val="24"/>
          <w:szCs w:val="24"/>
        </w:rPr>
      </w:pPr>
      <w:r>
        <w:rPr>
          <w:rFonts w:ascii="黑体"/>
          <w:b w:val="0"/>
          <w:sz w:val="24"/>
          <w:szCs w:val="24"/>
        </w:rPr>
        <w:t>19.7</w:t>
      </w:r>
      <w:r>
        <w:rPr>
          <w:rFonts w:hint="eastAsia" w:ascii="黑体"/>
          <w:b w:val="0"/>
          <w:sz w:val="24"/>
          <w:szCs w:val="24"/>
          <w:lang w:val="en-US" w:eastAsia="zh-CN"/>
        </w:rPr>
        <w:t xml:space="preserve"> </w:t>
      </w:r>
      <w:r>
        <w:rPr>
          <w:rFonts w:hint="eastAsia" w:ascii="黑体"/>
          <w:b w:val="0"/>
          <w:sz w:val="24"/>
          <w:szCs w:val="24"/>
        </w:rPr>
        <w:t>保修责任</w:t>
      </w:r>
    </w:p>
    <w:p w14:paraId="25798FEC">
      <w:pPr>
        <w:adjustRightInd w:val="0"/>
        <w:snapToGrid w:val="0"/>
        <w:spacing w:line="360" w:lineRule="auto"/>
        <w:ind w:firstLine="480" w:firstLineChars="200"/>
        <w:rPr>
          <w:rFonts w:hAnsi="宋体"/>
          <w:sz w:val="24"/>
        </w:rPr>
      </w:pPr>
      <w:r>
        <w:rPr>
          <w:rFonts w:hint="eastAsia" w:ascii="宋体" w:hAnsi="宋体"/>
          <w:sz w:val="24"/>
        </w:rPr>
        <w:t>本款细化为：</w:t>
      </w:r>
      <w:r>
        <w:rPr>
          <w:rFonts w:ascii="宋体" w:hAnsi="宋体"/>
          <w:sz w:val="24"/>
        </w:rPr>
        <w:t xml:space="preserve"> </w:t>
      </w:r>
    </w:p>
    <w:p w14:paraId="7E67A517">
      <w:pPr>
        <w:adjustRightInd w:val="0"/>
        <w:snapToGrid w:val="0"/>
        <w:spacing w:line="360" w:lineRule="auto"/>
        <w:ind w:firstLine="480" w:firstLineChars="200"/>
        <w:rPr>
          <w:rFonts w:ascii="宋体" w:hAnsi="宋体"/>
          <w:sz w:val="24"/>
        </w:rPr>
      </w:pPr>
      <w:r>
        <w:rPr>
          <w:rFonts w:hint="eastAsia" w:ascii="宋体" w:hAnsi="宋体"/>
          <w:sz w:val="24"/>
        </w:rPr>
        <w:t>（1）保修期自实际交工日期起计算，具体期限</w:t>
      </w:r>
      <w:r>
        <w:rPr>
          <w:rFonts w:hint="eastAsia" w:ascii="宋体" w:hAnsi="宋体"/>
          <w:sz w:val="24"/>
          <w:lang w:val="en-US" w:eastAsia="zh-CN"/>
        </w:rPr>
        <w:t>见</w:t>
      </w:r>
      <w:r>
        <w:rPr>
          <w:rFonts w:hint="eastAsia" w:ascii="宋体" w:hAnsi="宋体"/>
          <w:sz w:val="24"/>
        </w:rPr>
        <w:t>专用合同条款数据表。对于房建工程在颁发了交（竣）工验收证书后工程进入质量保修期，质量保修期应满足国务院《建设工程质量管理条例》规定。</w:t>
      </w:r>
    </w:p>
    <w:p w14:paraId="2B597576">
      <w:pPr>
        <w:adjustRightInd w:val="0"/>
        <w:snapToGrid w:val="0"/>
        <w:spacing w:line="360" w:lineRule="auto"/>
        <w:ind w:firstLine="480" w:firstLineChars="200"/>
        <w:rPr>
          <w:rFonts w:hAnsi="宋体"/>
          <w:sz w:val="24"/>
        </w:rPr>
      </w:pPr>
      <w:r>
        <w:rPr>
          <w:rFonts w:hint="eastAsia" w:ascii="宋体" w:hAnsi="宋体"/>
          <w:sz w:val="24"/>
        </w:rPr>
        <w:t>（2）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r>
        <w:rPr>
          <w:rFonts w:ascii="宋体" w:hAnsi="宋体"/>
          <w:sz w:val="24"/>
        </w:rPr>
        <w:t xml:space="preserve"> </w:t>
      </w:r>
    </w:p>
    <w:p w14:paraId="39606B97">
      <w:pPr>
        <w:adjustRightInd w:val="0"/>
        <w:snapToGrid w:val="0"/>
        <w:spacing w:line="360" w:lineRule="auto"/>
        <w:ind w:firstLine="480" w:firstLineChars="200"/>
        <w:rPr>
          <w:rFonts w:hAnsi="宋体"/>
          <w:sz w:val="24"/>
        </w:rPr>
      </w:pPr>
      <w:r>
        <w:rPr>
          <w:rFonts w:hint="eastAsia" w:ascii="宋体" w:hAnsi="宋体"/>
          <w:sz w:val="24"/>
        </w:rPr>
        <w:t>（3）在全部工程交工验收前，已经发包人提前验收的单位工程，其保修期的起算日期相应提前。</w:t>
      </w:r>
      <w:r>
        <w:rPr>
          <w:rFonts w:ascii="宋体" w:hAnsi="宋体"/>
          <w:sz w:val="24"/>
        </w:rPr>
        <w:t xml:space="preserve"> </w:t>
      </w:r>
    </w:p>
    <w:p w14:paraId="2967EBE4">
      <w:pPr>
        <w:adjustRightInd w:val="0"/>
        <w:snapToGrid w:val="0"/>
        <w:spacing w:line="360" w:lineRule="auto"/>
        <w:ind w:firstLine="480" w:firstLineChars="200"/>
        <w:rPr>
          <w:rFonts w:hAnsi="宋体"/>
          <w:sz w:val="24"/>
        </w:rPr>
      </w:pPr>
      <w:r>
        <w:rPr>
          <w:rFonts w:hint="eastAsia" w:ascii="宋体" w:hAnsi="宋体"/>
          <w:sz w:val="24"/>
        </w:rPr>
        <w:t>（4）工程保修期终止后</w:t>
      </w:r>
      <w:r>
        <w:rPr>
          <w:rFonts w:ascii="宋体" w:hAnsi="宋体"/>
          <w:sz w:val="24"/>
        </w:rPr>
        <w:t>28</w:t>
      </w:r>
      <w:r>
        <w:rPr>
          <w:rFonts w:hint="eastAsia" w:ascii="宋体" w:hAnsi="宋体"/>
          <w:sz w:val="24"/>
        </w:rPr>
        <w:t>天内，监理人签发保修期终止证书。</w:t>
      </w:r>
      <w:r>
        <w:rPr>
          <w:rFonts w:ascii="宋体" w:hAnsi="宋体"/>
          <w:sz w:val="24"/>
        </w:rPr>
        <w:t xml:space="preserve"> </w:t>
      </w:r>
    </w:p>
    <w:p w14:paraId="5CAA178E">
      <w:pPr>
        <w:adjustRightInd w:val="0"/>
        <w:snapToGrid w:val="0"/>
        <w:spacing w:line="360" w:lineRule="auto"/>
        <w:ind w:firstLine="480" w:firstLineChars="200"/>
        <w:rPr>
          <w:rFonts w:ascii="宋体" w:hAnsi="宋体"/>
          <w:sz w:val="24"/>
        </w:rPr>
      </w:pPr>
      <w:r>
        <w:rPr>
          <w:rFonts w:hint="eastAsia" w:ascii="宋体" w:hAnsi="宋体"/>
          <w:sz w:val="24"/>
        </w:rPr>
        <w:t>（5）若承包人不履行保修义务和责任，则承包人应承担由于违约造成的法律后果，并由发包人将其违约行为上报省级交通运输主管部门，作为不良记录纳入</w:t>
      </w:r>
      <w:r>
        <w:rPr>
          <w:rFonts w:hint="eastAsia" w:ascii="宋体" w:hAnsi="宋体"/>
          <w:sz w:val="24"/>
          <w:lang w:val="en-US" w:eastAsia="zh-CN"/>
        </w:rPr>
        <w:t>全国</w:t>
      </w:r>
      <w:r>
        <w:rPr>
          <w:rFonts w:hint="eastAsia" w:ascii="宋体" w:hAnsi="宋体"/>
          <w:sz w:val="24"/>
        </w:rPr>
        <w:t>公路建设市场</w:t>
      </w:r>
      <w:r>
        <w:rPr>
          <w:rFonts w:hint="eastAsia" w:ascii="宋体" w:hAnsi="宋体"/>
          <w:sz w:val="24"/>
          <w:lang w:val="en-US" w:eastAsia="zh-CN"/>
        </w:rPr>
        <w:t>监督</w:t>
      </w:r>
      <w:r>
        <w:rPr>
          <w:rFonts w:hint="eastAsia" w:ascii="宋体" w:hAnsi="宋体"/>
          <w:sz w:val="24"/>
        </w:rPr>
        <w:t>管理系统。</w:t>
      </w:r>
    </w:p>
    <w:p w14:paraId="44D53C6E">
      <w:pPr>
        <w:pStyle w:val="2"/>
        <w:spacing w:before="360" w:after="240" w:line="240" w:lineRule="atLeast"/>
        <w:rPr>
          <w:rFonts w:ascii="黑体"/>
          <w:b w:val="0"/>
          <w:sz w:val="28"/>
          <w:szCs w:val="28"/>
        </w:rPr>
      </w:pPr>
      <w:bookmarkStart w:id="811" w:name="_Toc53685786"/>
      <w:r>
        <w:rPr>
          <w:rFonts w:ascii="黑体"/>
          <w:b w:val="0"/>
          <w:sz w:val="28"/>
          <w:szCs w:val="28"/>
        </w:rPr>
        <w:t>20</w:t>
      </w:r>
      <w:r>
        <w:rPr>
          <w:rFonts w:hint="eastAsia" w:ascii="黑体"/>
          <w:b w:val="0"/>
          <w:sz w:val="28"/>
          <w:szCs w:val="28"/>
        </w:rPr>
        <w:t>．保险</w:t>
      </w:r>
      <w:bookmarkEnd w:id="811"/>
    </w:p>
    <w:p w14:paraId="2CE06D13">
      <w:pPr>
        <w:pStyle w:val="2"/>
        <w:spacing w:before="240" w:after="240" w:line="240" w:lineRule="atLeast"/>
        <w:rPr>
          <w:rFonts w:ascii="黑体"/>
          <w:b w:val="0"/>
          <w:sz w:val="24"/>
          <w:szCs w:val="24"/>
        </w:rPr>
      </w:pPr>
      <w:bookmarkStart w:id="812" w:name="_Toc53685787"/>
      <w:r>
        <w:rPr>
          <w:rFonts w:ascii="黑体"/>
          <w:b w:val="0"/>
          <w:sz w:val="24"/>
          <w:szCs w:val="24"/>
        </w:rPr>
        <w:t>20.1 设计和</w:t>
      </w:r>
      <w:r>
        <w:rPr>
          <w:rFonts w:hint="eastAsia" w:ascii="黑体"/>
          <w:b w:val="0"/>
          <w:sz w:val="24"/>
          <w:szCs w:val="24"/>
        </w:rPr>
        <w:t>工程保险</w:t>
      </w:r>
      <w:bookmarkEnd w:id="812"/>
    </w:p>
    <w:p w14:paraId="7F4463E9">
      <w:pPr>
        <w:widowControl/>
        <w:adjustRightInd w:val="0"/>
        <w:snapToGrid w:val="0"/>
        <w:spacing w:line="360" w:lineRule="auto"/>
        <w:ind w:firstLine="480" w:firstLineChars="200"/>
        <w:jc w:val="left"/>
        <w:rPr>
          <w:sz w:val="24"/>
          <w:lang w:bidi="ar"/>
        </w:rPr>
      </w:pPr>
      <w:r>
        <w:rPr>
          <w:rFonts w:hint="eastAsia" w:ascii="宋体" w:hAnsi="宋体" w:cs="宋体"/>
          <w:sz w:val="24"/>
        </w:rPr>
        <w:t>第20.1.1</w:t>
      </w:r>
      <w:r>
        <w:rPr>
          <w:rFonts w:hint="eastAsia"/>
          <w:sz w:val="24"/>
        </w:rPr>
        <w:t>项约定为：</w:t>
      </w:r>
      <w:r>
        <w:rPr>
          <w:rFonts w:hint="eastAsia"/>
          <w:sz w:val="24"/>
          <w:lang w:bidi="ar"/>
        </w:rPr>
        <w:t>承包人应以发包人和承包人的共同名义向双方同意的保险人投勘察设计保险、建筑工程一切险或安装工程一切险等保险。</w:t>
      </w:r>
    </w:p>
    <w:p w14:paraId="0FDEEC42">
      <w:pPr>
        <w:widowControl/>
        <w:adjustRightInd w:val="0"/>
        <w:snapToGrid w:val="0"/>
        <w:spacing w:line="360" w:lineRule="auto"/>
        <w:ind w:firstLine="480" w:firstLineChars="200"/>
        <w:jc w:val="left"/>
        <w:rPr>
          <w:sz w:val="24"/>
          <w:lang w:bidi="ar"/>
        </w:rPr>
      </w:pPr>
      <w:r>
        <w:rPr>
          <w:rFonts w:hint="eastAsia"/>
          <w:sz w:val="24"/>
          <w:lang w:bidi="ar"/>
        </w:rPr>
        <w:t>（1）承包人为实施本项工程，应按规定参加有关勘察设计保险（包括但不限于勘察设计责任险、工程勘察的人身安全险和设备险等）。承包人应将全部保险费计入合同报价中，发包人将不另行支付。</w:t>
      </w:r>
    </w:p>
    <w:p w14:paraId="149DB8CF">
      <w:pPr>
        <w:pStyle w:val="137"/>
        <w:adjustRightInd w:val="0"/>
        <w:snapToGrid w:val="0"/>
        <w:spacing w:line="360" w:lineRule="auto"/>
        <w:ind w:firstLine="480"/>
        <w:rPr>
          <w:rFonts w:ascii="宋体" w:hAnsi="宋体" w:cs="Arial"/>
          <w:sz w:val="24"/>
          <w:szCs w:val="24"/>
        </w:rPr>
      </w:pPr>
      <w:r>
        <w:rPr>
          <w:rFonts w:hint="eastAsia"/>
          <w:sz w:val="24"/>
          <w:szCs w:val="24"/>
        </w:rPr>
        <w:t>（</w:t>
      </w:r>
      <w:r>
        <w:rPr>
          <w:sz w:val="24"/>
          <w:szCs w:val="24"/>
        </w:rPr>
        <w:t>2</w:t>
      </w:r>
      <w:r>
        <w:rPr>
          <w:rFonts w:hint="eastAsia"/>
          <w:sz w:val="24"/>
          <w:szCs w:val="24"/>
        </w:rPr>
        <w:t>）</w:t>
      </w:r>
      <w:r>
        <w:rPr>
          <w:rFonts w:hint="eastAsia" w:ascii="宋体" w:hAnsi="宋体" w:cs="Arial"/>
          <w:sz w:val="24"/>
          <w:szCs w:val="24"/>
        </w:rPr>
        <w:t>建筑工程一切险承包人必须投保，建筑工程一切险投保内容：为本合同工程的永久工程、临时工程和设备及已运至施工工地用于永久工程的材料和设备所投的保险。</w:t>
      </w:r>
    </w:p>
    <w:p w14:paraId="1B95335A">
      <w:pPr>
        <w:pStyle w:val="137"/>
        <w:adjustRightInd w:val="0"/>
        <w:snapToGrid w:val="0"/>
        <w:spacing w:line="360" w:lineRule="auto"/>
        <w:ind w:firstLine="480"/>
        <w:rPr>
          <w:rFonts w:hint="eastAsia" w:ascii="宋体" w:hAnsi="宋体" w:cs="Arial"/>
          <w:sz w:val="24"/>
          <w:szCs w:val="24"/>
        </w:rPr>
      </w:pPr>
      <w:r>
        <w:rPr>
          <w:rFonts w:hint="eastAsia" w:ascii="宋体" w:hAnsi="宋体" w:cs="宋体"/>
          <w:sz w:val="24"/>
          <w:szCs w:val="24"/>
        </w:rPr>
        <w:t>□</w:t>
      </w:r>
      <w:r>
        <w:rPr>
          <w:rFonts w:hint="eastAsia" w:ascii="宋体" w:hAnsi="宋体" w:cs="Arial"/>
          <w:sz w:val="24"/>
          <w:szCs w:val="24"/>
        </w:rPr>
        <w:t xml:space="preserve"> 保险金额：价格清单</w:t>
      </w:r>
      <w:r>
        <w:rPr>
          <w:rFonts w:hint="eastAsia" w:ascii="宋体" w:hAnsi="宋体" w:cs="Arial"/>
          <w:sz w:val="24"/>
          <w:szCs w:val="24"/>
          <w:u w:val="single"/>
        </w:rPr>
        <w:t>第</w:t>
      </w:r>
      <w:r>
        <w:rPr>
          <w:rFonts w:ascii="宋体" w:hAnsi="宋体" w:cs="Arial"/>
          <w:sz w:val="24"/>
          <w:szCs w:val="24"/>
          <w:u w:val="single"/>
        </w:rPr>
        <w:t>100</w:t>
      </w:r>
      <w:r>
        <w:rPr>
          <w:rFonts w:hint="eastAsia" w:ascii="宋体" w:hAnsi="宋体" w:cs="Arial"/>
          <w:sz w:val="24"/>
          <w:szCs w:val="24"/>
          <w:u w:val="single"/>
        </w:rPr>
        <w:t>章（不含建筑工程一切险及第三者责任险的保险费）至</w:t>
      </w:r>
      <w:r>
        <w:rPr>
          <w:rFonts w:ascii="宋体" w:hAnsi="宋体" w:cs="Arial"/>
          <w:sz w:val="24"/>
          <w:szCs w:val="24"/>
          <w:u w:val="single"/>
        </w:rPr>
        <w:t xml:space="preserve">       </w:t>
      </w:r>
      <w:r>
        <w:rPr>
          <w:rFonts w:hint="eastAsia" w:ascii="宋体" w:hAnsi="宋体" w:cs="Arial"/>
          <w:sz w:val="24"/>
          <w:szCs w:val="24"/>
          <w:u w:val="single"/>
        </w:rPr>
        <w:t>章</w:t>
      </w:r>
      <w:r>
        <w:rPr>
          <w:rFonts w:hint="eastAsia" w:ascii="宋体" w:hAnsi="宋体" w:cs="Arial"/>
          <w:sz w:val="24"/>
          <w:szCs w:val="24"/>
        </w:rPr>
        <w:t>的合计金额（不含暂估价）。</w:t>
      </w:r>
    </w:p>
    <w:p w14:paraId="25AC43EB">
      <w:pPr>
        <w:pStyle w:val="137"/>
        <w:adjustRightInd w:val="0"/>
        <w:snapToGrid w:val="0"/>
        <w:spacing w:line="360" w:lineRule="auto"/>
        <w:ind w:firstLine="420"/>
        <w:rPr>
          <w:rFonts w:ascii="宋体" w:hAnsi="宋体" w:cs="Arial"/>
          <w:sz w:val="24"/>
          <w:szCs w:val="24"/>
        </w:rPr>
      </w:pPr>
      <w:r>
        <w:rPr>
          <w:rFonts w:hint="eastAsia" w:ascii="宋体" w:hAnsi="宋体" w:cs="Arial"/>
          <w:sz w:val="21"/>
          <w:szCs w:val="21"/>
        </w:rPr>
        <w:t>注：指招标工程量清单最后章节数。若无施工清单的，工程保险费应以建筑安装工程费（不含设备费）为基数，不超过0.4%费率计算。</w:t>
      </w:r>
    </w:p>
    <w:p w14:paraId="279F5136">
      <w:pPr>
        <w:pStyle w:val="137"/>
        <w:adjustRightInd w:val="0"/>
        <w:snapToGrid w:val="0"/>
        <w:spacing w:line="360" w:lineRule="auto"/>
        <w:ind w:firstLine="480"/>
        <w:rPr>
          <w:rFonts w:ascii="宋体" w:hAnsi="宋体" w:cs="宋体"/>
          <w:sz w:val="24"/>
          <w:szCs w:val="24"/>
        </w:rPr>
      </w:pPr>
      <w:bookmarkStart w:id="813" w:name="_Hlk94096781"/>
      <w:r>
        <w:rPr>
          <w:rFonts w:hint="eastAsia" w:ascii="宋体" w:hAnsi="宋体" w:cs="Arial"/>
          <w:sz w:val="24"/>
          <w:szCs w:val="24"/>
        </w:rPr>
        <w:t>保险费率：</w:t>
      </w:r>
      <w:r>
        <w:rPr>
          <w:rFonts w:hint="eastAsia" w:ascii="宋体" w:hAnsi="宋体" w:cs="宋体"/>
          <w:sz w:val="24"/>
          <w:szCs w:val="24"/>
        </w:rPr>
        <w:t>见专用合同条款数据表。</w:t>
      </w:r>
      <w:bookmarkEnd w:id="813"/>
    </w:p>
    <w:p w14:paraId="0E42C3EF">
      <w:pPr>
        <w:pStyle w:val="137"/>
        <w:adjustRightInd w:val="0"/>
        <w:snapToGrid w:val="0"/>
        <w:spacing w:line="360" w:lineRule="auto"/>
        <w:ind w:firstLine="480"/>
        <w:rPr>
          <w:rFonts w:ascii="宋体" w:hAnsi="宋体" w:cs="Arial"/>
          <w:sz w:val="24"/>
          <w:szCs w:val="24"/>
        </w:rPr>
      </w:pPr>
      <w:r>
        <w:rPr>
          <w:rFonts w:hint="eastAsia" w:ascii="宋体" w:hAnsi="宋体" w:cs="Arial"/>
          <w:sz w:val="24"/>
          <w:szCs w:val="24"/>
        </w:rPr>
        <w:t>保险期限：施工开工日起直至本合同工程签发缺陷责任期终止证书止（即合同工期</w:t>
      </w:r>
      <w:r>
        <w:rPr>
          <w:rFonts w:ascii="宋体" w:hAnsi="宋体" w:cs="Arial"/>
          <w:sz w:val="24"/>
          <w:szCs w:val="24"/>
        </w:rPr>
        <w:t>+</w:t>
      </w:r>
      <w:r>
        <w:rPr>
          <w:rFonts w:hint="eastAsia" w:ascii="宋体" w:hAnsi="宋体" w:cs="Arial"/>
          <w:sz w:val="24"/>
          <w:szCs w:val="24"/>
        </w:rPr>
        <w:t>缺陷责任期）。</w:t>
      </w:r>
    </w:p>
    <w:p w14:paraId="0AD57BF7">
      <w:pPr>
        <w:pStyle w:val="137"/>
        <w:adjustRightInd w:val="0"/>
        <w:snapToGrid w:val="0"/>
        <w:spacing w:line="360" w:lineRule="auto"/>
        <w:ind w:firstLine="480"/>
        <w:rPr>
          <w:rFonts w:ascii="宋体" w:hAnsi="宋体" w:cs="Arial"/>
          <w:sz w:val="24"/>
          <w:szCs w:val="24"/>
        </w:rPr>
      </w:pPr>
      <w:r>
        <w:rPr>
          <w:rFonts w:hint="eastAsia" w:ascii="宋体" w:hAnsi="宋体" w:cs="Arial"/>
          <w:sz w:val="24"/>
          <w:szCs w:val="24"/>
        </w:rPr>
        <w:t>承包人应以发包人和承包人的共同名义投保建筑工程一切险。</w:t>
      </w:r>
      <w:r>
        <w:rPr>
          <w:rFonts w:hint="eastAsia" w:ascii="宋体" w:hAnsi="宋体" w:cs="Arial"/>
          <w:sz w:val="24"/>
          <w:szCs w:val="24"/>
          <w:lang w:bidi="ar"/>
        </w:rPr>
        <w:t>建筑工程一切险的保险费由承包人报价时</w:t>
      </w:r>
      <w:r>
        <w:rPr>
          <w:rFonts w:hint="eastAsia" w:ascii="宋体" w:hAnsi="宋体" w:cs="Arial"/>
          <w:sz w:val="24"/>
          <w:szCs w:val="24"/>
          <w:lang w:val="en-US" w:eastAsia="zh-CN" w:bidi="ar"/>
        </w:rPr>
        <w:t>列入价格清单第100章内</w:t>
      </w:r>
      <w:r>
        <w:rPr>
          <w:rFonts w:hint="eastAsia" w:ascii="宋体" w:hAnsi="宋体" w:cs="Arial"/>
          <w:sz w:val="24"/>
          <w:szCs w:val="24"/>
          <w:lang w:bidi="ar"/>
        </w:rPr>
        <w:t>。</w:t>
      </w:r>
      <w:r>
        <w:rPr>
          <w:rFonts w:hint="eastAsia" w:ascii="宋体" w:hAnsi="宋体" w:cs="Arial"/>
          <w:sz w:val="24"/>
          <w:szCs w:val="24"/>
        </w:rPr>
        <w:t>发包人将按承包人和发包人与保险公司签订的保险合同支付。</w:t>
      </w:r>
      <w:r>
        <w:rPr>
          <w:rFonts w:ascii="宋体" w:hAnsi="宋体" w:cs="Arial"/>
          <w:sz w:val="24"/>
          <w:szCs w:val="24"/>
        </w:rPr>
        <w:t xml:space="preserve"> </w:t>
      </w:r>
    </w:p>
    <w:p w14:paraId="55F7F627">
      <w:pPr>
        <w:pStyle w:val="137"/>
        <w:adjustRightInd w:val="0"/>
        <w:snapToGrid w:val="0"/>
        <w:spacing w:line="360" w:lineRule="auto"/>
        <w:ind w:firstLine="480"/>
        <w:rPr>
          <w:rFonts w:ascii="宋体" w:hAnsi="宋体" w:cs="Arial"/>
          <w:sz w:val="24"/>
          <w:szCs w:val="24"/>
        </w:rPr>
      </w:pPr>
      <w:r>
        <w:rPr>
          <w:rFonts w:hint="eastAsia" w:ascii="宋体" w:hAnsi="宋体" w:cs="Arial"/>
          <w:sz w:val="24"/>
          <w:szCs w:val="24"/>
        </w:rPr>
        <w:t>第</w:t>
      </w:r>
      <w:r>
        <w:rPr>
          <w:rFonts w:ascii="宋体" w:hAnsi="宋体" w:cs="Arial"/>
          <w:sz w:val="24"/>
          <w:szCs w:val="24"/>
        </w:rPr>
        <w:t>20.1.2</w:t>
      </w:r>
      <w:r>
        <w:rPr>
          <w:rFonts w:hint="eastAsia" w:ascii="宋体" w:hAnsi="宋体" w:cs="Arial"/>
          <w:sz w:val="24"/>
          <w:szCs w:val="24"/>
        </w:rPr>
        <w:t>项约定为：</w:t>
      </w:r>
      <w:r>
        <w:rPr>
          <w:rFonts w:hint="eastAsia" w:ascii="宋体" w:hAnsi="宋体" w:cs="Arial"/>
          <w:sz w:val="24"/>
          <w:szCs w:val="24"/>
          <w:lang w:bidi="ar"/>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862DB5B">
      <w:pPr>
        <w:pStyle w:val="137"/>
        <w:adjustRightInd w:val="0"/>
        <w:snapToGrid w:val="0"/>
        <w:spacing w:line="360" w:lineRule="auto"/>
        <w:ind w:firstLine="480"/>
        <w:rPr>
          <w:rFonts w:ascii="宋体" w:hAnsi="宋体" w:cs="Arial"/>
          <w:sz w:val="24"/>
          <w:szCs w:val="24"/>
        </w:rPr>
      </w:pPr>
      <w:r>
        <w:rPr>
          <w:rFonts w:hint="eastAsia" w:ascii="宋体" w:hAnsi="宋体" w:cs="Arial"/>
          <w:sz w:val="24"/>
          <w:szCs w:val="24"/>
          <w:lang w:bidi="ar"/>
        </w:rPr>
        <w:t>施工开工日起至颁发缺陷责任期终止证书期间，承包人应以承包人和发包人的共同名义，投保第三者责任险</w:t>
      </w:r>
      <w:r>
        <w:rPr>
          <w:rFonts w:hint="eastAsia" w:ascii="宋体" w:hAnsi="宋体" w:cs="Arial"/>
          <w:sz w:val="24"/>
          <w:szCs w:val="24"/>
        </w:rPr>
        <w:t>。其所确定投保的保险费由承包人承担和支付，第三者责任险最低保险金额、费率</w:t>
      </w:r>
      <w:r>
        <w:rPr>
          <w:rFonts w:hint="eastAsia" w:ascii="宋体" w:hAnsi="宋体" w:cs="Arial"/>
          <w:sz w:val="24"/>
          <w:szCs w:val="24"/>
          <w:lang w:val="en-US" w:eastAsia="zh-CN"/>
        </w:rPr>
        <w:t>在专用合同条款数据表中约定</w:t>
      </w:r>
      <w:r>
        <w:rPr>
          <w:rFonts w:hint="eastAsia" w:ascii="宋体" w:hAnsi="宋体" w:cs="Arial"/>
          <w:sz w:val="24"/>
          <w:szCs w:val="24"/>
        </w:rPr>
        <w:t>，由承包人自行调查，事故次数不限，不计免赔额。</w:t>
      </w:r>
    </w:p>
    <w:p w14:paraId="4CB7D510">
      <w:pPr>
        <w:pStyle w:val="137"/>
        <w:widowControl/>
        <w:adjustRightInd w:val="0"/>
        <w:snapToGrid w:val="0"/>
        <w:spacing w:line="360" w:lineRule="auto"/>
        <w:ind w:firstLine="480"/>
        <w:jc w:val="left"/>
        <w:rPr>
          <w:rFonts w:ascii="宋体" w:hAnsi="宋体" w:cs="Arial"/>
          <w:sz w:val="24"/>
          <w:szCs w:val="24"/>
        </w:rPr>
      </w:pPr>
      <w:bookmarkStart w:id="814" w:name="_Toc53685788"/>
      <w:r>
        <w:rPr>
          <w:rFonts w:hint="eastAsia" w:ascii="宋体" w:hAnsi="宋体" w:cs="Arial"/>
          <w:sz w:val="24"/>
          <w:szCs w:val="24"/>
          <w:lang w:val="en-US" w:eastAsia="zh-CN" w:bidi="ar"/>
        </w:rPr>
        <w:t>本款</w:t>
      </w:r>
      <w:r>
        <w:rPr>
          <w:rFonts w:hint="eastAsia" w:ascii="宋体" w:hAnsi="宋体" w:cs="Arial"/>
          <w:sz w:val="24"/>
          <w:szCs w:val="24"/>
          <w:lang w:bidi="ar"/>
        </w:rPr>
        <w:t>补充</w:t>
      </w:r>
      <w:r>
        <w:rPr>
          <w:rFonts w:hint="eastAsia" w:ascii="宋体" w:hAnsi="宋体" w:cs="Arial"/>
          <w:sz w:val="24"/>
          <w:szCs w:val="24"/>
          <w:lang w:val="en-US" w:eastAsia="zh-CN" w:bidi="ar"/>
        </w:rPr>
        <w:t>第</w:t>
      </w:r>
      <w:r>
        <w:rPr>
          <w:rFonts w:hint="eastAsia" w:ascii="宋体" w:hAnsi="宋体" w:cs="Arial"/>
          <w:sz w:val="24"/>
          <w:szCs w:val="24"/>
          <w:lang w:bidi="ar"/>
        </w:rPr>
        <w:t xml:space="preserve">20.1.3项： </w:t>
      </w:r>
    </w:p>
    <w:p w14:paraId="01B4B91A">
      <w:pPr>
        <w:widowControl/>
        <w:adjustRightInd w:val="0"/>
        <w:snapToGrid w:val="0"/>
        <w:spacing w:line="360" w:lineRule="auto"/>
        <w:ind w:firstLine="360" w:firstLineChars="150"/>
        <w:jc w:val="left"/>
        <w:rPr>
          <w:rFonts w:hint="default" w:ascii="黑体" w:hAnsi="黑体" w:eastAsia="黑体" w:cs="Times New Roman"/>
          <w:sz w:val="24"/>
          <w:szCs w:val="24"/>
          <w:lang w:val="en-US" w:eastAsia="zh-CN" w:bidi="ar"/>
        </w:rPr>
      </w:pPr>
      <w:r>
        <w:rPr>
          <w:rFonts w:hint="default" w:ascii="黑体" w:hAnsi="黑体" w:eastAsia="黑体" w:cs="Times New Roman"/>
          <w:sz w:val="24"/>
          <w:szCs w:val="24"/>
          <w:lang w:bidi="ar-SA"/>
        </w:rPr>
        <w:t xml:space="preserve">20.1.3 </w:t>
      </w:r>
      <w:r>
        <w:rPr>
          <w:rFonts w:hint="default" w:ascii="黑体" w:hAnsi="黑体" w:eastAsia="黑体" w:cs="Times New Roman"/>
          <w:sz w:val="24"/>
          <w:szCs w:val="24"/>
          <w:lang w:val="en-US" w:eastAsia="zh-CN" w:bidi="ar-SA"/>
        </w:rPr>
        <w:t>安全生产责任险</w:t>
      </w:r>
    </w:p>
    <w:p w14:paraId="25505C17">
      <w:pPr>
        <w:pStyle w:val="137"/>
        <w:widowControl/>
        <w:adjustRightInd w:val="0"/>
        <w:snapToGrid w:val="0"/>
        <w:spacing w:line="360" w:lineRule="auto"/>
        <w:ind w:firstLine="480"/>
        <w:jc w:val="left"/>
        <w:rPr>
          <w:rFonts w:ascii="宋体" w:hAnsi="宋体" w:cs="Arial"/>
          <w:sz w:val="24"/>
          <w:szCs w:val="24"/>
          <w:lang w:bidi="ar"/>
        </w:rPr>
      </w:pPr>
      <w:r>
        <w:rPr>
          <w:rFonts w:hint="eastAsia" w:ascii="宋体" w:hAnsi="宋体" w:cs="Arial"/>
          <w:sz w:val="24"/>
          <w:szCs w:val="24"/>
          <w:lang w:bidi="ar"/>
        </w:rPr>
        <w:t xml:space="preserve">施工开工日起至颁发缺陷责任期终止证书期间，承包人应以承包人和发包人的共同名义，投保安全生产责任险。 </w:t>
      </w:r>
    </w:p>
    <w:p w14:paraId="78A0E6A0">
      <w:pPr>
        <w:pStyle w:val="137"/>
        <w:widowControl/>
        <w:adjustRightInd w:val="0"/>
        <w:snapToGrid w:val="0"/>
        <w:spacing w:line="360" w:lineRule="auto"/>
        <w:ind w:firstLine="480"/>
        <w:jc w:val="left"/>
        <w:rPr>
          <w:rFonts w:ascii="宋体" w:hAnsi="宋体" w:cs="Arial"/>
          <w:sz w:val="24"/>
          <w:szCs w:val="24"/>
          <w:lang w:bidi="ar"/>
        </w:rPr>
      </w:pPr>
      <w:r>
        <w:rPr>
          <w:rFonts w:hint="eastAsia" w:ascii="宋体" w:hAnsi="宋体" w:cs="Arial"/>
          <w:sz w:val="24"/>
          <w:szCs w:val="24"/>
          <w:lang w:bidi="ar"/>
        </w:rPr>
        <w:t>安全生产责任险系指在保险期内，对因生产安全事故造成的第三人人身伤亡和财产损失、抢险救援、事故鉴定、法律服务等善后处理费用，以及因意外事故造成工程项目施工人员及与工程有关的所有人员的人身伤亡，由保险人进行赔付的责任保险。安全生产责任险包含在安全生产费中。发包人在接到保险单后，将按照保险单的费用直接向承包人支付。</w:t>
      </w:r>
    </w:p>
    <w:p w14:paraId="6E33FEFB">
      <w:pPr>
        <w:pStyle w:val="2"/>
        <w:spacing w:before="240" w:after="240" w:line="240" w:lineRule="atLeast"/>
        <w:rPr>
          <w:rFonts w:ascii="黑体"/>
          <w:b w:val="0"/>
          <w:sz w:val="24"/>
          <w:szCs w:val="24"/>
        </w:rPr>
      </w:pPr>
      <w:r>
        <w:rPr>
          <w:rFonts w:ascii="黑体"/>
          <w:b w:val="0"/>
          <w:sz w:val="24"/>
          <w:szCs w:val="24"/>
        </w:rPr>
        <w:t>20.2</w:t>
      </w:r>
      <w:r>
        <w:rPr>
          <w:rFonts w:hint="eastAsia" w:ascii="黑体"/>
          <w:b w:val="0"/>
          <w:sz w:val="24"/>
          <w:szCs w:val="24"/>
          <w:lang w:val="en-US" w:eastAsia="zh-CN"/>
        </w:rPr>
        <w:t xml:space="preserve"> </w:t>
      </w:r>
      <w:r>
        <w:rPr>
          <w:rFonts w:hint="eastAsia" w:ascii="黑体"/>
          <w:b w:val="0"/>
          <w:sz w:val="24"/>
          <w:szCs w:val="24"/>
        </w:rPr>
        <w:t>工伤保险</w:t>
      </w:r>
      <w:bookmarkEnd w:id="814"/>
    </w:p>
    <w:p w14:paraId="7EDBA92C">
      <w:pPr>
        <w:adjustRightInd w:val="0"/>
        <w:snapToGrid w:val="0"/>
        <w:spacing w:line="360" w:lineRule="auto"/>
        <w:ind w:firstLine="360" w:firstLineChars="150"/>
        <w:rPr>
          <w:rFonts w:ascii="黑体" w:hAnsi="黑体" w:eastAsia="黑体"/>
          <w:sz w:val="24"/>
        </w:rPr>
      </w:pPr>
      <w:r>
        <w:rPr>
          <w:rFonts w:ascii="黑体" w:hAnsi="黑体" w:eastAsia="黑体"/>
          <w:sz w:val="24"/>
        </w:rPr>
        <w:t>20.2.1</w:t>
      </w:r>
      <w:r>
        <w:rPr>
          <w:rFonts w:hint="eastAsia" w:ascii="黑体" w:hAnsi="黑体" w:eastAsia="黑体"/>
          <w:sz w:val="24"/>
          <w:lang w:val="en-US" w:eastAsia="zh-CN"/>
        </w:rPr>
        <w:t xml:space="preserve"> </w:t>
      </w:r>
      <w:r>
        <w:rPr>
          <w:rFonts w:hint="eastAsia" w:ascii="黑体" w:hAnsi="黑体" w:eastAsia="黑体"/>
          <w:sz w:val="24"/>
        </w:rPr>
        <w:t>承包人员工伤保险</w:t>
      </w:r>
    </w:p>
    <w:p w14:paraId="71FAED48">
      <w:pPr>
        <w:adjustRightInd w:val="0"/>
        <w:snapToGrid w:val="0"/>
        <w:spacing w:line="360" w:lineRule="auto"/>
        <w:ind w:firstLine="464" w:firstLineChars="200"/>
        <w:rPr>
          <w:rFonts w:ascii="宋体" w:hAnsi="宋体" w:cs="Courier New"/>
          <w:spacing w:val="-4"/>
          <w:sz w:val="24"/>
        </w:rPr>
      </w:pPr>
      <w:r>
        <w:rPr>
          <w:rFonts w:hint="eastAsia" w:ascii="宋体" w:hAnsi="宋体" w:cs="Courier New"/>
          <w:spacing w:val="-4"/>
          <w:sz w:val="24"/>
        </w:rPr>
        <w:t>本项补充：承包人须单独为本项目实施期间为履行合同所雇佣的全部人员，缴纳工伤保险费。该部分保险费用承包人必须投保且由其承担，并包含在价格清单相关子目单价及总额价中，发包人不单独支付。</w:t>
      </w:r>
    </w:p>
    <w:p w14:paraId="70FA13FB">
      <w:pPr>
        <w:pStyle w:val="2"/>
        <w:spacing w:before="240" w:after="240" w:line="240" w:lineRule="atLeast"/>
        <w:rPr>
          <w:rFonts w:ascii="黑体"/>
          <w:b w:val="0"/>
          <w:sz w:val="24"/>
          <w:szCs w:val="24"/>
        </w:rPr>
      </w:pPr>
      <w:bookmarkStart w:id="815" w:name="_Toc53685789"/>
      <w:r>
        <w:rPr>
          <w:rFonts w:ascii="黑体"/>
          <w:b w:val="0"/>
          <w:sz w:val="24"/>
          <w:szCs w:val="24"/>
        </w:rPr>
        <w:t>20.3</w:t>
      </w:r>
      <w:r>
        <w:rPr>
          <w:rFonts w:hint="eastAsia" w:ascii="黑体"/>
          <w:b w:val="0"/>
          <w:sz w:val="24"/>
          <w:szCs w:val="24"/>
          <w:lang w:val="en-US" w:eastAsia="zh-CN"/>
        </w:rPr>
        <w:t xml:space="preserve"> </w:t>
      </w:r>
      <w:r>
        <w:rPr>
          <w:rFonts w:hint="eastAsia" w:ascii="黑体"/>
          <w:b w:val="0"/>
          <w:sz w:val="24"/>
          <w:szCs w:val="24"/>
        </w:rPr>
        <w:t>人身意外伤害险</w:t>
      </w:r>
      <w:bookmarkEnd w:id="815"/>
    </w:p>
    <w:p w14:paraId="4AD14C36">
      <w:pPr>
        <w:adjustRightInd w:val="0"/>
        <w:snapToGrid w:val="0"/>
        <w:spacing w:line="360" w:lineRule="auto"/>
        <w:ind w:firstLine="480" w:firstLineChars="200"/>
        <w:rPr>
          <w:rFonts w:ascii="宋体" w:hAnsi="宋体" w:cs="Courier New"/>
          <w:spacing w:val="-4"/>
          <w:sz w:val="24"/>
        </w:rPr>
      </w:pPr>
      <w:r>
        <w:rPr>
          <w:rFonts w:hint="eastAsia" w:ascii="宋体" w:hAnsi="宋体"/>
          <w:sz w:val="24"/>
        </w:rPr>
        <w:t>第2</w:t>
      </w:r>
      <w:r>
        <w:rPr>
          <w:rFonts w:ascii="宋体" w:hAnsi="宋体"/>
          <w:sz w:val="24"/>
        </w:rPr>
        <w:t>0.3.2</w:t>
      </w:r>
      <w:r>
        <w:rPr>
          <w:rFonts w:hint="eastAsia" w:ascii="宋体" w:hAnsi="宋体"/>
          <w:sz w:val="24"/>
        </w:rPr>
        <w:t>项补充：</w:t>
      </w:r>
      <w:r>
        <w:rPr>
          <w:rFonts w:hint="eastAsia" w:ascii="宋体" w:hAnsi="宋体" w:cs="Courier New"/>
          <w:spacing w:val="-4"/>
          <w:sz w:val="24"/>
        </w:rPr>
        <w:t>承包人须单独为本项目实施期间为履行合同所雇佣的全部人员，按保险金额不低于每人（</w:t>
      </w:r>
      <w:r>
        <w:rPr>
          <w:rFonts w:ascii="宋体" w:hAnsi="宋体" w:cs="Courier New"/>
          <w:spacing w:val="-4"/>
          <w:sz w:val="24"/>
          <w:u w:val="single"/>
        </w:rPr>
        <w:t xml:space="preserve">        </w:t>
      </w:r>
      <w:r>
        <w:rPr>
          <w:rFonts w:hint="eastAsia" w:ascii="宋体" w:hAnsi="宋体" w:cs="Courier New"/>
          <w:spacing w:val="-4"/>
          <w:sz w:val="24"/>
        </w:rPr>
        <w:t>）万元</w:t>
      </w:r>
      <w:r>
        <w:rPr>
          <w:rFonts w:hint="eastAsia" w:ascii="宋体" w:hAnsi="宋体"/>
          <w:sz w:val="24"/>
        </w:rPr>
        <w:t>缴纳人意外伤害险</w:t>
      </w:r>
      <w:r>
        <w:rPr>
          <w:rFonts w:hint="eastAsia" w:ascii="宋体" w:hAnsi="宋体"/>
          <w:sz w:val="24"/>
          <w:lang w:eastAsia="zh-CN"/>
        </w:rPr>
        <w:t>。</w:t>
      </w:r>
      <w:r>
        <w:rPr>
          <w:rFonts w:hint="eastAsia" w:ascii="宋体" w:hAnsi="宋体" w:cs="Courier New"/>
          <w:spacing w:val="-4"/>
          <w:sz w:val="24"/>
        </w:rPr>
        <w:t>该部分保险费用承包人必须投保，且由承包人承担费用，并包含在价格清单相关子目单价及总额价</w:t>
      </w:r>
      <w:r>
        <w:rPr>
          <w:rFonts w:hint="eastAsia" w:ascii="宋体" w:hAnsi="宋体" w:cs="Courier New"/>
          <w:spacing w:val="-4"/>
          <w:sz w:val="24"/>
          <w:lang w:val="en-US" w:eastAsia="zh-CN"/>
        </w:rPr>
        <w:t>中</w:t>
      </w:r>
      <w:r>
        <w:rPr>
          <w:rFonts w:hint="eastAsia" w:ascii="宋体" w:hAnsi="宋体" w:cs="Courier New"/>
          <w:spacing w:val="-4"/>
          <w:sz w:val="24"/>
        </w:rPr>
        <w:t>，发包人不单独支付。</w:t>
      </w:r>
    </w:p>
    <w:p w14:paraId="6B941DF7">
      <w:pPr>
        <w:pStyle w:val="2"/>
        <w:spacing w:before="240" w:after="240" w:line="240" w:lineRule="atLeast"/>
        <w:rPr>
          <w:rFonts w:ascii="黑体"/>
          <w:b w:val="0"/>
          <w:sz w:val="24"/>
          <w:szCs w:val="24"/>
        </w:rPr>
      </w:pPr>
      <w:bookmarkStart w:id="816" w:name="_Toc53685791"/>
      <w:bookmarkStart w:id="817" w:name="_Hlk94096832"/>
      <w:r>
        <w:rPr>
          <w:rFonts w:ascii="黑体"/>
          <w:b w:val="0"/>
          <w:sz w:val="24"/>
          <w:szCs w:val="24"/>
        </w:rPr>
        <w:t>20.4</w:t>
      </w:r>
      <w:r>
        <w:rPr>
          <w:rFonts w:hint="eastAsia" w:ascii="黑体"/>
          <w:b w:val="0"/>
          <w:sz w:val="24"/>
          <w:szCs w:val="24"/>
          <w:lang w:val="en-US" w:eastAsia="zh-CN"/>
        </w:rPr>
        <w:t xml:space="preserve"> </w:t>
      </w:r>
      <w:r>
        <w:rPr>
          <w:rFonts w:hint="eastAsia" w:ascii="黑体"/>
          <w:b w:val="0"/>
          <w:sz w:val="24"/>
          <w:szCs w:val="24"/>
        </w:rPr>
        <w:t>其他保险</w:t>
      </w:r>
    </w:p>
    <w:p w14:paraId="2CB32520">
      <w:pPr>
        <w:adjustRightInd w:val="0"/>
        <w:snapToGrid w:val="0"/>
        <w:spacing w:line="360" w:lineRule="auto"/>
        <w:ind w:firstLine="480" w:firstLineChars="200"/>
        <w:rPr>
          <w:rFonts w:ascii="宋体" w:hAnsi="宋体"/>
          <w:sz w:val="24"/>
        </w:rPr>
      </w:pPr>
      <w:r>
        <w:rPr>
          <w:rFonts w:hint="eastAsia" w:ascii="宋体" w:hAnsi="宋体"/>
          <w:sz w:val="24"/>
        </w:rPr>
        <w:t>本款约定为：</w:t>
      </w:r>
      <w:r>
        <w:rPr>
          <w:rFonts w:ascii="宋体" w:hAnsi="宋体"/>
          <w:sz w:val="24"/>
        </w:rPr>
        <w:t xml:space="preserve"> </w:t>
      </w:r>
    </w:p>
    <w:p w14:paraId="0F0E6F82">
      <w:pPr>
        <w:adjustRightInd w:val="0"/>
        <w:snapToGrid w:val="0"/>
        <w:spacing w:line="360" w:lineRule="auto"/>
        <w:ind w:firstLine="480" w:firstLineChars="200"/>
        <w:rPr>
          <w:rFonts w:ascii="宋体" w:hAnsi="宋体"/>
          <w:b/>
          <w:sz w:val="24"/>
        </w:rPr>
      </w:pPr>
      <w:r>
        <w:rPr>
          <w:rFonts w:hint="eastAsia" w:ascii="宋体" w:hAnsi="宋体"/>
          <w:sz w:val="24"/>
        </w:rPr>
        <w:t>承包人应为其施工设备、进场的材料和工程设备等办理保险，其投保金额应足以现场重置。办理本款保险的一切费用均由承包人承担，并包括在价格清单的单价及总额价中，发包人不单独支付。</w:t>
      </w:r>
    </w:p>
    <w:p w14:paraId="772AAD11">
      <w:pPr>
        <w:pStyle w:val="2"/>
        <w:spacing w:before="240" w:after="240" w:line="240" w:lineRule="atLeast"/>
        <w:rPr>
          <w:rFonts w:ascii="黑体"/>
          <w:b w:val="0"/>
          <w:sz w:val="24"/>
          <w:szCs w:val="24"/>
        </w:rPr>
      </w:pPr>
      <w:r>
        <w:rPr>
          <w:rFonts w:ascii="黑体"/>
          <w:b w:val="0"/>
          <w:sz w:val="24"/>
          <w:szCs w:val="24"/>
        </w:rPr>
        <w:t>20.5</w:t>
      </w:r>
      <w:r>
        <w:rPr>
          <w:rFonts w:hint="eastAsia" w:ascii="黑体"/>
          <w:b w:val="0"/>
          <w:sz w:val="24"/>
          <w:szCs w:val="24"/>
          <w:lang w:val="en-US" w:eastAsia="zh-CN"/>
        </w:rPr>
        <w:t xml:space="preserve"> </w:t>
      </w:r>
      <w:r>
        <w:rPr>
          <w:rFonts w:hint="eastAsia" w:ascii="黑体"/>
          <w:b w:val="0"/>
          <w:sz w:val="24"/>
          <w:szCs w:val="24"/>
        </w:rPr>
        <w:t>对各项保险的一般要求</w:t>
      </w:r>
      <w:bookmarkEnd w:id="816"/>
    </w:p>
    <w:p w14:paraId="7488DD9F">
      <w:pPr>
        <w:adjustRightInd w:val="0"/>
        <w:snapToGrid w:val="0"/>
        <w:spacing w:line="360" w:lineRule="auto"/>
        <w:ind w:firstLine="360" w:firstLineChars="150"/>
        <w:rPr>
          <w:rFonts w:ascii="黑体" w:hAnsi="黑体" w:eastAsia="黑体"/>
          <w:sz w:val="24"/>
        </w:rPr>
      </w:pPr>
      <w:r>
        <w:rPr>
          <w:rFonts w:ascii="黑体" w:hAnsi="黑体" w:eastAsia="黑体"/>
          <w:sz w:val="24"/>
        </w:rPr>
        <w:t>20.5.1</w:t>
      </w:r>
      <w:r>
        <w:rPr>
          <w:rFonts w:hint="eastAsia" w:ascii="黑体" w:hAnsi="黑体" w:eastAsia="黑体"/>
          <w:sz w:val="24"/>
          <w:lang w:val="en-US" w:eastAsia="zh-CN"/>
        </w:rPr>
        <w:t xml:space="preserve"> </w:t>
      </w:r>
      <w:r>
        <w:rPr>
          <w:rFonts w:hint="eastAsia" w:ascii="黑体" w:hAnsi="黑体" w:eastAsia="黑体"/>
          <w:sz w:val="24"/>
        </w:rPr>
        <w:t>保险凭证</w:t>
      </w:r>
    </w:p>
    <w:p w14:paraId="6E938758">
      <w:pPr>
        <w:adjustRightInd w:val="0"/>
        <w:snapToGrid w:val="0"/>
        <w:spacing w:line="360" w:lineRule="auto"/>
        <w:ind w:firstLine="480" w:firstLineChars="200"/>
        <w:rPr>
          <w:rFonts w:hAnsi="宋体"/>
          <w:sz w:val="24"/>
        </w:rPr>
      </w:pPr>
      <w:r>
        <w:rPr>
          <w:rFonts w:hint="eastAsia" w:ascii="宋体" w:hAnsi="宋体"/>
          <w:sz w:val="24"/>
        </w:rPr>
        <w:t>本项约定为：</w:t>
      </w:r>
      <w:r>
        <w:rPr>
          <w:rFonts w:ascii="宋体" w:hAnsi="宋体"/>
          <w:sz w:val="24"/>
        </w:rPr>
        <w:t xml:space="preserve"> </w:t>
      </w:r>
    </w:p>
    <w:p w14:paraId="32AFB42F">
      <w:pPr>
        <w:adjustRightInd w:val="0"/>
        <w:snapToGrid w:val="0"/>
        <w:spacing w:line="360" w:lineRule="auto"/>
        <w:ind w:firstLine="480" w:firstLineChars="200"/>
        <w:rPr>
          <w:rFonts w:ascii="宋体" w:hAnsi="宋体"/>
          <w:sz w:val="24"/>
        </w:rPr>
      </w:pPr>
      <w:r>
        <w:rPr>
          <w:rFonts w:hint="eastAsia" w:ascii="宋体" w:hAnsi="宋体"/>
          <w:sz w:val="24"/>
        </w:rPr>
        <w:t>承包人向发包人提交各项保险生效的证据和保险单副本的期限：开工后</w:t>
      </w:r>
      <w:r>
        <w:rPr>
          <w:rFonts w:ascii="宋体" w:hAnsi="宋体"/>
          <w:sz w:val="24"/>
        </w:rPr>
        <w:t>56</w:t>
      </w:r>
      <w:r>
        <w:rPr>
          <w:rFonts w:hint="eastAsia" w:ascii="宋体" w:hAnsi="宋体"/>
          <w:sz w:val="24"/>
        </w:rPr>
        <w:t>天内。承包人提交保险公司出具的保单及付款证明，须经监理工程师审查确认。</w:t>
      </w:r>
    </w:p>
    <w:p w14:paraId="47E5652B">
      <w:pPr>
        <w:adjustRightInd w:val="0"/>
        <w:snapToGrid w:val="0"/>
        <w:spacing w:line="360" w:lineRule="auto"/>
        <w:ind w:firstLine="360" w:firstLineChars="150"/>
        <w:rPr>
          <w:rFonts w:ascii="黑体" w:hAnsi="黑体" w:eastAsia="黑体"/>
          <w:sz w:val="24"/>
        </w:rPr>
      </w:pPr>
      <w:r>
        <w:rPr>
          <w:rFonts w:hint="eastAsia" w:ascii="黑体" w:hAnsi="黑体" w:eastAsia="黑体"/>
          <w:sz w:val="24"/>
        </w:rPr>
        <w:t>2</w:t>
      </w:r>
      <w:r>
        <w:rPr>
          <w:rFonts w:ascii="黑体" w:hAnsi="黑体" w:eastAsia="黑体"/>
          <w:sz w:val="24"/>
        </w:rPr>
        <w:t>0.5.3</w:t>
      </w:r>
      <w:r>
        <w:rPr>
          <w:rFonts w:hint="eastAsia" w:ascii="黑体" w:hAnsi="黑体" w:eastAsia="黑体"/>
          <w:sz w:val="24"/>
          <w:lang w:val="en-US" w:eastAsia="zh-CN"/>
        </w:rPr>
        <w:t xml:space="preserve"> </w:t>
      </w:r>
      <w:r>
        <w:rPr>
          <w:rFonts w:hint="eastAsia" w:ascii="黑体" w:hAnsi="黑体" w:eastAsia="黑体"/>
          <w:sz w:val="24"/>
        </w:rPr>
        <w:t>持续保险</w:t>
      </w:r>
    </w:p>
    <w:p w14:paraId="4E6077B1">
      <w:pPr>
        <w:adjustRightInd w:val="0"/>
        <w:snapToGrid w:val="0"/>
        <w:spacing w:line="360" w:lineRule="auto"/>
        <w:ind w:firstLine="480" w:firstLineChars="200"/>
        <w:rPr>
          <w:rFonts w:hAnsi="宋体"/>
          <w:sz w:val="24"/>
        </w:rPr>
      </w:pPr>
      <w:r>
        <w:rPr>
          <w:rFonts w:hint="eastAsia" w:ascii="宋体" w:hAnsi="宋体"/>
          <w:sz w:val="24"/>
        </w:rPr>
        <w:t>本项补充：</w:t>
      </w:r>
      <w:r>
        <w:rPr>
          <w:rFonts w:ascii="宋体" w:hAnsi="宋体"/>
          <w:sz w:val="24"/>
        </w:rPr>
        <w:t xml:space="preserve"> </w:t>
      </w:r>
    </w:p>
    <w:p w14:paraId="03ADD311">
      <w:pPr>
        <w:adjustRightInd w:val="0"/>
        <w:snapToGrid w:val="0"/>
        <w:spacing w:line="360" w:lineRule="auto"/>
        <w:ind w:firstLine="480" w:firstLineChars="200"/>
        <w:rPr>
          <w:rFonts w:ascii="宋体" w:hAnsi="宋体"/>
          <w:sz w:val="24"/>
        </w:rPr>
      </w:pPr>
      <w:r>
        <w:rPr>
          <w:rFonts w:hint="eastAsia" w:ascii="宋体" w:hAnsi="宋体"/>
          <w:sz w:val="24"/>
        </w:rPr>
        <w:t>在整个合同期内，承包人应按合同条款规定保证足够的保险额。</w:t>
      </w:r>
    </w:p>
    <w:p w14:paraId="5238018B">
      <w:pPr>
        <w:adjustRightInd w:val="0"/>
        <w:snapToGrid w:val="0"/>
        <w:spacing w:line="360" w:lineRule="auto"/>
        <w:ind w:firstLine="360" w:firstLineChars="150"/>
        <w:rPr>
          <w:rFonts w:ascii="黑体" w:hAnsi="黑体" w:eastAsia="黑体"/>
          <w:sz w:val="24"/>
        </w:rPr>
      </w:pPr>
      <w:r>
        <w:rPr>
          <w:rFonts w:ascii="黑体" w:hAnsi="黑体" w:eastAsia="黑体"/>
          <w:sz w:val="24"/>
        </w:rPr>
        <w:t>20.5.4</w:t>
      </w:r>
      <w:r>
        <w:rPr>
          <w:rFonts w:hint="eastAsia" w:ascii="黑体" w:hAnsi="黑体" w:eastAsia="黑体"/>
          <w:sz w:val="24"/>
          <w:lang w:val="en-US" w:eastAsia="zh-CN"/>
        </w:rPr>
        <w:t xml:space="preserve"> </w:t>
      </w:r>
      <w:r>
        <w:rPr>
          <w:rFonts w:hint="eastAsia" w:ascii="黑体" w:hAnsi="黑体" w:eastAsia="黑体"/>
          <w:sz w:val="24"/>
        </w:rPr>
        <w:t>保险金不足的补偿</w:t>
      </w:r>
    </w:p>
    <w:p w14:paraId="7DA89362">
      <w:pPr>
        <w:adjustRightInd w:val="0"/>
        <w:snapToGrid w:val="0"/>
        <w:spacing w:line="360" w:lineRule="auto"/>
        <w:ind w:firstLine="480" w:firstLineChars="200"/>
        <w:rPr>
          <w:rFonts w:ascii="宋体" w:hAnsi="宋体"/>
          <w:sz w:val="24"/>
        </w:rPr>
      </w:pPr>
      <w:r>
        <w:rPr>
          <w:rFonts w:hint="eastAsia" w:ascii="宋体" w:hAnsi="宋体"/>
          <w:sz w:val="24"/>
        </w:rPr>
        <w:t>本项细化为：当工程一切险及第三者责任险不足以补偿损失时（包括免赔额和超过赔偿限额的部分），应根据第</w:t>
      </w:r>
      <w:r>
        <w:rPr>
          <w:rFonts w:ascii="宋体" w:hAnsi="宋体"/>
          <w:sz w:val="24"/>
        </w:rPr>
        <w:t>2</w:t>
      </w:r>
      <w:r>
        <w:rPr>
          <w:rFonts w:hint="eastAsia" w:ascii="宋体" w:hAnsi="宋体"/>
          <w:sz w:val="24"/>
        </w:rPr>
        <w:t>条发包人义务、第</w:t>
      </w:r>
      <w:r>
        <w:rPr>
          <w:rFonts w:ascii="宋体" w:hAnsi="宋体"/>
          <w:sz w:val="24"/>
        </w:rPr>
        <w:t>4</w:t>
      </w:r>
      <w:r>
        <w:rPr>
          <w:rFonts w:hint="eastAsia" w:ascii="宋体" w:hAnsi="宋体"/>
          <w:sz w:val="24"/>
        </w:rPr>
        <w:t>条承包人的义务的规定，由发包人或承包人承担。</w:t>
      </w:r>
      <w:r>
        <w:rPr>
          <w:rFonts w:hint="eastAsia" w:ascii="宋体" w:hAnsi="宋体" w:cs="Courier New"/>
          <w:sz w:val="24"/>
        </w:rPr>
        <w:t>但是由于承包人未按第</w:t>
      </w:r>
      <w:r>
        <w:rPr>
          <w:rFonts w:ascii="宋体" w:hAnsi="宋体" w:cs="Courier New"/>
          <w:sz w:val="24"/>
        </w:rPr>
        <w:t>20.6.5</w:t>
      </w:r>
      <w:r>
        <w:rPr>
          <w:rFonts w:hint="eastAsia" w:ascii="宋体" w:hAnsi="宋体" w:cs="Courier New"/>
          <w:sz w:val="24"/>
          <w:lang w:val="en-US" w:eastAsia="zh-CN"/>
        </w:rPr>
        <w:t>项</w:t>
      </w:r>
      <w:r>
        <w:rPr>
          <w:rFonts w:hint="eastAsia" w:ascii="宋体" w:hAnsi="宋体" w:cs="Courier New"/>
          <w:sz w:val="24"/>
        </w:rPr>
        <w:t>规定进行补救及未按</w:t>
      </w:r>
      <w:r>
        <w:rPr>
          <w:rFonts w:ascii="宋体" w:hAnsi="宋体" w:cs="Courier New"/>
          <w:sz w:val="24"/>
        </w:rPr>
        <w:t>20.6.6</w:t>
      </w:r>
      <w:r>
        <w:rPr>
          <w:rFonts w:hint="eastAsia" w:ascii="宋体" w:hAnsi="宋体" w:cs="Courier New"/>
          <w:sz w:val="24"/>
          <w:lang w:val="en-US" w:eastAsia="zh-CN"/>
        </w:rPr>
        <w:t>项</w:t>
      </w:r>
      <w:r>
        <w:rPr>
          <w:rFonts w:hint="eastAsia" w:ascii="宋体" w:hAnsi="宋体" w:cs="Courier New"/>
          <w:sz w:val="24"/>
        </w:rPr>
        <w:t>履行报告义务的，由承包人承担全部责任</w:t>
      </w:r>
      <w:r>
        <w:rPr>
          <w:rFonts w:hint="eastAsia" w:ascii="宋体" w:hAnsi="宋体"/>
          <w:sz w:val="24"/>
        </w:rPr>
        <w:t>。</w:t>
      </w:r>
    </w:p>
    <w:p w14:paraId="02D27466">
      <w:pPr>
        <w:adjustRightInd w:val="0"/>
        <w:snapToGrid w:val="0"/>
        <w:spacing w:line="360" w:lineRule="auto"/>
        <w:ind w:firstLine="480" w:firstLineChars="200"/>
        <w:rPr>
          <w:rFonts w:ascii="宋体" w:hAnsi="宋体"/>
          <w:sz w:val="24"/>
        </w:rPr>
      </w:pPr>
      <w:r>
        <w:rPr>
          <w:rFonts w:hint="eastAsia" w:ascii="宋体" w:hAnsi="宋体"/>
          <w:sz w:val="24"/>
        </w:rPr>
        <w:t>由于下列情况本应却未能从保险人处收回偿额，应由承包人承担全部责任：</w:t>
      </w:r>
    </w:p>
    <w:p w14:paraId="70F5B8F0">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）承包人未按保险单规定的条件和期限及时向保险人报告事故情况；</w:t>
      </w:r>
    </w:p>
    <w:p w14:paraId="7D48E1E9">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）承包人未按</w:t>
      </w:r>
      <w:r>
        <w:rPr>
          <w:rFonts w:hint="eastAsia" w:ascii="宋体" w:hAnsi="宋体"/>
          <w:sz w:val="24"/>
          <w:lang w:val="en-US" w:eastAsia="zh-CN"/>
        </w:rPr>
        <w:t>第</w:t>
      </w:r>
      <w:r>
        <w:rPr>
          <w:rFonts w:ascii="宋体" w:hAnsi="宋体"/>
          <w:sz w:val="24"/>
        </w:rPr>
        <w:t>20.5.1</w:t>
      </w:r>
      <w:r>
        <w:rPr>
          <w:rFonts w:hint="eastAsia" w:ascii="宋体" w:hAnsi="宋体"/>
          <w:sz w:val="24"/>
        </w:rPr>
        <w:t>项要求的期限投保；</w:t>
      </w:r>
    </w:p>
    <w:p w14:paraId="5FBC29E4">
      <w:pPr>
        <w:adjustRightInd w:val="0"/>
        <w:snapToGrid w:val="0"/>
        <w:spacing w:line="360" w:lineRule="auto"/>
        <w:rPr>
          <w:rFonts w:ascii="宋体" w:hAnsi="宋体"/>
          <w:sz w:val="24"/>
        </w:rPr>
      </w:pPr>
      <w:r>
        <w:rPr>
          <w:rFonts w:hint="eastAsia" w:ascii="宋体" w:hAnsi="宋体"/>
          <w:sz w:val="24"/>
        </w:rPr>
        <w:t xml:space="preserve">    （</w:t>
      </w:r>
      <w:r>
        <w:rPr>
          <w:rFonts w:ascii="宋体" w:hAnsi="宋体"/>
          <w:sz w:val="24"/>
        </w:rPr>
        <w:t>3</w:t>
      </w:r>
      <w:r>
        <w:rPr>
          <w:rFonts w:hint="eastAsia" w:ascii="宋体" w:hAnsi="宋体"/>
          <w:sz w:val="24"/>
        </w:rPr>
        <w:t>）承包人未按</w:t>
      </w:r>
      <w:r>
        <w:rPr>
          <w:rFonts w:hint="eastAsia" w:ascii="宋体" w:hAnsi="宋体"/>
          <w:sz w:val="24"/>
          <w:lang w:val="en-US" w:eastAsia="zh-CN"/>
        </w:rPr>
        <w:t>第</w:t>
      </w:r>
      <w:r>
        <w:rPr>
          <w:rFonts w:ascii="宋体" w:hAnsi="宋体"/>
          <w:sz w:val="24"/>
        </w:rPr>
        <w:t>20.5.3</w:t>
      </w:r>
      <w:r>
        <w:rPr>
          <w:rFonts w:hint="eastAsia" w:ascii="宋体" w:hAnsi="宋体"/>
          <w:sz w:val="24"/>
        </w:rPr>
        <w:t>项要求投保足够的保险额；</w:t>
      </w:r>
    </w:p>
    <w:p w14:paraId="66D38471">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）因承包人的其他原因导致本应却未能从保险人处收回偿额的。</w:t>
      </w:r>
    </w:p>
    <w:p w14:paraId="2078B931">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20.5.5 </w:t>
      </w:r>
      <w:r>
        <w:rPr>
          <w:rFonts w:hint="eastAsia" w:ascii="黑体" w:hAnsi="黑体" w:eastAsia="黑体"/>
          <w:sz w:val="24"/>
        </w:rPr>
        <w:t>未按约定投保的补救</w:t>
      </w:r>
      <w:r>
        <w:rPr>
          <w:rFonts w:ascii="黑体" w:hAnsi="黑体" w:eastAsia="黑体"/>
          <w:sz w:val="24"/>
        </w:rPr>
        <w:t xml:space="preserve"> </w:t>
      </w:r>
    </w:p>
    <w:p w14:paraId="1318EFAF">
      <w:pPr>
        <w:adjustRightInd w:val="0"/>
        <w:snapToGrid w:val="0"/>
        <w:spacing w:line="360" w:lineRule="auto"/>
        <w:ind w:firstLine="480" w:firstLineChars="200"/>
        <w:rPr>
          <w:rFonts w:ascii="宋体" w:hAnsi="宋体"/>
          <w:sz w:val="24"/>
        </w:rPr>
      </w:pPr>
      <w:r>
        <w:rPr>
          <w:rFonts w:hint="eastAsia" w:ascii="宋体" w:hAnsi="宋体"/>
          <w:sz w:val="24"/>
        </w:rPr>
        <w:t>本项</w:t>
      </w:r>
      <w:r>
        <w:rPr>
          <w:rFonts w:hint="eastAsia" w:ascii="宋体" w:hAnsi="宋体"/>
          <w:sz w:val="24"/>
          <w:lang w:val="en-US" w:eastAsia="zh-CN"/>
        </w:rPr>
        <w:t>第</w:t>
      </w:r>
      <w:r>
        <w:rPr>
          <w:rFonts w:hint="eastAsia" w:ascii="宋体" w:hAnsi="宋体"/>
          <w:sz w:val="24"/>
        </w:rPr>
        <w:t>（</w:t>
      </w:r>
      <w:r>
        <w:rPr>
          <w:rFonts w:ascii="宋体" w:hAnsi="宋体"/>
          <w:sz w:val="24"/>
        </w:rPr>
        <w:t>2</w:t>
      </w:r>
      <w:r>
        <w:rPr>
          <w:rFonts w:hint="eastAsia" w:ascii="宋体" w:hAnsi="宋体"/>
          <w:sz w:val="24"/>
        </w:rPr>
        <w:t>）目细化为：</w:t>
      </w:r>
      <w:r>
        <w:rPr>
          <w:rFonts w:ascii="宋体" w:hAnsi="宋体"/>
          <w:sz w:val="24"/>
        </w:rPr>
        <w:t xml:space="preserve"> </w:t>
      </w:r>
    </w:p>
    <w:p w14:paraId="35CC78E0">
      <w:pPr>
        <w:adjustRightInd w:val="0"/>
        <w:snapToGrid w:val="0"/>
        <w:spacing w:line="360" w:lineRule="auto"/>
        <w:ind w:firstLine="480" w:firstLineChars="200"/>
        <w:rPr>
          <w:rFonts w:hAnsi="宋体"/>
          <w:sz w:val="24"/>
        </w:rPr>
      </w:pPr>
      <w:r>
        <w:rPr>
          <w:rFonts w:hint="eastAsia" w:ascii="宋体" w:hAnsi="宋体"/>
          <w:sz w:val="24"/>
        </w:rPr>
        <w:t>（</w:t>
      </w:r>
      <w:r>
        <w:rPr>
          <w:rFonts w:ascii="宋体" w:hAnsi="宋体"/>
          <w:sz w:val="24"/>
        </w:rPr>
        <w:t>2</w:t>
      </w:r>
      <w:r>
        <w:rPr>
          <w:rFonts w:hint="eastAsia" w:ascii="宋体" w:hAnsi="宋体"/>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6F09EF79">
      <w:pPr>
        <w:adjustRightInd w:val="0"/>
        <w:snapToGrid w:val="0"/>
        <w:spacing w:line="360" w:lineRule="auto"/>
        <w:ind w:firstLine="360" w:firstLineChars="150"/>
        <w:rPr>
          <w:rFonts w:ascii="黑体" w:hAnsi="黑体" w:eastAsia="黑体"/>
          <w:sz w:val="24"/>
        </w:rPr>
      </w:pPr>
      <w:r>
        <w:rPr>
          <w:rFonts w:ascii="黑体" w:hAnsi="黑体" w:eastAsia="黑体"/>
          <w:sz w:val="24"/>
        </w:rPr>
        <w:t>20.5.6</w:t>
      </w:r>
      <w:r>
        <w:rPr>
          <w:rFonts w:hint="eastAsia" w:ascii="黑体" w:hAnsi="黑体" w:eastAsia="黑体"/>
          <w:sz w:val="24"/>
          <w:lang w:val="en-US" w:eastAsia="zh-CN"/>
        </w:rPr>
        <w:t xml:space="preserve"> </w:t>
      </w:r>
      <w:r>
        <w:rPr>
          <w:rFonts w:hint="eastAsia" w:ascii="黑体" w:hAnsi="黑体" w:eastAsia="黑体"/>
          <w:sz w:val="24"/>
        </w:rPr>
        <w:t>报告义务</w:t>
      </w:r>
    </w:p>
    <w:p w14:paraId="57AFF0CC">
      <w:pPr>
        <w:pStyle w:val="26"/>
        <w:adjustRightInd w:val="0"/>
        <w:snapToGrid w:val="0"/>
        <w:spacing w:line="360" w:lineRule="auto"/>
        <w:ind w:firstLine="470" w:firstLineChars="196"/>
        <w:rPr>
          <w:rFonts w:hAnsi="宋体"/>
          <w:bCs/>
          <w:sz w:val="24"/>
          <w:szCs w:val="24"/>
        </w:rPr>
      </w:pPr>
      <w:r>
        <w:rPr>
          <w:rFonts w:hint="eastAsia" w:hAnsi="宋体"/>
          <w:bCs/>
          <w:sz w:val="24"/>
          <w:szCs w:val="24"/>
        </w:rPr>
        <w:t>本项补充：</w:t>
      </w:r>
    </w:p>
    <w:p w14:paraId="0C718660">
      <w:pPr>
        <w:adjustRightInd w:val="0"/>
        <w:snapToGrid w:val="0"/>
        <w:spacing w:line="360" w:lineRule="auto"/>
        <w:ind w:firstLine="480" w:firstLineChars="200"/>
        <w:rPr>
          <w:rFonts w:ascii="宋体" w:hAnsi="宋体"/>
          <w:sz w:val="24"/>
        </w:rPr>
      </w:pPr>
      <w:r>
        <w:rPr>
          <w:rFonts w:hint="eastAsia" w:ascii="宋体" w:hAnsi="宋体"/>
          <w:sz w:val="24"/>
        </w:rPr>
        <w:t>当保险事故发生时，应同时立即向监理人和发包人报告。</w:t>
      </w:r>
    </w:p>
    <w:p w14:paraId="25B5BC43">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本款补充第</w:t>
      </w:r>
      <w:r>
        <w:rPr>
          <w:rFonts w:asciiTheme="minorEastAsia" w:hAnsiTheme="minorEastAsia" w:eastAsiaTheme="minorEastAsia"/>
          <w:bCs/>
          <w:sz w:val="24"/>
        </w:rPr>
        <w:t>20.5.7</w:t>
      </w:r>
      <w:r>
        <w:rPr>
          <w:rFonts w:hint="eastAsia" w:asciiTheme="minorEastAsia" w:hAnsiTheme="minorEastAsia" w:eastAsiaTheme="minorEastAsia"/>
          <w:bCs/>
          <w:sz w:val="24"/>
        </w:rPr>
        <w:t>项：</w:t>
      </w:r>
    </w:p>
    <w:p w14:paraId="2C6725D5">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20.5.7 </w:t>
      </w:r>
      <w:r>
        <w:rPr>
          <w:rFonts w:hint="eastAsia" w:ascii="黑体" w:hAnsi="黑体" w:eastAsia="黑体"/>
          <w:sz w:val="24"/>
        </w:rPr>
        <w:t>遵守保险单的条件</w:t>
      </w:r>
    </w:p>
    <w:p w14:paraId="3EAF88CE">
      <w:pPr>
        <w:adjustRightInd w:val="0"/>
        <w:snapToGrid w:val="0"/>
        <w:spacing w:line="360" w:lineRule="auto"/>
        <w:ind w:firstLine="480" w:firstLineChars="200"/>
        <w:rPr>
          <w:rFonts w:ascii="宋体" w:hAnsi="宋体"/>
          <w:sz w:val="24"/>
        </w:rPr>
      </w:pPr>
      <w:r>
        <w:rPr>
          <w:rFonts w:hint="eastAsia" w:ascii="宋体" w:hAnsi="宋体"/>
          <w:sz w:val="24"/>
        </w:rPr>
        <w:t>如果承包人或发包人未能遵守根据合同生效的保险单规定的条件，一方应保障另一方不受由于未能遵守保险单的条件而造成的全部损失和索赔。</w:t>
      </w:r>
    </w:p>
    <w:bookmarkEnd w:id="817"/>
    <w:p w14:paraId="67BEE3D3">
      <w:pPr>
        <w:pStyle w:val="2"/>
        <w:spacing w:before="360" w:after="240" w:line="240" w:lineRule="atLeast"/>
        <w:rPr>
          <w:rFonts w:ascii="黑体"/>
          <w:b w:val="0"/>
          <w:sz w:val="28"/>
          <w:szCs w:val="28"/>
        </w:rPr>
      </w:pPr>
      <w:bookmarkStart w:id="818" w:name="_Toc53685792"/>
      <w:r>
        <w:rPr>
          <w:rFonts w:ascii="黑体"/>
          <w:b w:val="0"/>
          <w:sz w:val="28"/>
          <w:szCs w:val="28"/>
        </w:rPr>
        <w:t xml:space="preserve">21. </w:t>
      </w:r>
      <w:r>
        <w:rPr>
          <w:rFonts w:hint="eastAsia" w:ascii="黑体"/>
          <w:b w:val="0"/>
          <w:sz w:val="28"/>
          <w:szCs w:val="28"/>
        </w:rPr>
        <w:t>不可抗力</w:t>
      </w:r>
      <w:bookmarkEnd w:id="818"/>
    </w:p>
    <w:p w14:paraId="5B7CE389">
      <w:pPr>
        <w:pStyle w:val="2"/>
        <w:spacing w:before="240" w:after="240" w:line="240" w:lineRule="atLeast"/>
        <w:rPr>
          <w:rFonts w:ascii="黑体"/>
          <w:b w:val="0"/>
          <w:sz w:val="24"/>
          <w:szCs w:val="24"/>
        </w:rPr>
      </w:pPr>
      <w:bookmarkStart w:id="819" w:name="_Toc53685793"/>
      <w:r>
        <w:rPr>
          <w:rFonts w:ascii="黑体"/>
          <w:b w:val="0"/>
          <w:sz w:val="24"/>
          <w:szCs w:val="24"/>
        </w:rPr>
        <w:t xml:space="preserve">21.1 </w:t>
      </w:r>
      <w:r>
        <w:rPr>
          <w:rFonts w:hint="eastAsia" w:ascii="黑体"/>
          <w:b w:val="0"/>
          <w:sz w:val="24"/>
          <w:szCs w:val="24"/>
        </w:rPr>
        <w:t>不可抗力的确认</w:t>
      </w:r>
      <w:bookmarkEnd w:id="819"/>
    </w:p>
    <w:p w14:paraId="77BE9B34">
      <w:pPr>
        <w:spacing w:line="360" w:lineRule="auto"/>
        <w:ind w:firstLine="240" w:firstLineChars="100"/>
        <w:rPr>
          <w:rFonts w:ascii="宋体" w:hAnsi="宋体"/>
          <w:sz w:val="24"/>
        </w:rPr>
      </w:pPr>
      <w:r>
        <w:rPr>
          <w:rFonts w:ascii="宋体" w:hAnsi="宋体"/>
          <w:sz w:val="24"/>
        </w:rPr>
        <w:t xml:space="preserve">  第21.1.1项</w:t>
      </w:r>
      <w:r>
        <w:rPr>
          <w:rFonts w:hint="eastAsia" w:ascii="宋体" w:hAnsi="宋体"/>
          <w:sz w:val="24"/>
        </w:rPr>
        <w:t>细化为：</w:t>
      </w:r>
    </w:p>
    <w:p w14:paraId="59372D30">
      <w:pPr>
        <w:spacing w:line="360" w:lineRule="auto"/>
        <w:ind w:firstLine="480" w:firstLineChars="200"/>
        <w:rPr>
          <w:rFonts w:ascii="宋体" w:hAnsi="宋体"/>
          <w:sz w:val="24"/>
        </w:rPr>
      </w:pPr>
      <w:r>
        <w:rPr>
          <w:rFonts w:hint="eastAsia" w:ascii="宋体" w:hAnsi="宋体"/>
          <w:sz w:val="24"/>
        </w:rPr>
        <w:t>不可抗力是指承包人和发包人在订立合同时不可预见，在工程施工过程中不可避免发生并不能克服的自然灾害和社会性突发事件。包括但不限于：</w:t>
      </w:r>
    </w:p>
    <w:p w14:paraId="006D178D">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）地震、海啸、火山爆发、泥石流、暴雨（雪）、台风、龙卷风、水灾等自然灾害；</w:t>
      </w:r>
    </w:p>
    <w:p w14:paraId="39BB13A0">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）战争、骚乱、暴动，但纯属承包人或其分包人派遣与雇用的人员由于本合同工程施工原因引起者除外；</w:t>
      </w:r>
    </w:p>
    <w:p w14:paraId="7A21F774">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）核反应、辐射或放射性污染；</w:t>
      </w:r>
    </w:p>
    <w:p w14:paraId="3ABF5E79">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）空中飞行物坠落或非发包人或承包人责任造成的爆炸、火灾；</w:t>
      </w:r>
    </w:p>
    <w:p w14:paraId="5120FD4E">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）瘟疫；</w:t>
      </w:r>
    </w:p>
    <w:p w14:paraId="631D90E4">
      <w:pPr>
        <w:spacing w:line="360" w:lineRule="auto"/>
        <w:ind w:firstLine="480" w:firstLineChars="200"/>
        <w:rPr>
          <w:rFonts w:ascii="宋体" w:hAnsi="宋体"/>
          <w:sz w:val="24"/>
        </w:rPr>
      </w:pPr>
      <w:r>
        <w:rPr>
          <w:rFonts w:hint="eastAsia" w:ascii="宋体" w:hAnsi="宋体"/>
          <w:sz w:val="24"/>
        </w:rPr>
        <w:t>（6）</w:t>
      </w:r>
      <w:r>
        <w:rPr>
          <w:rFonts w:ascii="宋体" w:hAnsi="宋体"/>
          <w:sz w:val="24"/>
        </w:rPr>
        <w:t>不可抗力的其他情形：</w:t>
      </w:r>
      <w:r>
        <w:rPr>
          <w:rFonts w:ascii="宋体" w:hAnsi="宋体"/>
          <w:sz w:val="24"/>
          <w:u w:val="single"/>
        </w:rPr>
        <w:t xml:space="preserve">                                       </w:t>
      </w:r>
      <w:r>
        <w:rPr>
          <w:rFonts w:hint="eastAsia" w:ascii="宋体" w:hAnsi="宋体"/>
          <w:sz w:val="24"/>
        </w:rPr>
        <w:t>。</w:t>
      </w:r>
    </w:p>
    <w:p w14:paraId="7C332E90">
      <w:pPr>
        <w:pStyle w:val="2"/>
        <w:spacing w:before="360" w:after="240" w:line="240" w:lineRule="atLeast"/>
        <w:rPr>
          <w:rFonts w:ascii="黑体"/>
          <w:b w:val="0"/>
          <w:sz w:val="28"/>
          <w:szCs w:val="28"/>
        </w:rPr>
      </w:pPr>
      <w:bookmarkStart w:id="820" w:name="_Toc53685794"/>
      <w:r>
        <w:rPr>
          <w:rFonts w:ascii="黑体"/>
          <w:b w:val="0"/>
          <w:sz w:val="28"/>
          <w:szCs w:val="28"/>
        </w:rPr>
        <w:t>22.</w:t>
      </w:r>
      <w:r>
        <w:rPr>
          <w:rFonts w:hint="eastAsia" w:ascii="黑体"/>
          <w:b w:val="0"/>
          <w:sz w:val="28"/>
          <w:szCs w:val="28"/>
          <w:lang w:val="en-US" w:eastAsia="zh-CN"/>
        </w:rPr>
        <w:t xml:space="preserve"> </w:t>
      </w:r>
      <w:r>
        <w:rPr>
          <w:rFonts w:hint="eastAsia" w:ascii="黑体"/>
          <w:b w:val="0"/>
          <w:sz w:val="28"/>
          <w:szCs w:val="28"/>
        </w:rPr>
        <w:t>违约</w:t>
      </w:r>
      <w:bookmarkEnd w:id="820"/>
    </w:p>
    <w:p w14:paraId="637DF252">
      <w:pPr>
        <w:pStyle w:val="2"/>
        <w:spacing w:before="240" w:after="240" w:line="240" w:lineRule="atLeast"/>
        <w:rPr>
          <w:rFonts w:ascii="黑体"/>
          <w:b w:val="0"/>
          <w:sz w:val="24"/>
        </w:rPr>
      </w:pPr>
      <w:r>
        <w:rPr>
          <w:rFonts w:ascii="黑体"/>
          <w:b w:val="0"/>
          <w:sz w:val="24"/>
          <w:szCs w:val="24"/>
        </w:rPr>
        <w:t>22.1</w:t>
      </w:r>
      <w:r>
        <w:rPr>
          <w:rFonts w:hint="eastAsia" w:ascii="黑体"/>
          <w:b w:val="0"/>
          <w:sz w:val="24"/>
          <w:szCs w:val="24"/>
        </w:rPr>
        <w:t xml:space="preserve"> 承包人违约</w:t>
      </w:r>
    </w:p>
    <w:p w14:paraId="39617610">
      <w:pPr>
        <w:adjustRightInd w:val="0"/>
        <w:snapToGrid w:val="0"/>
        <w:spacing w:line="360" w:lineRule="auto"/>
        <w:ind w:firstLine="360" w:firstLineChars="150"/>
        <w:rPr>
          <w:rFonts w:ascii="黑体" w:hAnsi="黑体" w:eastAsia="黑体"/>
          <w:sz w:val="24"/>
        </w:rPr>
      </w:pPr>
      <w:r>
        <w:rPr>
          <w:rFonts w:ascii="黑体" w:hAnsi="黑体" w:eastAsia="黑体"/>
          <w:sz w:val="24"/>
        </w:rPr>
        <w:t>22.1.1</w:t>
      </w:r>
      <w:r>
        <w:rPr>
          <w:rFonts w:hint="eastAsia" w:ascii="黑体" w:hAnsi="黑体" w:eastAsia="黑体"/>
          <w:sz w:val="24"/>
          <w:lang w:val="en-US" w:eastAsia="zh-CN"/>
        </w:rPr>
        <w:t xml:space="preserve"> </w:t>
      </w:r>
      <w:r>
        <w:rPr>
          <w:rFonts w:hint="eastAsia" w:ascii="黑体" w:hAnsi="黑体" w:eastAsia="黑体"/>
          <w:sz w:val="24"/>
        </w:rPr>
        <w:t>承包人违约的情形</w:t>
      </w:r>
    </w:p>
    <w:p w14:paraId="540A789B">
      <w:pPr>
        <w:adjustRightInd w:val="0"/>
        <w:snapToGrid w:val="0"/>
        <w:spacing w:line="360" w:lineRule="auto"/>
        <w:ind w:firstLine="360" w:firstLineChars="150"/>
        <w:rPr>
          <w:rFonts w:ascii="宋体" w:hAnsi="宋体" w:cs="Courier New"/>
          <w:sz w:val="24"/>
        </w:rPr>
      </w:pPr>
      <w:r>
        <w:rPr>
          <w:rFonts w:hint="eastAsia" w:ascii="宋体" w:hAnsi="宋体" w:cs="Courier New"/>
          <w:sz w:val="24"/>
        </w:rPr>
        <w:t>第22.1.1</w:t>
      </w:r>
      <w:r>
        <w:rPr>
          <w:rFonts w:hint="eastAsia" w:ascii="宋体" w:hAnsi="宋体" w:cs="Courier New"/>
          <w:sz w:val="24"/>
          <w:lang w:val="en-US" w:eastAsia="zh-CN"/>
        </w:rPr>
        <w:t>项</w:t>
      </w:r>
      <w:r>
        <w:rPr>
          <w:rFonts w:hint="eastAsia" w:ascii="宋体" w:hAnsi="宋体" w:cs="Courier New"/>
          <w:sz w:val="24"/>
        </w:rPr>
        <w:t>（9）目修改为第（</w:t>
      </w:r>
      <w:r>
        <w:rPr>
          <w:rFonts w:hint="eastAsia" w:ascii="宋体" w:hAnsi="宋体" w:cs="Courier New"/>
          <w:sz w:val="24"/>
          <w:lang w:val="en-US" w:eastAsia="zh-CN"/>
        </w:rPr>
        <w:t>29</w:t>
      </w:r>
      <w:r>
        <w:rPr>
          <w:rFonts w:hint="eastAsia" w:ascii="宋体" w:hAnsi="宋体" w:cs="Courier New"/>
          <w:sz w:val="24"/>
        </w:rPr>
        <w:t>）</w:t>
      </w:r>
      <w:r>
        <w:rPr>
          <w:rFonts w:hint="eastAsia" w:ascii="宋体" w:hAnsi="宋体" w:cs="Courier New"/>
          <w:sz w:val="24"/>
          <w:lang w:val="en-US" w:eastAsia="zh-CN"/>
        </w:rPr>
        <w:t>目</w:t>
      </w:r>
      <w:r>
        <w:rPr>
          <w:rFonts w:hint="eastAsia" w:ascii="宋体" w:hAnsi="宋体" w:cs="Courier New"/>
          <w:sz w:val="24"/>
        </w:rPr>
        <w:t>。</w:t>
      </w:r>
    </w:p>
    <w:p w14:paraId="1A7C3B26">
      <w:pPr>
        <w:adjustRightInd w:val="0"/>
        <w:snapToGrid w:val="0"/>
        <w:spacing w:line="360" w:lineRule="auto"/>
        <w:ind w:firstLine="360" w:firstLineChars="150"/>
        <w:rPr>
          <w:rFonts w:ascii="宋体" w:hAnsi="宋体" w:cs="Courier New"/>
          <w:sz w:val="24"/>
        </w:rPr>
      </w:pPr>
      <w:r>
        <w:rPr>
          <w:rFonts w:hint="eastAsia" w:ascii="宋体" w:hAnsi="宋体" w:cs="Courier New"/>
          <w:sz w:val="24"/>
        </w:rPr>
        <w:t>本项补充第（9）</w:t>
      </w:r>
      <w:r>
        <w:rPr>
          <w:rFonts w:hint="eastAsia" w:ascii="宋体" w:hAnsi="宋体" w:cs="宋体"/>
          <w:sz w:val="24"/>
        </w:rPr>
        <w:t>～</w:t>
      </w:r>
      <w:r>
        <w:rPr>
          <w:rFonts w:hint="eastAsia" w:ascii="宋体" w:hAnsi="宋体" w:cs="Courier New"/>
          <w:sz w:val="24"/>
        </w:rPr>
        <w:t>（2</w:t>
      </w:r>
      <w:r>
        <w:rPr>
          <w:rFonts w:hint="eastAsia" w:ascii="宋体" w:hAnsi="宋体" w:cs="Courier New"/>
          <w:sz w:val="24"/>
          <w:lang w:val="en-US" w:eastAsia="zh-CN"/>
        </w:rPr>
        <w:t>8</w:t>
      </w:r>
      <w:r>
        <w:rPr>
          <w:rFonts w:hint="eastAsia" w:ascii="宋体" w:hAnsi="宋体" w:cs="Courier New"/>
          <w:sz w:val="24"/>
        </w:rPr>
        <w:t>）目：</w:t>
      </w:r>
    </w:p>
    <w:p w14:paraId="0CE17562">
      <w:pPr>
        <w:adjustRightInd w:val="0"/>
        <w:snapToGrid w:val="0"/>
        <w:spacing w:line="360" w:lineRule="auto"/>
        <w:ind w:firstLine="480" w:firstLineChars="200"/>
        <w:rPr>
          <w:rFonts w:ascii="宋体" w:hAnsi="宋体" w:cs="宋体"/>
          <w:sz w:val="24"/>
        </w:rPr>
      </w:pPr>
      <w:r>
        <w:rPr>
          <w:rFonts w:hint="eastAsia" w:ascii="宋体" w:hAnsi="宋体" w:cs="宋体"/>
          <w:sz w:val="24"/>
        </w:rPr>
        <w:t>（9）承包人在工程实施期间，因承包人原因导致工程质量问题的；</w:t>
      </w:r>
    </w:p>
    <w:p w14:paraId="40A7125D">
      <w:pPr>
        <w:adjustRightInd w:val="0"/>
        <w:snapToGrid w:val="0"/>
        <w:spacing w:line="360" w:lineRule="auto"/>
        <w:ind w:firstLine="480" w:firstLineChars="200"/>
        <w:rPr>
          <w:rFonts w:ascii="宋体" w:hAnsi="宋体" w:cs="宋体"/>
          <w:sz w:val="24"/>
        </w:rPr>
      </w:pPr>
      <w:r>
        <w:rPr>
          <w:rFonts w:hint="eastAsia" w:ascii="宋体" w:hAnsi="宋体" w:cs="宋体"/>
          <w:sz w:val="24"/>
        </w:rPr>
        <w:t>（10）项目已具备开工条件，因承包人原因，承包人未能按期开工；</w:t>
      </w:r>
    </w:p>
    <w:p w14:paraId="5997D66F">
      <w:pPr>
        <w:adjustRightInd w:val="0"/>
        <w:snapToGrid w:val="0"/>
        <w:spacing w:line="360" w:lineRule="auto"/>
        <w:ind w:firstLine="480" w:firstLineChars="200"/>
        <w:rPr>
          <w:rFonts w:ascii="宋体" w:hAnsi="宋体" w:cs="宋体"/>
          <w:sz w:val="24"/>
          <w:lang w:bidi="ar"/>
        </w:rPr>
      </w:pPr>
      <w:r>
        <w:rPr>
          <w:rFonts w:hint="eastAsia" w:ascii="宋体" w:hAnsi="宋体" w:cs="宋体"/>
          <w:sz w:val="24"/>
        </w:rPr>
        <w:t>（11）在收到发包人或咨询单位或上级主管部门提出的审查意见后，设计人未在规定的期限内完成对勘察成果、设计文件、专题研究报告的修改</w:t>
      </w:r>
      <w:r>
        <w:rPr>
          <w:rFonts w:hint="eastAsia" w:ascii="宋体" w:hAnsi="宋体" w:cs="宋体"/>
          <w:sz w:val="24"/>
          <w:lang w:bidi="ar"/>
        </w:rPr>
        <w:t>。</w:t>
      </w:r>
    </w:p>
    <w:p w14:paraId="103CB592">
      <w:pPr>
        <w:adjustRightInd w:val="0"/>
        <w:snapToGrid w:val="0"/>
        <w:spacing w:line="360" w:lineRule="auto"/>
        <w:ind w:firstLine="480" w:firstLineChars="200"/>
        <w:rPr>
          <w:rFonts w:ascii="宋体" w:hAnsi="宋体" w:cs="宋体"/>
          <w:sz w:val="24"/>
        </w:rPr>
      </w:pPr>
      <w:r>
        <w:rPr>
          <w:rFonts w:hint="eastAsia" w:ascii="宋体" w:hAnsi="宋体" w:cs="宋体"/>
          <w:sz w:val="24"/>
        </w:rPr>
        <w:t>（12）因勘察设计错误而造成一般质量事故的。</w:t>
      </w:r>
    </w:p>
    <w:p w14:paraId="483C677A">
      <w:pPr>
        <w:adjustRightInd w:val="0"/>
        <w:snapToGrid w:val="0"/>
        <w:spacing w:line="360" w:lineRule="auto"/>
        <w:ind w:firstLine="480" w:firstLineChars="200"/>
        <w:rPr>
          <w:rFonts w:ascii="宋体" w:hAnsi="宋体" w:cs="宋体"/>
          <w:sz w:val="24"/>
        </w:rPr>
      </w:pPr>
      <w:r>
        <w:rPr>
          <w:rFonts w:hint="eastAsia" w:ascii="宋体" w:hAnsi="宋体" w:cs="宋体"/>
          <w:sz w:val="24"/>
        </w:rPr>
        <w:t>（13）因勘察设计错误而造成重大质量事故的。</w:t>
      </w:r>
    </w:p>
    <w:p w14:paraId="66BDB1D5">
      <w:pPr>
        <w:adjustRightInd w:val="0"/>
        <w:snapToGrid w:val="0"/>
        <w:spacing w:after="0" w:line="360" w:lineRule="auto"/>
        <w:ind w:left="0" w:leftChars="0" w:firstLine="480" w:firstLineChars="200"/>
        <w:rPr>
          <w:rFonts w:ascii="宋体" w:hAnsi="宋体" w:cs="宋体"/>
          <w:sz w:val="24"/>
        </w:rPr>
      </w:pPr>
      <w:r>
        <w:rPr>
          <w:rFonts w:hint="eastAsia" w:ascii="宋体" w:hAnsi="宋体" w:cs="宋体"/>
          <w:sz w:val="24"/>
        </w:rPr>
        <w:t>（14）因承包人在后续服务工作中人员不到位、工作不及时、服务质量差影响到工程建设的，发包人可委托具有同等勘察设计资质的设计单位负责后续服务工作，费用由发包人在设计费及履约担保中直接扣除支付给被委托单位，承包人须认可及配合且不免除承包人义务。</w:t>
      </w:r>
    </w:p>
    <w:p w14:paraId="08F4AB8F">
      <w:pPr>
        <w:widowControl/>
        <w:adjustRightInd w:val="0"/>
        <w:snapToGrid w:val="0"/>
        <w:spacing w:line="360" w:lineRule="auto"/>
        <w:ind w:firstLine="480" w:firstLineChars="200"/>
        <w:jc w:val="left"/>
        <w:rPr>
          <w:rFonts w:ascii="宋体" w:hAnsi="宋体" w:cs="Courier New"/>
          <w:sz w:val="24"/>
        </w:rPr>
      </w:pPr>
      <w:r>
        <w:rPr>
          <w:rFonts w:hint="eastAsia" w:ascii="宋体" w:hAnsi="宋体" w:cs="Courier New"/>
          <w:sz w:val="24"/>
          <w:lang w:bidi="ar"/>
        </w:rPr>
        <w:t>（1</w:t>
      </w:r>
      <w:r>
        <w:rPr>
          <w:rFonts w:hint="eastAsia" w:ascii="宋体" w:hAnsi="宋体" w:cs="Courier New"/>
          <w:sz w:val="24"/>
          <w:lang w:val="en-US" w:eastAsia="zh-CN" w:bidi="ar"/>
        </w:rPr>
        <w:t>5</w:t>
      </w:r>
      <w:r>
        <w:rPr>
          <w:rFonts w:hint="eastAsia" w:ascii="宋体" w:hAnsi="宋体" w:cs="Courier New"/>
          <w:sz w:val="24"/>
          <w:lang w:bidi="ar"/>
        </w:rPr>
        <w:t>）承包人擅自变更设计，不按照批准的施工图设计施工。</w:t>
      </w:r>
    </w:p>
    <w:p w14:paraId="6D2628F3">
      <w:pPr>
        <w:widowControl/>
        <w:adjustRightInd w:val="0"/>
        <w:snapToGrid w:val="0"/>
        <w:spacing w:line="360" w:lineRule="auto"/>
        <w:ind w:firstLine="480" w:firstLineChars="200"/>
        <w:jc w:val="left"/>
        <w:rPr>
          <w:rFonts w:ascii="宋体" w:hAnsi="宋体" w:cs="宋体"/>
          <w:sz w:val="24"/>
        </w:rPr>
      </w:pPr>
      <w:r>
        <w:rPr>
          <w:rFonts w:hint="eastAsia" w:ascii="宋体" w:hAnsi="宋体" w:cs="Courier New"/>
          <w:sz w:val="24"/>
        </w:rPr>
        <w:t>（1</w:t>
      </w:r>
      <w:r>
        <w:rPr>
          <w:rFonts w:hint="eastAsia" w:ascii="宋体" w:hAnsi="宋体" w:cs="Courier New"/>
          <w:sz w:val="24"/>
          <w:lang w:val="en-US" w:eastAsia="zh-CN"/>
        </w:rPr>
        <w:t>6</w:t>
      </w:r>
      <w:r>
        <w:rPr>
          <w:rFonts w:hint="eastAsia" w:ascii="宋体" w:hAnsi="宋体" w:cs="Courier New"/>
          <w:sz w:val="24"/>
        </w:rPr>
        <w:t>）承包人违反第</w:t>
      </w:r>
      <w:r>
        <w:rPr>
          <w:rFonts w:hint="eastAsia" w:ascii="宋体" w:hAnsi="宋体" w:cs="Courier New"/>
          <w:sz w:val="24"/>
          <w:lang w:bidi="ar"/>
        </w:rPr>
        <w:t>7.3款</w:t>
      </w:r>
      <w:r>
        <w:rPr>
          <w:rFonts w:hint="eastAsia" w:ascii="宋体" w:hAnsi="宋体" w:cs="Courier New"/>
          <w:sz w:val="24"/>
        </w:rPr>
        <w:t>的规定，未按承诺或未按监理人的要求及时配备合同约定的关键施工设备；</w:t>
      </w:r>
    </w:p>
    <w:p w14:paraId="4AC4C53F">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）经监理人和发包人检查，发现承包人有安全问题或有违反安全管理规章制度的情形（包括违反</w:t>
      </w:r>
      <w:r>
        <w:rPr>
          <w:rFonts w:hint="eastAsia" w:ascii="宋体" w:hAnsi="宋体" w:cs="宋体"/>
          <w:sz w:val="24"/>
          <w:lang w:val="en-US" w:eastAsia="zh-CN"/>
        </w:rPr>
        <w:t>第</w:t>
      </w:r>
      <w:r>
        <w:rPr>
          <w:rFonts w:hint="eastAsia" w:ascii="宋体" w:hAnsi="宋体" w:cs="宋体"/>
          <w:sz w:val="24"/>
        </w:rPr>
        <w:t>10.2.1项的情形）；</w:t>
      </w:r>
    </w:p>
    <w:p w14:paraId="79EBDAA7">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）承包人违反第13.1.1项的约定，工程质量未达到标段竣工验收的质量评定要求的；</w:t>
      </w:r>
    </w:p>
    <w:p w14:paraId="11F7815B">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19</w:t>
      </w:r>
      <w:r>
        <w:rPr>
          <w:rFonts w:hint="eastAsia" w:ascii="宋体" w:hAnsi="宋体" w:cs="宋体"/>
          <w:sz w:val="24"/>
        </w:rPr>
        <w:t>）承包人违反第4.9款的约定，将发包人支付给承包人的各项价款转移或用于其他工程；</w:t>
      </w:r>
    </w:p>
    <w:p w14:paraId="6AB037AC">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）承包人违反第4.6款的约定，未按承诺或未按监理人的要求及时配备称职的主要管理人员、技术骨干，或未按规定替换，或擅离职守的；</w:t>
      </w:r>
    </w:p>
    <w:p w14:paraId="476F6088">
      <w:pPr>
        <w:adjustRightInd w:val="0"/>
        <w:snapToGrid w:val="0"/>
        <w:spacing w:line="360" w:lineRule="auto"/>
        <w:ind w:firstLine="480" w:firstLineChars="200"/>
        <w:rPr>
          <w:rFonts w:ascii="宋体" w:hAnsi="宋体" w:cs="宋体"/>
          <w:b/>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）承包人违反</w:t>
      </w:r>
      <w:r>
        <w:rPr>
          <w:rFonts w:hint="eastAsia" w:ascii="宋体" w:hAnsi="宋体" w:cs="宋体"/>
          <w:sz w:val="24"/>
          <w:lang w:val="en-US" w:eastAsia="zh-CN"/>
        </w:rPr>
        <w:t>第二章“</w:t>
      </w:r>
      <w:r>
        <w:rPr>
          <w:rFonts w:hint="eastAsia" w:ascii="宋体" w:hAnsi="宋体" w:cs="宋体"/>
          <w:sz w:val="24"/>
        </w:rPr>
        <w:t>投标人须知</w:t>
      </w:r>
      <w:r>
        <w:rPr>
          <w:rFonts w:hint="eastAsia" w:ascii="宋体" w:hAnsi="宋体" w:cs="宋体"/>
          <w:sz w:val="24"/>
          <w:lang w:val="en-US" w:eastAsia="zh-CN"/>
        </w:rPr>
        <w:t>”第</w:t>
      </w:r>
      <w:r>
        <w:rPr>
          <w:rFonts w:hint="eastAsia" w:ascii="宋体" w:hAnsi="宋体" w:cs="宋体"/>
          <w:sz w:val="24"/>
        </w:rPr>
        <w:t>3.5.3项的规定，在合同实施期间发现承包人在投标时提供了虚假资料的；</w:t>
      </w:r>
    </w:p>
    <w:p w14:paraId="19CF47AE">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（2</w:t>
      </w:r>
      <w:r>
        <w:rPr>
          <w:rFonts w:hint="eastAsia" w:ascii="宋体" w:hAnsi="宋体" w:cs="Courier New"/>
          <w:sz w:val="24"/>
          <w:lang w:val="en-US" w:eastAsia="zh-CN"/>
        </w:rPr>
        <w:t>2</w:t>
      </w:r>
      <w:r>
        <w:rPr>
          <w:rFonts w:hint="eastAsia" w:ascii="宋体" w:hAnsi="宋体" w:cs="Courier New"/>
          <w:sz w:val="24"/>
        </w:rPr>
        <w:t>）承包人</w:t>
      </w:r>
      <w:r>
        <w:rPr>
          <w:rFonts w:hint="eastAsia" w:ascii="宋体" w:hAnsi="宋体"/>
          <w:sz w:val="24"/>
        </w:rPr>
        <w:t>品质工程及“五化”建设</w:t>
      </w:r>
      <w:r>
        <w:rPr>
          <w:rFonts w:hint="eastAsia" w:ascii="宋体" w:hAnsi="宋体" w:cs="Courier New"/>
          <w:sz w:val="24"/>
        </w:rPr>
        <w:t>违反第</w:t>
      </w:r>
      <w:r>
        <w:rPr>
          <w:rFonts w:ascii="宋体" w:hAnsi="宋体" w:cs="Courier New"/>
          <w:sz w:val="24"/>
        </w:rPr>
        <w:t>4.1.11</w:t>
      </w:r>
      <w:r>
        <w:rPr>
          <w:rFonts w:hint="eastAsia" w:ascii="宋体" w:hAnsi="宋体" w:cs="Courier New"/>
          <w:sz w:val="24"/>
        </w:rPr>
        <w:t>项的约定，且不按要求整改。</w:t>
      </w:r>
    </w:p>
    <w:p w14:paraId="02885026">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（2</w:t>
      </w:r>
      <w:r>
        <w:rPr>
          <w:rFonts w:hint="eastAsia" w:ascii="宋体" w:hAnsi="宋体" w:cs="Courier New"/>
          <w:sz w:val="24"/>
          <w:lang w:val="en-US" w:eastAsia="zh-CN"/>
        </w:rPr>
        <w:t>3</w:t>
      </w:r>
      <w:r>
        <w:rPr>
          <w:rFonts w:hint="eastAsia" w:ascii="宋体" w:hAnsi="宋体" w:cs="Courier New"/>
          <w:sz w:val="24"/>
        </w:rPr>
        <w:t>）承包人环境保护、水土保持措施违反第10</w:t>
      </w:r>
      <w:r>
        <w:rPr>
          <w:rFonts w:ascii="宋体" w:hAnsi="宋体" w:cs="Courier New"/>
          <w:sz w:val="24"/>
        </w:rPr>
        <w:t>.4</w:t>
      </w:r>
      <w:r>
        <w:rPr>
          <w:rFonts w:hint="eastAsia" w:ascii="宋体" w:hAnsi="宋体" w:cs="Courier New"/>
          <w:sz w:val="24"/>
        </w:rPr>
        <w:t>款的约定，且不按要求整改。</w:t>
      </w:r>
    </w:p>
    <w:p w14:paraId="1BF45CC0">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（2</w:t>
      </w:r>
      <w:r>
        <w:rPr>
          <w:rFonts w:hint="eastAsia" w:ascii="宋体" w:hAnsi="宋体" w:cs="Courier New"/>
          <w:sz w:val="24"/>
          <w:lang w:val="en-US" w:eastAsia="zh-CN"/>
        </w:rPr>
        <w:t>4</w:t>
      </w:r>
      <w:r>
        <w:rPr>
          <w:rFonts w:hint="eastAsia" w:ascii="宋体" w:hAnsi="宋体" w:cs="Courier New"/>
          <w:sz w:val="24"/>
        </w:rPr>
        <w:t>）承包人农民工管理违反第</w:t>
      </w:r>
      <w:r>
        <w:rPr>
          <w:rFonts w:ascii="宋体" w:hAnsi="宋体" w:cs="Courier New"/>
          <w:sz w:val="24"/>
        </w:rPr>
        <w:t>4.8.7项的约定，且不按要求整改。</w:t>
      </w:r>
    </w:p>
    <w:p w14:paraId="2896BB3F">
      <w:pPr>
        <w:adjustRightInd w:val="0"/>
        <w:snapToGrid w:val="0"/>
        <w:spacing w:line="360" w:lineRule="auto"/>
        <w:ind w:firstLine="480" w:firstLineChars="200"/>
        <w:rPr>
          <w:rFonts w:ascii="宋体" w:hAnsi="宋体" w:cs="Courier New"/>
          <w:sz w:val="24"/>
        </w:rPr>
      </w:pPr>
      <w:r>
        <w:rPr>
          <w:rFonts w:hint="eastAsia" w:ascii="宋体" w:hAnsi="宋体" w:cs="Courier New"/>
          <w:sz w:val="24"/>
        </w:rPr>
        <w:t>（2</w:t>
      </w:r>
      <w:r>
        <w:rPr>
          <w:rFonts w:hint="eastAsia" w:ascii="宋体" w:hAnsi="宋体" w:cs="Courier New"/>
          <w:sz w:val="24"/>
          <w:lang w:val="en-US" w:eastAsia="zh-CN"/>
        </w:rPr>
        <w:t>5</w:t>
      </w:r>
      <w:r>
        <w:rPr>
          <w:rFonts w:hint="eastAsia" w:ascii="宋体" w:hAnsi="宋体" w:cs="Courier New"/>
          <w:sz w:val="24"/>
        </w:rPr>
        <w:t>）</w:t>
      </w:r>
      <w:r>
        <w:rPr>
          <w:rFonts w:hint="eastAsia" w:ascii="宋体" w:hAnsi="宋体" w:cs="Arial"/>
          <w:sz w:val="24"/>
        </w:rPr>
        <w:t>若承包人有关安全、环保、文明施工违反第10.2款、10</w:t>
      </w:r>
      <w:r>
        <w:rPr>
          <w:rFonts w:ascii="宋体" w:hAnsi="宋体" w:cs="Arial"/>
          <w:sz w:val="24"/>
        </w:rPr>
        <w:t>.6</w:t>
      </w:r>
      <w:r>
        <w:rPr>
          <w:rFonts w:hint="eastAsia" w:ascii="宋体" w:hAnsi="宋体" w:cs="Arial"/>
          <w:sz w:val="24"/>
        </w:rPr>
        <w:t>款，卫生防疫违反第10</w:t>
      </w:r>
      <w:r>
        <w:rPr>
          <w:rFonts w:ascii="宋体" w:hAnsi="宋体" w:cs="Arial"/>
          <w:sz w:val="24"/>
        </w:rPr>
        <w:t>.7</w:t>
      </w:r>
      <w:r>
        <w:rPr>
          <w:rFonts w:hint="eastAsia" w:ascii="宋体" w:hAnsi="宋体" w:cs="Courier New"/>
          <w:sz w:val="24"/>
        </w:rPr>
        <w:t>款等的有关规定，须承担违约责任。</w:t>
      </w:r>
    </w:p>
    <w:p w14:paraId="4063DD43">
      <w:pPr>
        <w:widowControl/>
        <w:adjustRightInd w:val="0"/>
        <w:snapToGrid w:val="0"/>
        <w:spacing w:line="360" w:lineRule="auto"/>
        <w:ind w:firstLine="480" w:firstLineChars="200"/>
        <w:jc w:val="left"/>
        <w:rPr>
          <w:rFonts w:ascii="宋体" w:hAnsi="宋体" w:cs="Courier New"/>
          <w:sz w:val="24"/>
        </w:rPr>
      </w:pPr>
      <w:r>
        <w:rPr>
          <w:rFonts w:hint="eastAsia" w:ascii="宋体" w:hAnsi="宋体" w:cs="Courier New"/>
          <w:sz w:val="24"/>
        </w:rPr>
        <w:t>（2</w:t>
      </w:r>
      <w:r>
        <w:rPr>
          <w:rFonts w:hint="eastAsia" w:ascii="宋体" w:hAnsi="宋体" w:cs="Courier New"/>
          <w:sz w:val="24"/>
          <w:lang w:val="en-US" w:eastAsia="zh-CN"/>
        </w:rPr>
        <w:t>6</w:t>
      </w:r>
      <w:r>
        <w:rPr>
          <w:rFonts w:hint="eastAsia" w:ascii="宋体" w:hAnsi="宋体" w:cs="Courier New"/>
          <w:sz w:val="24"/>
        </w:rPr>
        <w:t>）</w:t>
      </w:r>
      <w:r>
        <w:rPr>
          <w:rFonts w:hint="eastAsia" w:ascii="宋体" w:hAnsi="宋体" w:cs="Courier New"/>
          <w:sz w:val="24"/>
          <w:lang w:bidi="ar"/>
        </w:rPr>
        <w:t>承包人在施工期内在各种报表及检查试验记录中自己造假或诱导监理人造假。</w:t>
      </w:r>
    </w:p>
    <w:p w14:paraId="24617B7B">
      <w:pPr>
        <w:widowControl/>
        <w:adjustRightInd w:val="0"/>
        <w:snapToGrid w:val="0"/>
        <w:spacing w:line="360" w:lineRule="auto"/>
        <w:ind w:firstLine="480" w:firstLineChars="200"/>
        <w:jc w:val="left"/>
        <w:rPr>
          <w:rFonts w:ascii="宋体" w:hAnsi="宋体" w:cs="Courier New"/>
          <w:sz w:val="24"/>
        </w:rPr>
      </w:pPr>
      <w:r>
        <w:rPr>
          <w:rFonts w:hint="eastAsia" w:ascii="宋体" w:hAnsi="宋体" w:cs="Courier New"/>
          <w:sz w:val="24"/>
        </w:rPr>
        <w:t>（2</w:t>
      </w:r>
      <w:r>
        <w:rPr>
          <w:rFonts w:hint="eastAsia" w:ascii="宋体" w:hAnsi="宋体" w:cs="Courier New"/>
          <w:sz w:val="24"/>
          <w:lang w:val="en-US" w:eastAsia="zh-CN"/>
        </w:rPr>
        <w:t>7</w:t>
      </w:r>
      <w:r>
        <w:rPr>
          <w:rFonts w:hint="eastAsia" w:ascii="宋体" w:hAnsi="宋体" w:cs="Courier New"/>
          <w:sz w:val="24"/>
        </w:rPr>
        <w:t>）承包人不按合同约定履行</w:t>
      </w:r>
      <w:r>
        <w:rPr>
          <w:rFonts w:hint="eastAsia" w:ascii="宋体" w:hAnsi="宋体" w:cs="Courier New"/>
          <w:sz w:val="24"/>
          <w:lang w:bidi="ar"/>
        </w:rPr>
        <w:t>环保监测、水保监测等</w:t>
      </w:r>
      <w:r>
        <w:rPr>
          <w:rFonts w:hint="eastAsia" w:ascii="宋体" w:hAnsi="宋体" w:cs="Courier New"/>
          <w:sz w:val="24"/>
        </w:rPr>
        <w:t>。</w:t>
      </w:r>
    </w:p>
    <w:p w14:paraId="026BE139">
      <w:pPr>
        <w:widowControl/>
        <w:adjustRightInd w:val="0"/>
        <w:snapToGrid w:val="0"/>
        <w:spacing w:line="360" w:lineRule="auto"/>
        <w:ind w:firstLine="480" w:firstLineChars="200"/>
        <w:jc w:val="left"/>
        <w:rPr>
          <w:rFonts w:ascii="宋体" w:hAnsi="宋体" w:cs="Courier New"/>
          <w:sz w:val="24"/>
        </w:rPr>
      </w:pPr>
      <w:r>
        <w:rPr>
          <w:rFonts w:hint="eastAsia" w:ascii="宋体" w:hAnsi="宋体" w:cs="Courier New"/>
          <w:sz w:val="24"/>
        </w:rPr>
        <w:t>（2</w:t>
      </w:r>
      <w:r>
        <w:rPr>
          <w:rFonts w:hint="eastAsia" w:ascii="宋体" w:hAnsi="宋体" w:cs="Courier New"/>
          <w:sz w:val="24"/>
          <w:lang w:val="en-US" w:eastAsia="zh-CN"/>
        </w:rPr>
        <w:t>8</w:t>
      </w:r>
      <w:r>
        <w:rPr>
          <w:rFonts w:hint="eastAsia" w:ascii="宋体" w:hAnsi="宋体" w:cs="Courier New"/>
          <w:sz w:val="24"/>
        </w:rPr>
        <w:t>）专用合同条款中约定的承包人其他违约情况。承包人发生本款约定的违约情况时，无论发包人是否解除合同，发包人均有权向承包人课以专用合同段款中规定的违约金，并由发包人将其违约行为上报省级交通运输主管部门，作为不良记录纳入</w:t>
      </w:r>
      <w:r>
        <w:rPr>
          <w:rFonts w:hint="eastAsia" w:ascii="宋体" w:hAnsi="宋体" w:cs="Courier New"/>
          <w:sz w:val="24"/>
          <w:lang w:val="en-US" w:eastAsia="zh-CN"/>
        </w:rPr>
        <w:t>全国</w:t>
      </w:r>
      <w:r>
        <w:rPr>
          <w:rFonts w:hint="eastAsia" w:ascii="宋体" w:hAnsi="宋体" w:cs="Courier New"/>
          <w:sz w:val="24"/>
        </w:rPr>
        <w:t>公路建设市场</w:t>
      </w:r>
      <w:r>
        <w:rPr>
          <w:rFonts w:hint="eastAsia" w:ascii="宋体" w:hAnsi="宋体" w:cs="Courier New"/>
          <w:sz w:val="24"/>
          <w:lang w:val="en-US" w:eastAsia="zh-CN"/>
        </w:rPr>
        <w:t>监督</w:t>
      </w:r>
      <w:r>
        <w:rPr>
          <w:rFonts w:hint="eastAsia" w:ascii="宋体" w:hAnsi="宋体" w:cs="Courier New"/>
          <w:sz w:val="24"/>
        </w:rPr>
        <w:t>管理系统。</w:t>
      </w:r>
    </w:p>
    <w:p w14:paraId="427CEF20">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22.1.2 </w:t>
      </w:r>
      <w:r>
        <w:rPr>
          <w:rFonts w:hint="eastAsia" w:ascii="黑体" w:hAnsi="黑体" w:eastAsia="黑体"/>
          <w:sz w:val="24"/>
        </w:rPr>
        <w:t>对承包人违约的处理</w:t>
      </w:r>
    </w:p>
    <w:p w14:paraId="01E23041">
      <w:pPr>
        <w:adjustRightInd w:val="0"/>
        <w:snapToGrid w:val="0"/>
        <w:spacing w:line="360" w:lineRule="auto"/>
        <w:ind w:firstLine="480" w:firstLineChars="200"/>
        <w:rPr>
          <w:rFonts w:ascii="宋体" w:hAnsi="宋体"/>
          <w:sz w:val="24"/>
        </w:rPr>
      </w:pPr>
      <w:r>
        <w:rPr>
          <w:rFonts w:hint="eastAsia" w:ascii="宋体" w:hAnsi="宋体"/>
          <w:sz w:val="24"/>
          <w:lang w:val="en-US" w:eastAsia="zh-CN"/>
        </w:rPr>
        <w:t>本项</w:t>
      </w:r>
      <w:r>
        <w:rPr>
          <w:rFonts w:hint="eastAsia" w:ascii="宋体" w:hAnsi="宋体"/>
          <w:sz w:val="24"/>
        </w:rPr>
        <w:t>第（</w:t>
      </w:r>
      <w:r>
        <w:rPr>
          <w:rFonts w:ascii="宋体" w:hAnsi="宋体"/>
          <w:sz w:val="24"/>
        </w:rPr>
        <w:t>3</w:t>
      </w:r>
      <w:r>
        <w:rPr>
          <w:rFonts w:hint="eastAsia" w:ascii="宋体" w:hAnsi="宋体"/>
          <w:sz w:val="24"/>
        </w:rPr>
        <w:t>）目细化为：</w:t>
      </w:r>
    </w:p>
    <w:p w14:paraId="4D02CF51">
      <w:pPr>
        <w:adjustRightInd w:val="0"/>
        <w:snapToGrid w:val="0"/>
        <w:spacing w:line="360" w:lineRule="auto"/>
        <w:ind w:firstLine="480" w:firstLineChars="200"/>
        <w:rPr>
          <w:rFonts w:ascii="宋体" w:hAnsi="宋体"/>
          <w:sz w:val="24"/>
        </w:rPr>
      </w:pPr>
      <w:r>
        <w:rPr>
          <w:rFonts w:hint="eastAsia" w:ascii="宋体" w:hAnsi="宋体"/>
          <w:sz w:val="24"/>
        </w:rPr>
        <w:t>①发生</w:t>
      </w:r>
      <w:r>
        <w:rPr>
          <w:rFonts w:hint="eastAsia" w:ascii="宋体" w:hAnsi="宋体"/>
          <w:sz w:val="24"/>
          <w:lang w:val="en-US" w:eastAsia="zh-CN"/>
        </w:rPr>
        <w:t>第</w:t>
      </w:r>
      <w:r>
        <w:rPr>
          <w:rFonts w:ascii="宋体" w:hAnsi="宋体"/>
          <w:sz w:val="24"/>
        </w:rPr>
        <w:t>22.1.1</w:t>
      </w:r>
      <w:r>
        <w:rPr>
          <w:rFonts w:hint="eastAsia" w:ascii="宋体" w:hAnsi="宋体"/>
          <w:sz w:val="24"/>
          <w:lang w:val="en-US" w:eastAsia="zh-CN"/>
        </w:rPr>
        <w:t>项</w:t>
      </w: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z w:val="24"/>
          <w:lang w:val="en-US" w:eastAsia="zh-CN"/>
        </w:rPr>
        <w:t>目</w:t>
      </w:r>
      <w:r>
        <w:rPr>
          <w:rFonts w:hint="eastAsia" w:ascii="宋体" w:hAnsi="宋体"/>
          <w:sz w:val="24"/>
        </w:rPr>
        <w:t>所述情况（发生了转包、违规分包情况），发包人将驱逐违法分包人，并就违约行为每次向承包人课以不超过履约保证金的违约金并按四川省交通运输厅现行相关分包管理办法执行。</w:t>
      </w:r>
    </w:p>
    <w:p w14:paraId="5FC7AC2F">
      <w:pPr>
        <w:adjustRightInd w:val="0"/>
        <w:snapToGrid w:val="0"/>
        <w:spacing w:line="360" w:lineRule="auto"/>
        <w:ind w:firstLine="480" w:firstLineChars="200"/>
        <w:rPr>
          <w:rFonts w:ascii="宋体" w:hAnsi="宋体"/>
          <w:sz w:val="24"/>
        </w:rPr>
      </w:pPr>
      <w:r>
        <w:rPr>
          <w:rFonts w:hint="eastAsia" w:ascii="宋体" w:hAnsi="宋体"/>
          <w:sz w:val="24"/>
        </w:rPr>
        <w:t>②发生除第</w:t>
      </w:r>
      <w:r>
        <w:rPr>
          <w:rFonts w:ascii="宋体" w:hAnsi="宋体"/>
          <w:sz w:val="24"/>
        </w:rPr>
        <w:t>22.1.1</w:t>
      </w:r>
      <w:r>
        <w:rPr>
          <w:rFonts w:hint="eastAsia" w:ascii="宋体" w:hAnsi="宋体"/>
          <w:sz w:val="24"/>
          <w:lang w:val="en-US" w:eastAsia="zh-CN"/>
        </w:rPr>
        <w:t>项</w:t>
      </w:r>
      <w:r>
        <w:rPr>
          <w:rFonts w:hint="eastAsia" w:ascii="宋体" w:hAnsi="宋体"/>
          <w:sz w:val="24"/>
        </w:rPr>
        <w:t>（</w:t>
      </w:r>
      <w:r>
        <w:rPr>
          <w:rFonts w:ascii="宋体" w:hAnsi="宋体"/>
          <w:sz w:val="24"/>
        </w:rPr>
        <w:t>2</w:t>
      </w:r>
      <w:r>
        <w:rPr>
          <w:rFonts w:hint="eastAsia" w:ascii="宋体" w:hAnsi="宋体"/>
          <w:sz w:val="24"/>
        </w:rPr>
        <w:t>）、（6）</w:t>
      </w:r>
      <w:r>
        <w:rPr>
          <w:rFonts w:hint="eastAsia" w:ascii="宋体" w:hAnsi="宋体"/>
          <w:sz w:val="24"/>
          <w:lang w:eastAsia="zh-CN"/>
        </w:rPr>
        <w:t>、</w:t>
      </w:r>
      <w:r>
        <w:rPr>
          <w:rFonts w:hint="eastAsia" w:ascii="宋体" w:hAnsi="宋体"/>
          <w:sz w:val="24"/>
        </w:rPr>
        <w:t>（8）目约定以外的其他违约情况时，监理人可向承包人发出整改通知，要求其在指定的期限内纠正。除合同条款另有约定外，承包人应承担其违约所引起的费用增加和（或）工期延误。同时发包人将按相应合同条款就违约行为向承包人课以违约金。</w:t>
      </w:r>
    </w:p>
    <w:p w14:paraId="50BBFD39">
      <w:pPr>
        <w:adjustRightInd w:val="0"/>
        <w:snapToGrid w:val="0"/>
        <w:spacing w:line="360" w:lineRule="auto"/>
        <w:ind w:firstLine="480" w:firstLineChars="200"/>
        <w:rPr>
          <w:rFonts w:ascii="宋体" w:hAnsi="宋体"/>
          <w:sz w:val="24"/>
        </w:rPr>
      </w:pPr>
      <w:r>
        <w:rPr>
          <w:rFonts w:hint="eastAsia" w:ascii="宋体" w:hAnsi="宋体"/>
          <w:sz w:val="24"/>
          <w:lang w:val="en-US" w:eastAsia="zh-CN"/>
        </w:rPr>
        <w:t>本</w:t>
      </w:r>
      <w:r>
        <w:rPr>
          <w:rFonts w:hint="eastAsia" w:ascii="宋体" w:hAnsi="宋体"/>
          <w:sz w:val="24"/>
        </w:rPr>
        <w:t>项补充</w:t>
      </w:r>
      <w:r>
        <w:rPr>
          <w:rFonts w:hint="eastAsia" w:ascii="宋体" w:hAnsi="宋体"/>
          <w:sz w:val="24"/>
          <w:lang w:val="en-US" w:eastAsia="zh-CN"/>
        </w:rPr>
        <w:t>第</w:t>
      </w:r>
      <w:r>
        <w:rPr>
          <w:rFonts w:hint="eastAsia" w:ascii="宋体" w:hAnsi="宋体"/>
          <w:sz w:val="24"/>
        </w:rPr>
        <w:t>（4）</w:t>
      </w:r>
      <w:r>
        <w:rPr>
          <w:rFonts w:hint="eastAsia" w:ascii="宋体" w:hAnsi="宋体" w:eastAsia="宋体" w:cs="宋体"/>
          <w:sz w:val="24"/>
        </w:rPr>
        <w:t>～</w:t>
      </w:r>
      <w:r>
        <w:rPr>
          <w:rFonts w:hint="eastAsia" w:ascii="宋体" w:hAnsi="宋体"/>
          <w:sz w:val="24"/>
        </w:rPr>
        <w:t xml:space="preserve">（6）目： </w:t>
      </w:r>
    </w:p>
    <w:p w14:paraId="00F501CC">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）经检查证明承包人已采取了有效措施纠正违约行为，具备复工条件的，可由监理人签发复工通知复工。</w:t>
      </w:r>
    </w:p>
    <w:p w14:paraId="0F191C25">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）承包人发生第</w:t>
      </w:r>
      <w:r>
        <w:rPr>
          <w:rFonts w:ascii="宋体" w:hAnsi="宋体" w:cs="宋体"/>
          <w:sz w:val="24"/>
        </w:rPr>
        <w:t>22.1.1</w:t>
      </w:r>
      <w:r>
        <w:rPr>
          <w:rFonts w:hint="eastAsia" w:ascii="宋体" w:hAnsi="宋体" w:cs="宋体"/>
          <w:sz w:val="24"/>
        </w:rPr>
        <w:t>项约定的违约情况时，无论发包人是否解除合同，发包人均有权向承包人课以专用合同条款中规定的违约金，并由发包人将其违约行为上报省级交通运输主管部门，作为不良记录纳入</w:t>
      </w:r>
      <w:r>
        <w:rPr>
          <w:rFonts w:hint="eastAsia" w:ascii="宋体" w:hAnsi="宋体" w:cs="宋体"/>
          <w:sz w:val="24"/>
          <w:lang w:val="en-US" w:eastAsia="zh-CN"/>
        </w:rPr>
        <w:t>全国</w:t>
      </w:r>
      <w:r>
        <w:rPr>
          <w:rFonts w:hint="eastAsia" w:ascii="宋体" w:hAnsi="宋体" w:cs="宋体"/>
          <w:sz w:val="24"/>
        </w:rPr>
        <w:t>公路建设市场</w:t>
      </w:r>
      <w:r>
        <w:rPr>
          <w:rFonts w:hint="eastAsia" w:ascii="宋体" w:hAnsi="宋体" w:cs="宋体"/>
          <w:sz w:val="24"/>
          <w:lang w:val="en-US" w:eastAsia="zh-CN"/>
        </w:rPr>
        <w:t>监督</w:t>
      </w:r>
      <w:r>
        <w:rPr>
          <w:rFonts w:hint="eastAsia" w:ascii="宋体" w:hAnsi="宋体" w:cs="宋体"/>
          <w:sz w:val="24"/>
        </w:rPr>
        <w:t>管理系统。</w:t>
      </w:r>
    </w:p>
    <w:p w14:paraId="68F138B3">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）当承包人发生第22.1.1项约定的违约情形时，发包人有权向承包人课以违约金，具体约定如下：</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u w:val="none"/>
        </w:rPr>
        <w:t>。</w:t>
      </w:r>
    </w:p>
    <w:p w14:paraId="14E13315">
      <w:pPr>
        <w:pStyle w:val="2"/>
        <w:spacing w:before="240" w:after="240" w:line="240" w:lineRule="atLeast"/>
        <w:rPr>
          <w:rFonts w:ascii="黑体"/>
          <w:b w:val="0"/>
          <w:sz w:val="24"/>
          <w:szCs w:val="24"/>
        </w:rPr>
      </w:pPr>
      <w:bookmarkStart w:id="821" w:name="_Toc53685796"/>
      <w:r>
        <w:rPr>
          <w:rFonts w:ascii="黑体"/>
          <w:b w:val="0"/>
          <w:sz w:val="24"/>
          <w:szCs w:val="24"/>
        </w:rPr>
        <w:t xml:space="preserve">22.2 </w:t>
      </w:r>
      <w:r>
        <w:rPr>
          <w:rFonts w:hint="eastAsia" w:ascii="黑体"/>
          <w:b w:val="0"/>
          <w:sz w:val="24"/>
          <w:szCs w:val="24"/>
        </w:rPr>
        <w:t>发包人违约</w:t>
      </w:r>
      <w:bookmarkEnd w:id="821"/>
    </w:p>
    <w:p w14:paraId="49EC425C">
      <w:pPr>
        <w:adjustRightInd w:val="0"/>
        <w:snapToGrid w:val="0"/>
        <w:spacing w:line="360" w:lineRule="auto"/>
        <w:ind w:firstLine="360" w:firstLineChars="150"/>
        <w:rPr>
          <w:rFonts w:ascii="黑体" w:hAnsi="黑体" w:eastAsia="黑体"/>
          <w:sz w:val="24"/>
        </w:rPr>
      </w:pPr>
      <w:r>
        <w:rPr>
          <w:rFonts w:ascii="黑体" w:hAnsi="黑体" w:eastAsia="黑体"/>
          <w:sz w:val="24"/>
        </w:rPr>
        <w:t>22.2.1</w:t>
      </w:r>
      <w:r>
        <w:rPr>
          <w:rFonts w:hint="eastAsia" w:ascii="黑体" w:hAnsi="黑体" w:eastAsia="黑体"/>
          <w:sz w:val="24"/>
          <w:lang w:val="en-US" w:eastAsia="zh-CN"/>
        </w:rPr>
        <w:t xml:space="preserve"> </w:t>
      </w:r>
      <w:r>
        <w:rPr>
          <w:rFonts w:hint="eastAsia" w:ascii="黑体" w:hAnsi="黑体" w:eastAsia="黑体"/>
          <w:sz w:val="24"/>
        </w:rPr>
        <w:t>发包人违约的情形</w:t>
      </w:r>
      <w:r>
        <w:rPr>
          <w:rFonts w:ascii="黑体" w:hAnsi="黑体" w:eastAsia="黑体"/>
          <w:sz w:val="24"/>
        </w:rPr>
        <w:t xml:space="preserve"> </w:t>
      </w:r>
    </w:p>
    <w:p w14:paraId="72F66D06">
      <w:pPr>
        <w:adjustRightInd w:val="0"/>
        <w:snapToGrid w:val="0"/>
        <w:spacing w:line="360" w:lineRule="auto"/>
        <w:ind w:firstLine="480" w:firstLineChars="200"/>
        <w:rPr>
          <w:rFonts w:ascii="宋体" w:hAnsi="宋体" w:cs="宋体"/>
          <w:sz w:val="24"/>
        </w:rPr>
      </w:pPr>
      <w:r>
        <w:rPr>
          <w:rFonts w:hint="eastAsia" w:ascii="宋体" w:hAnsi="宋体" w:cs="宋体"/>
          <w:sz w:val="24"/>
        </w:rPr>
        <w:t>本项第（</w:t>
      </w:r>
      <w:r>
        <w:rPr>
          <w:rFonts w:ascii="宋体" w:hAnsi="宋体" w:cs="宋体"/>
          <w:sz w:val="24"/>
        </w:rPr>
        <w:t>5</w:t>
      </w:r>
      <w:r>
        <w:rPr>
          <w:rFonts w:hint="eastAsia" w:ascii="宋体" w:hAnsi="宋体" w:cs="宋体"/>
          <w:sz w:val="24"/>
        </w:rPr>
        <w:t>）目细化为：</w:t>
      </w:r>
      <w:r>
        <w:rPr>
          <w:rFonts w:ascii="宋体" w:hAnsi="宋体" w:cs="宋体"/>
          <w:sz w:val="24"/>
        </w:rPr>
        <w:t xml:space="preserve"> </w:t>
      </w:r>
    </w:p>
    <w:p w14:paraId="621F5595">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）发包人无正当理由不按时返还履约保证金、质量保证金或农民工工资保证金的。</w:t>
      </w:r>
      <w:r>
        <w:rPr>
          <w:rFonts w:ascii="宋体" w:hAnsi="宋体" w:cs="宋体"/>
          <w:sz w:val="24"/>
        </w:rPr>
        <w:t xml:space="preserve"> </w:t>
      </w:r>
    </w:p>
    <w:p w14:paraId="5C2FA75E">
      <w:pPr>
        <w:adjustRightInd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hint="eastAsia" w:ascii="宋体" w:hAnsi="宋体" w:cs="宋体"/>
          <w:sz w:val="24"/>
          <w:lang w:val="en-US" w:eastAsia="zh-CN"/>
        </w:rPr>
        <w:t>发包人未依法向承包人提供工程款支付担保</w:t>
      </w:r>
      <w:r>
        <w:rPr>
          <w:rFonts w:ascii="宋体" w:hAnsi="宋体"/>
          <w:sz w:val="24"/>
        </w:rPr>
        <w:t>或者政府投资项目拖欠工程款，导致拖欠农民工工资的</w:t>
      </w:r>
      <w:r>
        <w:rPr>
          <w:rFonts w:hint="eastAsia" w:ascii="宋体" w:hAnsi="宋体" w:cs="宋体"/>
          <w:sz w:val="24"/>
          <w:lang w:val="en-US" w:eastAsia="zh-CN"/>
        </w:rPr>
        <w:t>；</w:t>
      </w:r>
    </w:p>
    <w:p w14:paraId="3D3D435C">
      <w:pPr>
        <w:adjustRightInd w:val="0"/>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发包人不履行合同约定其他义务的。</w:t>
      </w:r>
    </w:p>
    <w:p w14:paraId="407C6949">
      <w:pPr>
        <w:adjustRightInd w:val="0"/>
        <w:snapToGrid w:val="0"/>
        <w:spacing w:line="360" w:lineRule="auto"/>
        <w:ind w:firstLine="360" w:firstLineChars="150"/>
        <w:rPr>
          <w:rFonts w:ascii="黑体" w:hAnsi="黑体" w:eastAsia="黑体"/>
          <w:sz w:val="24"/>
        </w:rPr>
      </w:pPr>
      <w:r>
        <w:rPr>
          <w:rFonts w:ascii="黑体" w:hAnsi="黑体" w:eastAsia="黑体"/>
          <w:sz w:val="24"/>
        </w:rPr>
        <w:t xml:space="preserve">22.2.2 </w:t>
      </w:r>
      <w:r>
        <w:rPr>
          <w:rFonts w:hint="eastAsia" w:ascii="黑体" w:hAnsi="黑体" w:eastAsia="黑体"/>
          <w:sz w:val="24"/>
        </w:rPr>
        <w:t>因发包人违约解除合同</w:t>
      </w:r>
    </w:p>
    <w:p w14:paraId="2DDF8EAA">
      <w:pPr>
        <w:adjustRightInd w:val="0"/>
        <w:snapToGrid w:val="0"/>
        <w:spacing w:line="360" w:lineRule="auto"/>
        <w:ind w:firstLine="480" w:firstLineChars="200"/>
        <w:rPr>
          <w:rFonts w:ascii="宋体" w:hAnsi="宋体" w:cs="宋体"/>
          <w:sz w:val="24"/>
        </w:rPr>
      </w:pPr>
      <w:r>
        <w:rPr>
          <w:rFonts w:hint="eastAsia" w:ascii="宋体" w:hAnsi="宋体" w:cs="宋体"/>
          <w:sz w:val="24"/>
        </w:rPr>
        <w:t>本项</w:t>
      </w:r>
      <w:r>
        <w:rPr>
          <w:rFonts w:hint="eastAsia" w:ascii="宋体" w:hAnsi="宋体" w:cs="宋体"/>
          <w:sz w:val="24"/>
          <w:lang w:val="en-US" w:eastAsia="zh-CN"/>
        </w:rPr>
        <w:t>第</w:t>
      </w:r>
      <w:r>
        <w:rPr>
          <w:rFonts w:hint="eastAsia" w:ascii="宋体" w:hAnsi="宋体" w:cs="宋体"/>
          <w:sz w:val="24"/>
        </w:rPr>
        <w:t>（</w:t>
      </w:r>
      <w:r>
        <w:rPr>
          <w:rFonts w:ascii="宋体" w:hAnsi="宋体" w:cs="宋体"/>
          <w:sz w:val="24"/>
        </w:rPr>
        <w:t>2</w:t>
      </w:r>
      <w:r>
        <w:rPr>
          <w:rFonts w:hint="eastAsia" w:ascii="宋体" w:hAnsi="宋体" w:cs="宋体"/>
          <w:sz w:val="24"/>
        </w:rPr>
        <w:t>）目细化为：</w:t>
      </w:r>
      <w:r>
        <w:rPr>
          <w:rFonts w:ascii="宋体" w:hAnsi="宋体" w:cs="宋体"/>
          <w:sz w:val="24"/>
        </w:rPr>
        <w:t xml:space="preserve"> </w:t>
      </w:r>
    </w:p>
    <w:p w14:paraId="62783AFE">
      <w:pPr>
        <w:adjustRightInd w:val="0"/>
        <w:snapToGrid w:val="0"/>
        <w:spacing w:line="360" w:lineRule="auto"/>
        <w:ind w:firstLine="480" w:firstLineChars="200"/>
        <w:rPr>
          <w:rFonts w:ascii="宋体" w:hAnsi="宋体" w:cs="宋体"/>
          <w:sz w:val="24"/>
        </w:rPr>
      </w:pPr>
      <w:r>
        <w:rPr>
          <w:rFonts w:hint="eastAsia" w:ascii="宋体" w:hAnsi="宋体" w:cs="宋体"/>
          <w:sz w:val="24"/>
        </w:rPr>
        <w:t>发包人发生除第</w:t>
      </w:r>
      <w:r>
        <w:rPr>
          <w:rFonts w:ascii="宋体" w:hAnsi="宋体" w:cs="宋体"/>
          <w:sz w:val="24"/>
        </w:rPr>
        <w:t>22.2.1</w:t>
      </w:r>
      <w:r>
        <w:rPr>
          <w:rFonts w:hint="eastAsia" w:ascii="宋体" w:hAnsi="宋体" w:cs="宋体"/>
          <w:sz w:val="24"/>
        </w:rPr>
        <w:t>项（</w:t>
      </w:r>
      <w:r>
        <w:rPr>
          <w:rFonts w:ascii="宋体" w:hAnsi="宋体" w:cs="宋体"/>
          <w:sz w:val="24"/>
        </w:rPr>
        <w:t>4</w:t>
      </w:r>
      <w:r>
        <w:rPr>
          <w:rFonts w:hint="eastAsia" w:ascii="宋体" w:hAnsi="宋体" w:cs="宋体"/>
          <w:sz w:val="24"/>
        </w:rPr>
        <w:t>）、（</w:t>
      </w:r>
      <w:r>
        <w:rPr>
          <w:rFonts w:ascii="宋体" w:hAnsi="宋体" w:cs="宋体"/>
          <w:sz w:val="24"/>
        </w:rPr>
        <w:t>5</w:t>
      </w:r>
      <w:r>
        <w:rPr>
          <w:rFonts w:hint="eastAsia" w:ascii="宋体" w:hAnsi="宋体" w:cs="宋体"/>
          <w:sz w:val="24"/>
        </w:rPr>
        <w:t>）目以外的违约情况时，承包人可向发包人发出通知，要求发包人采取有效措施纠正违约行为。发包人收到承包人通知后的</w:t>
      </w:r>
      <w:r>
        <w:rPr>
          <w:rFonts w:ascii="宋体" w:hAnsi="宋体" w:cs="宋体"/>
          <w:sz w:val="24"/>
        </w:rPr>
        <w:t>28</w:t>
      </w:r>
      <w:r>
        <w:rPr>
          <w:rFonts w:hint="eastAsia" w:ascii="宋体" w:hAnsi="宋体" w:cs="宋体"/>
          <w:sz w:val="24"/>
        </w:rPr>
        <w:t>天内仍不履行合同义务，承包人有权暂停施工，并通知监理人，发包人应承担由此增加的费用和（或）工期延误，并支付承包人合理利润。</w:t>
      </w:r>
      <w:r>
        <w:rPr>
          <w:rFonts w:ascii="宋体" w:hAnsi="宋体" w:cs="宋体"/>
          <w:sz w:val="24"/>
        </w:rPr>
        <w:t xml:space="preserve"> </w:t>
      </w:r>
    </w:p>
    <w:p w14:paraId="32FED019">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发包人发生第</w:t>
      </w:r>
      <w:r>
        <w:rPr>
          <w:rFonts w:ascii="宋体" w:hAnsi="宋体" w:cs="宋体"/>
          <w:sz w:val="24"/>
        </w:rPr>
        <w:t>22.2.1</w:t>
      </w:r>
      <w:r>
        <w:rPr>
          <w:rFonts w:hint="eastAsia" w:ascii="宋体" w:hAnsi="宋体" w:cs="宋体"/>
          <w:sz w:val="24"/>
          <w:lang w:val="en-US" w:eastAsia="zh-CN"/>
        </w:rPr>
        <w:t>项</w:t>
      </w:r>
      <w:r>
        <w:rPr>
          <w:rFonts w:hint="eastAsia" w:ascii="宋体" w:hAnsi="宋体" w:cs="宋体"/>
          <w:sz w:val="24"/>
        </w:rPr>
        <w:t>（</w:t>
      </w:r>
      <w:r>
        <w:rPr>
          <w:rFonts w:ascii="宋体" w:hAnsi="宋体" w:cs="宋体"/>
          <w:sz w:val="24"/>
        </w:rPr>
        <w:t>5</w:t>
      </w:r>
      <w:r>
        <w:rPr>
          <w:rFonts w:hint="eastAsia" w:ascii="宋体" w:hAnsi="宋体" w:cs="宋体"/>
          <w:sz w:val="24"/>
        </w:rPr>
        <w:t>）目的违约情况时，承包人可向发包人发出通知，要求发包人采取有效措施纠正违约行为。发包人收到承包人通知后的</w:t>
      </w:r>
      <w:r>
        <w:rPr>
          <w:rFonts w:ascii="宋体" w:hAnsi="宋体" w:cs="宋体"/>
          <w:sz w:val="24"/>
        </w:rPr>
        <w:t>28</w:t>
      </w:r>
      <w:r>
        <w:rPr>
          <w:rFonts w:hint="eastAsia" w:ascii="宋体" w:hAnsi="宋体" w:cs="宋体"/>
          <w:sz w:val="24"/>
        </w:rPr>
        <w:t>天内仍不返还履约保证金、质量保证金或农民工工资保证金的，发包人应向承包人支付逾期返还保证金的违约金为：</w:t>
      </w:r>
      <w:r>
        <w:rPr>
          <w:rFonts w:ascii="宋体" w:hAnsi="宋体" w:cs="宋体"/>
          <w:sz w:val="24"/>
          <w:u w:val="single"/>
        </w:rPr>
        <w:t xml:space="preserve">                           </w:t>
      </w:r>
      <w:r>
        <w:rPr>
          <w:rFonts w:hint="eastAsia" w:ascii="宋体" w:hAnsi="宋体" w:cs="宋体"/>
          <w:sz w:val="24"/>
        </w:rPr>
        <w:t>。</w:t>
      </w:r>
    </w:p>
    <w:p w14:paraId="6E043153">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第</w:t>
      </w:r>
      <w:r>
        <w:rPr>
          <w:rFonts w:ascii="宋体" w:hAnsi="宋体" w:cs="宋体"/>
          <w:sz w:val="24"/>
          <w:lang w:bidi="ar"/>
        </w:rPr>
        <w:t>22.2.2</w:t>
      </w:r>
      <w:r>
        <w:rPr>
          <w:rFonts w:hint="eastAsia" w:ascii="宋体" w:hAnsi="宋体" w:cs="宋体"/>
          <w:sz w:val="24"/>
          <w:lang w:bidi="ar"/>
        </w:rPr>
        <w:t>项补充：</w:t>
      </w:r>
    </w:p>
    <w:p w14:paraId="54CFE00F">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w:t>
      </w:r>
      <w:r>
        <w:rPr>
          <w:rFonts w:ascii="宋体" w:hAnsi="宋体" w:cs="宋体"/>
          <w:sz w:val="24"/>
          <w:lang w:bidi="ar"/>
        </w:rPr>
        <w:t>3）</w:t>
      </w:r>
      <w:r>
        <w:rPr>
          <w:rFonts w:hint="eastAsia" w:ascii="宋体" w:hAnsi="宋体" w:cs="宋体"/>
          <w:sz w:val="24"/>
          <w:lang w:bidi="ar"/>
        </w:rPr>
        <w:t>发包人无正当理由不按时返还履约保证金、质量保证金或农民工工资保证金的，发包人应向承包人支付的违约金如下：</w:t>
      </w:r>
      <w:r>
        <w:rPr>
          <w:rFonts w:ascii="宋体" w:hAnsi="宋体" w:cs="宋体"/>
          <w:sz w:val="24"/>
          <w:lang w:bidi="ar"/>
        </w:rPr>
        <w:t xml:space="preserve"> </w:t>
      </w:r>
    </w:p>
    <w:p w14:paraId="4413CA86">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fldChar w:fldCharType="begin"/>
      </w:r>
      <w:r>
        <w:rPr>
          <w:rFonts w:ascii="宋体" w:hAnsi="宋体" w:cs="宋体"/>
          <w:sz w:val="24"/>
          <w:lang w:bidi="ar"/>
        </w:rPr>
        <w:instrText xml:space="preserve"> = 1 \* GB3 \* MERGEFORMAT </w:instrText>
      </w:r>
      <w:r>
        <w:rPr>
          <w:rFonts w:hint="eastAsia" w:ascii="宋体" w:hAnsi="宋体" w:cs="宋体"/>
          <w:sz w:val="24"/>
          <w:lang w:bidi="ar"/>
        </w:rPr>
        <w:fldChar w:fldCharType="separate"/>
      </w:r>
      <w:r>
        <w:rPr>
          <w:rFonts w:hint="eastAsia" w:ascii="宋体" w:hAnsi="宋体" w:cs="宋体"/>
          <w:sz w:val="24"/>
        </w:rPr>
        <w:t>①</w:t>
      </w:r>
      <w:r>
        <w:rPr>
          <w:rFonts w:hint="eastAsia" w:ascii="宋体" w:hAnsi="宋体" w:cs="宋体"/>
          <w:sz w:val="24"/>
          <w:lang w:bidi="ar"/>
        </w:rPr>
        <w:fldChar w:fldCharType="end"/>
      </w:r>
      <w:r>
        <w:rPr>
          <w:rFonts w:hint="eastAsia" w:ascii="宋体" w:hAnsi="宋体" w:cs="宋体"/>
          <w:sz w:val="24"/>
          <w:lang w:bidi="ar"/>
        </w:rPr>
        <w:t>计算违约金的起始日期为应付当日之后的第</w:t>
      </w:r>
      <w:r>
        <w:rPr>
          <w:rFonts w:ascii="宋体" w:hAnsi="宋体" w:cs="宋体"/>
          <w:sz w:val="24"/>
          <w:lang w:bidi="ar"/>
        </w:rPr>
        <w:t xml:space="preserve">42日，终止日期为实际支付之日的前一日； </w:t>
      </w:r>
    </w:p>
    <w:p w14:paraId="1EC0766D">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fldChar w:fldCharType="begin"/>
      </w:r>
      <w:r>
        <w:rPr>
          <w:rFonts w:ascii="宋体" w:hAnsi="宋体" w:cs="宋体"/>
          <w:sz w:val="24"/>
          <w:lang w:bidi="ar"/>
        </w:rPr>
        <w:instrText xml:space="preserve"> = 2 \* GB3 \* MERGEFORMAT </w:instrText>
      </w:r>
      <w:r>
        <w:rPr>
          <w:rFonts w:hint="eastAsia" w:ascii="宋体" w:hAnsi="宋体" w:cs="宋体"/>
          <w:sz w:val="24"/>
          <w:lang w:bidi="ar"/>
        </w:rPr>
        <w:fldChar w:fldCharType="separate"/>
      </w:r>
      <w:r>
        <w:rPr>
          <w:rFonts w:hint="eastAsia" w:ascii="宋体" w:hAnsi="宋体" w:cs="宋体"/>
          <w:sz w:val="24"/>
        </w:rPr>
        <w:t>②</w:t>
      </w:r>
      <w:r>
        <w:rPr>
          <w:rFonts w:hint="eastAsia" w:ascii="宋体" w:hAnsi="宋体" w:cs="宋体"/>
          <w:sz w:val="24"/>
          <w:lang w:bidi="ar"/>
        </w:rPr>
        <w:fldChar w:fldCharType="end"/>
      </w:r>
      <w:r>
        <w:rPr>
          <w:rFonts w:hint="eastAsia" w:ascii="宋体" w:hAnsi="宋体" w:cs="宋体"/>
          <w:sz w:val="24"/>
          <w:lang w:bidi="ar"/>
        </w:rPr>
        <w:t>保证金为现金的，违约金按照第（</w:t>
      </w:r>
      <w:r>
        <w:rPr>
          <w:rFonts w:ascii="宋体" w:hAnsi="宋体" w:cs="宋体"/>
          <w:sz w:val="24"/>
          <w:lang w:bidi="ar"/>
        </w:rPr>
        <w:t>1）目所述时间段内</w:t>
      </w:r>
      <w:r>
        <w:rPr>
          <w:rFonts w:ascii="宋体" w:hAnsi="宋体" w:cs="宋体"/>
          <w:sz w:val="24"/>
          <w:u w:val="single"/>
          <w:lang w:bidi="ar"/>
        </w:rPr>
        <w:t xml:space="preserve">         </w:t>
      </w:r>
      <w:r>
        <w:rPr>
          <w:rFonts w:hint="eastAsia" w:ascii="宋体" w:hAnsi="宋体" w:cs="宋体"/>
          <w:sz w:val="24"/>
          <w:lang w:bidi="ar"/>
        </w:rPr>
        <w:t>利率计付；</w:t>
      </w:r>
      <w:r>
        <w:rPr>
          <w:rFonts w:ascii="宋体" w:hAnsi="宋体" w:cs="宋体"/>
          <w:sz w:val="24"/>
          <w:lang w:bidi="ar"/>
        </w:rPr>
        <w:t xml:space="preserve"> </w:t>
      </w:r>
    </w:p>
    <w:p w14:paraId="776FAF64">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fldChar w:fldCharType="begin"/>
      </w:r>
      <w:r>
        <w:rPr>
          <w:rFonts w:ascii="宋体" w:hAnsi="宋体" w:cs="宋体"/>
          <w:sz w:val="24"/>
          <w:lang w:bidi="ar"/>
        </w:rPr>
        <w:instrText xml:space="preserve"> = 3 \* GB3 \* MERGEFORMAT </w:instrText>
      </w:r>
      <w:r>
        <w:rPr>
          <w:rFonts w:hint="eastAsia" w:ascii="宋体" w:hAnsi="宋体" w:cs="宋体"/>
          <w:sz w:val="24"/>
          <w:lang w:bidi="ar"/>
        </w:rPr>
        <w:fldChar w:fldCharType="separate"/>
      </w:r>
      <w:r>
        <w:rPr>
          <w:rFonts w:hint="eastAsia" w:ascii="宋体" w:hAnsi="宋体" w:cs="宋体"/>
          <w:sz w:val="24"/>
        </w:rPr>
        <w:t>③</w:t>
      </w:r>
      <w:r>
        <w:rPr>
          <w:rFonts w:hint="eastAsia" w:ascii="宋体" w:hAnsi="宋体" w:cs="宋体"/>
          <w:sz w:val="24"/>
          <w:lang w:bidi="ar"/>
        </w:rPr>
        <w:fldChar w:fldCharType="end"/>
      </w:r>
      <w:r>
        <w:rPr>
          <w:rFonts w:hint="eastAsia" w:ascii="宋体" w:hAnsi="宋体" w:cs="宋体"/>
          <w:sz w:val="24"/>
          <w:lang w:bidi="ar"/>
        </w:rPr>
        <w:t>违约金金额计算至分位，分以下尾数四舍五入。</w:t>
      </w:r>
    </w:p>
    <w:p w14:paraId="3E77A204">
      <w:pPr>
        <w:pStyle w:val="2"/>
        <w:spacing w:before="360" w:after="240" w:line="240" w:lineRule="atLeast"/>
        <w:rPr>
          <w:rFonts w:ascii="黑体"/>
          <w:sz w:val="28"/>
          <w:szCs w:val="28"/>
        </w:rPr>
      </w:pPr>
      <w:r>
        <w:rPr>
          <w:rFonts w:ascii="黑体"/>
          <w:b w:val="0"/>
          <w:sz w:val="28"/>
          <w:szCs w:val="28"/>
        </w:rPr>
        <w:t xml:space="preserve">23. </w:t>
      </w:r>
      <w:r>
        <w:rPr>
          <w:rFonts w:hint="eastAsia" w:ascii="黑体"/>
          <w:b w:val="0"/>
          <w:sz w:val="28"/>
          <w:szCs w:val="28"/>
        </w:rPr>
        <w:t>索赔</w:t>
      </w:r>
      <w:r>
        <w:rPr>
          <w:rFonts w:ascii="黑体"/>
          <w:b w:val="0"/>
          <w:sz w:val="28"/>
          <w:szCs w:val="28"/>
        </w:rPr>
        <w:t xml:space="preserve"> </w:t>
      </w:r>
    </w:p>
    <w:p w14:paraId="16759D8A">
      <w:pPr>
        <w:pStyle w:val="2"/>
        <w:spacing w:before="240" w:after="240" w:line="240" w:lineRule="atLeast"/>
        <w:rPr>
          <w:rFonts w:ascii="黑体"/>
          <w:sz w:val="24"/>
          <w:szCs w:val="24"/>
        </w:rPr>
      </w:pPr>
      <w:r>
        <w:rPr>
          <w:rFonts w:ascii="黑体"/>
          <w:b w:val="0"/>
          <w:sz w:val="24"/>
          <w:szCs w:val="24"/>
        </w:rPr>
        <w:t xml:space="preserve">23.1 </w:t>
      </w:r>
      <w:r>
        <w:rPr>
          <w:rFonts w:hint="eastAsia" w:ascii="黑体"/>
          <w:b w:val="0"/>
          <w:sz w:val="24"/>
          <w:szCs w:val="24"/>
        </w:rPr>
        <w:t>承包人索赔的提出</w:t>
      </w:r>
      <w:r>
        <w:rPr>
          <w:rFonts w:ascii="黑体"/>
          <w:b w:val="0"/>
          <w:sz w:val="24"/>
          <w:szCs w:val="24"/>
        </w:rPr>
        <w:t xml:space="preserve"> </w:t>
      </w:r>
    </w:p>
    <w:p w14:paraId="14753496">
      <w:pPr>
        <w:adjustRightInd w:val="0"/>
        <w:snapToGrid w:val="0"/>
        <w:spacing w:line="360" w:lineRule="auto"/>
        <w:ind w:firstLine="480" w:firstLineChars="200"/>
        <w:rPr>
          <w:rFonts w:ascii="宋体" w:hAnsi="宋体" w:cs="宋体"/>
          <w:sz w:val="24"/>
        </w:rPr>
      </w:pPr>
      <w:r>
        <w:rPr>
          <w:rFonts w:hint="eastAsia" w:ascii="宋体" w:hAnsi="宋体" w:cs="宋体"/>
          <w:sz w:val="24"/>
        </w:rPr>
        <w:t>本款第（</w:t>
      </w:r>
      <w:r>
        <w:rPr>
          <w:rFonts w:ascii="宋体" w:hAnsi="宋体" w:cs="宋体"/>
          <w:sz w:val="24"/>
        </w:rPr>
        <w:t>4</w:t>
      </w:r>
      <w:r>
        <w:rPr>
          <w:rFonts w:hint="eastAsia" w:ascii="宋体" w:hAnsi="宋体" w:cs="宋体"/>
          <w:sz w:val="24"/>
        </w:rPr>
        <w:t>）项细化为：</w:t>
      </w:r>
      <w:r>
        <w:rPr>
          <w:rFonts w:ascii="宋体" w:hAnsi="宋体" w:cs="宋体"/>
          <w:sz w:val="24"/>
        </w:rPr>
        <w:t xml:space="preserve"> </w:t>
      </w:r>
    </w:p>
    <w:p w14:paraId="51BB5EE9">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）在索赔事件影响结束后的</w:t>
      </w:r>
      <w:r>
        <w:rPr>
          <w:rFonts w:ascii="宋体" w:hAnsi="宋体" w:cs="宋体"/>
          <w:sz w:val="24"/>
        </w:rPr>
        <w:t>28</w:t>
      </w:r>
      <w:r>
        <w:rPr>
          <w:rFonts w:hint="eastAsia" w:ascii="宋体" w:hAnsi="宋体" w:cs="宋体"/>
          <w:sz w:val="24"/>
        </w:rPr>
        <w:t>天内，承包人应向监理人递交最终索赔通知书，说明最终要求索赔的追加付款金额和（或）延长的工期，并附必要的记录和证明材料。</w:t>
      </w:r>
    </w:p>
    <w:p w14:paraId="60746B6F">
      <w:pPr>
        <w:pStyle w:val="2"/>
        <w:spacing w:before="240" w:after="240" w:line="240" w:lineRule="atLeast"/>
        <w:rPr>
          <w:rFonts w:ascii="黑体"/>
          <w:sz w:val="24"/>
          <w:szCs w:val="24"/>
        </w:rPr>
      </w:pPr>
      <w:r>
        <w:rPr>
          <w:rFonts w:ascii="黑体"/>
          <w:b w:val="0"/>
          <w:sz w:val="24"/>
          <w:szCs w:val="24"/>
        </w:rPr>
        <w:t xml:space="preserve">23.2 </w:t>
      </w:r>
      <w:r>
        <w:rPr>
          <w:rFonts w:hint="eastAsia" w:ascii="黑体"/>
          <w:b w:val="0"/>
          <w:sz w:val="24"/>
          <w:szCs w:val="24"/>
        </w:rPr>
        <w:t>承包人索赔处理程序</w:t>
      </w:r>
      <w:r>
        <w:rPr>
          <w:rFonts w:ascii="黑体"/>
          <w:b w:val="0"/>
          <w:sz w:val="24"/>
          <w:szCs w:val="24"/>
        </w:rPr>
        <w:t xml:space="preserve"> </w:t>
      </w:r>
    </w:p>
    <w:p w14:paraId="4C268C6F">
      <w:pPr>
        <w:adjustRightInd w:val="0"/>
        <w:snapToGrid w:val="0"/>
        <w:spacing w:line="360" w:lineRule="auto"/>
        <w:ind w:firstLine="480" w:firstLineChars="200"/>
        <w:rPr>
          <w:sz w:val="24"/>
        </w:rPr>
      </w:pPr>
      <w:r>
        <w:rPr>
          <w:rFonts w:hint="eastAsia"/>
          <w:sz w:val="24"/>
        </w:rPr>
        <w:t>本款第（</w:t>
      </w:r>
      <w:r>
        <w:rPr>
          <w:sz w:val="24"/>
        </w:rPr>
        <w:t>2</w:t>
      </w:r>
      <w:r>
        <w:rPr>
          <w:rFonts w:hint="eastAsia"/>
          <w:sz w:val="24"/>
        </w:rPr>
        <w:t>）项细化为：</w:t>
      </w:r>
      <w:r>
        <w:rPr>
          <w:sz w:val="24"/>
        </w:rPr>
        <w:t xml:space="preserve"> </w:t>
      </w:r>
    </w:p>
    <w:p w14:paraId="2B083647">
      <w:pPr>
        <w:adjustRightInd w:val="0"/>
        <w:snapToGrid w:val="0"/>
        <w:spacing w:line="360" w:lineRule="auto"/>
        <w:ind w:firstLine="480" w:firstLineChars="200"/>
        <w:rPr>
          <w:sz w:val="24"/>
        </w:rPr>
      </w:pPr>
      <w:r>
        <w:rPr>
          <w:rFonts w:hint="eastAsia"/>
          <w:sz w:val="24"/>
        </w:rPr>
        <w:t>（</w:t>
      </w:r>
      <w:r>
        <w:rPr>
          <w:sz w:val="24"/>
        </w:rPr>
        <w:t>2</w:t>
      </w:r>
      <w:r>
        <w:rPr>
          <w:rFonts w:hint="eastAsia"/>
          <w:sz w:val="24"/>
        </w:rPr>
        <w:t>）监理人应按第</w:t>
      </w:r>
      <w:r>
        <w:rPr>
          <w:sz w:val="24"/>
        </w:rPr>
        <w:t>3.5</w:t>
      </w:r>
      <w:r>
        <w:rPr>
          <w:rFonts w:hint="eastAsia"/>
          <w:sz w:val="24"/>
        </w:rPr>
        <w:t>款商定或确定追加的付款和（或）延长的工期，并在收到上述索赔通知书或有关索赔的进一步证明材料后的</w:t>
      </w:r>
      <w:r>
        <w:rPr>
          <w:sz w:val="24"/>
        </w:rPr>
        <w:t>42</w:t>
      </w:r>
      <w:r>
        <w:rPr>
          <w:rFonts w:hint="eastAsia"/>
          <w:sz w:val="24"/>
        </w:rPr>
        <w:t>天内，将索赔处理结果报发包人批准后答复承包人。如果承包人提出的索赔要求未能遵守第</w:t>
      </w:r>
      <w:r>
        <w:rPr>
          <w:sz w:val="24"/>
        </w:rPr>
        <w:t>23.1</w:t>
      </w:r>
      <w:r>
        <w:rPr>
          <w:rFonts w:hint="eastAsia"/>
          <w:sz w:val="24"/>
          <w:lang w:val="en-US" w:eastAsia="zh-CN"/>
        </w:rPr>
        <w:t>款</w:t>
      </w:r>
      <w:r>
        <w:rPr>
          <w:rFonts w:hint="eastAsia"/>
          <w:sz w:val="24"/>
        </w:rPr>
        <w:t>（</w:t>
      </w:r>
      <w:r>
        <w:rPr>
          <w:sz w:val="24"/>
        </w:rPr>
        <w:t>2</w:t>
      </w:r>
      <w:r>
        <w:rPr>
          <w:rFonts w:hint="eastAsia"/>
          <w:sz w:val="24"/>
        </w:rPr>
        <w:t>）</w:t>
      </w:r>
      <w:r>
        <w:rPr>
          <w:sz w:val="24"/>
        </w:rPr>
        <w:t>~</w:t>
      </w:r>
      <w:r>
        <w:rPr>
          <w:rFonts w:hint="eastAsia"/>
          <w:sz w:val="24"/>
        </w:rPr>
        <w:t>（</w:t>
      </w:r>
      <w:r>
        <w:rPr>
          <w:sz w:val="24"/>
        </w:rPr>
        <w:t>4</w:t>
      </w:r>
      <w:r>
        <w:rPr>
          <w:rFonts w:hint="eastAsia"/>
          <w:sz w:val="24"/>
        </w:rPr>
        <w:t>）项的规定，则承包人只限于索赔由监理人按当时记录予以核实的那部分款额和（或）工期延长天数。</w:t>
      </w:r>
    </w:p>
    <w:p w14:paraId="0D2D1D5D">
      <w:pPr>
        <w:spacing w:line="360" w:lineRule="auto"/>
        <w:ind w:firstLine="480"/>
        <w:rPr>
          <w:rFonts w:ascii="宋体" w:hAnsi="宋体"/>
          <w:sz w:val="24"/>
        </w:rPr>
      </w:pPr>
      <w:r>
        <w:rPr>
          <w:rFonts w:hint="eastAsia" w:ascii="宋体" w:hAnsi="宋体"/>
          <w:sz w:val="24"/>
        </w:rPr>
        <w:t>任何一方在得到可能造成工程延迟或中断、或可能导致额外费用索赔的任何情况时，应尽快通知对方。无论何种原因引起的延误，承包人均应采取所有合理措施将影响减至最小，若承包人未采取合理措施降低损失的，无权就扩大部分损失进行索赔。</w:t>
      </w:r>
    </w:p>
    <w:p w14:paraId="410FFC24">
      <w:pPr>
        <w:adjustRightInd w:val="0"/>
        <w:snapToGrid w:val="0"/>
        <w:spacing w:line="360" w:lineRule="auto"/>
        <w:rPr>
          <w:sz w:val="24"/>
        </w:rPr>
      </w:pPr>
      <w:r>
        <w:rPr>
          <w:rFonts w:hint="eastAsia" w:ascii="宋体" w:hAnsi="宋体"/>
          <w:sz w:val="24"/>
        </w:rPr>
        <w:t>承包人按照索赔程序向监理人发出索赔通知，说明延误的工期和人员、机械窝工的具体费用并附有相关证明材料。如果索赔成立，则要求索赔的追加付款金额仅限于索赔事件所影响的直接费用（仅限于人工费、机械设备费）及税金，不包括措施费用、管理费、利润等，其中人工费只计一线生产人员费用，一线生产人员费用按施工当地政府公布的最低工资标准计取，机械设备费用按照现行《公路工程机械台班费用定额》中不变费用的折旧费计取；索赔人工和机械设备数量按经总监和发包人确认的窝工数量计算。承包人未按索赔程序进行索赔的，无权要求增加费用和顺延工期。</w:t>
      </w:r>
    </w:p>
    <w:p w14:paraId="49A6AF16">
      <w:pPr>
        <w:pStyle w:val="2"/>
        <w:spacing w:before="360" w:after="240" w:line="240" w:lineRule="atLeast"/>
        <w:rPr>
          <w:rFonts w:ascii="黑体"/>
          <w:sz w:val="28"/>
          <w:szCs w:val="28"/>
        </w:rPr>
      </w:pPr>
      <w:r>
        <w:rPr>
          <w:rFonts w:ascii="黑体"/>
          <w:b w:val="0"/>
          <w:sz w:val="28"/>
          <w:szCs w:val="28"/>
        </w:rPr>
        <w:t xml:space="preserve">24. </w:t>
      </w:r>
      <w:r>
        <w:rPr>
          <w:rFonts w:hint="eastAsia" w:ascii="黑体"/>
          <w:b w:val="0"/>
          <w:sz w:val="28"/>
          <w:szCs w:val="28"/>
        </w:rPr>
        <w:t>争议的解决</w:t>
      </w:r>
      <w:r>
        <w:rPr>
          <w:rFonts w:ascii="黑体"/>
          <w:b w:val="0"/>
          <w:sz w:val="28"/>
          <w:szCs w:val="28"/>
        </w:rPr>
        <w:t xml:space="preserve"> </w:t>
      </w:r>
    </w:p>
    <w:p w14:paraId="4C1CFF53">
      <w:pPr>
        <w:pStyle w:val="2"/>
        <w:spacing w:before="240" w:after="240" w:line="240" w:lineRule="atLeast"/>
        <w:rPr>
          <w:rFonts w:ascii="黑体"/>
          <w:sz w:val="24"/>
          <w:szCs w:val="24"/>
        </w:rPr>
      </w:pPr>
      <w:r>
        <w:rPr>
          <w:rFonts w:ascii="黑体"/>
          <w:b w:val="0"/>
          <w:sz w:val="24"/>
          <w:szCs w:val="24"/>
        </w:rPr>
        <w:t xml:space="preserve">24.3 </w:t>
      </w:r>
      <w:r>
        <w:rPr>
          <w:rFonts w:hint="eastAsia" w:ascii="黑体"/>
          <w:b w:val="0"/>
          <w:sz w:val="24"/>
          <w:szCs w:val="24"/>
        </w:rPr>
        <w:t>争议评审</w:t>
      </w:r>
      <w:r>
        <w:rPr>
          <w:rFonts w:ascii="黑体"/>
          <w:b w:val="0"/>
          <w:sz w:val="24"/>
          <w:szCs w:val="24"/>
        </w:rPr>
        <w:t xml:space="preserve"> </w:t>
      </w:r>
    </w:p>
    <w:p w14:paraId="0FFE7F66">
      <w:pPr>
        <w:spacing w:line="360" w:lineRule="auto"/>
        <w:ind w:firstLine="480"/>
        <w:rPr>
          <w:rFonts w:ascii="宋体" w:hAnsi="宋体"/>
          <w:sz w:val="24"/>
        </w:rPr>
      </w:pPr>
      <w:r>
        <w:rPr>
          <w:rFonts w:hint="eastAsia" w:ascii="宋体" w:hAnsi="宋体"/>
          <w:sz w:val="24"/>
        </w:rPr>
        <w:t>第</w:t>
      </w:r>
      <w:r>
        <w:rPr>
          <w:rFonts w:ascii="宋体" w:hAnsi="宋体"/>
          <w:sz w:val="24"/>
        </w:rPr>
        <w:t>24.3.1</w:t>
      </w:r>
      <w:r>
        <w:rPr>
          <w:rFonts w:hint="eastAsia" w:ascii="宋体" w:hAnsi="宋体"/>
          <w:sz w:val="24"/>
        </w:rPr>
        <w:t>项补充：</w:t>
      </w:r>
      <w:r>
        <w:rPr>
          <w:rFonts w:ascii="宋体" w:hAnsi="宋体"/>
          <w:sz w:val="24"/>
        </w:rPr>
        <w:t xml:space="preserve"> </w:t>
      </w:r>
    </w:p>
    <w:p w14:paraId="17A44230">
      <w:pPr>
        <w:spacing w:line="360" w:lineRule="auto"/>
        <w:ind w:firstLine="480"/>
        <w:rPr>
          <w:rFonts w:ascii="宋体" w:hAnsi="宋体"/>
          <w:sz w:val="24"/>
        </w:rPr>
      </w:pPr>
      <w:r>
        <w:rPr>
          <w:rFonts w:hint="eastAsia" w:ascii="宋体" w:hAnsi="宋体"/>
          <w:sz w:val="24"/>
        </w:rPr>
        <w:t>争议评审组由</w:t>
      </w:r>
      <w:r>
        <w:rPr>
          <w:rFonts w:ascii="宋体" w:hAnsi="宋体"/>
          <w:sz w:val="24"/>
        </w:rPr>
        <w:t>3</w:t>
      </w:r>
      <w:r>
        <w:rPr>
          <w:rFonts w:hint="eastAsia" w:ascii="宋体" w:hAnsi="宋体"/>
          <w:sz w:val="24"/>
        </w:rPr>
        <w:t>人或</w:t>
      </w:r>
      <w:r>
        <w:rPr>
          <w:rFonts w:ascii="宋体" w:hAnsi="宋体"/>
          <w:sz w:val="24"/>
        </w:rPr>
        <w:t>5</w:t>
      </w:r>
      <w:r>
        <w:rPr>
          <w:rFonts w:hint="eastAsia" w:ascii="宋体" w:hAnsi="宋体"/>
          <w:sz w:val="24"/>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r>
        <w:rPr>
          <w:rFonts w:ascii="宋体" w:hAnsi="宋体"/>
          <w:sz w:val="24"/>
        </w:rPr>
        <w:t xml:space="preserve"> </w:t>
      </w:r>
    </w:p>
    <w:p w14:paraId="342D8361">
      <w:pPr>
        <w:spacing w:line="360" w:lineRule="auto"/>
        <w:ind w:firstLine="480"/>
        <w:rPr>
          <w:rFonts w:ascii="宋体" w:hAnsi="宋体"/>
          <w:sz w:val="24"/>
        </w:rPr>
      </w:pPr>
      <w:r>
        <w:rPr>
          <w:rFonts w:hint="eastAsia" w:ascii="宋体" w:hAnsi="宋体"/>
          <w:sz w:val="24"/>
        </w:rPr>
        <w:t>本条补充第</w:t>
      </w:r>
      <w:r>
        <w:rPr>
          <w:rFonts w:ascii="宋体" w:hAnsi="宋体"/>
          <w:sz w:val="24"/>
        </w:rPr>
        <w:t>24.4</w:t>
      </w:r>
      <w:r>
        <w:rPr>
          <w:rFonts w:hint="eastAsia" w:ascii="宋体" w:hAnsi="宋体"/>
          <w:sz w:val="24"/>
        </w:rPr>
        <w:t>款、第</w:t>
      </w:r>
      <w:r>
        <w:rPr>
          <w:rFonts w:ascii="宋体" w:hAnsi="宋体"/>
          <w:sz w:val="24"/>
        </w:rPr>
        <w:t>24.5</w:t>
      </w:r>
      <w:r>
        <w:rPr>
          <w:rFonts w:hint="eastAsia" w:ascii="宋体" w:hAnsi="宋体"/>
          <w:sz w:val="24"/>
        </w:rPr>
        <w:t>款（适用于采用仲裁方式最终解决争议的项目）：</w:t>
      </w:r>
      <w:r>
        <w:rPr>
          <w:rFonts w:ascii="宋体" w:hAnsi="宋体"/>
          <w:sz w:val="24"/>
        </w:rPr>
        <w:t xml:space="preserve"> </w:t>
      </w:r>
    </w:p>
    <w:p w14:paraId="4411DFE0">
      <w:pPr>
        <w:pStyle w:val="2"/>
        <w:spacing w:before="240" w:after="240" w:line="240" w:lineRule="atLeast"/>
        <w:rPr>
          <w:rFonts w:ascii="黑体"/>
          <w:sz w:val="24"/>
          <w:szCs w:val="24"/>
        </w:rPr>
      </w:pPr>
      <w:r>
        <w:rPr>
          <w:rFonts w:ascii="黑体"/>
          <w:b w:val="0"/>
          <w:sz w:val="24"/>
          <w:szCs w:val="24"/>
        </w:rPr>
        <w:t xml:space="preserve">24.4 </w:t>
      </w:r>
      <w:r>
        <w:rPr>
          <w:rFonts w:hint="eastAsia" w:ascii="黑体"/>
          <w:b w:val="0"/>
          <w:sz w:val="24"/>
          <w:szCs w:val="24"/>
        </w:rPr>
        <w:t>仲裁</w:t>
      </w:r>
      <w:r>
        <w:rPr>
          <w:rFonts w:ascii="黑体"/>
          <w:b w:val="0"/>
          <w:sz w:val="24"/>
          <w:szCs w:val="24"/>
        </w:rPr>
        <w:t xml:space="preserve"> </w:t>
      </w:r>
    </w:p>
    <w:p w14:paraId="47D75C86">
      <w:pPr>
        <w:spacing w:line="360" w:lineRule="auto"/>
        <w:ind w:firstLine="48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）对于未能友好解决或未能通过争议评审解决的争议，发包人或承包人任一方均有权提交给第</w:t>
      </w:r>
      <w:r>
        <w:rPr>
          <w:rFonts w:ascii="宋体" w:hAnsi="宋体"/>
          <w:sz w:val="24"/>
        </w:rPr>
        <w:t>24.1</w:t>
      </w:r>
      <w:r>
        <w:rPr>
          <w:rFonts w:hint="eastAsia" w:ascii="宋体" w:hAnsi="宋体"/>
          <w:sz w:val="24"/>
        </w:rPr>
        <w:t>款约定的仲裁委员会仲裁。</w:t>
      </w:r>
      <w:r>
        <w:rPr>
          <w:rFonts w:ascii="宋体" w:hAnsi="宋体"/>
          <w:sz w:val="24"/>
        </w:rPr>
        <w:t xml:space="preserve"> </w:t>
      </w:r>
    </w:p>
    <w:p w14:paraId="5191B1D3">
      <w:pPr>
        <w:spacing w:line="360" w:lineRule="auto"/>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）仲裁可在交工之前或之后进行，但发包人、监理人和承包人各自的义务不得因在工程实施期间进行仲裁而有所改变。如果仲裁是在终止合同的情况下进行，则对合同工程应采取保护措施，措施费由败诉方承担。</w:t>
      </w:r>
      <w:r>
        <w:rPr>
          <w:rFonts w:ascii="宋体" w:hAnsi="宋体"/>
          <w:sz w:val="24"/>
        </w:rPr>
        <w:t xml:space="preserve"> </w:t>
      </w:r>
    </w:p>
    <w:p w14:paraId="77C63BE4">
      <w:pPr>
        <w:spacing w:line="360" w:lineRule="auto"/>
        <w:ind w:firstLine="48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）仲裁裁决是终局性的并对发包人和承包人双方具有约束力。</w:t>
      </w:r>
      <w:r>
        <w:rPr>
          <w:rFonts w:ascii="宋体" w:hAnsi="宋体"/>
          <w:sz w:val="24"/>
        </w:rPr>
        <w:t xml:space="preserve"> </w:t>
      </w:r>
    </w:p>
    <w:p w14:paraId="7BE76DA1">
      <w:pPr>
        <w:spacing w:line="360" w:lineRule="auto"/>
        <w:ind w:firstLine="480"/>
        <w:rPr>
          <w:rFonts w:ascii="宋体" w:cs="宋体"/>
          <w:kern w:val="0"/>
          <w:sz w:val="23"/>
          <w:szCs w:val="23"/>
        </w:rPr>
      </w:pPr>
      <w:r>
        <w:rPr>
          <w:rFonts w:hint="eastAsia" w:ascii="宋体" w:hAnsi="宋体"/>
          <w:sz w:val="24"/>
        </w:rPr>
        <w:t>（</w:t>
      </w:r>
      <w:r>
        <w:rPr>
          <w:rFonts w:ascii="宋体" w:hAnsi="宋体"/>
          <w:sz w:val="24"/>
        </w:rPr>
        <w:t>4</w:t>
      </w:r>
      <w:r>
        <w:rPr>
          <w:rFonts w:hint="eastAsia" w:ascii="宋体" w:hAnsi="宋体"/>
          <w:sz w:val="24"/>
        </w:rPr>
        <w:t>）全部仲裁费用应由败诉方承担；或按仲裁委员会裁决的比例分担。</w:t>
      </w:r>
      <w:r>
        <w:rPr>
          <w:rFonts w:ascii="宋体" w:hAnsi="宋体"/>
          <w:sz w:val="24"/>
        </w:rPr>
        <w:t xml:space="preserve"> </w:t>
      </w:r>
    </w:p>
    <w:p w14:paraId="1D069630">
      <w:pPr>
        <w:pStyle w:val="2"/>
        <w:spacing w:before="240" w:after="240" w:line="240" w:lineRule="atLeast"/>
        <w:rPr>
          <w:rFonts w:ascii="黑体"/>
          <w:sz w:val="24"/>
          <w:szCs w:val="24"/>
        </w:rPr>
      </w:pPr>
      <w:r>
        <w:rPr>
          <w:rFonts w:ascii="黑体"/>
          <w:b w:val="0"/>
          <w:sz w:val="24"/>
          <w:szCs w:val="24"/>
        </w:rPr>
        <w:t xml:space="preserve">24.5 </w:t>
      </w:r>
      <w:r>
        <w:rPr>
          <w:rFonts w:hint="eastAsia" w:ascii="黑体"/>
          <w:b w:val="0"/>
          <w:sz w:val="24"/>
          <w:szCs w:val="24"/>
        </w:rPr>
        <w:t>仲裁的执行</w:t>
      </w:r>
      <w:r>
        <w:rPr>
          <w:rFonts w:ascii="黑体"/>
          <w:b w:val="0"/>
          <w:sz w:val="24"/>
          <w:szCs w:val="24"/>
        </w:rPr>
        <w:t xml:space="preserve"> </w:t>
      </w:r>
    </w:p>
    <w:p w14:paraId="39BA5DBF">
      <w:pPr>
        <w:spacing w:line="360" w:lineRule="auto"/>
        <w:ind w:firstLine="48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）任何一方不履行仲裁机构的裁决的，对方可以向有管辖权的人民法院申请执行。</w:t>
      </w:r>
      <w:r>
        <w:rPr>
          <w:rFonts w:ascii="宋体" w:hAnsi="宋体"/>
          <w:sz w:val="24"/>
        </w:rPr>
        <w:t xml:space="preserve"> </w:t>
      </w:r>
    </w:p>
    <w:p w14:paraId="3FCC5D09">
      <w:pPr>
        <w:spacing w:line="360" w:lineRule="auto"/>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7A1B1379">
      <w:pPr>
        <w:adjustRightInd w:val="0"/>
        <w:snapToGrid w:val="0"/>
        <w:spacing w:line="360" w:lineRule="auto"/>
        <w:ind w:firstLine="480" w:firstLineChars="200"/>
        <w:rPr>
          <w:rFonts w:ascii="宋体" w:hAnsi="宋体"/>
          <w:bCs/>
          <w:sz w:val="24"/>
        </w:rPr>
      </w:pPr>
      <w:r>
        <w:rPr>
          <w:rFonts w:hint="eastAsia" w:ascii="宋体" w:hAnsi="宋体"/>
          <w:bCs/>
          <w:sz w:val="24"/>
          <w:lang w:val="en-US" w:eastAsia="zh-CN"/>
        </w:rPr>
        <w:t>本节</w:t>
      </w:r>
      <w:r>
        <w:rPr>
          <w:rFonts w:hint="eastAsia" w:ascii="宋体" w:hAnsi="宋体"/>
          <w:bCs/>
          <w:sz w:val="24"/>
        </w:rPr>
        <w:t>补充第</w:t>
      </w:r>
      <w:r>
        <w:rPr>
          <w:rFonts w:ascii="宋体" w:hAnsi="宋体"/>
          <w:bCs/>
          <w:sz w:val="24"/>
        </w:rPr>
        <w:t>25</w:t>
      </w:r>
      <w:r>
        <w:rPr>
          <w:rFonts w:hint="eastAsia" w:ascii="宋体" w:hAnsi="宋体"/>
          <w:bCs/>
          <w:sz w:val="24"/>
        </w:rPr>
        <w:t>条</w:t>
      </w:r>
      <w:r>
        <w:rPr>
          <w:rFonts w:hint="eastAsia" w:ascii="宋体" w:hAnsi="宋体" w:cs="宋体"/>
          <w:bCs/>
          <w:sz w:val="24"/>
        </w:rPr>
        <w:t>～第</w:t>
      </w:r>
      <w:r>
        <w:rPr>
          <w:rFonts w:hint="eastAsia" w:ascii="宋体" w:hAnsi="宋体"/>
          <w:bCs/>
          <w:sz w:val="24"/>
        </w:rPr>
        <w:t>30</w:t>
      </w:r>
      <w:r>
        <w:rPr>
          <w:rFonts w:ascii="宋体" w:hAnsi="宋体"/>
          <w:bCs/>
          <w:sz w:val="24"/>
        </w:rPr>
        <w:t>条：</w:t>
      </w:r>
    </w:p>
    <w:p w14:paraId="41DA266D">
      <w:pPr>
        <w:pStyle w:val="2"/>
        <w:numPr>
          <w:ilvl w:val="0"/>
          <w:numId w:val="8"/>
        </w:numPr>
        <w:spacing w:before="360" w:after="240" w:line="240" w:lineRule="atLeast"/>
        <w:rPr>
          <w:rFonts w:ascii="黑体"/>
          <w:b w:val="0"/>
          <w:sz w:val="28"/>
          <w:szCs w:val="28"/>
        </w:rPr>
      </w:pPr>
      <w:bookmarkStart w:id="822" w:name="_Toc53685800"/>
      <w:r>
        <w:rPr>
          <w:rFonts w:hint="eastAsia" w:ascii="黑体"/>
          <w:b w:val="0"/>
          <w:sz w:val="28"/>
          <w:szCs w:val="28"/>
        </w:rPr>
        <w:t>从业单位信用等级</w:t>
      </w:r>
      <w:bookmarkEnd w:id="822"/>
    </w:p>
    <w:p w14:paraId="5F3CD74F">
      <w:pPr>
        <w:pStyle w:val="26"/>
        <w:spacing w:line="360" w:lineRule="auto"/>
        <w:ind w:firstLine="480" w:firstLineChars="200"/>
        <w:rPr>
          <w:rFonts w:hAnsi="宋体"/>
          <w:sz w:val="24"/>
          <w:szCs w:val="24"/>
        </w:rPr>
      </w:pPr>
      <w:r>
        <w:rPr>
          <w:rFonts w:hint="eastAsia" w:ascii="Times New Roman" w:hAnsi="Times New Roman"/>
          <w:sz w:val="24"/>
          <w:szCs w:val="24"/>
        </w:rPr>
        <w:t>发包人将按照四川省交通运输厅</w:t>
      </w:r>
      <w:r>
        <w:rPr>
          <w:rFonts w:hint="eastAsia" w:hAnsi="宋体"/>
          <w:sz w:val="24"/>
        </w:rPr>
        <w:t>信用管理办法</w:t>
      </w:r>
      <w:r>
        <w:rPr>
          <w:rFonts w:hint="eastAsia" w:ascii="Times New Roman" w:hAnsi="Times New Roman"/>
          <w:sz w:val="24"/>
          <w:szCs w:val="24"/>
        </w:rPr>
        <w:t>要求，对承包人的人员设备履约、工程管理、安全生产、农民工工资支付、文明标准化施工、廉政建设等方面进行不定期和定期信用评价，并将评价结果上报上级主管单位和交通运输主管部门。</w:t>
      </w:r>
    </w:p>
    <w:p w14:paraId="1AA2073E">
      <w:pPr>
        <w:pStyle w:val="2"/>
        <w:spacing w:before="360" w:after="240" w:line="240" w:lineRule="atLeast"/>
        <w:rPr>
          <w:rFonts w:ascii="黑体"/>
          <w:b w:val="0"/>
          <w:sz w:val="28"/>
          <w:szCs w:val="28"/>
        </w:rPr>
      </w:pPr>
      <w:bookmarkStart w:id="823" w:name="_Toc53685801"/>
      <w:r>
        <w:rPr>
          <w:rFonts w:hint="eastAsia" w:ascii="黑体"/>
          <w:b w:val="0"/>
          <w:sz w:val="28"/>
          <w:szCs w:val="28"/>
        </w:rPr>
        <w:t>26．后续管理办法</w:t>
      </w:r>
      <w:bookmarkEnd w:id="823"/>
    </w:p>
    <w:p w14:paraId="5A988DB9">
      <w:pPr>
        <w:adjustRightInd w:val="0"/>
        <w:snapToGrid w:val="0"/>
        <w:spacing w:line="360" w:lineRule="auto"/>
        <w:ind w:firstLine="480" w:firstLineChars="200"/>
        <w:rPr>
          <w:rFonts w:ascii="宋体" w:cs="Courier New"/>
          <w:sz w:val="24"/>
        </w:rPr>
      </w:pPr>
      <w:r>
        <w:rPr>
          <w:rFonts w:hint="eastAsia" w:ascii="宋体" w:hAnsi="宋体" w:cs="Courier New"/>
          <w:sz w:val="24"/>
        </w:rPr>
        <w:t>在工程实施过程中，如果有新的规程、办法、规范颁布实施，本项目将按上级主管部门的决定采用执行，如有费用增减将按专用合同条款第</w:t>
      </w:r>
      <w:r>
        <w:rPr>
          <w:rFonts w:ascii="宋体" w:hAnsi="宋体" w:cs="Courier New"/>
          <w:sz w:val="24"/>
        </w:rPr>
        <w:t>15</w:t>
      </w:r>
      <w:r>
        <w:rPr>
          <w:rFonts w:hint="eastAsia" w:ascii="宋体" w:hAnsi="宋体" w:cs="Courier New"/>
          <w:sz w:val="24"/>
        </w:rPr>
        <w:t>条有关规定办理。</w:t>
      </w:r>
    </w:p>
    <w:p w14:paraId="5EE13401">
      <w:pPr>
        <w:adjustRightInd w:val="0"/>
        <w:snapToGrid w:val="0"/>
        <w:spacing w:line="360" w:lineRule="auto"/>
        <w:ind w:firstLine="410" w:firstLineChars="171"/>
        <w:rPr>
          <w:rFonts w:hAnsi="宋体"/>
          <w:sz w:val="24"/>
        </w:rPr>
      </w:pPr>
      <w:r>
        <w:rPr>
          <w:rFonts w:hAnsi="宋体"/>
          <w:sz w:val="24"/>
        </w:rPr>
        <w:t>施工期间，承包人还应执行发包人针对本项目制定的质量、安全、进度、计量、变更、奖励、资金管理</w:t>
      </w:r>
      <w:r>
        <w:rPr>
          <w:rFonts w:hint="eastAsia" w:hAnsi="宋体"/>
          <w:sz w:val="24"/>
        </w:rPr>
        <w:t>、竣工文件编制归档</w:t>
      </w:r>
      <w:r>
        <w:rPr>
          <w:rFonts w:hAnsi="宋体"/>
          <w:sz w:val="24"/>
        </w:rPr>
        <w:t>等方面的管理办法。</w:t>
      </w:r>
    </w:p>
    <w:p w14:paraId="1D706DF1">
      <w:pPr>
        <w:pStyle w:val="2"/>
        <w:spacing w:before="360" w:after="240" w:line="240" w:lineRule="atLeast"/>
        <w:rPr>
          <w:rFonts w:ascii="黑体"/>
          <w:b w:val="0"/>
          <w:sz w:val="28"/>
          <w:szCs w:val="28"/>
        </w:rPr>
      </w:pPr>
      <w:bookmarkStart w:id="824" w:name="_Toc53685802"/>
      <w:r>
        <w:rPr>
          <w:rFonts w:hint="eastAsia" w:ascii="黑体"/>
          <w:b w:val="0"/>
          <w:sz w:val="28"/>
          <w:szCs w:val="28"/>
        </w:rPr>
        <w:t>27．新材料、新工艺使用</w:t>
      </w:r>
      <w:bookmarkEnd w:id="824"/>
    </w:p>
    <w:p w14:paraId="5D0E8072">
      <w:pPr>
        <w:pStyle w:val="26"/>
        <w:snapToGrid w:val="0"/>
        <w:spacing w:line="360" w:lineRule="auto"/>
        <w:ind w:firstLine="480" w:firstLineChars="200"/>
        <w:rPr>
          <w:rFonts w:hAnsi="宋体"/>
          <w:sz w:val="24"/>
          <w:szCs w:val="24"/>
        </w:rPr>
      </w:pPr>
      <w:r>
        <w:rPr>
          <w:rFonts w:hAnsi="宋体"/>
          <w:sz w:val="24"/>
          <w:szCs w:val="24"/>
        </w:rPr>
        <w:t>在工程实施过程中，发包人按上级要求推广使用新材料、新工艺，承包人应无条件执行，由此造成的造价变化按</w:t>
      </w:r>
      <w:r>
        <w:rPr>
          <w:rFonts w:hint="eastAsia" w:hAnsi="宋体"/>
          <w:sz w:val="24"/>
          <w:szCs w:val="24"/>
        </w:rPr>
        <w:t>变更</w:t>
      </w:r>
      <w:r>
        <w:rPr>
          <w:rFonts w:hAnsi="宋体"/>
          <w:sz w:val="24"/>
          <w:szCs w:val="24"/>
        </w:rPr>
        <w:t>程序办理。</w:t>
      </w:r>
    </w:p>
    <w:p w14:paraId="3A662D53">
      <w:pPr>
        <w:pStyle w:val="2"/>
        <w:numPr>
          <w:ilvl w:val="0"/>
          <w:numId w:val="9"/>
        </w:numPr>
        <w:spacing w:before="360" w:after="240" w:line="240" w:lineRule="atLeast"/>
        <w:rPr>
          <w:rFonts w:ascii="黑体"/>
          <w:b w:val="0"/>
          <w:sz w:val="28"/>
          <w:szCs w:val="28"/>
        </w:rPr>
      </w:pPr>
      <w:bookmarkStart w:id="825" w:name="_Toc53685803"/>
      <w:r>
        <w:rPr>
          <w:rFonts w:hint="eastAsia" w:ascii="黑体"/>
          <w:b w:val="0"/>
          <w:sz w:val="28"/>
          <w:szCs w:val="28"/>
        </w:rPr>
        <w:t>开展扫黑除恶斗争</w:t>
      </w:r>
      <w:bookmarkEnd w:id="825"/>
    </w:p>
    <w:p w14:paraId="5EF93621">
      <w:pPr>
        <w:spacing w:line="360" w:lineRule="auto"/>
        <w:ind w:firstLine="480" w:firstLineChars="200"/>
        <w:jc w:val="left"/>
        <w:rPr>
          <w:rFonts w:ascii="宋体" w:hAnsi="宋体"/>
          <w:sz w:val="24"/>
        </w:rPr>
      </w:pPr>
      <w:r>
        <w:rPr>
          <w:rFonts w:ascii="宋体" w:hAnsi="宋体"/>
          <w:sz w:val="24"/>
        </w:rPr>
        <w:t>为进一步加强在全省公路水运建设领域内开展扫黑除恶专项斗争，依法严厉打击各类黑恶势力违法犯罪活动，有效净化建设市场和环境，维护企业和公民的合法权益，维护社会治安大局的持续稳定，确保全省重点公路水运项目建设有序进行</w:t>
      </w:r>
      <w:r>
        <w:rPr>
          <w:rFonts w:hint="eastAsia" w:ascii="宋体" w:hAnsi="宋体"/>
          <w:sz w:val="24"/>
          <w:lang w:eastAsia="zh-CN"/>
        </w:rPr>
        <w:t>，</w:t>
      </w:r>
      <w:r>
        <w:rPr>
          <w:rFonts w:hint="eastAsia" w:ascii="宋体" w:hAnsi="宋体"/>
          <w:sz w:val="24"/>
        </w:rPr>
        <w:t>发包人、监理人及承包人不得存在以下违法犯罪活动行为，且若发现下属违法犯罪活动行为的应积极举报：</w:t>
      </w:r>
    </w:p>
    <w:p w14:paraId="4760BA49">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1）强揽工程行为</w:t>
      </w:r>
    </w:p>
    <w:p w14:paraId="06E0116F">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ascii="宋体" w:hAnsi="宋体"/>
          <w:sz w:val="24"/>
        </w:rPr>
        <w:t>强行推荐施工、劳务队伍，强行肢解分包工程的；</w:t>
      </w:r>
    </w:p>
    <w:p w14:paraId="64A86162">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ascii="宋体" w:hAnsi="宋体"/>
          <w:sz w:val="24"/>
        </w:rPr>
        <w:t>阻挠合法建筑材料进场，强行供料、租赁设备，强买强卖、强装强卸，强行提供运输服务的；</w:t>
      </w:r>
    </w:p>
    <w:p w14:paraId="554A903B">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ascii="宋体" w:hAnsi="宋体"/>
          <w:sz w:val="24"/>
        </w:rPr>
        <w:t>以国家工作人员身份，利用权力强揽工程的。</w:t>
      </w:r>
    </w:p>
    <w:p w14:paraId="6C551D98">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2）恶意扰乱建设环境行为</w:t>
      </w:r>
    </w:p>
    <w:p w14:paraId="1A335242">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ascii="宋体" w:hAnsi="宋体"/>
          <w:sz w:val="24"/>
        </w:rPr>
        <w:t>在征地拆迁中“抢栽、抢种、抢建”、煽动闹事、敲诈勒索，故意挑起纠纷事端，矿产压覆赔偿中漫天要价，以谋取不正当利益的；</w:t>
      </w:r>
    </w:p>
    <w:p w14:paraId="35ABF4EC">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ascii="宋体" w:hAnsi="宋体"/>
          <w:sz w:val="24"/>
        </w:rPr>
        <w:t>故意阻断施工道路、强行拉闸限电，阻挠正常施工的；</w:t>
      </w:r>
    </w:p>
    <w:p w14:paraId="10CCFB36">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ascii="宋体" w:hAnsi="宋体"/>
          <w:sz w:val="24"/>
        </w:rPr>
        <w:t>破坏、偷盗施工机具、建筑材料或实体工程的；</w:t>
      </w:r>
    </w:p>
    <w:p w14:paraId="1D639ED7">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4 \* GB3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ascii="宋体" w:hAnsi="宋体"/>
          <w:sz w:val="24"/>
        </w:rPr>
        <w:t>以国家工作人员身份，利用权力充当黑恶势力“保护伞”的；</w:t>
      </w:r>
    </w:p>
    <w:p w14:paraId="4495F397">
      <w:pPr>
        <w:spacing w:line="360" w:lineRule="auto"/>
        <w:ind w:firstLine="480" w:firstLineChars="200"/>
        <w:jc w:val="left"/>
        <w:rPr>
          <w:rFonts w:ascii="宋体" w:hAnsi="宋体"/>
          <w:sz w:val="24"/>
        </w:rPr>
      </w:pPr>
      <w:r>
        <w:rPr>
          <w:rFonts w:ascii="宋体" w:hAnsi="宋体"/>
          <w:sz w:val="24"/>
        </w:rPr>
        <w:fldChar w:fldCharType="begin"/>
      </w:r>
      <w:r>
        <w:rPr>
          <w:rFonts w:ascii="宋体" w:hAnsi="宋体"/>
          <w:sz w:val="24"/>
        </w:rPr>
        <w:instrText xml:space="preserve"> = 5 \* GB3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ascii="宋体" w:hAnsi="宋体"/>
          <w:sz w:val="24"/>
        </w:rPr>
        <w:t>其他故意扰乱建设市场秩序和建设环境的。</w:t>
      </w:r>
    </w:p>
    <w:p w14:paraId="6D711EDD">
      <w:pPr>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3）暴力施工行为</w:t>
      </w:r>
    </w:p>
    <w:p w14:paraId="4E214391">
      <w:pPr>
        <w:spacing w:line="360" w:lineRule="auto"/>
        <w:ind w:firstLine="480" w:firstLineChars="200"/>
        <w:jc w:val="left"/>
        <w:rPr>
          <w:rFonts w:ascii="宋体" w:hAnsi="宋体"/>
          <w:sz w:val="24"/>
        </w:rPr>
      </w:pPr>
      <w:r>
        <w:rPr>
          <w:rFonts w:ascii="宋体" w:hAnsi="宋体"/>
          <w:sz w:val="24"/>
        </w:rPr>
        <w:t>施工队伍组织黑恶势力采用威胁、暴力、滋扰等方式胁迫业主、监理、农民工或沿线群众的。</w:t>
      </w:r>
    </w:p>
    <w:p w14:paraId="7E6E8892">
      <w:pPr>
        <w:spacing w:line="360" w:lineRule="auto"/>
        <w:ind w:firstLine="480" w:firstLineChars="200"/>
        <w:jc w:val="left"/>
        <w:rPr>
          <w:rFonts w:ascii="宋体" w:hAnsi="宋体"/>
          <w:sz w:val="24"/>
        </w:rPr>
      </w:pPr>
      <w:r>
        <w:rPr>
          <w:rFonts w:ascii="宋体" w:hAnsi="宋体"/>
          <w:sz w:val="24"/>
        </w:rPr>
        <w:t>对于</w:t>
      </w:r>
      <w:r>
        <w:rPr>
          <w:rFonts w:hint="eastAsia" w:ascii="宋体" w:hAnsi="宋体"/>
          <w:sz w:val="24"/>
          <w:lang w:val="en-US" w:eastAsia="zh-CN"/>
        </w:rPr>
        <w:t>上述</w:t>
      </w:r>
      <w:r>
        <w:rPr>
          <w:rFonts w:ascii="宋体" w:hAnsi="宋体"/>
          <w:sz w:val="24"/>
        </w:rPr>
        <w:t>举报线索</w:t>
      </w:r>
      <w:r>
        <w:rPr>
          <w:rFonts w:hint="eastAsia" w:ascii="宋体" w:hAnsi="宋体"/>
          <w:sz w:val="24"/>
          <w:lang w:eastAsia="zh-CN"/>
        </w:rPr>
        <w:t>交通运输主管部门</w:t>
      </w:r>
      <w:r>
        <w:rPr>
          <w:rFonts w:ascii="宋体" w:hAnsi="宋体"/>
          <w:sz w:val="24"/>
        </w:rPr>
        <w:t>将严格保密，一经查实将按照相关规定给予奖励；对举报人进行报复的，将依法从严、从重惩处。</w:t>
      </w:r>
    </w:p>
    <w:p w14:paraId="7417B545">
      <w:pPr>
        <w:spacing w:line="360" w:lineRule="auto"/>
        <w:ind w:firstLine="480" w:firstLineChars="200"/>
        <w:jc w:val="left"/>
        <w:rPr>
          <w:rFonts w:ascii="宋体" w:hAnsi="宋体"/>
          <w:sz w:val="24"/>
        </w:rPr>
      </w:pPr>
      <w:r>
        <w:rPr>
          <w:rFonts w:hint="eastAsia" w:ascii="宋体" w:hAnsi="宋体"/>
          <w:sz w:val="24"/>
          <w:lang w:eastAsia="zh-CN"/>
        </w:rPr>
        <w:t>交通运输主管部门</w:t>
      </w:r>
      <w:r>
        <w:rPr>
          <w:rFonts w:ascii="宋体" w:hAnsi="宋体"/>
          <w:sz w:val="24"/>
        </w:rPr>
        <w:t>将以“零容忍”的态度和“除恶务尽”的决心，集中力量，形成合力，深入排查，重拳出击，依法严厉打击工程建设领域各类涉黑涉恶违法犯罪，铲除黑恶势力滋生蔓延土壤</w:t>
      </w:r>
      <w:r>
        <w:rPr>
          <w:rFonts w:hint="eastAsia" w:ascii="宋体" w:hAnsi="宋体"/>
          <w:sz w:val="24"/>
        </w:rPr>
        <w:t>。</w:t>
      </w:r>
    </w:p>
    <w:p w14:paraId="4211DDE0">
      <w:pPr>
        <w:pStyle w:val="2"/>
        <w:numPr>
          <w:ilvl w:val="0"/>
          <w:numId w:val="9"/>
        </w:numPr>
        <w:spacing w:before="360" w:after="240" w:line="240" w:lineRule="atLeast"/>
        <w:rPr>
          <w:rFonts w:ascii="黑体"/>
          <w:b w:val="0"/>
          <w:sz w:val="28"/>
          <w:szCs w:val="28"/>
        </w:rPr>
      </w:pPr>
      <w:bookmarkStart w:id="826" w:name="_Hlk94097073"/>
      <w:r>
        <w:rPr>
          <w:rFonts w:hint="eastAsia" w:ascii="黑体"/>
          <w:b w:val="0"/>
          <w:sz w:val="28"/>
          <w:szCs w:val="28"/>
        </w:rPr>
        <w:t>节能减排</w:t>
      </w:r>
    </w:p>
    <w:p w14:paraId="58EB0713">
      <w:pPr>
        <w:adjustRightInd w:val="0"/>
        <w:snapToGrid w:val="0"/>
        <w:spacing w:line="360" w:lineRule="auto"/>
        <w:ind w:firstLine="240" w:firstLineChars="100"/>
        <w:rPr>
          <w:rFonts w:ascii="宋体" w:hAnsi="宋体"/>
          <w:sz w:val="24"/>
        </w:rPr>
      </w:pPr>
      <w:r>
        <w:rPr>
          <w:rFonts w:ascii="黑体" w:eastAsia="黑体"/>
          <w:bCs/>
          <w:kern w:val="44"/>
          <w:sz w:val="24"/>
        </w:rPr>
        <w:t xml:space="preserve"> </w:t>
      </w:r>
      <w:r>
        <w:rPr>
          <w:rFonts w:hint="eastAsia" w:ascii="黑体" w:eastAsia="黑体"/>
          <w:bCs/>
          <w:kern w:val="44"/>
          <w:sz w:val="24"/>
        </w:rPr>
        <w:t xml:space="preserve"> </w:t>
      </w:r>
      <w:r>
        <w:rPr>
          <w:rFonts w:hint="eastAsia" w:ascii="宋体" w:hAnsi="宋体"/>
          <w:sz w:val="24"/>
        </w:rPr>
        <w:t>（1）根据《中华人民共和国节约能源法》、交通运输部《公路工程节能规范》（J</w:t>
      </w:r>
      <w:r>
        <w:rPr>
          <w:rFonts w:ascii="宋体" w:hAnsi="宋体"/>
          <w:sz w:val="24"/>
        </w:rPr>
        <w:t>TG/T 2340</w:t>
      </w:r>
      <w:r>
        <w:rPr>
          <w:rFonts w:hint="eastAsia" w:ascii="宋体" w:hAnsi="宋体"/>
          <w:sz w:val="24"/>
          <w:lang w:val="en-US" w:eastAsia="zh-CN"/>
        </w:rPr>
        <w:t xml:space="preserve"> </w:t>
      </w:r>
      <w:r>
        <w:rPr>
          <w:rFonts w:ascii="宋体" w:hAnsi="宋体"/>
          <w:sz w:val="24"/>
        </w:rPr>
        <w:t>-2020</w:t>
      </w:r>
      <w:r>
        <w:rPr>
          <w:rFonts w:hint="eastAsia" w:ascii="宋体" w:hAnsi="宋体"/>
          <w:sz w:val="24"/>
        </w:rPr>
        <w:t>）规定，承包人应切实落实设计阶段提出的节能设计方案，并根据实际施工情况，对节能方案进行优化和细化，对选用的设备和系统进行容量核算，降低施工能耗。</w:t>
      </w:r>
    </w:p>
    <w:p w14:paraId="3553B5AE">
      <w:pPr>
        <w:adjustRightInd w:val="0"/>
        <w:snapToGrid w:val="0"/>
        <w:spacing w:line="360" w:lineRule="auto"/>
        <w:ind w:firstLine="480" w:firstLineChars="200"/>
        <w:rPr>
          <w:rFonts w:ascii="宋体" w:hAnsi="宋体"/>
          <w:sz w:val="24"/>
        </w:rPr>
      </w:pPr>
      <w:r>
        <w:rPr>
          <w:rFonts w:hint="eastAsia" w:ascii="宋体" w:hAnsi="宋体"/>
          <w:sz w:val="24"/>
        </w:rPr>
        <w:t>（2）编制施工组织方案时，应将能耗作为重要指标，通过信息化管理优化施工场地布设、施工方法、标准化工艺、作业流程、工序等降低施工期能耗。</w:t>
      </w:r>
    </w:p>
    <w:p w14:paraId="23C99BC0">
      <w:pPr>
        <w:adjustRightInd w:val="0"/>
        <w:snapToGrid w:val="0"/>
        <w:spacing w:line="360" w:lineRule="auto"/>
        <w:ind w:firstLine="480" w:firstLineChars="200"/>
        <w:rPr>
          <w:rFonts w:ascii="宋体" w:hAnsi="宋体"/>
          <w:sz w:val="24"/>
        </w:rPr>
      </w:pPr>
      <w:r>
        <w:rPr>
          <w:rFonts w:hint="eastAsia" w:ascii="宋体" w:hAnsi="宋体"/>
          <w:sz w:val="24"/>
        </w:rPr>
        <w:t>（3）施工场地布设应充分利用地形条件，注重节约用地，提高人、车、物资转移的效率，应兼顾永久用地、永久用能设施需求，做好施工期临时用地和临时用能的总体规划。</w:t>
      </w:r>
    </w:p>
    <w:p w14:paraId="1C05E848">
      <w:pPr>
        <w:adjustRightInd w:val="0"/>
        <w:snapToGrid w:val="0"/>
        <w:spacing w:line="360" w:lineRule="auto"/>
        <w:ind w:firstLine="480" w:firstLineChars="200"/>
        <w:rPr>
          <w:rFonts w:ascii="宋体" w:hAnsi="宋体"/>
          <w:sz w:val="24"/>
        </w:rPr>
      </w:pPr>
      <w:r>
        <w:rPr>
          <w:rFonts w:hint="eastAsia" w:ascii="宋体" w:hAnsi="宋体"/>
          <w:sz w:val="24"/>
        </w:rPr>
        <w:t>（4）筑路材料的选择应有利于降低材料消耗，提高材料的循环使用率。原材料的采购、运输、堆放、加工、处理、存储、配发等环节应以减少材料损耗和运转能耗为原则实施。</w:t>
      </w:r>
    </w:p>
    <w:p w14:paraId="161D720F">
      <w:pPr>
        <w:adjustRightInd w:val="0"/>
        <w:snapToGrid w:val="0"/>
        <w:spacing w:line="360" w:lineRule="auto"/>
        <w:ind w:firstLine="480" w:firstLineChars="200"/>
        <w:rPr>
          <w:rFonts w:ascii="宋体" w:hAnsi="宋体"/>
          <w:sz w:val="24"/>
        </w:rPr>
      </w:pPr>
      <w:r>
        <w:rPr>
          <w:rFonts w:hint="eastAsia" w:ascii="宋体" w:hAnsi="宋体"/>
          <w:sz w:val="24"/>
        </w:rPr>
        <w:t>（5）施工阶段应对重点用能环节进行能耗统计和监测，对主要施工机械加强能耗计量管理。</w:t>
      </w:r>
    </w:p>
    <w:p w14:paraId="40497EB0">
      <w:pPr>
        <w:adjustRightInd w:val="0"/>
        <w:snapToGrid w:val="0"/>
        <w:spacing w:line="360" w:lineRule="auto"/>
        <w:ind w:firstLine="480" w:firstLineChars="200"/>
        <w:rPr>
          <w:rFonts w:ascii="宋体" w:hAnsi="宋体"/>
          <w:sz w:val="24"/>
        </w:rPr>
      </w:pPr>
      <w:r>
        <w:rPr>
          <w:rFonts w:hint="eastAsia" w:ascii="宋体" w:hAnsi="宋体"/>
          <w:sz w:val="24"/>
        </w:rPr>
        <w:t>（6）施工阶段应根据设计的节能产品清单及国家对节能产品的相关规定，优先选用国家、行业相关节能技术目录中的技术或产品。</w:t>
      </w:r>
    </w:p>
    <w:p w14:paraId="641F4B98">
      <w:pPr>
        <w:pStyle w:val="2"/>
        <w:spacing w:before="360" w:after="240" w:line="240" w:lineRule="atLeast"/>
        <w:rPr>
          <w:rFonts w:ascii="黑体"/>
          <w:b w:val="0"/>
          <w:sz w:val="28"/>
          <w:szCs w:val="28"/>
        </w:rPr>
      </w:pPr>
      <w:r>
        <w:rPr>
          <w:rFonts w:hint="eastAsia" w:ascii="黑体"/>
          <w:b w:val="0"/>
          <w:sz w:val="28"/>
          <w:szCs w:val="28"/>
        </w:rPr>
        <w:t>30</w:t>
      </w:r>
      <w:r>
        <w:rPr>
          <w:rFonts w:ascii="黑体"/>
          <w:b w:val="0"/>
          <w:sz w:val="28"/>
          <w:szCs w:val="28"/>
        </w:rPr>
        <w:t>.</w:t>
      </w:r>
      <w:r>
        <w:rPr>
          <w:rFonts w:hint="eastAsia" w:ascii="黑体"/>
          <w:b w:val="0"/>
          <w:sz w:val="28"/>
          <w:szCs w:val="28"/>
          <w:lang w:val="en-US" w:eastAsia="zh-CN"/>
        </w:rPr>
        <w:t xml:space="preserve"> </w:t>
      </w:r>
      <w:r>
        <w:rPr>
          <w:rFonts w:hint="eastAsia" w:ascii="黑体"/>
          <w:b w:val="0"/>
          <w:sz w:val="28"/>
          <w:szCs w:val="28"/>
        </w:rPr>
        <w:t>智慧工地</w:t>
      </w:r>
    </w:p>
    <w:p w14:paraId="60BA6A09">
      <w:pPr>
        <w:adjustRightInd w:val="0"/>
        <w:snapToGrid w:val="0"/>
        <w:spacing w:line="360" w:lineRule="auto"/>
        <w:ind w:firstLine="480" w:firstLineChars="200"/>
        <w:rPr>
          <w:rFonts w:ascii="宋体" w:hAnsi="宋体"/>
          <w:sz w:val="24"/>
        </w:rPr>
      </w:pPr>
      <w:r>
        <w:rPr>
          <w:rFonts w:hint="eastAsia" w:ascii="宋体" w:hAnsi="宋体"/>
          <w:sz w:val="24"/>
        </w:rPr>
        <w:t>（1）承包人应推行建筑信息模型（BIM）技术在施工中的应用。</w:t>
      </w:r>
    </w:p>
    <w:p w14:paraId="770B8094">
      <w:pPr>
        <w:adjustRightInd w:val="0"/>
        <w:snapToGrid w:val="0"/>
        <w:spacing w:line="360" w:lineRule="auto"/>
        <w:ind w:firstLine="480" w:firstLineChars="200"/>
        <w:rPr>
          <w:rFonts w:ascii="宋体" w:hAnsi="宋体"/>
          <w:sz w:val="24"/>
        </w:rPr>
      </w:pPr>
      <w:r>
        <w:rPr>
          <w:rFonts w:hint="eastAsia" w:ascii="宋体" w:hAnsi="宋体"/>
          <w:sz w:val="24"/>
        </w:rPr>
        <w:t>（2）承包人应开展基于物联网、云计算、移动通</w:t>
      </w:r>
      <w:r>
        <w:rPr>
          <w:rFonts w:hint="eastAsia" w:ascii="宋体" w:hAnsi="宋体"/>
          <w:sz w:val="24"/>
          <w:lang w:val="en-US" w:eastAsia="zh-CN"/>
        </w:rPr>
        <w:t>信</w:t>
      </w:r>
      <w:r>
        <w:rPr>
          <w:rFonts w:hint="eastAsia" w:ascii="宋体" w:hAnsi="宋体"/>
          <w:sz w:val="24"/>
        </w:rPr>
        <w:t>等技术的“智慧工地”建设。</w:t>
      </w:r>
    </w:p>
    <w:p w14:paraId="3FBB4684">
      <w:pPr>
        <w:adjustRightInd w:val="0"/>
        <w:snapToGrid w:val="0"/>
        <w:spacing w:line="360" w:lineRule="auto"/>
        <w:ind w:firstLine="480" w:firstLineChars="200"/>
        <w:rPr>
          <w:rFonts w:ascii="宋体" w:hAnsi="宋体"/>
          <w:sz w:val="24"/>
        </w:rPr>
      </w:pPr>
      <w:r>
        <w:rPr>
          <w:rFonts w:hint="eastAsia" w:ascii="宋体" w:hAnsi="宋体"/>
          <w:sz w:val="24"/>
        </w:rPr>
        <w:t>（3）承包人应纳入联网联控的公路水运建设项目信息化管理系统建设。</w:t>
      </w:r>
    </w:p>
    <w:bookmarkEnd w:id="826"/>
    <w:p w14:paraId="6D7BC015">
      <w:pPr>
        <w:spacing w:line="240" w:lineRule="auto"/>
        <w:ind w:firstLine="0" w:firstLineChars="0"/>
        <w:jc w:val="left"/>
      </w:pPr>
    </w:p>
    <w:p w14:paraId="6106D663">
      <w:pPr>
        <w:adjustRightInd/>
        <w:snapToGrid/>
        <w:spacing w:line="240" w:lineRule="auto"/>
      </w:pPr>
      <w:bookmarkStart w:id="827" w:name="_TOC_250048"/>
      <w:bookmarkEnd w:id="827"/>
    </w:p>
    <w:p w14:paraId="5AB5710E">
      <w:pPr>
        <w:adjustRightInd w:val="0"/>
        <w:snapToGrid w:val="0"/>
        <w:ind w:left="0"/>
        <w:rPr>
          <w:rFonts w:ascii="宋体" w:hAnsi="宋体" w:eastAsia="宋体"/>
          <w:b/>
          <w:szCs w:val="32"/>
          <w:lang w:eastAsia="zh-CN"/>
        </w:rPr>
      </w:pPr>
      <w:r>
        <w:rPr>
          <w:lang w:eastAsia="zh-CN"/>
        </w:rPr>
        <w:br w:type="page"/>
      </w:r>
      <w:bookmarkStart w:id="828" w:name="_Toc27059929"/>
      <w:bookmarkStart w:id="829" w:name="_Toc27059827"/>
      <w:bookmarkStart w:id="830" w:name="_Toc27059737"/>
      <w:bookmarkStart w:id="831" w:name="_Toc27059556"/>
      <w:bookmarkStart w:id="832" w:name="_Toc53685804"/>
      <w:bookmarkStart w:id="833" w:name="_Toc27060727"/>
    </w:p>
    <w:p w14:paraId="48B53FEB">
      <w:pPr>
        <w:adjustRightInd w:val="0"/>
        <w:snapToGrid w:val="0"/>
        <w:ind w:left="0"/>
        <w:rPr>
          <w:lang w:eastAsia="zh-CN"/>
        </w:rPr>
      </w:pPr>
    </w:p>
    <w:p w14:paraId="23A8BD61">
      <w:pPr>
        <w:adjustRightInd w:val="0"/>
        <w:snapToGrid w:val="0"/>
        <w:ind w:left="0"/>
        <w:rPr>
          <w:lang w:eastAsia="zh-CN"/>
        </w:rPr>
      </w:pPr>
    </w:p>
    <w:p w14:paraId="18C30789">
      <w:pPr>
        <w:adjustRightInd w:val="0"/>
        <w:snapToGrid w:val="0"/>
        <w:ind w:left="0"/>
        <w:rPr>
          <w:lang w:eastAsia="zh-CN"/>
        </w:rPr>
      </w:pPr>
    </w:p>
    <w:p w14:paraId="403EA470">
      <w:pPr>
        <w:adjustRightInd w:val="0"/>
        <w:snapToGrid w:val="0"/>
        <w:ind w:left="0"/>
        <w:rPr>
          <w:lang w:eastAsia="zh-CN"/>
        </w:rPr>
      </w:pPr>
    </w:p>
    <w:p w14:paraId="7E2886DB">
      <w:pPr>
        <w:adjustRightInd w:val="0"/>
        <w:snapToGrid w:val="0"/>
        <w:ind w:left="0"/>
        <w:rPr>
          <w:lang w:eastAsia="zh-CN"/>
        </w:rPr>
      </w:pPr>
    </w:p>
    <w:p w14:paraId="3C26F036">
      <w:pPr>
        <w:adjustRightInd w:val="0"/>
        <w:snapToGrid w:val="0"/>
        <w:ind w:left="0"/>
        <w:jc w:val="both"/>
        <w:rPr>
          <w:lang w:eastAsia="zh-CN"/>
        </w:rPr>
      </w:pPr>
    </w:p>
    <w:p w14:paraId="7B71AD20">
      <w:pPr>
        <w:pStyle w:val="2"/>
        <w:adjustRightInd w:val="0"/>
        <w:snapToGrid w:val="0"/>
        <w:spacing w:before="240" w:after="240" w:line="380" w:lineRule="atLeast"/>
        <w:ind w:left="0"/>
        <w:jc w:val="center"/>
        <w:rPr>
          <w:rFonts w:ascii="宋体" w:hAnsi="宋体"/>
          <w:b w:val="0"/>
          <w:bCs/>
          <w:sz w:val="40"/>
          <w:szCs w:val="40"/>
          <w:lang w:eastAsia="zh-CN"/>
        </w:rPr>
        <w:sectPr>
          <w:headerReference r:id="rId9" w:type="default"/>
          <w:footnotePr>
            <w:numFmt w:val="decimalEnclosedCircleChinese"/>
            <w:numRestart w:val="eachPage"/>
          </w:footnotePr>
          <w:pgSz w:w="11900" w:h="16840"/>
          <w:pgMar w:top="1418" w:right="1418" w:bottom="1418" w:left="1701" w:header="851" w:footer="624" w:gutter="0"/>
          <w:cols w:space="720" w:num="1"/>
          <w:docGrid w:linePitch="312" w:charSpace="0"/>
        </w:sectPr>
      </w:pPr>
      <w:r>
        <w:rPr>
          <w:rFonts w:ascii="宋体" w:hAnsi="宋体"/>
          <w:b w:val="0"/>
          <w:bCs/>
          <w:sz w:val="40"/>
          <w:szCs w:val="40"/>
          <w:lang w:eastAsia="zh-CN"/>
        </w:rPr>
        <w:t>第三</w:t>
      </w:r>
      <w:r>
        <w:rPr>
          <w:rFonts w:hint="default" w:ascii="宋体" w:hAnsi="宋体"/>
          <w:b w:val="0"/>
          <w:bCs/>
          <w:sz w:val="40"/>
          <w:szCs w:val="40"/>
          <w:lang w:eastAsia="zh-CN"/>
        </w:rPr>
        <w:t>节</w:t>
      </w:r>
      <w:r>
        <w:rPr>
          <w:rFonts w:ascii="宋体" w:hAnsi="宋体"/>
          <w:b w:val="0"/>
          <w:bCs/>
          <w:sz w:val="40"/>
          <w:szCs w:val="40"/>
          <w:lang w:eastAsia="zh-CN"/>
        </w:rPr>
        <w:tab/>
      </w:r>
      <w:r>
        <w:rPr>
          <w:rFonts w:ascii="宋体" w:hAnsi="宋体"/>
          <w:b w:val="0"/>
          <w:bCs/>
          <w:sz w:val="40"/>
          <w:szCs w:val="40"/>
          <w:lang w:eastAsia="zh-CN"/>
        </w:rPr>
        <w:t xml:space="preserve">  合同附</w:t>
      </w:r>
      <w:r>
        <w:rPr>
          <w:rFonts w:hint="default" w:ascii="宋体" w:hAnsi="宋体"/>
          <w:b w:val="0"/>
          <w:bCs/>
          <w:sz w:val="40"/>
          <w:szCs w:val="40"/>
          <w:lang w:eastAsia="zh-CN"/>
        </w:rPr>
        <w:t>件格式</w:t>
      </w:r>
      <w:bookmarkEnd w:id="828"/>
      <w:bookmarkEnd w:id="829"/>
      <w:bookmarkEnd w:id="830"/>
      <w:bookmarkEnd w:id="831"/>
      <w:bookmarkEnd w:id="832"/>
      <w:bookmarkEnd w:id="833"/>
    </w:p>
    <w:p w14:paraId="2182A051">
      <w:pPr>
        <w:spacing w:before="188"/>
        <w:ind w:right="-6605"/>
        <w:rPr>
          <w:rFonts w:ascii="黑体" w:hAnsi="黑体" w:eastAsia="黑体" w:cs="宋体"/>
          <w:sz w:val="24"/>
        </w:rPr>
      </w:pPr>
      <w:r>
        <w:rPr>
          <w:rFonts w:hint="eastAsia" w:ascii="黑体" w:hAnsi="黑体" w:eastAsia="黑体"/>
          <w:sz w:val="24"/>
        </w:rPr>
        <w:t>附件一</w:t>
      </w:r>
      <w:r>
        <w:rPr>
          <w:rFonts w:ascii="黑体" w:hAnsi="黑体" w:eastAsia="黑体"/>
          <w:sz w:val="24"/>
        </w:rPr>
        <w:t xml:space="preserve"> </w:t>
      </w:r>
      <w:r>
        <w:rPr>
          <w:rFonts w:hint="eastAsia" w:ascii="黑体" w:hAnsi="黑体" w:eastAsia="黑体"/>
          <w:sz w:val="24"/>
        </w:rPr>
        <w:t>合同</w:t>
      </w:r>
      <w:r>
        <w:rPr>
          <w:rFonts w:hint="eastAsia" w:ascii="黑体" w:hAnsi="黑体" w:eastAsia="黑体" w:cs="宋体"/>
          <w:sz w:val="24"/>
        </w:rPr>
        <w:t>协议书</w:t>
      </w:r>
    </w:p>
    <w:p w14:paraId="76E8E4A9">
      <w:pPr>
        <w:spacing w:before="198" w:line="360" w:lineRule="auto"/>
        <w:ind w:left="144"/>
        <w:jc w:val="center"/>
        <w:rPr>
          <w:rFonts w:ascii="黑体" w:hAnsi="黑体" w:eastAsia="黑体" w:cs="宋体"/>
          <w:sz w:val="30"/>
          <w:szCs w:val="30"/>
        </w:rPr>
      </w:pPr>
      <w:r>
        <w:rPr>
          <w:rFonts w:hint="eastAsia" w:ascii="黑体" w:hAnsi="黑体" w:eastAsia="黑体"/>
          <w:sz w:val="28"/>
          <w:szCs w:val="28"/>
        </w:rPr>
        <w:t>合</w:t>
      </w:r>
      <w:r>
        <w:rPr>
          <w:rFonts w:ascii="黑体" w:hAnsi="黑体" w:eastAsia="黑体"/>
          <w:sz w:val="28"/>
          <w:szCs w:val="28"/>
        </w:rPr>
        <w:t xml:space="preserve"> 同 </w:t>
      </w:r>
      <w:r>
        <w:rPr>
          <w:rFonts w:hint="eastAsia" w:ascii="黑体" w:hAnsi="黑体" w:eastAsia="黑体" w:cs="宋体"/>
          <w:sz w:val="28"/>
          <w:szCs w:val="28"/>
        </w:rPr>
        <w:t>协</w:t>
      </w:r>
      <w:r>
        <w:rPr>
          <w:rFonts w:ascii="黑体" w:hAnsi="黑体" w:eastAsia="黑体" w:cs="宋体"/>
          <w:sz w:val="28"/>
          <w:szCs w:val="28"/>
        </w:rPr>
        <w:t xml:space="preserve"> </w:t>
      </w:r>
      <w:r>
        <w:rPr>
          <w:rFonts w:hint="eastAsia" w:ascii="黑体" w:hAnsi="黑体" w:eastAsia="黑体" w:cs="宋体"/>
          <w:sz w:val="28"/>
          <w:szCs w:val="28"/>
        </w:rPr>
        <w:t>议</w:t>
      </w:r>
      <w:r>
        <w:rPr>
          <w:rFonts w:ascii="黑体" w:hAnsi="黑体" w:eastAsia="黑体" w:cs="宋体"/>
          <w:sz w:val="28"/>
          <w:szCs w:val="28"/>
        </w:rPr>
        <w:t xml:space="preserve"> </w:t>
      </w:r>
      <w:r>
        <w:rPr>
          <w:rFonts w:hint="eastAsia" w:ascii="黑体" w:hAnsi="黑体" w:eastAsia="黑体" w:cs="宋体"/>
          <w:sz w:val="28"/>
          <w:szCs w:val="28"/>
        </w:rPr>
        <w:t>书</w:t>
      </w:r>
    </w:p>
    <w:p w14:paraId="160616DD">
      <w:pPr>
        <w:pStyle w:val="20"/>
        <w:spacing w:line="360" w:lineRule="auto"/>
      </w:pPr>
    </w:p>
    <w:p w14:paraId="55235F1C">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ascii="宋体" w:hAnsi="宋体"/>
          <w:sz w:val="24"/>
        </w:rPr>
      </w:pPr>
      <w:r>
        <w:rPr>
          <w:rFonts w:ascii="宋体" w:hAnsi="宋体"/>
          <w:sz w:val="24"/>
          <w:u w:val="single"/>
        </w:rPr>
        <w:t xml:space="preserve">               </w:t>
      </w:r>
      <w:r>
        <w:rPr>
          <w:rFonts w:hint="eastAsia" w:ascii="宋体" w:hAnsi="宋体"/>
          <w:sz w:val="24"/>
        </w:rPr>
        <w:t>（发包人名称，以下简称</w:t>
      </w:r>
      <w:r>
        <w:rPr>
          <w:rFonts w:ascii="宋体" w:hAnsi="宋体"/>
          <w:sz w:val="24"/>
        </w:rPr>
        <w:t>“</w:t>
      </w:r>
      <w:r>
        <w:rPr>
          <w:rFonts w:hint="eastAsia" w:ascii="宋体" w:hAnsi="宋体"/>
          <w:sz w:val="24"/>
        </w:rPr>
        <w:t>发包人</w:t>
      </w:r>
      <w:r>
        <w:rPr>
          <w:rFonts w:ascii="宋体" w:hAnsi="宋体"/>
          <w:sz w:val="24"/>
        </w:rPr>
        <w:t>”</w:t>
      </w:r>
      <w:r>
        <w:rPr>
          <w:rFonts w:hint="eastAsia" w:ascii="宋体" w:hAnsi="宋体"/>
          <w:sz w:val="24"/>
        </w:rPr>
        <w:t>）为实施</w:t>
      </w:r>
      <w:r>
        <w:rPr>
          <w:rFonts w:ascii="宋体" w:hAnsi="宋体"/>
          <w:sz w:val="24"/>
          <w:u w:val="single"/>
        </w:rPr>
        <w:t xml:space="preserve">              </w:t>
      </w:r>
      <w:r>
        <w:rPr>
          <w:rFonts w:hint="eastAsia" w:ascii="宋体" w:hAnsi="宋体"/>
          <w:sz w:val="24"/>
        </w:rPr>
        <w:t>（招标项目名称），已接受</w:t>
      </w:r>
      <w:r>
        <w:rPr>
          <w:rFonts w:ascii="宋体" w:hAnsi="宋体"/>
          <w:sz w:val="24"/>
          <w:u w:val="single"/>
        </w:rPr>
        <w:t xml:space="preserve">                    </w:t>
      </w:r>
      <w:r>
        <w:rPr>
          <w:rFonts w:hint="eastAsia" w:ascii="宋体" w:hAnsi="宋体"/>
          <w:sz w:val="24"/>
        </w:rPr>
        <w:t>（承包人名称，以下简称</w:t>
      </w:r>
      <w:r>
        <w:rPr>
          <w:rFonts w:ascii="宋体" w:hAnsi="宋体"/>
          <w:sz w:val="24"/>
        </w:rPr>
        <w:t>“</w:t>
      </w:r>
      <w:r>
        <w:rPr>
          <w:rFonts w:hint="eastAsia" w:ascii="宋体" w:hAnsi="宋体"/>
          <w:sz w:val="24"/>
        </w:rPr>
        <w:t>承包人</w:t>
      </w:r>
      <w:r>
        <w:rPr>
          <w:rFonts w:ascii="宋体" w:hAnsi="宋体"/>
          <w:sz w:val="24"/>
        </w:rPr>
        <w:t>”</w:t>
      </w:r>
      <w:r>
        <w:rPr>
          <w:rFonts w:hint="eastAsia" w:ascii="宋体" w:hAnsi="宋体"/>
          <w:sz w:val="24"/>
        </w:rPr>
        <w:t>）对该项目设计施工总承包</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标段</w:t>
      </w:r>
      <w:r>
        <w:rPr>
          <w:rFonts w:hint="eastAsia" w:ascii="宋体" w:hAnsi="宋体"/>
          <w:sz w:val="24"/>
          <w:lang w:val="en-US" w:eastAsia="zh-CN"/>
        </w:rPr>
        <w:t>的</w:t>
      </w:r>
      <w:r>
        <w:rPr>
          <w:rFonts w:hint="eastAsia" w:ascii="宋体" w:hAnsi="宋体"/>
          <w:sz w:val="24"/>
        </w:rPr>
        <w:t>投标。发包人和承包人共同达成如下协议。</w:t>
      </w:r>
    </w:p>
    <w:p w14:paraId="6E411E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bookmarkStart w:id="834" w:name="_Toc144974828"/>
      <w:bookmarkStart w:id="835" w:name="_Toc152042548"/>
      <w:r>
        <w:rPr>
          <w:rFonts w:ascii="宋体" w:hAnsi="宋体"/>
          <w:sz w:val="24"/>
        </w:rPr>
        <w:t>1.第</w:t>
      </w:r>
      <w:r>
        <w:rPr>
          <w:rFonts w:ascii="宋体" w:hAnsi="宋体"/>
          <w:sz w:val="24"/>
          <w:u w:val="single"/>
        </w:rPr>
        <w:t xml:space="preserve">   </w:t>
      </w:r>
      <w:r>
        <w:rPr>
          <w:rFonts w:ascii="宋体" w:hAnsi="宋体"/>
          <w:sz w:val="24"/>
        </w:rPr>
        <w:t>标段由K</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sz w:val="24"/>
        </w:rPr>
        <w:t>至K</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sz w:val="24"/>
        </w:rPr>
        <w:t>，长约</w:t>
      </w:r>
      <w:r>
        <w:rPr>
          <w:rFonts w:ascii="宋体" w:hAnsi="宋体"/>
          <w:sz w:val="24"/>
          <w:u w:val="single"/>
        </w:rPr>
        <w:t xml:space="preserve">   </w:t>
      </w:r>
      <w:r>
        <w:rPr>
          <w:rFonts w:ascii="宋体" w:hAnsi="宋体"/>
          <w:sz w:val="24"/>
        </w:rPr>
        <w:t>km，公路等级为</w:t>
      </w:r>
      <w:r>
        <w:rPr>
          <w:rFonts w:ascii="宋体" w:hAnsi="宋体"/>
          <w:sz w:val="24"/>
          <w:u w:val="single"/>
        </w:rPr>
        <w:t xml:space="preserve">    </w:t>
      </w:r>
      <w:r>
        <w:rPr>
          <w:rFonts w:ascii="宋体" w:hAnsi="宋体"/>
          <w:sz w:val="24"/>
        </w:rPr>
        <w:t>，设计</w:t>
      </w:r>
      <w:r>
        <w:rPr>
          <w:rFonts w:hint="eastAsia" w:ascii="宋体" w:hAnsi="宋体"/>
          <w:sz w:val="24"/>
        </w:rPr>
        <w:t>速度</w:t>
      </w:r>
      <w:r>
        <w:rPr>
          <w:rFonts w:ascii="宋体" w:hAnsi="宋体"/>
          <w:sz w:val="24"/>
        </w:rPr>
        <w:t>为</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路面</w:t>
      </w:r>
      <w:r>
        <w:rPr>
          <w:rFonts w:hint="eastAsia" w:ascii="宋体" w:hAnsi="宋体"/>
          <w:sz w:val="24"/>
        </w:rPr>
        <w:t>。</w:t>
      </w:r>
      <w:r>
        <w:rPr>
          <w:rFonts w:ascii="宋体" w:hAnsi="宋体"/>
          <w:sz w:val="24"/>
        </w:rPr>
        <w:t>有</w:t>
      </w:r>
      <w:r>
        <w:rPr>
          <w:rFonts w:ascii="宋体" w:hAnsi="宋体"/>
          <w:sz w:val="24"/>
          <w:u w:val="single"/>
        </w:rPr>
        <w:t xml:space="preserve">   </w:t>
      </w:r>
      <w:r>
        <w:rPr>
          <w:rFonts w:ascii="宋体" w:hAnsi="宋体"/>
          <w:sz w:val="24"/>
        </w:rPr>
        <w:t>立交</w:t>
      </w:r>
      <w:r>
        <w:rPr>
          <w:rFonts w:ascii="宋体" w:hAnsi="宋体"/>
          <w:sz w:val="24"/>
          <w:u w:val="single"/>
        </w:rPr>
        <w:t xml:space="preserve">   </w:t>
      </w:r>
      <w:r>
        <w:rPr>
          <w:rFonts w:ascii="宋体" w:hAnsi="宋体"/>
          <w:sz w:val="24"/>
        </w:rPr>
        <w:t>处；</w:t>
      </w:r>
      <w:r>
        <w:rPr>
          <w:rFonts w:hint="eastAsia" w:ascii="宋体" w:hAnsi="宋体"/>
          <w:sz w:val="24"/>
        </w:rPr>
        <w:t>特大桥</w:t>
      </w:r>
      <w:r>
        <w:rPr>
          <w:rFonts w:hint="eastAsia" w:ascii="宋体" w:hAnsi="宋体"/>
          <w:sz w:val="24"/>
          <w:u w:val="single"/>
        </w:rPr>
        <w:t xml:space="preserve">    </w:t>
      </w:r>
      <w:r>
        <w:rPr>
          <w:rFonts w:hint="eastAsia" w:ascii="宋体" w:hAnsi="宋体"/>
          <w:sz w:val="24"/>
        </w:rPr>
        <w:t>座，</w:t>
      </w:r>
      <w:r>
        <w:rPr>
          <w:rFonts w:ascii="宋体" w:hAnsi="宋体"/>
          <w:sz w:val="24"/>
        </w:rPr>
        <w:t>计长</w:t>
      </w:r>
      <w:r>
        <w:rPr>
          <w:rFonts w:ascii="宋体" w:hAnsi="宋体"/>
          <w:sz w:val="24"/>
          <w:u w:val="single"/>
        </w:rPr>
        <w:t xml:space="preserve">   </w:t>
      </w:r>
      <w:r>
        <w:rPr>
          <w:rFonts w:ascii="宋体" w:hAnsi="宋体"/>
          <w:sz w:val="24"/>
        </w:rPr>
        <w:t>m；大中桥</w:t>
      </w:r>
      <w:r>
        <w:rPr>
          <w:rFonts w:ascii="宋体" w:hAnsi="宋体"/>
          <w:sz w:val="24"/>
          <w:u w:val="single"/>
        </w:rPr>
        <w:t xml:space="preserve">   </w:t>
      </w:r>
      <w:r>
        <w:rPr>
          <w:rFonts w:ascii="宋体" w:hAnsi="宋体"/>
          <w:sz w:val="24"/>
        </w:rPr>
        <w:t>座，计长</w:t>
      </w:r>
      <w:r>
        <w:rPr>
          <w:rFonts w:ascii="宋体" w:hAnsi="宋体"/>
          <w:sz w:val="24"/>
          <w:u w:val="single"/>
        </w:rPr>
        <w:t xml:space="preserve">   </w:t>
      </w:r>
      <w:r>
        <w:rPr>
          <w:rFonts w:ascii="宋体" w:hAnsi="宋体"/>
          <w:sz w:val="24"/>
        </w:rPr>
        <w:t>m；隧道</w:t>
      </w:r>
      <w:r>
        <w:rPr>
          <w:rFonts w:ascii="宋体" w:hAnsi="宋体"/>
          <w:sz w:val="24"/>
          <w:u w:val="single"/>
        </w:rPr>
        <w:t xml:space="preserve">   </w:t>
      </w:r>
      <w:r>
        <w:rPr>
          <w:rFonts w:ascii="宋体" w:hAnsi="宋体"/>
          <w:sz w:val="24"/>
        </w:rPr>
        <w:t>座，计长</w:t>
      </w:r>
      <w:r>
        <w:rPr>
          <w:rFonts w:ascii="宋体" w:hAnsi="宋体"/>
          <w:sz w:val="24"/>
          <w:u w:val="single"/>
        </w:rPr>
        <w:t xml:space="preserve">   </w:t>
      </w:r>
      <w:r>
        <w:rPr>
          <w:rFonts w:ascii="宋体" w:hAnsi="宋体"/>
          <w:sz w:val="24"/>
        </w:rPr>
        <w:t>m以及其他构造物工程等。</w:t>
      </w:r>
    </w:p>
    <w:p w14:paraId="6B7AAC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注：该内容可根据招标项目的具体情况进行调整，以适用招标内容。</w:t>
      </w:r>
    </w:p>
    <w:p w14:paraId="302DC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2</w:t>
      </w:r>
      <w:r>
        <w:rPr>
          <w:rFonts w:ascii="宋体" w:hAnsi="宋体"/>
          <w:sz w:val="24"/>
        </w:rPr>
        <w:t>.</w:t>
      </w:r>
      <w:r>
        <w:rPr>
          <w:rFonts w:hint="eastAsia" w:ascii="宋体" w:hAnsi="宋体"/>
          <w:sz w:val="24"/>
        </w:rPr>
        <w:t>下列文件应视为构成合同文件的组成部分：</w:t>
      </w:r>
      <w:bookmarkEnd w:id="834"/>
      <w:bookmarkEnd w:id="835"/>
    </w:p>
    <w:p w14:paraId="58137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（1）本合同协议书及各种合同附件（含评标期间和合同谈判过程中的澄清文件和补充资料；设计人提交的经发包人审核通过的勘察设计详细工作大纲及进度计划、专项评价（估）详细工作大纲等）</w:t>
      </w:r>
    </w:p>
    <w:p w14:paraId="470D94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）中标通知书；</w:t>
      </w:r>
    </w:p>
    <w:p w14:paraId="666062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）投标函及投标函附录；</w:t>
      </w:r>
    </w:p>
    <w:p w14:paraId="18347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）专用合同条款；</w:t>
      </w:r>
    </w:p>
    <w:p w14:paraId="481FB3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）通用合同条款；</w:t>
      </w:r>
    </w:p>
    <w:p w14:paraId="4960D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）发包人要求；</w:t>
      </w:r>
    </w:p>
    <w:p w14:paraId="0C30F9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）价格清单；</w:t>
      </w:r>
    </w:p>
    <w:p w14:paraId="1C6B8D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）设计施工总承包方案；</w:t>
      </w:r>
    </w:p>
    <w:p w14:paraId="656A8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）其他合同文件。</w:t>
      </w:r>
    </w:p>
    <w:p w14:paraId="1C554D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bookmarkStart w:id="836" w:name="_Toc152042549"/>
      <w:bookmarkStart w:id="837" w:name="_Toc144974829"/>
      <w:r>
        <w:rPr>
          <w:rFonts w:hint="eastAsia" w:ascii="宋体" w:hAnsi="宋体"/>
          <w:sz w:val="24"/>
        </w:rPr>
        <w:t>上述</w:t>
      </w:r>
      <w:r>
        <w:rPr>
          <w:rFonts w:hint="eastAsia" w:ascii="宋体" w:hAnsi="宋体"/>
          <w:sz w:val="24"/>
          <w:lang w:val="en-US" w:eastAsia="zh-CN"/>
        </w:rPr>
        <w:t>合同</w:t>
      </w:r>
      <w:r>
        <w:rPr>
          <w:rFonts w:hint="eastAsia" w:ascii="宋体" w:hAnsi="宋体"/>
          <w:sz w:val="24"/>
        </w:rPr>
        <w:t>文件互相补充和解释，如</w:t>
      </w:r>
      <w:r>
        <w:rPr>
          <w:rFonts w:hint="eastAsia" w:ascii="宋体" w:hAnsi="宋体"/>
          <w:sz w:val="24"/>
          <w:lang w:val="en-US" w:eastAsia="zh-CN"/>
        </w:rPr>
        <w:t>果合同文件之间存在矛盾</w:t>
      </w:r>
      <w:r>
        <w:rPr>
          <w:rFonts w:hint="eastAsia" w:ascii="宋体" w:hAnsi="宋体"/>
          <w:sz w:val="24"/>
        </w:rPr>
        <w:t>或不一致之处，以</w:t>
      </w:r>
      <w:r>
        <w:rPr>
          <w:rFonts w:hint="eastAsia" w:ascii="宋体" w:hAnsi="宋体"/>
          <w:sz w:val="24"/>
          <w:lang w:val="en-US" w:eastAsia="zh-CN"/>
        </w:rPr>
        <w:t>上述文件的排列顺序</w:t>
      </w:r>
      <w:r>
        <w:rPr>
          <w:rFonts w:hint="eastAsia" w:ascii="宋体" w:hAnsi="宋体"/>
          <w:sz w:val="24"/>
        </w:rPr>
        <w:t>在先者为准。</w:t>
      </w:r>
      <w:bookmarkEnd w:id="836"/>
      <w:bookmarkEnd w:id="837"/>
    </w:p>
    <w:p w14:paraId="5F50B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3</w:t>
      </w:r>
      <w:r>
        <w:rPr>
          <w:rFonts w:ascii="宋体" w:hAnsi="宋体"/>
          <w:sz w:val="24"/>
        </w:rPr>
        <w:t>.</w:t>
      </w:r>
      <w:r>
        <w:rPr>
          <w:rFonts w:hint="eastAsia" w:ascii="宋体" w:hAnsi="宋体"/>
          <w:sz w:val="24"/>
        </w:rPr>
        <w:t>签约合同价：人民币（大写）</w:t>
      </w:r>
      <w:r>
        <w:rPr>
          <w:rFonts w:ascii="宋体" w:hAnsi="宋体"/>
          <w:sz w:val="24"/>
          <w:u w:val="single"/>
        </w:rPr>
        <w:t xml:space="preserve">          </w:t>
      </w:r>
      <w:r>
        <w:rPr>
          <w:rFonts w:hint="eastAsia" w:ascii="宋体" w:hAnsi="宋体"/>
          <w:sz w:val="24"/>
        </w:rPr>
        <w:t>（</w:t>
      </w:r>
      <w:r>
        <w:rPr>
          <w:rFonts w:ascii="宋体" w:hAnsi="宋体"/>
          <w:sz w:val="24"/>
        </w:rPr>
        <w:t>¥</w:t>
      </w:r>
      <w:r>
        <w:rPr>
          <w:rFonts w:ascii="宋体" w:hAnsi="宋体"/>
          <w:sz w:val="24"/>
          <w:u w:val="single"/>
        </w:rPr>
        <w:t xml:space="preserve">         </w:t>
      </w:r>
      <w:r>
        <w:rPr>
          <w:rFonts w:hint="eastAsia" w:ascii="宋体" w:hAnsi="宋体"/>
          <w:sz w:val="24"/>
        </w:rPr>
        <w:t>）</w:t>
      </w:r>
      <w:r>
        <w:rPr>
          <w:rFonts w:hint="eastAsia"/>
          <w:color w:val="auto"/>
          <w:spacing w:val="4"/>
          <w:sz w:val="24"/>
          <w:highlight w:val="none"/>
        </w:rPr>
        <w:t>（其中</w:t>
      </w:r>
      <w:r>
        <w:rPr>
          <w:rFonts w:hint="eastAsia"/>
          <w:color w:val="auto"/>
          <w:spacing w:val="4"/>
          <w:sz w:val="24"/>
          <w:highlight w:val="none"/>
          <w:lang w:eastAsia="zh-CN"/>
        </w:rPr>
        <w:t>，</w:t>
      </w:r>
      <w:r>
        <w:rPr>
          <w:rFonts w:hint="eastAsia"/>
          <w:color w:val="auto"/>
          <w:spacing w:val="4"/>
          <w:sz w:val="24"/>
          <w:highlight w:val="none"/>
        </w:rPr>
        <w:t>增值税税率为</w:t>
      </w:r>
      <w:r>
        <w:rPr>
          <w:color w:val="auto"/>
          <w:spacing w:val="4"/>
          <w:sz w:val="24"/>
          <w:highlight w:val="none"/>
          <w:u w:val="single"/>
        </w:rPr>
        <w:t xml:space="preserve">        </w:t>
      </w:r>
      <w:r>
        <w:rPr>
          <w:rFonts w:hint="eastAsia"/>
          <w:color w:val="auto"/>
          <w:spacing w:val="4"/>
          <w:sz w:val="24"/>
          <w:highlight w:val="none"/>
        </w:rPr>
        <w:t>）</w:t>
      </w:r>
      <w:r>
        <w:rPr>
          <w:rFonts w:hint="eastAsia" w:ascii="宋体" w:hAnsi="宋体"/>
          <w:sz w:val="24"/>
        </w:rPr>
        <w:t>。</w:t>
      </w:r>
    </w:p>
    <w:p w14:paraId="7B385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4</w:t>
      </w:r>
      <w:r>
        <w:rPr>
          <w:rFonts w:ascii="宋体" w:hAnsi="宋体"/>
          <w:sz w:val="24"/>
        </w:rPr>
        <w:t>.</w:t>
      </w:r>
      <w:r>
        <w:rPr>
          <w:rFonts w:hint="eastAsia" w:ascii="宋体" w:hAnsi="宋体"/>
          <w:sz w:val="24"/>
        </w:rPr>
        <w:t>承包人</w:t>
      </w:r>
    </w:p>
    <w:p w14:paraId="14F9F38A">
      <w:pPr>
        <w:keepNext w:val="0"/>
        <w:keepLines w:val="0"/>
        <w:pageBreakBefore w:val="0"/>
        <w:widowControl w:val="0"/>
        <w:kinsoku/>
        <w:wordWrap/>
        <w:overflowPunct/>
        <w:topLinePunct w:val="0"/>
        <w:autoSpaceDE/>
        <w:autoSpaceDN/>
        <w:bidi w:val="0"/>
        <w:adjustRightInd/>
        <w:snapToGrid/>
        <w:spacing w:line="360" w:lineRule="auto"/>
        <w:ind w:firstLine="894" w:firstLineChars="371"/>
        <w:textAlignment w:val="auto"/>
        <w:rPr>
          <w:rFonts w:ascii="宋体" w:hAnsi="宋体"/>
          <w:sz w:val="24"/>
        </w:rPr>
      </w:pPr>
      <w:r>
        <w:rPr>
          <w:rFonts w:hint="eastAsia" w:ascii="宋体" w:hAnsi="宋体"/>
          <w:b/>
          <w:bCs/>
          <w:sz w:val="24"/>
        </w:rPr>
        <w:t>□</w:t>
      </w:r>
      <w:r>
        <w:rPr>
          <w:rFonts w:ascii="宋体" w:hAnsi="宋体"/>
          <w:b/>
          <w:bCs/>
          <w:sz w:val="24"/>
        </w:rPr>
        <w:t xml:space="preserve"> </w:t>
      </w:r>
      <w:r>
        <w:rPr>
          <w:rFonts w:hint="eastAsia" w:ascii="宋体" w:hAnsi="宋体"/>
          <w:sz w:val="24"/>
        </w:rPr>
        <w:t>项目总负责人：</w:t>
      </w:r>
      <w:r>
        <w:rPr>
          <w:rFonts w:ascii="宋体" w:hAnsi="宋体"/>
          <w:sz w:val="24"/>
          <w:u w:val="single"/>
        </w:rPr>
        <w:t xml:space="preserve">          </w:t>
      </w:r>
      <w:r>
        <w:rPr>
          <w:rFonts w:hint="eastAsia" w:ascii="宋体" w:hAnsi="宋体"/>
          <w:sz w:val="24"/>
        </w:rPr>
        <w:t>；</w:t>
      </w:r>
    </w:p>
    <w:p w14:paraId="6D0EFD7F">
      <w:pPr>
        <w:keepNext w:val="0"/>
        <w:keepLines w:val="0"/>
        <w:pageBreakBefore w:val="0"/>
        <w:widowControl w:val="0"/>
        <w:kinsoku/>
        <w:wordWrap/>
        <w:overflowPunct/>
        <w:topLinePunct w:val="0"/>
        <w:autoSpaceDE/>
        <w:autoSpaceDN/>
        <w:bidi w:val="0"/>
        <w:adjustRightInd/>
        <w:snapToGrid/>
        <w:spacing w:line="360" w:lineRule="auto"/>
        <w:ind w:firstLine="894" w:firstLineChars="371"/>
        <w:textAlignment w:val="auto"/>
        <w:rPr>
          <w:rFonts w:ascii="宋体" w:hAnsi="宋体"/>
          <w:sz w:val="24"/>
        </w:rPr>
      </w:pPr>
      <w:r>
        <w:rPr>
          <w:rFonts w:hint="eastAsia" w:ascii="宋体" w:hAnsi="宋体"/>
          <w:b/>
          <w:bCs/>
          <w:sz w:val="24"/>
        </w:rPr>
        <w:t>□</w:t>
      </w:r>
      <w:bookmarkStart w:id="838" w:name="_Hlk100244314"/>
      <w:r>
        <w:rPr>
          <w:rFonts w:ascii="宋体" w:hAnsi="宋体"/>
          <w:b/>
          <w:bCs/>
          <w:sz w:val="24"/>
        </w:rPr>
        <w:t xml:space="preserve"> </w:t>
      </w:r>
      <w:r>
        <w:rPr>
          <w:rFonts w:hint="eastAsia" w:ascii="宋体" w:hAnsi="宋体"/>
          <w:sz w:val="24"/>
        </w:rPr>
        <w:t>设计项目负责人：</w:t>
      </w:r>
      <w:r>
        <w:rPr>
          <w:rFonts w:ascii="宋体" w:hAnsi="宋体"/>
          <w:sz w:val="24"/>
          <w:u w:val="single"/>
        </w:rPr>
        <w:t xml:space="preserve">          </w:t>
      </w:r>
      <w:r>
        <w:rPr>
          <w:rFonts w:hint="eastAsia" w:ascii="宋体" w:hAnsi="宋体"/>
          <w:sz w:val="24"/>
        </w:rPr>
        <w:t>；</w:t>
      </w:r>
      <w:bookmarkEnd w:id="838"/>
    </w:p>
    <w:p w14:paraId="72735EB9">
      <w:pPr>
        <w:keepNext w:val="0"/>
        <w:keepLines w:val="0"/>
        <w:pageBreakBefore w:val="0"/>
        <w:widowControl w:val="0"/>
        <w:kinsoku/>
        <w:wordWrap/>
        <w:overflowPunct/>
        <w:topLinePunct w:val="0"/>
        <w:autoSpaceDE/>
        <w:autoSpaceDN/>
        <w:bidi w:val="0"/>
        <w:adjustRightInd/>
        <w:snapToGrid/>
        <w:spacing w:line="360" w:lineRule="auto"/>
        <w:ind w:firstLine="894" w:firstLineChars="371"/>
        <w:textAlignment w:val="auto"/>
        <w:rPr>
          <w:rFonts w:ascii="宋体" w:hAnsi="宋体"/>
          <w:sz w:val="24"/>
        </w:rPr>
      </w:pPr>
      <w:r>
        <w:rPr>
          <w:rFonts w:hint="eastAsia" w:ascii="宋体" w:hAnsi="宋体"/>
          <w:b/>
          <w:bCs/>
          <w:sz w:val="24"/>
        </w:rPr>
        <w:t>□</w:t>
      </w:r>
      <w:r>
        <w:rPr>
          <w:rFonts w:ascii="宋体" w:hAnsi="宋体"/>
          <w:b/>
          <w:bCs/>
          <w:sz w:val="24"/>
        </w:rPr>
        <w:t xml:space="preserve"> </w:t>
      </w:r>
      <w:r>
        <w:rPr>
          <w:rFonts w:hint="eastAsia"/>
          <w:sz w:val="24"/>
        </w:rPr>
        <w:t>勘察设计</w:t>
      </w:r>
      <w:r>
        <w:rPr>
          <w:rFonts w:hint="eastAsia" w:ascii="宋体" w:hAnsi="宋体"/>
          <w:spacing w:val="-4"/>
          <w:sz w:val="24"/>
        </w:rPr>
        <w:t>技术负责人或总设计师</w:t>
      </w:r>
      <w:r>
        <w:rPr>
          <w:rFonts w:hint="eastAsia" w:ascii="宋体" w:hAnsi="宋体"/>
          <w:sz w:val="24"/>
        </w:rPr>
        <w:t>：</w:t>
      </w:r>
      <w:r>
        <w:rPr>
          <w:rFonts w:ascii="宋体" w:hAnsi="宋体"/>
          <w:sz w:val="24"/>
          <w:u w:val="single"/>
        </w:rPr>
        <w:t xml:space="preserve">          </w:t>
      </w:r>
      <w:r>
        <w:rPr>
          <w:rFonts w:hint="eastAsia" w:ascii="宋体" w:hAnsi="宋体"/>
          <w:sz w:val="24"/>
        </w:rPr>
        <w:t>；</w:t>
      </w:r>
    </w:p>
    <w:p w14:paraId="0710562C">
      <w:pPr>
        <w:keepNext w:val="0"/>
        <w:keepLines w:val="0"/>
        <w:pageBreakBefore w:val="0"/>
        <w:widowControl w:val="0"/>
        <w:kinsoku/>
        <w:wordWrap/>
        <w:overflowPunct/>
        <w:topLinePunct w:val="0"/>
        <w:autoSpaceDE/>
        <w:autoSpaceDN/>
        <w:bidi w:val="0"/>
        <w:adjustRightInd/>
        <w:snapToGrid/>
        <w:spacing w:line="360" w:lineRule="auto"/>
        <w:ind w:firstLine="894" w:firstLineChars="371"/>
        <w:textAlignment w:val="auto"/>
        <w:rPr>
          <w:rFonts w:ascii="宋体" w:hAnsi="宋体"/>
          <w:sz w:val="24"/>
        </w:rPr>
      </w:pPr>
      <w:bookmarkStart w:id="839" w:name="_Hlk100244346"/>
      <w:r>
        <w:rPr>
          <w:rFonts w:hint="eastAsia" w:ascii="宋体" w:hAnsi="宋体"/>
          <w:b/>
          <w:bCs/>
          <w:sz w:val="24"/>
        </w:rPr>
        <w:t>□</w:t>
      </w:r>
      <w:bookmarkEnd w:id="839"/>
      <w:r>
        <w:rPr>
          <w:rFonts w:ascii="宋体" w:hAnsi="宋体"/>
          <w:b/>
          <w:bCs/>
          <w:sz w:val="24"/>
        </w:rPr>
        <w:t xml:space="preserve"> </w:t>
      </w:r>
      <w:r>
        <w:rPr>
          <w:rFonts w:hint="eastAsia" w:ascii="宋体" w:hAnsi="宋体"/>
          <w:sz w:val="24"/>
        </w:rPr>
        <w:t>项目经理：</w:t>
      </w:r>
      <w:r>
        <w:rPr>
          <w:rFonts w:ascii="宋体" w:hAnsi="宋体"/>
          <w:sz w:val="24"/>
          <w:u w:val="single"/>
        </w:rPr>
        <w:t xml:space="preserve">          </w:t>
      </w:r>
      <w:r>
        <w:rPr>
          <w:rFonts w:hint="eastAsia" w:ascii="宋体" w:hAnsi="宋体"/>
          <w:sz w:val="24"/>
        </w:rPr>
        <w:t>；</w:t>
      </w:r>
    </w:p>
    <w:p w14:paraId="0EA27BD4">
      <w:pPr>
        <w:keepNext w:val="0"/>
        <w:keepLines w:val="0"/>
        <w:pageBreakBefore w:val="0"/>
        <w:widowControl w:val="0"/>
        <w:kinsoku/>
        <w:wordWrap/>
        <w:overflowPunct/>
        <w:topLinePunct w:val="0"/>
        <w:autoSpaceDE/>
        <w:autoSpaceDN/>
        <w:bidi w:val="0"/>
        <w:adjustRightInd/>
        <w:snapToGrid/>
        <w:spacing w:line="360" w:lineRule="auto"/>
        <w:ind w:firstLine="894" w:firstLineChars="371"/>
        <w:textAlignment w:val="auto"/>
        <w:rPr>
          <w:rFonts w:ascii="宋体" w:hAnsi="宋体"/>
          <w:sz w:val="24"/>
        </w:rPr>
      </w:pPr>
      <w:r>
        <w:rPr>
          <w:rFonts w:hint="eastAsia" w:ascii="宋体" w:hAnsi="宋体"/>
          <w:b/>
          <w:bCs/>
          <w:sz w:val="24"/>
        </w:rPr>
        <w:t>□</w:t>
      </w:r>
      <w:r>
        <w:rPr>
          <w:rFonts w:ascii="宋体" w:hAnsi="宋体"/>
          <w:b/>
          <w:bCs/>
          <w:sz w:val="24"/>
        </w:rPr>
        <w:t xml:space="preserve"> </w:t>
      </w:r>
      <w:r>
        <w:rPr>
          <w:rFonts w:hint="eastAsia" w:ascii="宋体" w:hAnsi="宋体"/>
          <w:sz w:val="24"/>
        </w:rPr>
        <w:t>项目总工：</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3AB28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工程质量符合的标准和要求：</w:t>
      </w:r>
      <w:r>
        <w:rPr>
          <w:rFonts w:ascii="宋体" w:hAnsi="宋体"/>
          <w:sz w:val="24"/>
          <w:u w:val="single"/>
        </w:rPr>
        <w:t xml:space="preserve">                       </w:t>
      </w:r>
      <w:r>
        <w:rPr>
          <w:rFonts w:hint="eastAsia" w:ascii="宋体" w:hAnsi="宋体"/>
          <w:sz w:val="24"/>
        </w:rPr>
        <w:t>。</w:t>
      </w:r>
    </w:p>
    <w:p w14:paraId="649D8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承包人承诺按合同约定承担工程的设计、实施、竣工及缺陷修复。</w:t>
      </w:r>
    </w:p>
    <w:p w14:paraId="763E40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rPr>
        <w:t>发包人承诺按合同约定的条件、时间和方式向承包人支付合同价款。</w:t>
      </w:r>
    </w:p>
    <w:p w14:paraId="356357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rPr>
        <w:t>承包人计划开始工作时间：</w:t>
      </w:r>
      <w:r>
        <w:rPr>
          <w:rFonts w:ascii="宋体" w:hAnsi="宋体"/>
          <w:sz w:val="24"/>
        </w:rPr>
        <w:t>________________</w:t>
      </w:r>
      <w:r>
        <w:rPr>
          <w:rFonts w:hint="eastAsia" w:ascii="宋体" w:hAnsi="宋体"/>
          <w:sz w:val="24"/>
        </w:rPr>
        <w:t>，实际开始工作时间按照监理人开始工作通知中载明的开始工作时间为准。工期为</w:t>
      </w:r>
      <w:r>
        <w:rPr>
          <w:rFonts w:ascii="宋体" w:hAnsi="宋体"/>
          <w:sz w:val="24"/>
          <w:u w:val="single"/>
        </w:rPr>
        <w:t xml:space="preserve">    </w:t>
      </w:r>
      <w:r>
        <w:rPr>
          <w:rFonts w:hint="eastAsia" w:ascii="宋体" w:hAnsi="宋体"/>
          <w:sz w:val="24"/>
          <w:u w:val="none"/>
          <w:lang w:val="en-US" w:eastAsia="zh-CN"/>
        </w:rPr>
        <w:t>个</w:t>
      </w:r>
      <w:r>
        <w:rPr>
          <w:rFonts w:hint="eastAsia" w:ascii="宋体" w:hAnsi="宋体"/>
          <w:sz w:val="24"/>
        </w:rPr>
        <w:t>月。</w:t>
      </w:r>
    </w:p>
    <w:p w14:paraId="6AFEE89B">
      <w:pPr>
        <w:pStyle w:val="20"/>
        <w:tabs>
          <w:tab w:val="left" w:pos="5620"/>
        </w:tabs>
        <w:spacing w:line="360" w:lineRule="auto"/>
        <w:ind w:right="144" w:firstLine="480" w:firstLineChars="200"/>
        <w:rPr>
          <w:rFonts w:hint="eastAsia" w:ascii="宋体" w:hAnsi="宋体"/>
          <w:sz w:val="24"/>
        </w:rPr>
      </w:pPr>
      <w:r>
        <w:t>9.</w:t>
      </w:r>
      <w:r>
        <w:rPr>
          <w:rFonts w:hint="eastAsia" w:cs="宋体"/>
        </w:rPr>
        <w:t>本协议书在承包人提供履约保证金后，由双方法定代表人或其委托代理人签署并加盖单位章后生效。全部工程完工后经交工验收合格、缺陷责任期满签发缺陷责任终止证书后失效。</w:t>
      </w:r>
    </w:p>
    <w:p w14:paraId="7B5409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10</w:t>
      </w:r>
      <w:r>
        <w:rPr>
          <w:rFonts w:ascii="宋体" w:hAnsi="宋体"/>
          <w:sz w:val="24"/>
        </w:rPr>
        <w:t>.</w:t>
      </w:r>
      <w:r>
        <w:rPr>
          <w:rFonts w:hint="eastAsia" w:ascii="宋体" w:hAnsi="宋体"/>
          <w:sz w:val="24"/>
        </w:rPr>
        <w:t>本协议书一式</w:t>
      </w:r>
      <w:r>
        <w:rPr>
          <w:rFonts w:ascii="宋体" w:hAnsi="宋体"/>
          <w:sz w:val="24"/>
          <w:u w:val="single"/>
        </w:rPr>
        <w:t xml:space="preserve">     </w:t>
      </w:r>
      <w:r>
        <w:rPr>
          <w:rFonts w:hint="eastAsia" w:ascii="宋体" w:hAnsi="宋体"/>
          <w:sz w:val="24"/>
        </w:rPr>
        <w:t>份，合同双方各执一份。</w:t>
      </w:r>
    </w:p>
    <w:p w14:paraId="16EB9D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bookmarkStart w:id="840" w:name="_Toc152042550"/>
      <w:bookmarkStart w:id="841" w:name="_Toc144974830"/>
      <w:r>
        <w:rPr>
          <w:rFonts w:hint="eastAsia" w:ascii="宋体" w:hAnsi="宋体"/>
          <w:sz w:val="24"/>
          <w:lang w:val="en-US" w:eastAsia="zh-CN"/>
        </w:rPr>
        <w:t>11</w:t>
      </w:r>
      <w:r>
        <w:rPr>
          <w:rFonts w:ascii="宋体" w:hAnsi="宋体"/>
          <w:sz w:val="24"/>
        </w:rPr>
        <w:t>.</w:t>
      </w:r>
      <w:r>
        <w:rPr>
          <w:rFonts w:hint="eastAsia" w:ascii="宋体" w:hAnsi="宋体"/>
          <w:sz w:val="24"/>
        </w:rPr>
        <w:t>合同未尽事宜，双方另行签订补充协议。补充协议是合同的组成部分。</w:t>
      </w:r>
      <w:bookmarkEnd w:id="840"/>
      <w:bookmarkEnd w:id="841"/>
    </w:p>
    <w:p w14:paraId="673BF20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p>
    <w:p w14:paraId="688F5136">
      <w:pPr>
        <w:pStyle w:val="20"/>
        <w:keepNext w:val="0"/>
        <w:keepLines w:val="0"/>
        <w:pageBreakBefore w:val="0"/>
        <w:widowControl w:val="0"/>
        <w:tabs>
          <w:tab w:val="left" w:pos="3510"/>
          <w:tab w:val="left" w:pos="3721"/>
          <w:tab w:val="left" w:pos="4845"/>
          <w:tab w:val="left" w:pos="7380"/>
          <w:tab w:val="left" w:pos="8177"/>
        </w:tabs>
        <w:kinsoku/>
        <w:wordWrap/>
        <w:overflowPunct/>
        <w:topLinePunct w:val="0"/>
        <w:autoSpaceDE/>
        <w:autoSpaceDN/>
        <w:bidi w:val="0"/>
        <w:adjustRightInd/>
        <w:snapToGrid/>
        <w:spacing w:line="360" w:lineRule="auto"/>
        <w:ind w:left="144" w:right="144"/>
        <w:textAlignment w:val="auto"/>
        <w:rPr>
          <w:rFonts w:hint="eastAsia" w:cs="宋体"/>
        </w:rPr>
      </w:pPr>
    </w:p>
    <w:p w14:paraId="1D35AB2C">
      <w:pPr>
        <w:pStyle w:val="20"/>
        <w:keepNext w:val="0"/>
        <w:keepLines w:val="0"/>
        <w:pageBreakBefore w:val="0"/>
        <w:widowControl w:val="0"/>
        <w:tabs>
          <w:tab w:val="left" w:pos="3510"/>
          <w:tab w:val="left" w:pos="3721"/>
          <w:tab w:val="left" w:pos="4845"/>
          <w:tab w:val="left" w:pos="7380"/>
          <w:tab w:val="left" w:pos="8177"/>
        </w:tabs>
        <w:kinsoku/>
        <w:wordWrap/>
        <w:overflowPunct/>
        <w:topLinePunct w:val="0"/>
        <w:autoSpaceDE/>
        <w:autoSpaceDN/>
        <w:bidi w:val="0"/>
        <w:adjustRightInd/>
        <w:snapToGrid/>
        <w:spacing w:line="360" w:lineRule="auto"/>
        <w:ind w:left="144" w:right="144"/>
        <w:textAlignment w:val="auto"/>
        <w:rPr>
          <w:rFonts w:hint="eastAsia" w:cs="宋体"/>
        </w:rPr>
      </w:pPr>
    </w:p>
    <w:p w14:paraId="441C7678">
      <w:pPr>
        <w:pStyle w:val="20"/>
        <w:keepNext w:val="0"/>
        <w:keepLines w:val="0"/>
        <w:pageBreakBefore w:val="0"/>
        <w:widowControl w:val="0"/>
        <w:tabs>
          <w:tab w:val="left" w:pos="3510"/>
          <w:tab w:val="left" w:pos="3721"/>
          <w:tab w:val="left" w:pos="4845"/>
          <w:tab w:val="left" w:pos="7380"/>
          <w:tab w:val="left" w:pos="8177"/>
        </w:tabs>
        <w:kinsoku/>
        <w:wordWrap/>
        <w:overflowPunct/>
        <w:topLinePunct w:val="0"/>
        <w:autoSpaceDE/>
        <w:autoSpaceDN/>
        <w:bidi w:val="0"/>
        <w:adjustRightInd/>
        <w:snapToGrid/>
        <w:spacing w:line="360" w:lineRule="auto"/>
        <w:ind w:left="144" w:right="144"/>
        <w:textAlignment w:val="auto"/>
      </w:pPr>
      <w:r>
        <w:rPr>
          <w:rFonts w:hint="eastAsia" w:cs="宋体"/>
        </w:rPr>
        <w:t>发包人：</w:t>
      </w:r>
      <w:r>
        <w:rPr>
          <w:u w:val="single"/>
        </w:rPr>
        <w:t xml:space="preserve"> </w:t>
      </w:r>
      <w:r>
        <w:rPr>
          <w:u w:val="single"/>
        </w:rPr>
        <w:tab/>
      </w:r>
      <w:r>
        <w:rPr>
          <w:rFonts w:hint="eastAsia"/>
          <w:u w:val="single"/>
          <w:lang w:val="en-US" w:eastAsia="zh-CN"/>
        </w:rPr>
        <w:t xml:space="preserve">               </w:t>
      </w:r>
      <w:r>
        <w:rPr>
          <w:rFonts w:cs="宋体"/>
        </w:rPr>
        <w:t>（单位电子印章/盖单位章）</w:t>
      </w:r>
      <w:r>
        <w:t xml:space="preserve"> </w:t>
      </w:r>
    </w:p>
    <w:p w14:paraId="0474819F">
      <w:pPr>
        <w:pStyle w:val="20"/>
        <w:keepNext w:val="0"/>
        <w:keepLines w:val="0"/>
        <w:pageBreakBefore w:val="0"/>
        <w:widowControl w:val="0"/>
        <w:tabs>
          <w:tab w:val="left" w:pos="2903"/>
          <w:tab w:val="left" w:pos="3721"/>
          <w:tab w:val="left" w:pos="6300"/>
          <w:tab w:val="left" w:pos="8177"/>
        </w:tabs>
        <w:kinsoku/>
        <w:wordWrap/>
        <w:overflowPunct/>
        <w:topLinePunct w:val="0"/>
        <w:autoSpaceDE/>
        <w:autoSpaceDN/>
        <w:bidi w:val="0"/>
        <w:adjustRightInd/>
        <w:snapToGrid/>
        <w:spacing w:line="360" w:lineRule="auto"/>
        <w:ind w:left="144" w:right="144"/>
        <w:jc w:val="left"/>
        <w:textAlignment w:val="auto"/>
        <w:rPr>
          <w:u w:val="single"/>
        </w:rPr>
      </w:pPr>
      <w:r>
        <w:rPr>
          <w:rFonts w:hint="eastAsia" w:cs="宋体"/>
        </w:rPr>
        <w:t>法定代表人或其委托代理人：</w:t>
      </w:r>
      <w:r>
        <w:rPr>
          <w:rFonts w:cs="宋体"/>
          <w:u w:val="single"/>
        </w:rPr>
        <w:t xml:space="preserve">     </w:t>
      </w:r>
      <w:r>
        <w:rPr>
          <w:rFonts w:hint="eastAsia"/>
        </w:rPr>
        <w:t>（个人电子签名章或个人电子印章</w:t>
      </w:r>
      <w:r>
        <w:t>/签字）</w:t>
      </w:r>
    </w:p>
    <w:p w14:paraId="7E943067">
      <w:pPr>
        <w:pStyle w:val="20"/>
        <w:keepNext w:val="0"/>
        <w:keepLines w:val="0"/>
        <w:pageBreakBefore w:val="0"/>
        <w:widowControl w:val="0"/>
        <w:tabs>
          <w:tab w:val="left" w:pos="2903"/>
          <w:tab w:val="left" w:pos="3721"/>
          <w:tab w:val="left" w:pos="6300"/>
          <w:tab w:val="left" w:pos="8177"/>
        </w:tabs>
        <w:kinsoku/>
        <w:wordWrap/>
        <w:overflowPunct/>
        <w:topLinePunct w:val="0"/>
        <w:autoSpaceDE/>
        <w:autoSpaceDN/>
        <w:bidi w:val="0"/>
        <w:adjustRightInd/>
        <w:snapToGrid/>
        <w:spacing w:line="360" w:lineRule="auto"/>
        <w:ind w:left="144" w:right="144" w:firstLine="3840" w:firstLineChars="1600"/>
        <w:jc w:val="left"/>
        <w:textAlignment w:val="auto"/>
        <w:rPr>
          <w:u w:val="single"/>
        </w:rPr>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7B836EDA">
      <w:pPr>
        <w:pStyle w:val="20"/>
        <w:keepNext w:val="0"/>
        <w:keepLines w:val="0"/>
        <w:pageBreakBefore w:val="0"/>
        <w:widowControl w:val="0"/>
        <w:tabs>
          <w:tab w:val="left" w:pos="2903"/>
          <w:tab w:val="left" w:pos="3721"/>
          <w:tab w:val="left" w:pos="6300"/>
          <w:tab w:val="left" w:pos="8177"/>
        </w:tabs>
        <w:kinsoku/>
        <w:wordWrap/>
        <w:overflowPunct/>
        <w:topLinePunct w:val="0"/>
        <w:autoSpaceDE/>
        <w:autoSpaceDN/>
        <w:bidi w:val="0"/>
        <w:adjustRightInd/>
        <w:snapToGrid/>
        <w:spacing w:line="360" w:lineRule="auto"/>
        <w:ind w:left="144" w:right="144"/>
        <w:jc w:val="left"/>
        <w:textAlignment w:val="auto"/>
        <w:rPr>
          <w:rFonts w:hint="eastAsia" w:eastAsia="宋体" w:cs="宋体"/>
          <w:lang w:val="en-US" w:eastAsia="zh-CN"/>
        </w:rPr>
      </w:pPr>
      <w:r>
        <w:rPr>
          <w:rFonts w:cs="宋体"/>
        </w:rPr>
        <w:t xml:space="preserve"> </w:t>
      </w:r>
      <w:r>
        <w:rPr>
          <w:rFonts w:hint="eastAsia" w:cs="宋体"/>
          <w:lang w:val="en-US" w:eastAsia="zh-CN"/>
        </w:rPr>
        <w:t xml:space="preserve"> </w:t>
      </w:r>
    </w:p>
    <w:p w14:paraId="5BA9B93A">
      <w:pPr>
        <w:pStyle w:val="20"/>
        <w:keepNext w:val="0"/>
        <w:keepLines w:val="0"/>
        <w:pageBreakBefore w:val="0"/>
        <w:widowControl w:val="0"/>
        <w:tabs>
          <w:tab w:val="left" w:pos="2903"/>
          <w:tab w:val="left" w:pos="3721"/>
          <w:tab w:val="left" w:pos="6300"/>
          <w:tab w:val="left" w:pos="8177"/>
        </w:tabs>
        <w:kinsoku/>
        <w:wordWrap/>
        <w:overflowPunct/>
        <w:topLinePunct w:val="0"/>
        <w:autoSpaceDE/>
        <w:autoSpaceDN/>
        <w:bidi w:val="0"/>
        <w:adjustRightInd/>
        <w:snapToGrid/>
        <w:spacing w:line="360" w:lineRule="auto"/>
        <w:ind w:left="144" w:right="144"/>
        <w:jc w:val="left"/>
        <w:textAlignment w:val="auto"/>
      </w:pPr>
      <w:r>
        <w:rPr>
          <w:rFonts w:hint="eastAsia" w:cs="宋体"/>
        </w:rPr>
        <w:t>承包人：</w:t>
      </w:r>
      <w:r>
        <w:rPr>
          <w:u w:val="single"/>
        </w:rPr>
        <w:t xml:space="preserve"> </w:t>
      </w:r>
      <w:r>
        <w:rPr>
          <w:u w:val="single"/>
        </w:rPr>
        <w:tab/>
      </w:r>
      <w:r>
        <w:rPr>
          <w:rFonts w:hint="eastAsia"/>
          <w:u w:val="single"/>
          <w:lang w:val="en-US" w:eastAsia="zh-CN"/>
        </w:rPr>
        <w:t xml:space="preserve">                   </w:t>
      </w:r>
      <w:r>
        <w:rPr>
          <w:rFonts w:cs="宋体"/>
        </w:rPr>
        <w:t>（单位电子印章/盖单位章）</w:t>
      </w:r>
    </w:p>
    <w:p w14:paraId="226731B9">
      <w:pPr>
        <w:pStyle w:val="20"/>
        <w:keepNext w:val="0"/>
        <w:keepLines w:val="0"/>
        <w:pageBreakBefore w:val="0"/>
        <w:widowControl w:val="0"/>
        <w:tabs>
          <w:tab w:val="left" w:pos="2903"/>
          <w:tab w:val="left" w:pos="3721"/>
          <w:tab w:val="left" w:pos="6300"/>
          <w:tab w:val="left" w:pos="8177"/>
        </w:tabs>
        <w:kinsoku/>
        <w:wordWrap/>
        <w:overflowPunct/>
        <w:topLinePunct w:val="0"/>
        <w:autoSpaceDE/>
        <w:autoSpaceDN/>
        <w:bidi w:val="0"/>
        <w:adjustRightInd/>
        <w:snapToGrid/>
        <w:spacing w:line="360" w:lineRule="auto"/>
        <w:ind w:left="144" w:right="144"/>
        <w:jc w:val="left"/>
        <w:textAlignment w:val="auto"/>
        <w:rPr>
          <w:u w:val="single"/>
        </w:rPr>
      </w:pPr>
      <w:r>
        <w:rPr>
          <w:rFonts w:hint="eastAsia" w:cs="宋体"/>
          <w:spacing w:val="-3"/>
        </w:rPr>
        <w:t>法定代表人或其委托代理人：</w:t>
      </w:r>
      <w:r>
        <w:rPr>
          <w:rFonts w:cs="宋体"/>
          <w:u w:val="single"/>
        </w:rPr>
        <w:t xml:space="preserve">     </w:t>
      </w:r>
      <w:r>
        <w:rPr>
          <w:rFonts w:hint="eastAsia"/>
        </w:rPr>
        <w:t>（个人电子签名章或个人电子印章</w:t>
      </w:r>
      <w:r>
        <w:t>/签字）</w:t>
      </w:r>
    </w:p>
    <w:p w14:paraId="5AC4C47E">
      <w:pPr>
        <w:pStyle w:val="20"/>
        <w:keepNext w:val="0"/>
        <w:keepLines w:val="0"/>
        <w:pageBreakBefore w:val="0"/>
        <w:widowControl w:val="0"/>
        <w:tabs>
          <w:tab w:val="left" w:pos="2903"/>
          <w:tab w:val="left" w:pos="3721"/>
          <w:tab w:val="left" w:pos="6300"/>
          <w:tab w:val="left" w:pos="8177"/>
        </w:tabs>
        <w:kinsoku/>
        <w:wordWrap/>
        <w:overflowPunct/>
        <w:topLinePunct w:val="0"/>
        <w:autoSpaceDE/>
        <w:autoSpaceDN/>
        <w:bidi w:val="0"/>
        <w:adjustRightInd/>
        <w:snapToGrid/>
        <w:spacing w:line="360" w:lineRule="auto"/>
        <w:ind w:left="144" w:right="144" w:firstLine="3720" w:firstLineChars="1550"/>
        <w:jc w:val="left"/>
        <w:textAlignment w:val="auto"/>
        <w:rPr>
          <w:u w:val="single"/>
        </w:rPr>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34F1F4F4">
      <w:pPr>
        <w:pStyle w:val="20"/>
        <w:spacing w:before="188" w:line="360" w:lineRule="auto"/>
        <w:ind w:left="144" w:right="-6955"/>
        <w:rPr>
          <w:b/>
          <w:sz w:val="30"/>
          <w:szCs w:val="30"/>
        </w:rPr>
      </w:pPr>
      <w:r>
        <w:rPr>
          <w:b/>
          <w:sz w:val="30"/>
          <w:szCs w:val="30"/>
        </w:rPr>
        <w:t xml:space="preserve">               </w:t>
      </w:r>
    </w:p>
    <w:p w14:paraId="3AF247E5">
      <w:pPr>
        <w:pStyle w:val="20"/>
        <w:spacing w:before="188" w:line="360" w:lineRule="auto"/>
        <w:ind w:left="144" w:right="-6955"/>
        <w:rPr>
          <w:b/>
          <w:sz w:val="30"/>
          <w:szCs w:val="30"/>
        </w:rPr>
      </w:pPr>
    </w:p>
    <w:p w14:paraId="299242B1">
      <w:pPr>
        <w:pStyle w:val="20"/>
        <w:spacing w:before="188" w:line="360" w:lineRule="auto"/>
        <w:ind w:left="144" w:right="-6955"/>
        <w:rPr>
          <w:b/>
          <w:sz w:val="30"/>
          <w:szCs w:val="30"/>
        </w:rPr>
      </w:pPr>
    </w:p>
    <w:p w14:paraId="66037B72">
      <w:pPr>
        <w:pStyle w:val="20"/>
        <w:spacing w:before="188" w:line="360" w:lineRule="auto"/>
        <w:ind w:left="144" w:right="-6955"/>
        <w:rPr>
          <w:b/>
          <w:sz w:val="30"/>
          <w:szCs w:val="30"/>
        </w:rPr>
      </w:pPr>
    </w:p>
    <w:p w14:paraId="4E8E9950">
      <w:pPr>
        <w:pStyle w:val="20"/>
        <w:spacing w:before="188" w:line="360" w:lineRule="auto"/>
        <w:ind w:right="-6605"/>
        <w:rPr>
          <w:rFonts w:ascii="黑体" w:hAnsi="黑体" w:eastAsia="黑体"/>
          <w:sz w:val="30"/>
          <w:szCs w:val="30"/>
        </w:rPr>
      </w:pPr>
      <w:r>
        <w:rPr>
          <w:rFonts w:ascii="黑体" w:hAnsi="黑体" w:eastAsia="黑体"/>
          <w:sz w:val="30"/>
          <w:szCs w:val="30"/>
        </w:rPr>
        <w:br w:type="page"/>
      </w:r>
    </w:p>
    <w:p w14:paraId="3121BE0C">
      <w:pPr>
        <w:pStyle w:val="20"/>
        <w:spacing w:before="188" w:line="360" w:lineRule="auto"/>
        <w:ind w:right="-6605"/>
        <w:rPr>
          <w:rFonts w:ascii="黑体" w:hAnsi="黑体" w:eastAsia="黑体"/>
        </w:rPr>
      </w:pPr>
      <w:r>
        <w:rPr>
          <w:rFonts w:hint="eastAsia" w:ascii="黑体" w:hAnsi="黑体" w:eastAsia="黑体"/>
        </w:rPr>
        <w:t>附件二</w:t>
      </w:r>
      <w:r>
        <w:rPr>
          <w:rFonts w:ascii="黑体" w:hAnsi="黑体" w:eastAsia="黑体"/>
        </w:rPr>
        <w:t xml:space="preserve"> </w:t>
      </w:r>
      <w:r>
        <w:rPr>
          <w:rFonts w:hint="eastAsia" w:ascii="黑体" w:hAnsi="黑体" w:eastAsia="黑体"/>
        </w:rPr>
        <w:t>廉政合同</w:t>
      </w:r>
    </w:p>
    <w:p w14:paraId="2A1C5B30">
      <w:pPr>
        <w:pStyle w:val="20"/>
        <w:spacing w:before="188" w:line="360" w:lineRule="auto"/>
        <w:ind w:right="30"/>
        <w:jc w:val="center"/>
        <w:rPr>
          <w:rFonts w:ascii="黑体" w:hAnsi="黑体" w:eastAsia="黑体"/>
          <w:sz w:val="28"/>
          <w:szCs w:val="28"/>
        </w:rPr>
      </w:pPr>
      <w:r>
        <w:rPr>
          <w:rFonts w:hint="eastAsia" w:ascii="黑体" w:hAnsi="黑体" w:eastAsia="黑体"/>
          <w:sz w:val="28"/>
          <w:szCs w:val="28"/>
        </w:rPr>
        <w:t>廉</w:t>
      </w:r>
      <w:r>
        <w:rPr>
          <w:rFonts w:ascii="黑体" w:hAnsi="黑体" w:eastAsia="黑体"/>
          <w:sz w:val="28"/>
          <w:szCs w:val="28"/>
        </w:rPr>
        <w:t xml:space="preserve"> </w:t>
      </w:r>
      <w:r>
        <w:rPr>
          <w:rFonts w:hint="eastAsia" w:ascii="黑体" w:hAnsi="黑体" w:eastAsia="黑体"/>
          <w:sz w:val="28"/>
          <w:szCs w:val="28"/>
        </w:rPr>
        <w:t>政</w:t>
      </w:r>
      <w:r>
        <w:rPr>
          <w:rFonts w:ascii="黑体" w:hAnsi="黑体" w:eastAsia="黑体"/>
          <w:sz w:val="28"/>
          <w:szCs w:val="28"/>
        </w:rPr>
        <w:t xml:space="preserve"> </w:t>
      </w:r>
      <w:r>
        <w:rPr>
          <w:rFonts w:hint="eastAsia" w:ascii="黑体" w:hAnsi="黑体" w:eastAsia="黑体"/>
          <w:sz w:val="28"/>
          <w:szCs w:val="28"/>
        </w:rPr>
        <w:t>合</w:t>
      </w:r>
      <w:r>
        <w:rPr>
          <w:rFonts w:ascii="黑体" w:hAnsi="黑体" w:eastAsia="黑体"/>
          <w:sz w:val="28"/>
          <w:szCs w:val="28"/>
        </w:rPr>
        <w:t xml:space="preserve"> </w:t>
      </w:r>
      <w:r>
        <w:rPr>
          <w:rFonts w:hint="eastAsia" w:ascii="黑体" w:hAnsi="黑体" w:eastAsia="黑体"/>
          <w:sz w:val="28"/>
          <w:szCs w:val="28"/>
        </w:rPr>
        <w:t>同</w:t>
      </w:r>
    </w:p>
    <w:p w14:paraId="226F2E6C">
      <w:pPr>
        <w:pStyle w:val="20"/>
        <w:spacing w:line="360" w:lineRule="auto"/>
        <w:ind w:right="30" w:firstLine="464" w:firstLineChars="200"/>
        <w:rPr>
          <w:rFonts w:cs="宋体"/>
          <w:spacing w:val="-4"/>
        </w:rPr>
      </w:pPr>
    </w:p>
    <w:p w14:paraId="0DAEEB19">
      <w:pPr>
        <w:pStyle w:val="20"/>
        <w:spacing w:line="360" w:lineRule="auto"/>
        <w:ind w:right="30" w:firstLine="464" w:firstLineChars="200"/>
        <w:rPr>
          <w:rFonts w:cs="宋体"/>
        </w:rPr>
      </w:pPr>
      <w:r>
        <w:rPr>
          <w:rFonts w:hint="eastAsia" w:cs="宋体"/>
          <w:spacing w:val="-4"/>
        </w:rPr>
        <w:t>根据《关于在交通基础设施建设中加强廉政建设的若干意见》以及有关工程建</w:t>
      </w:r>
      <w:r>
        <w:rPr>
          <w:rFonts w:hint="eastAsia" w:cs="宋体"/>
          <w:spacing w:val="-3"/>
        </w:rPr>
        <w:t>设、廉政建设的规定，为做好工程建设中的党风廉政建设，保证工程建设高效优质，</w:t>
      </w:r>
      <w:r>
        <w:rPr>
          <w:spacing w:val="-3"/>
        </w:rPr>
        <w:t xml:space="preserve"> </w:t>
      </w:r>
      <w:r>
        <w:rPr>
          <w:rFonts w:hint="eastAsia" w:cs="宋体"/>
        </w:rPr>
        <w:t>保证建设资金的安全和</w:t>
      </w:r>
      <w:r>
        <w:rPr>
          <w:rFonts w:hint="eastAsia" w:cs="宋体"/>
          <w:spacing w:val="-4"/>
        </w:rPr>
        <w:t>有效使用以及投资效益，</w:t>
      </w:r>
      <w:r>
        <w:rPr>
          <w:rFonts w:cs="宋体"/>
          <w:spacing w:val="-4"/>
          <w:u w:val="single"/>
        </w:rPr>
        <w:t xml:space="preserve"> </w:t>
      </w:r>
      <w:r>
        <w:rPr>
          <w:rFonts w:cs="宋体"/>
          <w:spacing w:val="-4"/>
          <w:u w:val="single"/>
        </w:rPr>
        <w:tab/>
      </w:r>
      <w:r>
        <w:rPr>
          <w:rFonts w:cs="宋体"/>
          <w:spacing w:val="-4"/>
          <w:u w:val="single"/>
        </w:rPr>
        <w:t xml:space="preserve">   </w:t>
      </w:r>
      <w:r>
        <w:rPr>
          <w:rFonts w:hint="eastAsia" w:cs="宋体"/>
          <w:spacing w:val="-4"/>
          <w:u w:val="single"/>
          <w:lang w:val="en-US" w:eastAsia="zh-CN"/>
        </w:rPr>
        <w:t xml:space="preserve">     </w:t>
      </w:r>
      <w:r>
        <w:rPr>
          <w:rFonts w:cs="宋体"/>
          <w:spacing w:val="-4"/>
          <w:u w:val="single"/>
        </w:rPr>
        <w:t xml:space="preserve"> </w:t>
      </w:r>
      <w:r>
        <w:rPr>
          <w:rFonts w:hint="eastAsia" w:cs="宋体"/>
          <w:spacing w:val="-4"/>
        </w:rPr>
        <w:t>（项目名称）的项目法人</w:t>
      </w:r>
      <w:r>
        <w:rPr>
          <w:rFonts w:cs="宋体"/>
          <w:spacing w:val="-4"/>
          <w:u w:val="single"/>
        </w:rPr>
        <w:t xml:space="preserve"> </w:t>
      </w:r>
      <w:r>
        <w:rPr>
          <w:rFonts w:cs="宋体"/>
          <w:spacing w:val="-4"/>
          <w:u w:val="single"/>
        </w:rPr>
        <w:tab/>
      </w:r>
      <w:r>
        <w:rPr>
          <w:rFonts w:cs="宋体"/>
          <w:spacing w:val="-4"/>
          <w:u w:val="single"/>
        </w:rPr>
        <w:t xml:space="preserve">    </w:t>
      </w:r>
      <w:r>
        <w:rPr>
          <w:rFonts w:cs="宋体"/>
          <w:spacing w:val="-4"/>
          <w:u w:val="single"/>
        </w:rPr>
        <w:tab/>
      </w:r>
      <w:r>
        <w:rPr>
          <w:rFonts w:cs="宋体"/>
          <w:spacing w:val="-4"/>
          <w:u w:val="single"/>
        </w:rPr>
        <w:t xml:space="preserve">     </w:t>
      </w:r>
      <w:r>
        <w:rPr>
          <w:rFonts w:cs="宋体"/>
          <w:spacing w:val="-4"/>
        </w:rPr>
        <w:t xml:space="preserve">   （</w:t>
      </w:r>
      <w:r>
        <w:rPr>
          <w:rFonts w:hint="eastAsia" w:cs="宋体"/>
          <w:spacing w:val="-4"/>
        </w:rPr>
        <w:t>项目法人名称，以下</w:t>
      </w:r>
      <w:r>
        <w:rPr>
          <w:rFonts w:hint="eastAsia" w:cs="宋体"/>
        </w:rPr>
        <w:t>简称</w:t>
      </w:r>
      <w:r>
        <w:t>“</w:t>
      </w:r>
      <w:r>
        <w:rPr>
          <w:rFonts w:hint="eastAsia" w:cs="宋体"/>
        </w:rPr>
        <w:t>发包人</w:t>
      </w:r>
      <w:r>
        <w:t>”）</w:t>
      </w:r>
      <w:r>
        <w:rPr>
          <w:rFonts w:hint="eastAsia" w:cs="宋体"/>
          <w:spacing w:val="-1"/>
        </w:rPr>
        <w:t>与</w:t>
      </w:r>
      <w:r>
        <w:rPr>
          <w:u w:val="single"/>
        </w:rPr>
        <w:tab/>
      </w:r>
      <w:r>
        <w:rPr>
          <w:u w:val="single"/>
        </w:rPr>
        <w:t xml:space="preserve">  </w:t>
      </w:r>
      <w:r>
        <w:rPr>
          <w:rFonts w:hint="eastAsia"/>
          <w:u w:val="single"/>
          <w:lang w:val="en-US" w:eastAsia="zh-CN"/>
        </w:rPr>
        <w:t xml:space="preserve">     </w:t>
      </w:r>
      <w:r>
        <w:rPr>
          <w:u w:val="single"/>
        </w:rPr>
        <w:t xml:space="preserve">  </w:t>
      </w:r>
      <w:r>
        <w:rPr>
          <w:rFonts w:hint="eastAsia" w:cs="宋体"/>
        </w:rPr>
        <w:t>（招标项目名称）</w:t>
      </w:r>
      <w:r>
        <w:rPr>
          <w:rFonts w:hint="eastAsia" w:cs="宋体"/>
          <w:lang w:val="en-US" w:eastAsia="zh-CN"/>
        </w:rPr>
        <w:t>设计施工总承包</w:t>
      </w:r>
      <w:r>
        <w:rPr>
          <w:u w:val="single"/>
        </w:rPr>
        <w:t xml:space="preserve">   </w:t>
      </w:r>
      <w:r>
        <w:rPr>
          <w:rFonts w:hint="eastAsia" w:cs="宋体"/>
        </w:rPr>
        <w:t>标段的中标人</w:t>
      </w:r>
      <w:r>
        <w:rPr>
          <w:u w:val="single"/>
        </w:rPr>
        <w:t xml:space="preserve">  </w:t>
      </w:r>
      <w:r>
        <w:rPr>
          <w:u w:val="single"/>
        </w:rPr>
        <w:tab/>
      </w:r>
      <w:r>
        <w:rPr>
          <w:u w:val="single"/>
        </w:rPr>
        <w:t xml:space="preserve">    </w:t>
      </w:r>
      <w:r>
        <w:t>（</w:t>
      </w:r>
      <w:r>
        <w:rPr>
          <w:rFonts w:hint="eastAsia" w:cs="宋体"/>
        </w:rPr>
        <w:t>设计施工总承包单位名称，以下简称</w:t>
      </w:r>
      <w:r>
        <w:t>“</w:t>
      </w:r>
      <w:r>
        <w:rPr>
          <w:rFonts w:hint="eastAsia" w:cs="宋体"/>
        </w:rPr>
        <w:t>承包人</w:t>
      </w:r>
      <w:r>
        <w:t>”）</w:t>
      </w:r>
      <w:r>
        <w:rPr>
          <w:rFonts w:hint="eastAsia" w:cs="宋体"/>
        </w:rPr>
        <w:t>，特订立如下合同。</w:t>
      </w:r>
    </w:p>
    <w:p w14:paraId="581EF208">
      <w:pPr>
        <w:pStyle w:val="20"/>
        <w:spacing w:line="360" w:lineRule="auto"/>
        <w:ind w:right="868" w:firstLine="480" w:firstLineChars="200"/>
        <w:rPr>
          <w:rFonts w:hint="eastAsia" w:ascii="宋体" w:hAnsi="宋体" w:eastAsia="宋体" w:cs="宋体"/>
        </w:rPr>
      </w:pPr>
      <w:r>
        <w:rPr>
          <w:rFonts w:hint="eastAsia" w:ascii="宋体" w:hAnsi="宋体" w:eastAsia="宋体" w:cs="宋体"/>
        </w:rPr>
        <w:t>1.发包人和承包人双方的权利和义务</w:t>
      </w:r>
    </w:p>
    <w:p w14:paraId="457E7209">
      <w:pPr>
        <w:pStyle w:val="20"/>
        <w:spacing w:line="360" w:lineRule="auto"/>
        <w:ind w:right="7" w:firstLine="480" w:firstLineChars="200"/>
      </w:pPr>
      <w:r>
        <w:rPr>
          <w:rFonts w:hint="eastAsia"/>
        </w:rPr>
        <w:t>（</w:t>
      </w:r>
      <w:r>
        <w:t>1）</w:t>
      </w:r>
      <w:r>
        <w:rPr>
          <w:rFonts w:hint="eastAsia" w:cs="宋体"/>
        </w:rPr>
        <w:t>严格遵守党的政策规定和国家有关法律法规及交通运输部</w:t>
      </w:r>
      <w:r>
        <w:rPr>
          <w:rFonts w:hint="eastAsia" w:cs="宋体"/>
          <w:lang w:eastAsia="zh-CN"/>
        </w:rPr>
        <w:t>、</w:t>
      </w:r>
      <w:r>
        <w:rPr>
          <w:rFonts w:hint="eastAsia" w:cs="宋体"/>
          <w:lang w:val="en-US" w:eastAsia="zh-CN"/>
        </w:rPr>
        <w:t>四川省交通运输厅等</w:t>
      </w:r>
      <w:r>
        <w:rPr>
          <w:rFonts w:hint="eastAsia" w:cs="宋体"/>
        </w:rPr>
        <w:t>的有关规定。</w:t>
      </w:r>
    </w:p>
    <w:p w14:paraId="1286DC10">
      <w:pPr>
        <w:pStyle w:val="20"/>
        <w:tabs>
          <w:tab w:val="left" w:pos="3193"/>
          <w:tab w:val="left" w:pos="5340"/>
        </w:tabs>
        <w:spacing w:line="360" w:lineRule="auto"/>
        <w:ind w:right="7" w:firstLine="480" w:firstLineChars="200"/>
        <w:rPr>
          <w:rFonts w:cs="宋体"/>
        </w:rPr>
      </w:pPr>
      <w:r>
        <w:rPr>
          <w:rFonts w:hint="eastAsia"/>
        </w:rPr>
        <w:t>（</w:t>
      </w:r>
      <w:r>
        <w:t>2）</w:t>
      </w:r>
      <w:r>
        <w:rPr>
          <w:rFonts w:hint="eastAsia" w:cs="宋体"/>
        </w:rPr>
        <w:t>严格执行</w:t>
      </w:r>
      <w:r>
        <w:rPr>
          <w:u w:val="single"/>
        </w:rPr>
        <w:t xml:space="preserve"> </w:t>
      </w:r>
      <w:r>
        <w:rPr>
          <w:u w:val="single"/>
        </w:rPr>
        <w:tab/>
      </w:r>
      <w:r>
        <w:rPr>
          <w:rFonts w:hint="eastAsia" w:cs="宋体"/>
        </w:rPr>
        <w:t>（招标项目名称）</w:t>
      </w:r>
      <w:r>
        <w:rPr>
          <w:rFonts w:hint="eastAsia" w:cs="宋体"/>
          <w:lang w:val="en-US" w:eastAsia="zh-CN"/>
        </w:rPr>
        <w:t>设计施工总承包</w:t>
      </w:r>
      <w:r>
        <w:rPr>
          <w:u w:val="single"/>
        </w:rPr>
        <w:t xml:space="preserve">   </w:t>
      </w:r>
      <w:r>
        <w:rPr>
          <w:u w:val="single"/>
        </w:rPr>
        <w:tab/>
      </w:r>
      <w:r>
        <w:rPr>
          <w:rFonts w:hint="eastAsia" w:cs="宋体"/>
        </w:rPr>
        <w:t>标段合同文件，自觉按合同办事。</w:t>
      </w:r>
    </w:p>
    <w:p w14:paraId="18B9B652">
      <w:pPr>
        <w:pStyle w:val="20"/>
        <w:spacing w:line="360" w:lineRule="auto"/>
        <w:ind w:right="7" w:firstLine="480" w:firstLineChars="200"/>
      </w:pPr>
      <w:r>
        <w:rPr>
          <w:rFonts w:hint="eastAsia"/>
        </w:rPr>
        <w:t>（</w:t>
      </w:r>
      <w:r>
        <w:t>3）</w:t>
      </w:r>
      <w:r>
        <w:rPr>
          <w:rFonts w:hint="eastAsia" w:cs="宋体"/>
        </w:rPr>
        <w:t>双方的业务活动坚持公开、公正、诚信、透明的原则</w:t>
      </w:r>
      <w:r>
        <w:t>（</w:t>
      </w:r>
      <w:r>
        <w:rPr>
          <w:rFonts w:hint="eastAsia" w:cs="宋体"/>
        </w:rPr>
        <w:t>法律认定的商业秘密和合同文件另有规定除外</w:t>
      </w:r>
      <w:r>
        <w:t>）</w:t>
      </w:r>
      <w:r>
        <w:rPr>
          <w:rFonts w:hint="eastAsia" w:cs="宋体"/>
        </w:rPr>
        <w:t>，不得损害国家和集体利益，不得违反工程建设管理规章制度。</w:t>
      </w:r>
    </w:p>
    <w:p w14:paraId="69466DB7">
      <w:pPr>
        <w:pStyle w:val="20"/>
        <w:spacing w:line="360" w:lineRule="auto"/>
        <w:ind w:right="7" w:firstLine="480" w:firstLineChars="200"/>
      </w:pPr>
      <w:r>
        <w:rPr>
          <w:rFonts w:hint="eastAsia"/>
        </w:rPr>
        <w:t>（</w:t>
      </w:r>
      <w:r>
        <w:t>4）</w:t>
      </w:r>
      <w:r>
        <w:rPr>
          <w:rFonts w:hint="eastAsia" w:cs="宋体"/>
        </w:rPr>
        <w:t>建立健全廉政制度，开展廉政教育，设立廉政告示牌，公布举报电话，监督并认真查处违法违纪行为。</w:t>
      </w:r>
    </w:p>
    <w:p w14:paraId="347C714F">
      <w:pPr>
        <w:pStyle w:val="20"/>
        <w:spacing w:line="360" w:lineRule="auto"/>
        <w:ind w:right="7" w:firstLine="480" w:firstLineChars="200"/>
      </w:pPr>
      <w:r>
        <w:rPr>
          <w:rFonts w:hint="eastAsia"/>
        </w:rPr>
        <w:t>（</w:t>
      </w:r>
      <w:r>
        <w:t>5）</w:t>
      </w:r>
      <w:r>
        <w:rPr>
          <w:rFonts w:hint="eastAsia" w:cs="宋体"/>
        </w:rPr>
        <w:t>发现对方在业务活动中有违反廉政规定的行为，有及时提醒对方纠正的权利和义务。</w:t>
      </w:r>
    </w:p>
    <w:p w14:paraId="4005F71D">
      <w:pPr>
        <w:pStyle w:val="20"/>
        <w:spacing w:line="360" w:lineRule="auto"/>
        <w:ind w:right="7" w:firstLine="480" w:firstLineChars="200"/>
      </w:pPr>
      <w:r>
        <w:rPr>
          <w:rFonts w:hint="eastAsia"/>
        </w:rPr>
        <w:t>（</w:t>
      </w:r>
      <w:r>
        <w:t>6）</w:t>
      </w:r>
      <w:r>
        <w:rPr>
          <w:rFonts w:hint="eastAsia" w:cs="宋体"/>
        </w:rPr>
        <w:t>发现对方严重违反本合同义务条款的行为，有向其上级有关部门举报、建议给予处理并要求告知处理结果的权利。</w:t>
      </w:r>
    </w:p>
    <w:p w14:paraId="73114C5A">
      <w:pPr>
        <w:pStyle w:val="20"/>
        <w:spacing w:line="360" w:lineRule="auto"/>
        <w:ind w:right="868" w:firstLine="480" w:firstLineChars="200"/>
        <w:rPr>
          <w:rFonts w:hint="eastAsia" w:ascii="宋体" w:hAnsi="宋体" w:eastAsia="宋体" w:cs="宋体"/>
        </w:rPr>
      </w:pPr>
      <w:r>
        <w:rPr>
          <w:rFonts w:hint="eastAsia" w:ascii="宋体" w:hAnsi="宋体" w:eastAsia="宋体" w:cs="宋体"/>
        </w:rPr>
        <w:t>2.发包人的义务</w:t>
      </w:r>
    </w:p>
    <w:p w14:paraId="5130705E">
      <w:pPr>
        <w:pStyle w:val="20"/>
        <w:spacing w:line="360" w:lineRule="auto"/>
        <w:ind w:right="7" w:firstLine="480" w:firstLineChars="200"/>
      </w:pPr>
      <w:r>
        <w:rPr>
          <w:rFonts w:hint="eastAsia"/>
        </w:rPr>
        <w:t>（</w:t>
      </w:r>
      <w:r>
        <w:t>1）</w:t>
      </w:r>
      <w:r>
        <w:rPr>
          <w:rFonts w:hint="eastAsia" w:cs="宋体"/>
        </w:rPr>
        <w:t>发包人及其工作人员不得索要或接受承包人的礼金、有价证券和贵重物品，不得让承包人报销任何应由发包人或发包人工作人员个人支付的费用等。</w:t>
      </w:r>
    </w:p>
    <w:p w14:paraId="04F5081B">
      <w:pPr>
        <w:pStyle w:val="20"/>
        <w:spacing w:line="360" w:lineRule="auto"/>
        <w:ind w:right="7" w:firstLine="480" w:firstLineChars="200"/>
      </w:pPr>
      <w:r>
        <w:rPr>
          <w:rFonts w:hint="eastAsia"/>
        </w:rPr>
        <w:t>（</w:t>
      </w:r>
      <w:r>
        <w:t>2）</w:t>
      </w:r>
      <w:r>
        <w:rPr>
          <w:rFonts w:hint="eastAsia" w:cs="宋体"/>
        </w:rPr>
        <w:t>发包人工作人员不得参加承包人安排的超标准宴请和娱乐活动；不得接受承包人提供的通</w:t>
      </w:r>
      <w:r>
        <w:rPr>
          <w:rFonts w:hint="eastAsia" w:cs="宋体"/>
          <w:lang w:val="en-US" w:eastAsia="zh-CN"/>
        </w:rPr>
        <w:t>信</w:t>
      </w:r>
      <w:r>
        <w:rPr>
          <w:rFonts w:hint="eastAsia" w:cs="宋体"/>
        </w:rPr>
        <w:t>工具、交通工具和高档办公用品等。</w:t>
      </w:r>
    </w:p>
    <w:p w14:paraId="13CD4773">
      <w:pPr>
        <w:pStyle w:val="20"/>
        <w:spacing w:line="360" w:lineRule="auto"/>
        <w:ind w:right="7" w:firstLine="480" w:firstLineChars="200"/>
      </w:pPr>
      <w:r>
        <w:rPr>
          <w:rFonts w:hint="eastAsia"/>
        </w:rPr>
        <w:t>（</w:t>
      </w:r>
      <w:r>
        <w:t>3）</w:t>
      </w:r>
      <w:r>
        <w:rPr>
          <w:rFonts w:hint="eastAsia" w:cs="宋体"/>
        </w:rPr>
        <w:t>发包人及其工作人员不得要求或者接受承包人为其住房装修、婚丧嫁娶活动、配偶子女的工作安排以及出国出境、旅游等提供方便等。</w:t>
      </w:r>
    </w:p>
    <w:p w14:paraId="6F4AB805">
      <w:pPr>
        <w:pStyle w:val="20"/>
        <w:spacing w:line="360" w:lineRule="auto"/>
        <w:ind w:right="7" w:firstLine="480" w:firstLineChars="200"/>
      </w:pPr>
      <w:r>
        <w:rPr>
          <w:rFonts w:hint="eastAsia"/>
        </w:rPr>
        <w:t>（</w:t>
      </w:r>
      <w:r>
        <w:t>4）</w:t>
      </w:r>
      <w:r>
        <w:rPr>
          <w:rFonts w:hint="eastAsia" w:cs="宋体"/>
        </w:rPr>
        <w:t>发包人工作人员及其配偶、子女不得从事与发包人工程有关的材料设备供应、工程分包、劳务等经济活动等。</w:t>
      </w:r>
    </w:p>
    <w:p w14:paraId="5059CC25">
      <w:pPr>
        <w:pStyle w:val="20"/>
        <w:spacing w:line="360" w:lineRule="auto"/>
        <w:ind w:right="7" w:firstLine="480" w:firstLineChars="200"/>
      </w:pPr>
      <w:r>
        <w:rPr>
          <w:rFonts w:hint="eastAsia"/>
        </w:rPr>
        <w:t>（</w:t>
      </w:r>
      <w:r>
        <w:t>5）</w:t>
      </w:r>
      <w:r>
        <w:rPr>
          <w:rFonts w:hint="eastAsia" w:cs="宋体"/>
        </w:rPr>
        <w:t>发包人及其工作人员不得以任何理由向承包人推荐分包单位或推销材料，不得要求承包人购买合同规定外的材料和设备。</w:t>
      </w:r>
    </w:p>
    <w:p w14:paraId="079ED8CC">
      <w:pPr>
        <w:pStyle w:val="20"/>
        <w:spacing w:line="360" w:lineRule="auto"/>
        <w:ind w:right="7" w:firstLine="480" w:firstLineChars="200"/>
      </w:pPr>
      <w:r>
        <w:rPr>
          <w:rFonts w:hint="eastAsia"/>
        </w:rPr>
        <w:t>（</w:t>
      </w:r>
      <w:r>
        <w:t>6）</w:t>
      </w:r>
      <w:r>
        <w:rPr>
          <w:rFonts w:hint="eastAsia" w:cs="宋体"/>
        </w:rPr>
        <w:t>发包人工作人员要秉公办事，不准营私舞弊，不准利用职权从事各种个人有偿中介活动和安排个人施工队伍。</w:t>
      </w:r>
    </w:p>
    <w:p w14:paraId="448D12FF">
      <w:pPr>
        <w:pStyle w:val="20"/>
        <w:spacing w:line="360" w:lineRule="auto"/>
        <w:ind w:right="868" w:firstLine="480" w:firstLineChars="200"/>
        <w:rPr>
          <w:rFonts w:hint="eastAsia" w:ascii="宋体" w:hAnsi="宋体" w:eastAsia="宋体" w:cs="宋体"/>
        </w:rPr>
      </w:pPr>
      <w:r>
        <w:rPr>
          <w:rFonts w:hint="eastAsia" w:ascii="宋体" w:hAnsi="宋体" w:eastAsia="宋体" w:cs="宋体"/>
        </w:rPr>
        <w:t>3.承包人的义务</w:t>
      </w:r>
    </w:p>
    <w:p w14:paraId="2831D88B">
      <w:pPr>
        <w:pStyle w:val="20"/>
        <w:spacing w:line="360" w:lineRule="auto"/>
        <w:ind w:right="117" w:firstLine="480" w:firstLineChars="200"/>
      </w:pPr>
      <w:r>
        <w:rPr>
          <w:rFonts w:hint="eastAsia"/>
        </w:rPr>
        <w:t>（</w:t>
      </w:r>
      <w:r>
        <w:t>1）</w:t>
      </w:r>
      <w:r>
        <w:rPr>
          <w:rFonts w:hint="eastAsia" w:cs="宋体"/>
        </w:rPr>
        <w:t>承包人不得以任何理由向发包人及其工作人员行贿或馈赠礼金、有价证券、贵重礼品。</w:t>
      </w:r>
    </w:p>
    <w:p w14:paraId="411141C8">
      <w:pPr>
        <w:pStyle w:val="20"/>
        <w:spacing w:line="360" w:lineRule="auto"/>
        <w:ind w:right="117" w:firstLine="480" w:firstLineChars="200"/>
      </w:pPr>
      <w:r>
        <w:rPr>
          <w:rFonts w:hint="eastAsia"/>
        </w:rPr>
        <w:t>（</w:t>
      </w:r>
      <w:r>
        <w:t>2）</w:t>
      </w:r>
      <w:r>
        <w:rPr>
          <w:rFonts w:hint="eastAsia" w:cs="宋体"/>
        </w:rPr>
        <w:t>承包人不得以任何名义为发包人及其工作人员报销应由发包人单位或个人支付的任何费用。</w:t>
      </w:r>
    </w:p>
    <w:p w14:paraId="269F9BDC">
      <w:pPr>
        <w:pStyle w:val="20"/>
        <w:spacing w:line="360" w:lineRule="auto"/>
        <w:ind w:right="117" w:firstLine="480" w:firstLineChars="200"/>
      </w:pPr>
      <w:r>
        <w:rPr>
          <w:rFonts w:hint="eastAsia"/>
        </w:rPr>
        <w:t>（</w:t>
      </w:r>
      <w:r>
        <w:t>3）</w:t>
      </w:r>
      <w:r>
        <w:rPr>
          <w:rFonts w:hint="eastAsia" w:cs="宋体"/>
        </w:rPr>
        <w:t>承包人不得以任何理由安排发包人工作人员参加超标准宴请及娱乐活动。</w:t>
      </w:r>
    </w:p>
    <w:p w14:paraId="2E62F992">
      <w:pPr>
        <w:pStyle w:val="20"/>
        <w:spacing w:line="360" w:lineRule="auto"/>
        <w:ind w:right="123" w:firstLine="480" w:firstLineChars="200"/>
      </w:pPr>
      <w:r>
        <w:rPr>
          <w:rFonts w:hint="eastAsia"/>
        </w:rPr>
        <w:t>（</w:t>
      </w:r>
      <w:r>
        <w:t>4）</w:t>
      </w:r>
      <w:r>
        <w:rPr>
          <w:rFonts w:hint="eastAsia" w:cs="宋体"/>
        </w:rPr>
        <w:t>承包人不得为发包人单位和个人购置或提供通信工具、交通工具和高档办公用品等。</w:t>
      </w:r>
    </w:p>
    <w:p w14:paraId="7A6E6B43">
      <w:pPr>
        <w:pStyle w:val="20"/>
        <w:spacing w:line="360" w:lineRule="auto"/>
        <w:ind w:right="868" w:firstLine="480" w:firstLineChars="200"/>
        <w:rPr>
          <w:rFonts w:hint="eastAsia" w:ascii="宋体" w:hAnsi="宋体" w:eastAsia="宋体" w:cs="宋体"/>
        </w:rPr>
      </w:pPr>
      <w:r>
        <w:rPr>
          <w:rFonts w:hint="eastAsia" w:ascii="宋体" w:hAnsi="宋体" w:eastAsia="宋体" w:cs="宋体"/>
        </w:rPr>
        <w:t>4.违约责任</w:t>
      </w:r>
    </w:p>
    <w:p w14:paraId="58F0748C">
      <w:pPr>
        <w:pStyle w:val="20"/>
        <w:spacing w:line="360" w:lineRule="auto"/>
        <w:ind w:right="123" w:firstLine="480" w:firstLineChars="200"/>
      </w:pPr>
      <w:r>
        <w:rPr>
          <w:rFonts w:hint="eastAsia"/>
        </w:rPr>
        <w:t>（</w:t>
      </w:r>
      <w:r>
        <w:t>1）</w:t>
      </w:r>
      <w:r>
        <w:rPr>
          <w:rFonts w:hint="eastAsia" w:cs="宋体"/>
        </w:rPr>
        <w:t>发包人及其工作人员违反本合同第</w:t>
      </w:r>
      <w:r>
        <w:t>1</w:t>
      </w:r>
      <w:r>
        <w:rPr>
          <w:rFonts w:hint="eastAsia" w:cs="宋体"/>
        </w:rPr>
        <w:t>、</w:t>
      </w:r>
      <w:r>
        <w:t>2</w:t>
      </w:r>
      <w:r>
        <w:rPr>
          <w:rFonts w:hint="eastAsia" w:cs="宋体"/>
        </w:rPr>
        <w:t>条，按管理权限，依据有关规定给予党纪、政纪或组织处理；涉嫌犯罪的，移交司法机关追究刑事责任；给承包人单位造成经济损失的，应予以赔偿。</w:t>
      </w:r>
    </w:p>
    <w:p w14:paraId="684C8C01">
      <w:pPr>
        <w:pStyle w:val="20"/>
        <w:spacing w:line="360" w:lineRule="auto"/>
        <w:ind w:right="123" w:firstLine="480" w:firstLineChars="200"/>
      </w:pPr>
      <w:r>
        <w:rPr>
          <w:rFonts w:hint="eastAsia"/>
        </w:rPr>
        <w:t>（</w:t>
      </w:r>
      <w:r>
        <w:t>2）</w:t>
      </w:r>
      <w:r>
        <w:rPr>
          <w:rFonts w:hint="eastAsia" w:cs="宋体"/>
        </w:rPr>
        <w:t>承包人及其工作人员违反本合同第</w:t>
      </w:r>
      <w:r>
        <w:t>1</w:t>
      </w:r>
      <w:r>
        <w:rPr>
          <w:rFonts w:hint="eastAsia" w:cs="宋体"/>
        </w:rPr>
        <w:t>、</w:t>
      </w:r>
      <w:r>
        <w:t>3</w:t>
      </w:r>
      <w:r>
        <w:rPr>
          <w:rFonts w:hint="eastAsia" w:cs="宋体"/>
        </w:rPr>
        <w:t>条，按管理权限，依据有关规定给予党纪、政纪或组织处理；给发包人单位造成经济损失的，应予以赔偿；情节严重的，发包人建议交通运输主管部门给予承包人一至三年内不得进入其主管的公路</w:t>
      </w:r>
      <w:r>
        <w:t xml:space="preserve"> </w:t>
      </w:r>
      <w:r>
        <w:rPr>
          <w:rFonts w:hint="eastAsia" w:cs="宋体"/>
        </w:rPr>
        <w:t>建设市场的处罚。</w:t>
      </w:r>
    </w:p>
    <w:p w14:paraId="099AB57B">
      <w:pPr>
        <w:pStyle w:val="20"/>
        <w:spacing w:line="360" w:lineRule="auto"/>
        <w:ind w:right="122" w:firstLine="480" w:firstLineChars="200"/>
      </w:pPr>
      <w:r>
        <w:t>5.</w:t>
      </w:r>
      <w:r>
        <w:rPr>
          <w:rFonts w:hint="eastAsia" w:cs="宋体"/>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50981D95">
      <w:pPr>
        <w:pStyle w:val="20"/>
        <w:spacing w:line="360" w:lineRule="auto"/>
        <w:ind w:right="122" w:firstLine="480" w:firstLineChars="200"/>
      </w:pPr>
      <w:r>
        <w:t>6.</w:t>
      </w:r>
      <w:r>
        <w:rPr>
          <w:rFonts w:hint="eastAsia" w:cs="宋体"/>
        </w:rPr>
        <w:t>本合同有效期为发包人和承包人签署之日起至该工程项目竣工验收后止。</w:t>
      </w:r>
    </w:p>
    <w:p w14:paraId="2D5D4B68">
      <w:pPr>
        <w:pStyle w:val="20"/>
        <w:tabs>
          <w:tab w:val="left" w:pos="3371"/>
        </w:tabs>
        <w:spacing w:line="360" w:lineRule="auto"/>
        <w:ind w:right="119" w:firstLine="480" w:firstLineChars="200"/>
      </w:pPr>
      <w:r>
        <w:t>7.</w:t>
      </w:r>
      <w:r>
        <w:rPr>
          <w:rFonts w:hint="eastAsia" w:cs="宋体"/>
        </w:rPr>
        <w:t>本合同作为</w:t>
      </w:r>
      <w:r>
        <w:rPr>
          <w:u w:val="single"/>
        </w:rPr>
        <w:t xml:space="preserve"> </w:t>
      </w:r>
      <w:r>
        <w:rPr>
          <w:u w:val="single"/>
        </w:rPr>
        <w:tab/>
      </w:r>
      <w:r>
        <w:rPr>
          <w:rFonts w:hint="eastAsia" w:cs="宋体"/>
          <w:spacing w:val="2"/>
        </w:rPr>
        <w:t>（招标项目名称）</w:t>
      </w:r>
      <w:r>
        <w:rPr>
          <w:spacing w:val="2"/>
          <w:u w:val="single"/>
        </w:rPr>
        <w:t xml:space="preserve">    </w:t>
      </w:r>
      <w:r>
        <w:rPr>
          <w:rFonts w:hint="eastAsia" w:cs="宋体"/>
        </w:rPr>
        <w:t>标段设计施工总承包合同的附件，与工程设计施工总承包合同具有同等的法律效力，经合同双方签署后立即生效。</w:t>
      </w:r>
    </w:p>
    <w:p w14:paraId="3C0DA38E">
      <w:pPr>
        <w:pStyle w:val="20"/>
        <w:spacing w:line="360" w:lineRule="auto"/>
        <w:ind w:right="122" w:firstLine="480" w:firstLineChars="200"/>
      </w:pPr>
      <w:r>
        <w:t>8.</w:t>
      </w:r>
      <w:r>
        <w:rPr>
          <w:rFonts w:hint="eastAsia" w:cs="宋体"/>
        </w:rPr>
        <w:t>本合同一式四份，由发包人和承包人各执一份，送交发包人和承包人的监督单位各一份。</w:t>
      </w:r>
    </w:p>
    <w:p w14:paraId="016F890B">
      <w:pPr>
        <w:pStyle w:val="20"/>
        <w:tabs>
          <w:tab w:val="left" w:pos="2903"/>
          <w:tab w:val="left" w:pos="3721"/>
          <w:tab w:val="left" w:pos="4601"/>
          <w:tab w:val="left" w:pos="7264"/>
          <w:tab w:val="left" w:pos="8177"/>
        </w:tabs>
        <w:spacing w:line="360" w:lineRule="auto"/>
        <w:ind w:left="144" w:right="124"/>
        <w:rPr>
          <w:rFonts w:cs="宋体"/>
        </w:rPr>
      </w:pPr>
    </w:p>
    <w:p w14:paraId="0DA7A010">
      <w:pPr>
        <w:pStyle w:val="20"/>
        <w:tabs>
          <w:tab w:val="left" w:pos="2903"/>
          <w:tab w:val="left" w:pos="3721"/>
          <w:tab w:val="left" w:pos="4601"/>
          <w:tab w:val="left" w:pos="7264"/>
          <w:tab w:val="left" w:pos="8177"/>
        </w:tabs>
        <w:spacing w:line="360" w:lineRule="auto"/>
        <w:ind w:left="144" w:right="124"/>
        <w:rPr>
          <w:rFonts w:cs="宋体"/>
        </w:rPr>
      </w:pPr>
    </w:p>
    <w:p w14:paraId="41FD6EAA">
      <w:pPr>
        <w:pStyle w:val="20"/>
        <w:tabs>
          <w:tab w:val="left" w:pos="2903"/>
          <w:tab w:val="left" w:pos="3721"/>
          <w:tab w:val="left" w:pos="4601"/>
          <w:tab w:val="left" w:pos="7264"/>
          <w:tab w:val="left" w:pos="8177"/>
        </w:tabs>
        <w:spacing w:line="360" w:lineRule="auto"/>
        <w:ind w:left="144" w:right="124"/>
      </w:pPr>
      <w:r>
        <w:rPr>
          <w:rFonts w:hint="eastAsia" w:cs="宋体"/>
        </w:rPr>
        <w:t>发包人：</w:t>
      </w:r>
      <w:r>
        <w:rPr>
          <w:u w:val="single"/>
        </w:rPr>
        <w:t xml:space="preserve"> </w:t>
      </w:r>
      <w:r>
        <w:rPr>
          <w:rFonts w:hint="eastAsia"/>
          <w:u w:val="single"/>
          <w:lang w:val="en-US" w:eastAsia="zh-CN"/>
        </w:rPr>
        <w:t xml:space="preserve">                 </w:t>
      </w:r>
      <w:r>
        <w:rPr>
          <w:rFonts w:hint="eastAsia"/>
        </w:rPr>
        <w:t>（</w:t>
      </w:r>
      <w:r>
        <w:rPr>
          <w:rFonts w:hint="eastAsia" w:cs="宋体"/>
        </w:rPr>
        <w:t>盖单位章</w:t>
      </w:r>
      <w:r>
        <w:rPr>
          <w:rFonts w:hint="eastAsia"/>
        </w:rPr>
        <w:t>）</w:t>
      </w:r>
      <w:r>
        <w:rPr>
          <w:rFonts w:hint="eastAsia" w:cs="宋体"/>
        </w:rPr>
        <w:t>承包人：</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rFonts w:hint="eastAsia"/>
        </w:rPr>
        <w:t>（</w:t>
      </w:r>
      <w:r>
        <w:rPr>
          <w:rFonts w:hint="eastAsia" w:cs="宋体"/>
        </w:rPr>
        <w:t>盖单位章</w:t>
      </w:r>
      <w:r>
        <w:rPr>
          <w:rFonts w:hint="eastAsia"/>
        </w:rPr>
        <w:t>）</w:t>
      </w:r>
      <w:r>
        <w:t xml:space="preserve"> </w:t>
      </w:r>
    </w:p>
    <w:p w14:paraId="54E300B7">
      <w:pPr>
        <w:pStyle w:val="20"/>
        <w:tabs>
          <w:tab w:val="left" w:pos="2903"/>
          <w:tab w:val="left" w:pos="3721"/>
          <w:tab w:val="left" w:pos="4601"/>
          <w:tab w:val="left" w:pos="7264"/>
          <w:tab w:val="left" w:pos="8177"/>
        </w:tabs>
        <w:spacing w:line="360" w:lineRule="auto"/>
        <w:ind w:left="144" w:right="124"/>
      </w:pPr>
      <w:r>
        <w:rPr>
          <w:rFonts w:hint="eastAsia" w:cs="宋体"/>
        </w:rPr>
        <w:t>法定代表人或其委托代理人：</w:t>
      </w:r>
      <w:r>
        <w:rPr>
          <w:u w:val="single"/>
        </w:rPr>
        <w:t xml:space="preserve"> </w:t>
      </w:r>
      <w:r>
        <w:rPr>
          <w:u w:val="single"/>
        </w:rPr>
        <w:tab/>
      </w:r>
      <w:r>
        <w:rPr>
          <w:rFonts w:hint="eastAsia"/>
        </w:rPr>
        <w:t>（</w:t>
      </w:r>
      <w:r>
        <w:rPr>
          <w:rFonts w:hint="eastAsia" w:cs="宋体"/>
        </w:rPr>
        <w:t>签字</w:t>
      </w:r>
      <w:r>
        <w:rPr>
          <w:rFonts w:hint="eastAsia"/>
        </w:rPr>
        <w:t>）</w:t>
      </w:r>
      <w:r>
        <w:rPr>
          <w:rFonts w:hint="eastAsia" w:cs="宋体"/>
          <w:spacing w:val="-3"/>
        </w:rPr>
        <w:t>法定代表人或其委托代理人：</w:t>
      </w:r>
      <w:r>
        <w:rPr>
          <w:spacing w:val="-3"/>
          <w:u w:val="single"/>
        </w:rPr>
        <w:t xml:space="preserve"> </w:t>
      </w:r>
      <w:r>
        <w:rPr>
          <w:spacing w:val="-3"/>
          <w:u w:val="single"/>
        </w:rPr>
        <w:tab/>
      </w:r>
      <w:r>
        <w:rPr>
          <w:rFonts w:hint="eastAsia"/>
        </w:rPr>
        <w:t>（</w:t>
      </w:r>
      <w:r>
        <w:rPr>
          <w:rFonts w:hint="eastAsia" w:cs="宋体"/>
        </w:rPr>
        <w:t>签字</w:t>
      </w:r>
      <w:r>
        <w:rPr>
          <w:rFonts w:hint="eastAsia"/>
        </w:rPr>
        <w:t>）</w:t>
      </w:r>
    </w:p>
    <w:p w14:paraId="13024674">
      <w:pPr>
        <w:pStyle w:val="20"/>
        <w:tabs>
          <w:tab w:val="left" w:pos="1583"/>
          <w:tab w:val="left" w:pos="2663"/>
          <w:tab w:val="left" w:pos="3503"/>
          <w:tab w:val="left" w:pos="4943"/>
          <w:tab w:val="left" w:pos="6023"/>
          <w:tab w:val="left" w:pos="7103"/>
          <w:tab w:val="left" w:pos="8303"/>
        </w:tabs>
        <w:spacing w:line="360" w:lineRule="auto"/>
        <w:ind w:left="504" w:right="107" w:firstLine="720" w:firstLineChars="300"/>
      </w:pPr>
      <w:r>
        <w:rPr>
          <w:u w:val="single"/>
        </w:rPr>
        <w:t xml:space="preserve"> </w:t>
      </w:r>
      <w:r>
        <w:rPr>
          <w:u w:val="single"/>
        </w:rPr>
        <w:tab/>
      </w:r>
      <w:r>
        <w:rPr>
          <w:rFonts w:hint="eastAsia"/>
          <w:u w:val="single"/>
          <w:lang w:val="en-US" w:eastAsia="zh-CN"/>
        </w:rPr>
        <w:t xml:space="preserve">   </w:t>
      </w:r>
      <w:r>
        <w:rPr>
          <w:rFonts w:hint="eastAsia" w:cs="宋体"/>
        </w:rPr>
        <w:t>年</w:t>
      </w:r>
      <w:r>
        <w:rPr>
          <w:u w:val="single"/>
        </w:rPr>
        <w:t xml:space="preserve"> </w:t>
      </w:r>
      <w:r>
        <w:rPr>
          <w:rFonts w:hint="eastAsia"/>
          <w:u w:val="single"/>
          <w:lang w:val="en-US" w:eastAsia="zh-CN"/>
        </w:rPr>
        <w:t xml:space="preserve">    </w:t>
      </w:r>
      <w:r>
        <w:rPr>
          <w:rFonts w:hint="eastAsia" w:cs="宋体"/>
        </w:rPr>
        <w:t>月</w:t>
      </w:r>
      <w:r>
        <w:rPr>
          <w:u w:val="single"/>
        </w:rPr>
        <w:tab/>
      </w:r>
      <w:r>
        <w:rPr>
          <w:rFonts w:hint="eastAsia"/>
          <w:u w:val="single"/>
          <w:lang w:val="en-US" w:eastAsia="zh-CN"/>
        </w:rPr>
        <w:t xml:space="preserve"> </w:t>
      </w:r>
      <w:r>
        <w:rPr>
          <w:rFonts w:hint="eastAsia" w:cs="宋体"/>
        </w:rPr>
        <w:t>日</w:t>
      </w:r>
      <w:r>
        <w:rPr>
          <w:rFonts w:hint="eastAsia" w:cs="宋体"/>
          <w:lang w:val="en-US" w:eastAsia="zh-CN"/>
        </w:rPr>
        <w:t xml:space="preserve">  </w:t>
      </w:r>
      <w:r>
        <w:tab/>
      </w:r>
      <w:r>
        <w:rPr>
          <w:rFonts w:hint="eastAsia"/>
          <w:lang w:val="en-US" w:eastAsia="zh-CN"/>
        </w:rPr>
        <w:t xml:space="preserve">    </w:t>
      </w:r>
      <w:r>
        <w:rPr>
          <w:u w:val="single"/>
        </w:rPr>
        <w:t xml:space="preserve"> </w:t>
      </w:r>
      <w:r>
        <w:rPr>
          <w:u w:val="single"/>
        </w:rPr>
        <w:tab/>
      </w:r>
      <w:r>
        <w:rPr>
          <w:rFonts w:hint="eastAsia"/>
          <w:u w:val="single"/>
          <w:lang w:val="en-US" w:eastAsia="zh-CN"/>
        </w:rPr>
        <w:t xml:space="preserve">  </w:t>
      </w:r>
      <w:r>
        <w:rPr>
          <w:rFonts w:hint="eastAsia" w:cs="宋体"/>
        </w:rPr>
        <w:t>年</w:t>
      </w:r>
      <w:r>
        <w:rPr>
          <w:u w:val="single"/>
        </w:rPr>
        <w:t xml:space="preserve"> </w:t>
      </w:r>
      <w:r>
        <w:rPr>
          <w:rFonts w:hint="eastAsia"/>
          <w:u w:val="single"/>
          <w:lang w:val="en-US" w:eastAsia="zh-CN"/>
        </w:rPr>
        <w:t xml:space="preserve">     </w:t>
      </w:r>
      <w:r>
        <w:rPr>
          <w:rFonts w:hint="eastAsia" w:cs="宋体"/>
        </w:rPr>
        <w:t>月</w:t>
      </w:r>
      <w:r>
        <w:rPr>
          <w:rFonts w:hint="eastAsia"/>
          <w:u w:val="single"/>
          <w:lang w:val="en-US" w:eastAsia="zh-CN"/>
        </w:rPr>
        <w:t xml:space="preserve">     </w:t>
      </w:r>
      <w:r>
        <w:rPr>
          <w:rFonts w:hint="eastAsia" w:cs="宋体"/>
        </w:rPr>
        <w:t>日</w:t>
      </w:r>
    </w:p>
    <w:p w14:paraId="6BB13829">
      <w:pPr>
        <w:pStyle w:val="20"/>
        <w:tabs>
          <w:tab w:val="left" w:pos="2944"/>
          <w:tab w:val="left" w:pos="4664"/>
          <w:tab w:val="left" w:pos="7465"/>
        </w:tabs>
        <w:spacing w:line="360" w:lineRule="auto"/>
        <w:ind w:left="144" w:right="107"/>
        <w:rPr>
          <w:rFonts w:hint="eastAsia" w:cs="宋体"/>
        </w:rPr>
      </w:pPr>
    </w:p>
    <w:p w14:paraId="32CC2A0B">
      <w:pPr>
        <w:pStyle w:val="20"/>
        <w:tabs>
          <w:tab w:val="left" w:pos="2944"/>
          <w:tab w:val="left" w:pos="4664"/>
          <w:tab w:val="left" w:pos="7465"/>
        </w:tabs>
        <w:spacing w:line="360" w:lineRule="auto"/>
        <w:ind w:left="144" w:right="107"/>
      </w:pPr>
      <w:r>
        <w:rPr>
          <w:rFonts w:hint="eastAsia" w:cs="宋体"/>
        </w:rPr>
        <w:t>发包人监督单位：</w:t>
      </w:r>
      <w:r>
        <w:rPr>
          <w:rFonts w:hint="eastAsia"/>
          <w:u w:val="single"/>
        </w:rPr>
        <w:t>（</w:t>
      </w:r>
      <w:r>
        <w:rPr>
          <w:rFonts w:hint="eastAsia" w:cs="宋体"/>
          <w:u w:val="single"/>
        </w:rPr>
        <w:t>全称</w:t>
      </w:r>
      <w:r>
        <w:rPr>
          <w:rFonts w:hint="eastAsia"/>
          <w:u w:val="single"/>
        </w:rPr>
        <w:t>）（</w:t>
      </w:r>
      <w:r>
        <w:rPr>
          <w:rFonts w:hint="eastAsia" w:cs="宋体"/>
          <w:u w:val="single"/>
        </w:rPr>
        <w:t>盖单位章</w:t>
      </w:r>
      <w:r>
        <w:rPr>
          <w:rFonts w:hint="eastAsia"/>
          <w:u w:val="single"/>
        </w:rPr>
        <w:t>）</w:t>
      </w:r>
      <w:r>
        <w:tab/>
      </w:r>
      <w:r>
        <w:rPr>
          <w:rFonts w:hint="eastAsia" w:cs="宋体"/>
        </w:rPr>
        <w:t>承包人监督单位：</w:t>
      </w:r>
      <w:r>
        <w:rPr>
          <w:rFonts w:hint="eastAsia"/>
          <w:u w:val="single"/>
        </w:rPr>
        <w:t>（</w:t>
      </w:r>
      <w:r>
        <w:rPr>
          <w:rFonts w:hint="eastAsia" w:cs="宋体"/>
          <w:u w:val="single"/>
        </w:rPr>
        <w:t>全称</w:t>
      </w:r>
      <w:r>
        <w:rPr>
          <w:rFonts w:hint="eastAsia"/>
          <w:u w:val="single"/>
        </w:rPr>
        <w:t>）（</w:t>
      </w:r>
      <w:r>
        <w:rPr>
          <w:rFonts w:hint="eastAsia" w:cs="宋体"/>
          <w:u w:val="single"/>
        </w:rPr>
        <w:t>盖单位章</w:t>
      </w:r>
      <w:r>
        <w:rPr>
          <w:rFonts w:hint="eastAsia"/>
          <w:u w:val="single"/>
        </w:rPr>
        <w:t>）</w:t>
      </w:r>
    </w:p>
    <w:p w14:paraId="40040B25">
      <w:pPr>
        <w:pStyle w:val="20"/>
        <w:spacing w:line="360" w:lineRule="auto"/>
        <w:ind w:right="-6605"/>
        <w:rPr>
          <w:rFonts w:ascii="黑体" w:hAnsi="黑体" w:eastAsia="黑体"/>
        </w:rPr>
      </w:pPr>
      <w:r>
        <w:rPr>
          <w:rFonts w:cs="宋体"/>
          <w:b/>
          <w:sz w:val="30"/>
          <w:szCs w:val="30"/>
        </w:rPr>
        <w:br w:type="page"/>
      </w:r>
      <w:r>
        <w:rPr>
          <w:rFonts w:hint="eastAsia" w:ascii="黑体" w:hAnsi="黑体" w:eastAsia="黑体"/>
        </w:rPr>
        <w:t>附件三</w:t>
      </w:r>
      <w:r>
        <w:rPr>
          <w:rFonts w:ascii="黑体" w:hAnsi="黑体" w:eastAsia="黑体"/>
        </w:rPr>
        <w:t xml:space="preserve"> </w:t>
      </w:r>
      <w:r>
        <w:rPr>
          <w:rFonts w:hint="eastAsia" w:ascii="黑体" w:hAnsi="黑体" w:eastAsia="黑体"/>
        </w:rPr>
        <w:t>安全生产合同</w:t>
      </w:r>
    </w:p>
    <w:p w14:paraId="5C382F6A">
      <w:pPr>
        <w:jc w:val="center"/>
        <w:rPr>
          <w:rFonts w:ascii="黑体" w:hAnsi="黑体" w:eastAsia="黑体"/>
          <w:sz w:val="28"/>
          <w:szCs w:val="28"/>
        </w:rPr>
      </w:pPr>
      <w:r>
        <w:rPr>
          <w:rFonts w:hint="eastAsia" w:ascii="黑体" w:hAnsi="黑体" w:eastAsia="黑体" w:cs="宋体"/>
          <w:sz w:val="28"/>
          <w:szCs w:val="28"/>
        </w:rPr>
        <w:t>安全</w:t>
      </w:r>
      <w:r>
        <w:rPr>
          <w:rFonts w:hint="eastAsia" w:ascii="黑体" w:hAnsi="黑体" w:eastAsia="黑体"/>
          <w:sz w:val="28"/>
          <w:szCs w:val="28"/>
        </w:rPr>
        <w:t>生产合</w:t>
      </w:r>
      <w:r>
        <w:rPr>
          <w:rFonts w:hint="eastAsia" w:ascii="黑体" w:hAnsi="黑体" w:eastAsia="黑体" w:cs="宋体"/>
          <w:sz w:val="28"/>
          <w:szCs w:val="28"/>
        </w:rPr>
        <w:t>同</w:t>
      </w:r>
    </w:p>
    <w:p w14:paraId="4FA64C69">
      <w:pPr>
        <w:pStyle w:val="20"/>
        <w:rPr>
          <w:sz w:val="28"/>
          <w:szCs w:val="28"/>
        </w:rPr>
      </w:pPr>
    </w:p>
    <w:p w14:paraId="4E40E281">
      <w:pPr>
        <w:pStyle w:val="20"/>
        <w:spacing w:before="1"/>
        <w:rPr>
          <w:sz w:val="14"/>
        </w:rPr>
      </w:pPr>
    </w:p>
    <w:p w14:paraId="71D59F78">
      <w:pPr>
        <w:pStyle w:val="20"/>
        <w:tabs>
          <w:tab w:val="left" w:pos="2800"/>
          <w:tab w:val="left" w:pos="5401"/>
          <w:tab w:val="left" w:pos="8256"/>
        </w:tabs>
        <w:spacing w:line="360" w:lineRule="auto"/>
        <w:ind w:left="144" w:right="221" w:firstLine="480" w:firstLineChars="200"/>
        <w:jc w:val="left"/>
        <w:rPr>
          <w:rFonts w:hint="eastAsia" w:eastAsia="宋体"/>
          <w:lang w:eastAsia="zh-CN"/>
        </w:rPr>
      </w:pPr>
      <w:r>
        <w:rPr>
          <w:rFonts w:hint="eastAsia" w:cs="宋体"/>
        </w:rPr>
        <w:t>为在</w:t>
      </w:r>
      <w:r>
        <w:rPr>
          <w:u w:val="single"/>
        </w:rPr>
        <w:t xml:space="preserve">             </w:t>
      </w:r>
      <w:r>
        <w:rPr>
          <w:rFonts w:hint="eastAsia"/>
        </w:rPr>
        <w:t>（</w:t>
      </w:r>
      <w:r>
        <w:rPr>
          <w:rFonts w:hint="eastAsia" w:cs="宋体"/>
          <w:spacing w:val="2"/>
        </w:rPr>
        <w:t>招标</w:t>
      </w:r>
      <w:r>
        <w:rPr>
          <w:rFonts w:hint="eastAsia" w:cs="宋体"/>
        </w:rPr>
        <w:t>项目名称</w:t>
      </w:r>
      <w:r>
        <w:rPr>
          <w:rFonts w:hint="eastAsia"/>
        </w:rPr>
        <w:t>）</w:t>
      </w:r>
      <w:r>
        <w:rPr>
          <w:rFonts w:hint="eastAsia" w:cs="宋体"/>
          <w:lang w:val="en-US" w:eastAsia="zh-CN"/>
        </w:rPr>
        <w:t>设计施工总承包</w:t>
      </w:r>
      <w:r>
        <w:rPr>
          <w:u w:val="single"/>
        </w:rPr>
        <w:t xml:space="preserve">    </w:t>
      </w:r>
      <w:r>
        <w:rPr>
          <w:spacing w:val="38"/>
          <w:u w:val="single"/>
        </w:rPr>
        <w:t xml:space="preserve"> </w:t>
      </w:r>
      <w:r>
        <w:rPr>
          <w:rFonts w:hint="eastAsia" w:cs="宋体"/>
        </w:rPr>
        <w:t>标段合同的实施过程中创造安全、高效的施工环境，切实搞好本项目的安全管理工作，本项目发包人</w:t>
      </w:r>
      <w:r>
        <w:rPr>
          <w:rFonts w:cs="宋体"/>
          <w:u w:val="single"/>
        </w:rPr>
        <w:t xml:space="preserve">       </w:t>
      </w:r>
      <w:r>
        <w:rPr>
          <w:rFonts w:hint="eastAsia"/>
        </w:rPr>
        <w:t>（</w:t>
      </w:r>
      <w:r>
        <w:rPr>
          <w:rFonts w:hint="eastAsia" w:cs="宋体"/>
        </w:rPr>
        <w:t>发包</w:t>
      </w:r>
      <w:r>
        <w:rPr>
          <w:rFonts w:hint="eastAsia" w:cs="宋体"/>
          <w:spacing w:val="-5"/>
        </w:rPr>
        <w:t>人名称，以下简称</w:t>
      </w:r>
      <w:r>
        <w:rPr>
          <w:spacing w:val="-5"/>
        </w:rPr>
        <w:t>“</w:t>
      </w:r>
      <w:r>
        <w:rPr>
          <w:rFonts w:hint="eastAsia" w:cs="宋体"/>
          <w:spacing w:val="-5"/>
        </w:rPr>
        <w:t>发包人</w:t>
      </w:r>
      <w:r>
        <w:rPr>
          <w:spacing w:val="-5"/>
        </w:rPr>
        <w:t>”</w:t>
      </w:r>
      <w:r>
        <w:rPr>
          <w:rFonts w:hint="eastAsia"/>
        </w:rPr>
        <w:t>）</w:t>
      </w:r>
      <w:r>
        <w:rPr>
          <w:rFonts w:hint="eastAsia" w:cs="宋体"/>
          <w:spacing w:val="-5"/>
        </w:rPr>
        <w:t>与承包人</w:t>
      </w:r>
      <w:r>
        <w:rPr>
          <w:spacing w:val="-5"/>
          <w:u w:val="single"/>
        </w:rPr>
        <w:t xml:space="preserve">           </w:t>
      </w:r>
      <w:r>
        <w:rPr>
          <w:rFonts w:hint="eastAsia"/>
          <w:spacing w:val="-5"/>
        </w:rPr>
        <w:t>（</w:t>
      </w:r>
      <w:r>
        <w:rPr>
          <w:rFonts w:hint="eastAsia" w:cs="宋体"/>
          <w:spacing w:val="-5"/>
        </w:rPr>
        <w:t>承包人名称，以下简称</w:t>
      </w:r>
      <w:r>
        <w:rPr>
          <w:spacing w:val="-5"/>
        </w:rPr>
        <w:t>“</w:t>
      </w:r>
      <w:r>
        <w:rPr>
          <w:rFonts w:hint="eastAsia" w:cs="宋体"/>
          <w:spacing w:val="-5"/>
        </w:rPr>
        <w:t>承包人</w:t>
      </w:r>
      <w:r>
        <w:rPr>
          <w:spacing w:val="-5"/>
        </w:rPr>
        <w:t>”</w:t>
      </w:r>
      <w:r>
        <w:rPr>
          <w:rFonts w:hint="eastAsia"/>
          <w:spacing w:val="-5"/>
        </w:rPr>
        <w:t>）</w:t>
      </w:r>
      <w:r>
        <w:rPr>
          <w:rFonts w:hint="eastAsia" w:cs="宋体"/>
        </w:rPr>
        <w:t>特此签订安全生产合同</w:t>
      </w:r>
      <w:r>
        <w:rPr>
          <w:rFonts w:hint="eastAsia" w:cs="宋体"/>
          <w:lang w:eastAsia="zh-CN"/>
        </w:rPr>
        <w:t>。</w:t>
      </w:r>
    </w:p>
    <w:p w14:paraId="46125B43">
      <w:pPr>
        <w:pStyle w:val="20"/>
        <w:spacing w:line="360" w:lineRule="auto"/>
        <w:ind w:right="7" w:firstLine="480" w:firstLineChars="200"/>
        <w:rPr>
          <w:rFonts w:hint="eastAsia" w:ascii="宋体" w:hAnsi="宋体" w:eastAsia="宋体" w:cs="宋体"/>
        </w:rPr>
      </w:pPr>
      <w:r>
        <w:rPr>
          <w:rFonts w:hint="eastAsia" w:ascii="宋体" w:hAnsi="宋体" w:eastAsia="宋体" w:cs="宋体"/>
        </w:rPr>
        <w:t>1.发包人职责</w:t>
      </w:r>
    </w:p>
    <w:p w14:paraId="54BAE26A">
      <w:pPr>
        <w:pStyle w:val="20"/>
        <w:spacing w:line="360" w:lineRule="auto"/>
        <w:ind w:right="223" w:firstLine="480" w:firstLineChars="200"/>
      </w:pPr>
      <w:r>
        <w:rPr>
          <w:rFonts w:hint="eastAsia"/>
        </w:rPr>
        <w:t>（</w:t>
      </w:r>
      <w:r>
        <w:t>1）</w:t>
      </w:r>
      <w:r>
        <w:rPr>
          <w:rFonts w:hint="eastAsia" w:cs="宋体"/>
        </w:rPr>
        <w:t>严格遵守国家有关安全生产的法律法规，认真执行工程承包合同中的有关安全要求。</w:t>
      </w:r>
    </w:p>
    <w:p w14:paraId="0612D46A">
      <w:pPr>
        <w:pStyle w:val="20"/>
        <w:spacing w:line="360" w:lineRule="auto"/>
        <w:ind w:right="221" w:firstLine="480" w:firstLineChars="200"/>
      </w:pPr>
      <w:r>
        <w:rPr>
          <w:rFonts w:hint="eastAsia"/>
        </w:rPr>
        <w:t>（</w:t>
      </w:r>
      <w:r>
        <w:t>2）</w:t>
      </w:r>
      <w:r>
        <w:rPr>
          <w:rFonts w:hint="eastAsia" w:cs="宋体"/>
        </w:rPr>
        <w:t>按照</w:t>
      </w:r>
      <w:r>
        <w:t>“</w:t>
      </w:r>
      <w:r>
        <w:rPr>
          <w:rFonts w:hint="eastAsia" w:cs="宋体"/>
        </w:rPr>
        <w:t>安全第一、预防为主</w:t>
      </w:r>
      <w:r>
        <w:rPr>
          <w:rFonts w:hint="eastAsia" w:cs="宋体"/>
          <w:lang w:eastAsia="zh-CN"/>
        </w:rPr>
        <w:t>、</w:t>
      </w:r>
      <w:r>
        <w:rPr>
          <w:rFonts w:hint="eastAsia" w:cs="宋体"/>
          <w:lang w:val="en-US" w:eastAsia="zh-CN"/>
        </w:rPr>
        <w:t>综合治理</w:t>
      </w:r>
      <w:r>
        <w:t>”</w:t>
      </w:r>
      <w:r>
        <w:rPr>
          <w:rFonts w:hint="eastAsia" w:cs="宋体"/>
        </w:rPr>
        <w:t>和坚持</w:t>
      </w:r>
      <w:r>
        <w:t>“</w:t>
      </w:r>
      <w:r>
        <w:rPr>
          <w:rFonts w:hint="eastAsia" w:cs="宋体"/>
        </w:rPr>
        <w:t>管生产必须管安全</w:t>
      </w:r>
      <w:r>
        <w:t>”</w:t>
      </w:r>
      <w:r>
        <w:rPr>
          <w:rFonts w:hint="eastAsia" w:cs="宋体"/>
        </w:rPr>
        <w:t>的原则进行安全生产管理，做到生产与安全工作同时计划、布置、检查、总结和评比。</w:t>
      </w:r>
    </w:p>
    <w:p w14:paraId="304EECAC">
      <w:pPr>
        <w:pStyle w:val="20"/>
        <w:spacing w:line="360" w:lineRule="auto"/>
        <w:ind w:right="223" w:firstLine="480" w:firstLineChars="200"/>
      </w:pPr>
      <w:r>
        <w:rPr>
          <w:rFonts w:hint="eastAsia"/>
        </w:rPr>
        <w:t>（</w:t>
      </w:r>
      <w:r>
        <w:t>3）</w:t>
      </w:r>
      <w:r>
        <w:rPr>
          <w:rFonts w:hint="eastAsia" w:cs="宋体"/>
        </w:rPr>
        <w:t>重要的安全设施必须坚持与主体工程</w:t>
      </w:r>
      <w:r>
        <w:t>“</w:t>
      </w:r>
      <w:r>
        <w:rPr>
          <w:rFonts w:hint="eastAsia" w:cs="宋体"/>
        </w:rPr>
        <w:t>三同时</w:t>
      </w:r>
      <w:r>
        <w:t>”</w:t>
      </w:r>
      <w:r>
        <w:rPr>
          <w:rFonts w:hint="eastAsia" w:cs="宋体"/>
        </w:rPr>
        <w:t>的原则，即：同时设计、审批，同时施工，同时验收</w:t>
      </w:r>
      <w:r>
        <w:rPr>
          <w:rFonts w:hint="eastAsia" w:cs="宋体"/>
          <w:lang w:eastAsia="zh-CN"/>
        </w:rPr>
        <w:t>、</w:t>
      </w:r>
      <w:r>
        <w:rPr>
          <w:rFonts w:hint="eastAsia" w:cs="宋体"/>
        </w:rPr>
        <w:t>投入使用。</w:t>
      </w:r>
    </w:p>
    <w:p w14:paraId="2EC51DE9">
      <w:pPr>
        <w:pStyle w:val="20"/>
        <w:spacing w:line="360" w:lineRule="auto"/>
        <w:ind w:right="223" w:firstLine="480" w:firstLineChars="200"/>
      </w:pPr>
      <w:r>
        <w:rPr>
          <w:rFonts w:hint="eastAsia"/>
        </w:rPr>
        <w:t>（</w:t>
      </w:r>
      <w:r>
        <w:t>4）</w:t>
      </w:r>
      <w:r>
        <w:rPr>
          <w:rFonts w:hint="eastAsia" w:cs="宋体"/>
        </w:rPr>
        <w:t>定期召开安全生产调度会，及时传达中央及地方有关安全生产的精神。</w:t>
      </w:r>
    </w:p>
    <w:p w14:paraId="1BFBD61E">
      <w:pPr>
        <w:pStyle w:val="20"/>
        <w:spacing w:line="360" w:lineRule="auto"/>
        <w:ind w:right="223" w:firstLine="480" w:firstLineChars="200"/>
      </w:pPr>
      <w:r>
        <w:rPr>
          <w:rFonts w:hint="eastAsia"/>
        </w:rPr>
        <w:t>（</w:t>
      </w:r>
      <w:r>
        <w:t>5）</w:t>
      </w:r>
      <w:r>
        <w:rPr>
          <w:rFonts w:hint="eastAsia" w:cs="宋体"/>
        </w:rPr>
        <w:t>组织对承包人施工现场进行安全生产检查，监督承包人及时处理发现的各种安全隐患。</w:t>
      </w:r>
    </w:p>
    <w:p w14:paraId="19B8E46D">
      <w:pPr>
        <w:pStyle w:val="20"/>
        <w:spacing w:line="360" w:lineRule="auto"/>
        <w:ind w:right="7" w:firstLine="480" w:firstLineChars="200"/>
        <w:rPr>
          <w:rFonts w:hint="eastAsia" w:ascii="宋体" w:hAnsi="宋体" w:eastAsia="宋体" w:cs="宋体"/>
        </w:rPr>
      </w:pPr>
      <w:r>
        <w:rPr>
          <w:rFonts w:hint="eastAsia" w:ascii="宋体" w:hAnsi="宋体" w:eastAsia="宋体" w:cs="宋体"/>
        </w:rPr>
        <w:t>2.承包人职责</w:t>
      </w:r>
    </w:p>
    <w:p w14:paraId="21BF84EE">
      <w:pPr>
        <w:pStyle w:val="20"/>
        <w:spacing w:line="360" w:lineRule="auto"/>
        <w:ind w:right="223" w:firstLine="480" w:firstLineChars="200"/>
      </w:pPr>
      <w:r>
        <w:rPr>
          <w:rFonts w:hint="eastAsia"/>
        </w:rPr>
        <w:t>（</w:t>
      </w:r>
      <w:r>
        <w:t>1）</w:t>
      </w:r>
      <w:r>
        <w:rPr>
          <w:rFonts w:hint="eastAsia" w:cs="Times New Roman"/>
          <w:spacing w:val="0"/>
        </w:rPr>
        <w:t>严格遵守《中华人民共和国安全生产法</w:t>
      </w:r>
      <w:r>
        <w:rPr>
          <w:rFonts w:hint="eastAsia" w:cs="Times New Roman"/>
          <w:spacing w:val="0"/>
          <w:lang w:eastAsia="zh-CN"/>
        </w:rPr>
        <w:t>》《</w:t>
      </w:r>
      <w:r>
        <w:rPr>
          <w:rFonts w:hint="eastAsia" w:cs="Times New Roman"/>
        </w:rPr>
        <w:t>建设工程安全生产管理条例》</w:t>
      </w:r>
      <w:r>
        <w:t xml:space="preserve"> </w:t>
      </w:r>
      <w:r>
        <w:rPr>
          <w:rFonts w:hint="eastAsia" w:cs="Times New Roman"/>
        </w:rPr>
        <w:t>等国家有关安全生产的法律法规</w:t>
      </w:r>
      <w:r>
        <w:rPr>
          <w:rFonts w:hint="eastAsia" w:cs="Times New Roman"/>
          <w:spacing w:val="0"/>
          <w:lang w:eastAsia="zh-CN"/>
        </w:rPr>
        <w:t>，</w:t>
      </w:r>
      <w:r>
        <w:rPr>
          <w:rFonts w:hint="eastAsia" w:cs="Times New Roman"/>
        </w:rPr>
        <w:t>《公路水运工程安全生产监督管理办法</w:t>
      </w:r>
      <w:r>
        <w:rPr>
          <w:rFonts w:hint="eastAsia" w:cs="Times New Roman"/>
          <w:spacing w:val="0"/>
        </w:rPr>
        <w:t>》</w:t>
      </w:r>
      <w:r>
        <w:rPr>
          <w:rFonts w:hint="eastAsia" w:cs="Times New Roman"/>
        </w:rPr>
        <w:t>《公路工程施工安全技术规</w:t>
      </w:r>
      <w:r>
        <w:rPr>
          <w:rFonts w:hint="eastAsia" w:cs="Times New Roman"/>
          <w:lang w:val="en-US" w:eastAsia="zh-CN"/>
        </w:rPr>
        <w:t>范</w:t>
      </w:r>
      <w:r>
        <w:rPr>
          <w:rFonts w:hint="eastAsia" w:cs="Times New Roman"/>
        </w:rPr>
        <w:t>》和《公路筑养路机械操作规程》等有关安全生产的规定。认真执行工程承包合同中的有关安全要求。</w:t>
      </w:r>
    </w:p>
    <w:p w14:paraId="133065BD">
      <w:pPr>
        <w:pStyle w:val="20"/>
        <w:spacing w:line="360" w:lineRule="auto"/>
        <w:ind w:right="221" w:firstLine="480" w:firstLineChars="200"/>
      </w:pPr>
      <w:r>
        <w:rPr>
          <w:rFonts w:hint="eastAsia"/>
        </w:rPr>
        <w:t>（</w:t>
      </w:r>
      <w:r>
        <w:t>2）</w:t>
      </w:r>
      <w:r>
        <w:rPr>
          <w:rFonts w:hint="eastAsia" w:cs="宋体"/>
        </w:rPr>
        <w:t>坚持</w:t>
      </w:r>
      <w:r>
        <w:t>“</w:t>
      </w:r>
      <w:r>
        <w:rPr>
          <w:rFonts w:hint="eastAsia" w:cs="宋体"/>
        </w:rPr>
        <w:t>安全第一、预防为主</w:t>
      </w:r>
      <w:r>
        <w:rPr>
          <w:rFonts w:hint="eastAsia" w:cs="宋体"/>
          <w:lang w:eastAsia="zh-CN"/>
        </w:rPr>
        <w:t>、</w:t>
      </w:r>
      <w:r>
        <w:rPr>
          <w:rFonts w:hint="eastAsia" w:cs="宋体"/>
          <w:lang w:val="en-US" w:eastAsia="zh-CN"/>
        </w:rPr>
        <w:t>综合治理</w:t>
      </w:r>
      <w:r>
        <w:t>”</w:t>
      </w:r>
      <w:r>
        <w:rPr>
          <w:rFonts w:hint="eastAsia" w:cs="宋体"/>
        </w:rPr>
        <w:t>和</w:t>
      </w:r>
      <w:r>
        <w:t>“</w:t>
      </w:r>
      <w:r>
        <w:rPr>
          <w:rFonts w:hint="eastAsia" w:cs="宋体"/>
        </w:rPr>
        <w:t>管生产必须管安全</w:t>
      </w:r>
      <w:r>
        <w:t>”</w:t>
      </w:r>
      <w:r>
        <w:rPr>
          <w:rFonts w:hint="eastAsia" w:cs="宋体"/>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035E17">
      <w:pPr>
        <w:pStyle w:val="20"/>
        <w:spacing w:line="360" w:lineRule="auto"/>
        <w:ind w:right="7" w:firstLine="480" w:firstLineChars="200"/>
      </w:pPr>
      <w:r>
        <w:rPr>
          <w:rFonts w:hint="eastAsia"/>
        </w:rPr>
        <w:t>（</w:t>
      </w:r>
      <w:r>
        <w:t>3）</w:t>
      </w:r>
      <w:r>
        <w:rPr>
          <w:rFonts w:hint="eastAsia" w:cs="Times New Roman"/>
          <w:spacing w:val="0"/>
        </w:rPr>
        <w:t>建立健全安全生产责任制。</w:t>
      </w:r>
      <w:r>
        <w:rPr>
          <w:rFonts w:hint="eastAsia" w:cs="Times New Roman"/>
        </w:rPr>
        <w:t>从派往项目实施的项目经理到生产工人</w:t>
      </w:r>
      <w:r>
        <w:t>（</w:t>
      </w:r>
      <w:r>
        <w:rPr>
          <w:rFonts w:hint="eastAsia" w:cs="Times New Roman"/>
        </w:rPr>
        <w:t>包括临时雇请的民工</w:t>
      </w:r>
      <w:r>
        <w:t>）</w:t>
      </w:r>
      <w:r>
        <w:rPr>
          <w:rFonts w:hint="eastAsia" w:cs="Times New Roman"/>
        </w:rPr>
        <w:t>的安全生产管理系统必须做到纵向到底，一环不漏；各职能部门、人</w:t>
      </w:r>
      <w:r>
        <w:rPr>
          <w:rFonts w:hint="eastAsia" w:cs="Times New Roman"/>
          <w:spacing w:val="0"/>
        </w:rPr>
        <w:t>员的安全生产责任制</w:t>
      </w:r>
      <w:r>
        <w:rPr>
          <w:rFonts w:hint="eastAsia" w:cs="Times New Roman"/>
          <w:spacing w:val="0"/>
          <w:lang w:val="en-US" w:eastAsia="zh-CN"/>
        </w:rPr>
        <w:t>做</w:t>
      </w:r>
      <w:r>
        <w:rPr>
          <w:rFonts w:hint="eastAsia" w:cs="Times New Roman"/>
          <w:spacing w:val="0"/>
        </w:rPr>
        <w:t>到横向到边，人人有责。项目经理是安全生产的第一责任人。</w:t>
      </w:r>
      <w:r>
        <w:rPr>
          <w:rFonts w:hint="eastAsia" w:cs="Times New Roman"/>
        </w:rPr>
        <w:t>现场设置</w:t>
      </w:r>
      <w:r>
        <w:rPr>
          <w:rFonts w:hint="eastAsia" w:cs="宋体"/>
        </w:rPr>
        <w:t>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8B8BD78">
      <w:pPr>
        <w:pStyle w:val="20"/>
        <w:spacing w:line="360" w:lineRule="auto"/>
        <w:ind w:right="123" w:firstLine="480" w:firstLineChars="200"/>
      </w:pPr>
      <w:r>
        <w:rPr>
          <w:rFonts w:hint="eastAsia"/>
        </w:rPr>
        <w:t>（</w:t>
      </w:r>
      <w:r>
        <w:t>4）承包人在任何时候都应采取各种合理的预防措施，防止其员工发生任何违法、违禁、暴力或妨碍治安的行为。</w:t>
      </w:r>
    </w:p>
    <w:p w14:paraId="0B4B04F1">
      <w:pPr>
        <w:pStyle w:val="20"/>
        <w:spacing w:line="360" w:lineRule="auto"/>
        <w:ind w:right="123" w:firstLine="480" w:firstLineChars="200"/>
      </w:pPr>
      <w:r>
        <w:rPr>
          <w:rFonts w:hint="eastAsia"/>
        </w:rPr>
        <w:t>（</w:t>
      </w:r>
      <w:r>
        <w:t>5）</w:t>
      </w:r>
      <w:r>
        <w:rPr>
          <w:rFonts w:hint="eastAsia" w:cs="宋体"/>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D3653EA">
      <w:pPr>
        <w:pStyle w:val="20"/>
        <w:spacing w:line="360" w:lineRule="auto"/>
        <w:ind w:right="123" w:firstLine="480" w:firstLineChars="200"/>
      </w:pPr>
      <w:r>
        <w:rPr>
          <w:rFonts w:hint="eastAsia"/>
        </w:rPr>
        <w:t>（</w:t>
      </w:r>
      <w:r>
        <w:t>6）</w:t>
      </w:r>
      <w:r>
        <w:rPr>
          <w:rFonts w:hint="eastAsia" w:cs="宋体"/>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9C7890F">
      <w:pPr>
        <w:pStyle w:val="20"/>
        <w:spacing w:line="360" w:lineRule="auto"/>
        <w:ind w:right="123" w:firstLine="480" w:firstLineChars="200"/>
      </w:pPr>
      <w:r>
        <w:rPr>
          <w:rFonts w:hint="eastAsia"/>
        </w:rPr>
        <w:t>（</w:t>
      </w:r>
      <w:r>
        <w:t>7）</w:t>
      </w:r>
      <w:r>
        <w:rPr>
          <w:rFonts w:hint="eastAsia" w:cs="宋体"/>
        </w:rPr>
        <w:t>操作人员上岗，必须按规定穿戴防护用品。施工负责人和安全检查员应随时检查劳动防护用品的穿戴情况，不按规定穿戴防护用品的人员不得上岗。</w:t>
      </w:r>
    </w:p>
    <w:p w14:paraId="21D52288">
      <w:pPr>
        <w:pStyle w:val="20"/>
        <w:spacing w:line="360" w:lineRule="auto"/>
        <w:ind w:right="123" w:firstLine="480" w:firstLineChars="200"/>
      </w:pPr>
      <w:r>
        <w:rPr>
          <w:rFonts w:hint="eastAsia"/>
        </w:rPr>
        <w:t>（</w:t>
      </w:r>
      <w:r>
        <w:t>8）</w:t>
      </w:r>
      <w:r>
        <w:rPr>
          <w:rFonts w:hint="eastAsia" w:cs="宋体"/>
        </w:rPr>
        <w:t>所有施工机具设备和高空作业的设备均应定期检查，并有安全员的签字记录，保证其经常处于完好状态；不合格的机具、设备和劳动保护用品严禁使用。</w:t>
      </w:r>
    </w:p>
    <w:p w14:paraId="294F2E58">
      <w:pPr>
        <w:pStyle w:val="20"/>
        <w:spacing w:line="360" w:lineRule="auto"/>
        <w:ind w:right="124" w:firstLine="480" w:firstLineChars="200"/>
      </w:pPr>
      <w:r>
        <w:rPr>
          <w:rFonts w:hint="eastAsia"/>
        </w:rPr>
        <w:t>（</w:t>
      </w:r>
      <w:r>
        <w:t>9）</w:t>
      </w:r>
      <w:r>
        <w:rPr>
          <w:rFonts w:hint="eastAsia" w:cs="宋体"/>
        </w:rPr>
        <w:t>施工中采用新技术、新工艺、新设备、新材料时，必须制定相应的安全技术措施，施工现场必须具有相关的安全标志牌。</w:t>
      </w:r>
    </w:p>
    <w:p w14:paraId="2184D5F2">
      <w:pPr>
        <w:pStyle w:val="20"/>
        <w:spacing w:line="360" w:lineRule="auto"/>
        <w:ind w:right="120" w:firstLine="480" w:firstLineChars="200"/>
      </w:pPr>
      <w:r>
        <w:rPr>
          <w:rFonts w:hint="eastAsia"/>
        </w:rPr>
        <w:t>（</w:t>
      </w:r>
      <w:r>
        <w:t>10）</w:t>
      </w:r>
      <w:r>
        <w:rPr>
          <w:rFonts w:hint="eastAsia" w:cs="宋体"/>
        </w:rPr>
        <w:t>承包人必须按照本工程项目特点，组织制定本工程实施中的生产安全事故应急救援预案；如果发生安全事故，应按照《国务院关于特大安全事故行政责任追究的规定》以及其他有关规定，及时上报有关部门，并坚持</w:t>
      </w:r>
      <w:r>
        <w:t>“</w:t>
      </w:r>
      <w:r>
        <w:rPr>
          <w:rFonts w:hint="eastAsia" w:cs="宋体"/>
        </w:rPr>
        <w:t>四不放过</w:t>
      </w:r>
      <w:r>
        <w:t>”</w:t>
      </w:r>
      <w:r>
        <w:rPr>
          <w:rFonts w:hint="eastAsia" w:cs="宋体"/>
        </w:rPr>
        <w:t>的原则，严肃处理相关责任人。</w:t>
      </w:r>
    </w:p>
    <w:p w14:paraId="6EA6A352">
      <w:pPr>
        <w:pStyle w:val="20"/>
        <w:spacing w:line="360" w:lineRule="auto"/>
        <w:ind w:right="121" w:firstLine="480" w:firstLineChars="200"/>
      </w:pPr>
      <w:r>
        <w:rPr>
          <w:rFonts w:hint="eastAsia"/>
        </w:rPr>
        <w:t>（</w:t>
      </w:r>
      <w:r>
        <w:t>11）</w:t>
      </w:r>
      <w:r>
        <w:rPr>
          <w:rFonts w:hint="eastAsia" w:cs="宋体"/>
        </w:rPr>
        <w:t>安全生产费用按照</w:t>
      </w:r>
      <w:r>
        <w:rPr>
          <w:rFonts w:hint="eastAsia"/>
          <w:bCs/>
          <w:shd w:val="clear" w:color="auto" w:fill="FFFFFF"/>
        </w:rPr>
        <w:t>《</w:t>
      </w:r>
      <w:r>
        <w:rPr>
          <w:rFonts w:hint="eastAsia"/>
          <w:shd w:val="clear" w:color="auto" w:fill="FFFFFF"/>
        </w:rPr>
        <w:t>财政部 应急部</w:t>
      </w:r>
      <w:r>
        <w:rPr>
          <w:rFonts w:hint="eastAsia"/>
          <w:bCs/>
          <w:shd w:val="clear" w:color="auto" w:fill="FFFFFF"/>
        </w:rPr>
        <w:t>关于印发〈企业安全生产费用提取和使用管理办法〉的通知》（财资</w:t>
      </w:r>
      <w:r>
        <w:rPr>
          <w:rFonts w:hint="eastAsia" w:cs="宋体"/>
          <w:bCs/>
          <w:shd w:val="clear" w:color="auto" w:fill="FFFFFF"/>
        </w:rPr>
        <w:t>〔2022〕1</w:t>
      </w:r>
      <w:r>
        <w:rPr>
          <w:rFonts w:hint="eastAsia"/>
          <w:bCs/>
          <w:shd w:val="clear" w:color="auto" w:fill="FFFFFF"/>
        </w:rPr>
        <w:t>36号）、</w:t>
      </w:r>
      <w:r>
        <w:rPr>
          <w:rFonts w:hint="eastAsia" w:cs="宋体"/>
        </w:rPr>
        <w:t>《公路水运工程安全生产监督管理办法》</w:t>
      </w:r>
      <w:r>
        <w:rPr>
          <w:rFonts w:hint="eastAsia"/>
          <w:shd w:val="clear" w:color="auto" w:fill="FFFFFF"/>
        </w:rPr>
        <w:t>、《四川省交通运输厅</w:t>
      </w:r>
      <w:r>
        <w:rPr>
          <w:rFonts w:hint="eastAsia" w:cs="宋体"/>
          <w:shd w:val="clear" w:color="auto" w:fill="FFFFFF"/>
        </w:rPr>
        <w:t>&lt;</w:t>
      </w:r>
      <w:r>
        <w:rPr>
          <w:rFonts w:hint="eastAsia"/>
          <w:shd w:val="clear" w:color="auto" w:fill="FFFFFF"/>
        </w:rPr>
        <w:t>关于进一步规范公路水运工程建设项目安全生产费用管理工作</w:t>
      </w:r>
      <w:r>
        <w:rPr>
          <w:rFonts w:hint="eastAsia" w:cs="宋体"/>
          <w:shd w:val="clear" w:color="auto" w:fill="FFFFFF"/>
        </w:rPr>
        <w:t>&gt;</w:t>
      </w:r>
      <w:r>
        <w:rPr>
          <w:rFonts w:hint="eastAsia"/>
          <w:shd w:val="clear" w:color="auto" w:fill="FFFFFF"/>
        </w:rPr>
        <w:t>的通知》（川交规〔2023〕13号）</w:t>
      </w:r>
      <w:r>
        <w:rPr>
          <w:rFonts w:hint="eastAsia" w:cs="宋体"/>
        </w:rPr>
        <w:t>的相关规定使用和管理。</w:t>
      </w:r>
    </w:p>
    <w:p w14:paraId="049921FF">
      <w:pPr>
        <w:pStyle w:val="20"/>
        <w:spacing w:line="360" w:lineRule="auto"/>
        <w:ind w:right="7" w:firstLine="480" w:firstLineChars="200"/>
        <w:rPr>
          <w:rFonts w:hint="eastAsia" w:ascii="宋体" w:hAnsi="宋体" w:eastAsia="宋体" w:cs="宋体"/>
        </w:rPr>
      </w:pPr>
      <w:r>
        <w:rPr>
          <w:rFonts w:hint="eastAsia" w:ascii="宋体" w:hAnsi="宋体" w:eastAsia="宋体" w:cs="宋体"/>
        </w:rPr>
        <w:t>3.违约责任</w:t>
      </w:r>
    </w:p>
    <w:p w14:paraId="63C079B0">
      <w:pPr>
        <w:pStyle w:val="20"/>
        <w:spacing w:line="360" w:lineRule="auto"/>
        <w:ind w:right="866" w:firstLine="480" w:firstLineChars="200"/>
      </w:pPr>
      <w:r>
        <w:rPr>
          <w:rFonts w:hint="eastAsia" w:cs="宋体"/>
        </w:rPr>
        <w:t>如因发包人或承包人违约造成安全事故，将依法追究责任。</w:t>
      </w:r>
    </w:p>
    <w:p w14:paraId="4EECE0FF">
      <w:pPr>
        <w:pStyle w:val="20"/>
        <w:spacing w:line="360" w:lineRule="auto"/>
        <w:ind w:right="122" w:firstLine="480" w:firstLineChars="200"/>
      </w:pPr>
      <w:r>
        <w:t>4.</w:t>
      </w:r>
      <w:r>
        <w:rPr>
          <w:rFonts w:hint="eastAsia" w:cs="宋体"/>
        </w:rPr>
        <w:t>本合同由双方法定代表人或其授权的代理人签署并加盖单位章后生效，全部工程竣工验收后失效。</w:t>
      </w:r>
    </w:p>
    <w:p w14:paraId="02476564">
      <w:pPr>
        <w:pStyle w:val="20"/>
        <w:spacing w:line="360" w:lineRule="auto"/>
        <w:ind w:right="121" w:firstLine="480" w:firstLineChars="200"/>
      </w:pPr>
      <w:r>
        <w:t>5.</w:t>
      </w:r>
      <w:r>
        <w:rPr>
          <w:rFonts w:hint="eastAsia" w:cs="宋体"/>
        </w:rPr>
        <w:t>本合同正本二份、副本</w:t>
      </w:r>
      <w:r>
        <w:rPr>
          <w:rFonts w:cs="宋体"/>
          <w:u w:val="single"/>
        </w:rPr>
        <w:t xml:space="preserve">  </w:t>
      </w:r>
      <w:r>
        <w:rPr>
          <w:u w:val="single"/>
        </w:rPr>
        <w:t xml:space="preserve"> </w:t>
      </w:r>
      <w:r>
        <w:rPr>
          <w:rFonts w:hint="eastAsia" w:cs="宋体"/>
        </w:rPr>
        <w:t>份，合同双方各执正本一份，副本</w:t>
      </w:r>
      <w:r>
        <w:rPr>
          <w:u w:val="single"/>
        </w:rPr>
        <w:t xml:space="preserve">   </w:t>
      </w:r>
      <w:r>
        <w:rPr>
          <w:rFonts w:hint="eastAsia" w:cs="宋体"/>
        </w:rPr>
        <w:t>份，当正本与副本的内容不一致时，以正本为准。</w:t>
      </w:r>
    </w:p>
    <w:p w14:paraId="101806BC">
      <w:pPr>
        <w:pStyle w:val="20"/>
        <w:spacing w:line="360" w:lineRule="auto"/>
      </w:pPr>
    </w:p>
    <w:p w14:paraId="13B63C0D">
      <w:pPr>
        <w:pStyle w:val="20"/>
        <w:tabs>
          <w:tab w:val="left" w:pos="2903"/>
          <w:tab w:val="left" w:pos="3721"/>
          <w:tab w:val="left" w:pos="4601"/>
          <w:tab w:val="left" w:pos="7264"/>
          <w:tab w:val="left" w:pos="8177"/>
        </w:tabs>
        <w:spacing w:line="360" w:lineRule="auto"/>
        <w:ind w:left="144" w:right="124"/>
      </w:pPr>
      <w:r>
        <w:rPr>
          <w:rFonts w:hint="eastAsia" w:cs="宋体"/>
        </w:rPr>
        <w:t>发包人：</w:t>
      </w:r>
      <w:r>
        <w:rPr>
          <w:u w:val="single"/>
        </w:rPr>
        <w:t xml:space="preserve"> </w:t>
      </w:r>
      <w:r>
        <w:rPr>
          <w:u w:val="single"/>
        </w:rPr>
        <w:tab/>
      </w:r>
      <w:r>
        <w:rPr>
          <w:rFonts w:hint="eastAsia"/>
          <w:u w:val="single"/>
          <w:lang w:val="en-US" w:eastAsia="zh-CN"/>
        </w:rPr>
        <w:t xml:space="preserve"> </w:t>
      </w:r>
      <w:r>
        <w:rPr>
          <w:rFonts w:hint="eastAsia"/>
        </w:rPr>
        <w:t>（</w:t>
      </w:r>
      <w:r>
        <w:rPr>
          <w:rFonts w:hint="eastAsia" w:cs="宋体"/>
        </w:rPr>
        <w:t>盖单位章</w:t>
      </w:r>
      <w:r>
        <w:rPr>
          <w:rFonts w:hint="eastAsia"/>
        </w:rPr>
        <w:t>）</w:t>
      </w:r>
      <w:r>
        <w:tab/>
      </w:r>
      <w:r>
        <w:rPr>
          <w:rFonts w:hint="eastAsia" w:cs="宋体"/>
        </w:rPr>
        <w:t>承包人：</w:t>
      </w:r>
      <w:r>
        <w:rPr>
          <w:u w:val="single"/>
        </w:rPr>
        <w:t xml:space="preserve"> </w:t>
      </w:r>
      <w:r>
        <w:rPr>
          <w:u w:val="single"/>
        </w:rPr>
        <w:tab/>
      </w:r>
      <w:r>
        <w:rPr>
          <w:rFonts w:hint="eastAsia"/>
          <w:u w:val="single"/>
          <w:lang w:val="en-US" w:eastAsia="zh-CN"/>
        </w:rPr>
        <w:t xml:space="preserve"> </w:t>
      </w:r>
      <w:r>
        <w:rPr>
          <w:rFonts w:hint="eastAsia"/>
        </w:rPr>
        <w:t>（</w:t>
      </w:r>
      <w:r>
        <w:rPr>
          <w:rFonts w:hint="eastAsia" w:cs="宋体"/>
        </w:rPr>
        <w:t>盖单位章</w:t>
      </w:r>
      <w:r>
        <w:rPr>
          <w:rFonts w:hint="eastAsia"/>
        </w:rPr>
        <w:t>）</w:t>
      </w:r>
    </w:p>
    <w:p w14:paraId="19CA91C1">
      <w:pPr>
        <w:pStyle w:val="20"/>
        <w:tabs>
          <w:tab w:val="left" w:pos="2903"/>
          <w:tab w:val="left" w:pos="3721"/>
          <w:tab w:val="left" w:pos="4601"/>
          <w:tab w:val="left" w:pos="7264"/>
          <w:tab w:val="left" w:pos="8177"/>
        </w:tabs>
        <w:spacing w:line="360" w:lineRule="auto"/>
        <w:ind w:left="144" w:right="124"/>
      </w:pPr>
      <w:r>
        <w:rPr>
          <w:rFonts w:hint="eastAsia" w:cs="宋体"/>
        </w:rPr>
        <w:t>法定代表人或其委托代理人：</w:t>
      </w:r>
      <w:r>
        <w:rPr>
          <w:u w:val="single"/>
        </w:rPr>
        <w:t xml:space="preserve">  </w:t>
      </w:r>
      <w:r>
        <w:rPr>
          <w:rFonts w:hint="eastAsia"/>
        </w:rPr>
        <w:t>（</w:t>
      </w:r>
      <w:r>
        <w:rPr>
          <w:rFonts w:hint="eastAsia" w:cs="宋体"/>
        </w:rPr>
        <w:t>签字</w:t>
      </w:r>
      <w:r>
        <w:rPr>
          <w:rFonts w:hint="eastAsia"/>
        </w:rPr>
        <w:t>）</w:t>
      </w:r>
      <w:r>
        <w:tab/>
      </w:r>
      <w:r>
        <w:rPr>
          <w:rFonts w:hint="eastAsia" w:cs="宋体"/>
          <w:spacing w:val="-3"/>
        </w:rPr>
        <w:t>法定代表人或其委托代理人：</w:t>
      </w:r>
      <w:r>
        <w:rPr>
          <w:spacing w:val="-3"/>
          <w:u w:val="single"/>
        </w:rPr>
        <w:t xml:space="preserve">  </w:t>
      </w:r>
      <w:r>
        <w:rPr>
          <w:rFonts w:hint="eastAsia"/>
        </w:rPr>
        <w:t>（</w:t>
      </w:r>
      <w:r>
        <w:rPr>
          <w:rFonts w:hint="eastAsia" w:cs="宋体"/>
        </w:rPr>
        <w:t>签字</w:t>
      </w:r>
      <w:r>
        <w:rPr>
          <w:rFonts w:hint="eastAsia"/>
        </w:rPr>
        <w:t>）</w:t>
      </w:r>
    </w:p>
    <w:p w14:paraId="5FB081F2">
      <w:pPr>
        <w:pStyle w:val="20"/>
        <w:tabs>
          <w:tab w:val="left" w:pos="1583"/>
          <w:tab w:val="left" w:pos="2663"/>
          <w:tab w:val="left" w:pos="5664"/>
          <w:tab w:val="left" w:pos="6023"/>
          <w:tab w:val="left" w:pos="7103"/>
          <w:tab w:val="left" w:pos="8303"/>
        </w:tabs>
        <w:spacing w:line="360" w:lineRule="auto"/>
        <w:ind w:left="0" w:right="107" w:firstLine="2160" w:firstLineChars="900"/>
        <w:rPr>
          <w:u w:val="single"/>
        </w:rPr>
      </w:pP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tab/>
      </w:r>
      <w:r>
        <w:rPr>
          <w:rFonts w:hint="eastAsia"/>
          <w:lang w:val="en-US" w:eastAsia="zh-CN"/>
        </w:rPr>
        <w:t xml:space="preserve">         </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t>日</w:t>
      </w:r>
    </w:p>
    <w:p w14:paraId="239EE5BA">
      <w:pPr>
        <w:pStyle w:val="20"/>
        <w:tabs>
          <w:tab w:val="left" w:pos="1583"/>
          <w:tab w:val="left" w:pos="2663"/>
          <w:tab w:val="left" w:pos="5664"/>
          <w:tab w:val="left" w:pos="6023"/>
          <w:tab w:val="left" w:pos="7103"/>
          <w:tab w:val="left" w:pos="8303"/>
        </w:tabs>
        <w:spacing w:line="360" w:lineRule="auto"/>
        <w:ind w:left="504" w:right="107" w:firstLine="720" w:firstLineChars="300"/>
        <w:rPr>
          <w:u w:val="single"/>
        </w:rPr>
      </w:pPr>
    </w:p>
    <w:p w14:paraId="008BD6D8">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000FEDE3">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68E7ED10">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78A0E401">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57A46AA9">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5DB77E07">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47AD9236">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678BFD80">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3148D15C">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09D0A26A">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5F2BBB43">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624E45E8">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194956F0">
      <w:pPr>
        <w:pStyle w:val="20"/>
        <w:tabs>
          <w:tab w:val="left" w:pos="1583"/>
          <w:tab w:val="left" w:pos="2663"/>
          <w:tab w:val="left" w:pos="5664"/>
          <w:tab w:val="left" w:pos="6023"/>
          <w:tab w:val="left" w:pos="7103"/>
          <w:tab w:val="left" w:pos="8303"/>
        </w:tabs>
        <w:spacing w:line="480" w:lineRule="exact"/>
        <w:ind w:right="107"/>
        <w:rPr>
          <w:rFonts w:ascii="黑体" w:hAnsi="黑体" w:eastAsia="黑体"/>
        </w:rPr>
      </w:pPr>
    </w:p>
    <w:p w14:paraId="35478A19">
      <w:pPr>
        <w:spacing w:line="360" w:lineRule="auto"/>
        <w:ind w:right="107"/>
        <w:rPr>
          <w:rFonts w:ascii="黑体" w:hAnsi="黑体" w:eastAsia="黑体"/>
        </w:rPr>
      </w:pPr>
      <w:r>
        <w:rPr>
          <w:rFonts w:hint="eastAsia" w:ascii="黑体" w:hAnsi="黑体" w:eastAsia="黑体"/>
        </w:rPr>
        <w:br w:type="page"/>
      </w:r>
    </w:p>
    <w:p w14:paraId="4C9CCA58">
      <w:pPr>
        <w:pStyle w:val="20"/>
        <w:tabs>
          <w:tab w:val="left" w:pos="1583"/>
          <w:tab w:val="left" w:pos="2663"/>
          <w:tab w:val="left" w:pos="5664"/>
          <w:tab w:val="left" w:pos="6023"/>
          <w:tab w:val="left" w:pos="7103"/>
          <w:tab w:val="left" w:pos="8303"/>
        </w:tabs>
        <w:spacing w:line="360" w:lineRule="auto"/>
        <w:ind w:right="107"/>
        <w:rPr>
          <w:rFonts w:ascii="黑体" w:hAnsi="黑体" w:eastAsia="黑体"/>
        </w:rPr>
      </w:pPr>
      <w:r>
        <w:rPr>
          <w:rFonts w:hint="eastAsia" w:ascii="黑体" w:hAnsi="黑体" w:eastAsia="黑体"/>
        </w:rPr>
        <w:t>附件四</w:t>
      </w:r>
      <w:r>
        <w:rPr>
          <w:rFonts w:ascii="黑体" w:hAnsi="黑体" w:eastAsia="黑体"/>
        </w:rPr>
        <w:t xml:space="preserve"> </w:t>
      </w:r>
      <w:r>
        <w:rPr>
          <w:rFonts w:hint="eastAsia" w:ascii="黑体" w:hAnsi="黑体" w:eastAsia="黑体"/>
        </w:rPr>
        <w:t>主要人员最低</w:t>
      </w:r>
      <w:r>
        <w:rPr>
          <w:rFonts w:ascii="黑体" w:hAnsi="黑体" w:eastAsia="黑体"/>
        </w:rPr>
        <w:t>要求</w:t>
      </w:r>
      <w:bookmarkStart w:id="842" w:name="_Toc53685805"/>
    </w:p>
    <w:p w14:paraId="5211EE86">
      <w:pPr>
        <w:pStyle w:val="299"/>
        <w:spacing w:line="360" w:lineRule="auto"/>
        <w:jc w:val="center"/>
        <w:rPr>
          <w:rFonts w:ascii="黑体" w:hAnsi="黑体" w:eastAsia="黑体"/>
          <w:bCs/>
          <w:sz w:val="24"/>
        </w:rPr>
      </w:pPr>
      <w:r>
        <w:rPr>
          <w:rFonts w:hint="eastAsia" w:ascii="黑体" w:hAnsi="黑体" w:eastAsia="黑体"/>
          <w:b/>
          <w:sz w:val="24"/>
        </w:rPr>
        <w:t>□</w:t>
      </w:r>
      <w:r>
        <w:rPr>
          <w:rFonts w:ascii="黑体" w:hAnsi="黑体" w:eastAsia="黑体"/>
          <w:bCs/>
          <w:sz w:val="24"/>
        </w:rPr>
        <w:t xml:space="preserve"> 项目</w:t>
      </w:r>
      <w:r>
        <w:rPr>
          <w:rFonts w:hint="eastAsia" w:ascii="黑体" w:hAnsi="黑体" w:eastAsia="黑体"/>
          <w:sz w:val="24"/>
        </w:rPr>
        <w:t>总负责人</w:t>
      </w:r>
    </w:p>
    <w:p w14:paraId="3B9A4090"/>
    <w:tbl>
      <w:tblPr>
        <w:tblStyle w:val="49"/>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868"/>
        <w:gridCol w:w="7168"/>
      </w:tblGrid>
      <w:tr w14:paraId="710E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970" w:type="dxa"/>
            <w:tcBorders>
              <w:bottom w:val="single" w:color="auto" w:sz="4" w:space="0"/>
            </w:tcBorders>
            <w:vAlign w:val="center"/>
          </w:tcPr>
          <w:p w14:paraId="3543977E">
            <w:pPr>
              <w:spacing w:line="400" w:lineRule="exact"/>
              <w:jc w:val="center"/>
              <w:rPr>
                <w:rFonts w:ascii="宋体" w:hAnsi="宋体"/>
                <w:szCs w:val="21"/>
              </w:rPr>
            </w:pPr>
            <w:r>
              <w:rPr>
                <w:rFonts w:hint="eastAsia" w:ascii="宋体" w:hAnsi="宋体"/>
                <w:szCs w:val="21"/>
              </w:rPr>
              <w:t>标段</w:t>
            </w:r>
          </w:p>
        </w:tc>
        <w:tc>
          <w:tcPr>
            <w:tcW w:w="868" w:type="dxa"/>
            <w:tcBorders>
              <w:bottom w:val="single" w:color="auto" w:sz="4" w:space="0"/>
            </w:tcBorders>
            <w:vAlign w:val="center"/>
          </w:tcPr>
          <w:p w14:paraId="39D48DCA">
            <w:pPr>
              <w:spacing w:line="400" w:lineRule="exact"/>
              <w:jc w:val="center"/>
              <w:rPr>
                <w:rFonts w:ascii="宋体" w:hAnsi="宋体"/>
                <w:szCs w:val="21"/>
              </w:rPr>
            </w:pPr>
            <w:r>
              <w:rPr>
                <w:rFonts w:hint="eastAsia" w:ascii="宋体" w:hAnsi="宋体"/>
                <w:szCs w:val="21"/>
              </w:rPr>
              <w:t>数量</w:t>
            </w:r>
          </w:p>
        </w:tc>
        <w:tc>
          <w:tcPr>
            <w:tcW w:w="7168" w:type="dxa"/>
            <w:tcBorders>
              <w:bottom w:val="single" w:color="auto" w:sz="4" w:space="0"/>
            </w:tcBorders>
            <w:vAlign w:val="center"/>
          </w:tcPr>
          <w:p w14:paraId="0BC8826D">
            <w:pPr>
              <w:spacing w:line="400" w:lineRule="exact"/>
              <w:jc w:val="center"/>
              <w:rPr>
                <w:rFonts w:ascii="宋体" w:hAnsi="宋体"/>
                <w:b/>
                <w:szCs w:val="21"/>
              </w:rPr>
            </w:pPr>
            <w:r>
              <w:rPr>
                <w:rFonts w:hint="eastAsia" w:ascii="宋体" w:hAnsi="宋体"/>
                <w:szCs w:val="21"/>
              </w:rPr>
              <w:t>资格要求</w:t>
            </w:r>
          </w:p>
        </w:tc>
      </w:tr>
      <w:tr w14:paraId="347F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970" w:type="dxa"/>
            <w:vAlign w:val="center"/>
          </w:tcPr>
          <w:p w14:paraId="10E32D39">
            <w:pPr>
              <w:spacing w:line="400" w:lineRule="exact"/>
              <w:jc w:val="center"/>
              <w:rPr>
                <w:rFonts w:ascii="宋体" w:hAnsi="宋体"/>
                <w:szCs w:val="21"/>
                <w:u w:val="single"/>
              </w:rPr>
            </w:pPr>
          </w:p>
        </w:tc>
        <w:tc>
          <w:tcPr>
            <w:tcW w:w="868" w:type="dxa"/>
            <w:vAlign w:val="center"/>
          </w:tcPr>
          <w:p w14:paraId="6E5304EF">
            <w:pPr>
              <w:spacing w:line="400" w:lineRule="exact"/>
              <w:jc w:val="center"/>
              <w:rPr>
                <w:rFonts w:ascii="宋体" w:hAnsi="宋体"/>
                <w:szCs w:val="21"/>
              </w:rPr>
            </w:pPr>
          </w:p>
        </w:tc>
        <w:tc>
          <w:tcPr>
            <w:tcW w:w="7168" w:type="dxa"/>
            <w:vAlign w:val="center"/>
          </w:tcPr>
          <w:p w14:paraId="7CFC5DFC">
            <w:pPr>
              <w:spacing w:line="400" w:lineRule="exact"/>
              <w:ind w:left="422" w:hanging="422" w:hangingChars="200"/>
              <w:rPr>
                <w:rFonts w:hint="eastAsia" w:ascii="宋体" w:hAnsi="宋体"/>
                <w:szCs w:val="21"/>
                <w:lang w:eastAsia="zh-CN"/>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w:t>
            </w:r>
            <w:r>
              <w:rPr>
                <w:rFonts w:hint="eastAsia" w:ascii="宋体" w:hAnsi="宋体" w:cs="宋体"/>
                <w:szCs w:val="21"/>
                <w:lang w:eastAsia="zh-CN"/>
              </w:rPr>
              <w:t>〔</w:t>
            </w:r>
            <w:r>
              <w:rPr>
                <w:rFonts w:hint="eastAsia" w:ascii="宋体" w:hAnsi="宋体" w:cs="宋体"/>
                <w:szCs w:val="21"/>
              </w:rPr>
              <w:t>□工程师</w:t>
            </w:r>
            <w:r>
              <w:rPr>
                <w:rFonts w:hint="eastAsia" w:ascii="宋体" w:hAnsi="宋体" w:cs="宋体"/>
                <w:szCs w:val="21"/>
                <w:lang w:val="en-US" w:eastAsia="zh-CN"/>
              </w:rPr>
              <w:t>及以上</w:t>
            </w:r>
            <w:r>
              <w:rPr>
                <w:rFonts w:hint="eastAsia" w:ascii="宋体" w:hAnsi="宋体" w:cs="宋体"/>
                <w:szCs w:val="21"/>
              </w:rPr>
              <w:t>；□高级工程师</w:t>
            </w:r>
            <w:r>
              <w:rPr>
                <w:rFonts w:hint="eastAsia" w:ascii="宋体" w:hAnsi="宋体" w:eastAsia="宋体" w:cs="宋体"/>
                <w:szCs w:val="21"/>
                <w:lang w:eastAsia="zh-CN"/>
              </w:rPr>
              <w:t>〕</w:t>
            </w:r>
            <w:r>
              <w:rPr>
                <w:rFonts w:hint="eastAsia" w:ascii="宋体" w:hAnsi="宋体" w:cs="宋体"/>
                <w:szCs w:val="21"/>
                <w:lang w:val="en-US" w:eastAsia="zh-CN"/>
              </w:rPr>
              <w:t>及以上</w:t>
            </w:r>
            <w:r>
              <w:rPr>
                <w:rFonts w:hint="eastAsia" w:ascii="宋体" w:hAnsi="宋体"/>
                <w:szCs w:val="21"/>
              </w:rPr>
              <w:t>技术职称</w:t>
            </w:r>
            <w:r>
              <w:rPr>
                <w:rFonts w:hint="eastAsia" w:ascii="宋体" w:hAnsi="宋体"/>
                <w:szCs w:val="21"/>
                <w:lang w:eastAsia="zh-CN"/>
              </w:rPr>
              <w:t>。</w:t>
            </w:r>
          </w:p>
          <w:p w14:paraId="7B255CC2">
            <w:pPr>
              <w:spacing w:line="400" w:lineRule="exact"/>
              <w:ind w:left="420" w:leftChars="100" w:hanging="210" w:hangingChars="100"/>
              <w:rPr>
                <w:rFonts w:hint="eastAsia" w:ascii="宋体" w:hAnsi="宋体"/>
                <w:szCs w:val="21"/>
                <w:lang w:eastAsia="zh-CN"/>
              </w:rPr>
            </w:pPr>
            <w:r>
              <w:rPr>
                <w:rFonts w:hint="eastAsia" w:ascii="宋体" w:hAnsi="宋体"/>
                <w:szCs w:val="21"/>
                <w:lang w:eastAsia="zh-CN"/>
              </w:rPr>
              <w:t>注：“□工程师；□高级工程师”为单选项</w:t>
            </w:r>
          </w:p>
          <w:p w14:paraId="6FD9DC90">
            <w:pPr>
              <w:spacing w:line="400" w:lineRule="exact"/>
              <w:rPr>
                <w:rFonts w:hint="eastAsia" w:ascii="宋体" w:hAnsi="宋体" w:eastAsia="宋体"/>
                <w:b/>
                <w:szCs w:val="21"/>
                <w:lang w:eastAsia="zh-CN"/>
              </w:rPr>
            </w:pPr>
            <w:r>
              <w:rPr>
                <w:rFonts w:hint="eastAsia" w:ascii="宋体" w:hAnsi="宋体"/>
                <w:b/>
                <w:szCs w:val="21"/>
              </w:rPr>
              <w:t xml:space="preserve">□ </w:t>
            </w:r>
            <w:r>
              <w:rPr>
                <w:rFonts w:hint="eastAsia" w:ascii="宋体" w:hAnsi="宋体"/>
                <w:szCs w:val="21"/>
              </w:rPr>
              <w:t>在投标人单位担任</w:t>
            </w:r>
            <w:r>
              <w:rPr>
                <w:rFonts w:ascii="宋体" w:hAnsi="宋体"/>
                <w:szCs w:val="21"/>
                <w:u w:val="single"/>
              </w:rPr>
              <w:t xml:space="preserve">          </w:t>
            </w:r>
            <w:r>
              <w:rPr>
                <w:rFonts w:hint="eastAsia" w:ascii="宋体" w:hAnsi="宋体"/>
                <w:szCs w:val="21"/>
              </w:rPr>
              <w:t>及</w:t>
            </w:r>
            <w:r>
              <w:rPr>
                <w:rFonts w:ascii="宋体" w:hAnsi="宋体"/>
                <w:szCs w:val="21"/>
              </w:rPr>
              <w:t>以上职务</w:t>
            </w:r>
            <w:r>
              <w:rPr>
                <w:rFonts w:hint="eastAsia" w:ascii="宋体" w:hAnsi="宋体"/>
                <w:szCs w:val="21"/>
                <w:lang w:eastAsia="zh-CN"/>
              </w:rPr>
              <w:t>。</w:t>
            </w:r>
          </w:p>
          <w:p w14:paraId="36B40E31">
            <w:pPr>
              <w:spacing w:line="400" w:lineRule="exact"/>
              <w:ind w:left="211" w:hanging="211" w:hangingChars="100"/>
              <w:rPr>
                <w:rFonts w:hint="eastAsia" w:ascii="宋体" w:hAnsi="宋体" w:eastAsia="宋体"/>
                <w:szCs w:val="21"/>
                <w:lang w:eastAsia="zh-CN"/>
              </w:rPr>
            </w:pPr>
            <w:r>
              <w:rPr>
                <w:rFonts w:hint="eastAsia" w:ascii="宋体" w:hAnsi="宋体"/>
                <w:b/>
                <w:szCs w:val="21"/>
              </w:rPr>
              <w:t>□</w:t>
            </w:r>
            <w:r>
              <w:rPr>
                <w:rFonts w:ascii="宋体" w:hAnsi="宋体"/>
                <w:szCs w:val="21"/>
              </w:rPr>
              <w:t xml:space="preserve"> </w:t>
            </w:r>
            <w:r>
              <w:rPr>
                <w:rFonts w:hint="eastAsia"/>
              </w:rPr>
              <w:t>投标截止日所在月上个月或上上个月起之前在其</w:t>
            </w:r>
            <w:r>
              <w:rPr>
                <w:rFonts w:hint="eastAsia" w:ascii="宋体" w:hAnsi="宋体" w:cs="宋体"/>
                <w:szCs w:val="21"/>
              </w:rPr>
              <w:t>投标单位连续6个月参加社保</w:t>
            </w:r>
            <w:r>
              <w:rPr>
                <w:rFonts w:hint="eastAsia" w:ascii="宋体" w:hAnsi="宋体"/>
                <w:szCs w:val="21"/>
                <w:lang w:eastAsia="zh-CN"/>
              </w:rPr>
              <w:t>。</w:t>
            </w:r>
          </w:p>
          <w:p w14:paraId="4B6393AF">
            <w:pPr>
              <w:pStyle w:val="299"/>
              <w:adjustRightInd w:val="0"/>
              <w:snapToGrid w:val="0"/>
              <w:spacing w:line="400" w:lineRule="exact"/>
              <w:rPr>
                <w:rFonts w:ascii="宋体" w:hAnsi="宋体"/>
                <w:szCs w:val="21"/>
                <w:u w:val="single"/>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p>
          <w:p w14:paraId="69697E5A">
            <w:pPr>
              <w:spacing w:line="400" w:lineRule="exact"/>
              <w:jc w:val="left"/>
              <w:rPr>
                <w:rFonts w:ascii="宋体" w:hAnsi="宋体"/>
                <w:szCs w:val="21"/>
              </w:rPr>
            </w:pPr>
            <w:r>
              <w:rPr>
                <w:rFonts w:hint="eastAsia" w:ascii="宋体" w:hAnsi="宋体"/>
                <w:b/>
                <w:szCs w:val="21"/>
              </w:rPr>
              <w:t>□</w:t>
            </w:r>
            <w:r>
              <w:rPr>
                <w:rFonts w:ascii="宋体" w:hAnsi="宋体"/>
                <w:szCs w:val="21"/>
              </w:rPr>
              <w:t xml:space="preserve"> 联合体应满足下列要求：</w:t>
            </w:r>
            <w:r>
              <w:rPr>
                <w:rFonts w:ascii="宋体" w:hAnsi="宋体"/>
                <w:szCs w:val="21"/>
                <w:u w:val="single"/>
              </w:rPr>
              <w:t xml:space="preserve">                  </w:t>
            </w:r>
          </w:p>
        </w:tc>
      </w:tr>
      <w:tr w14:paraId="5F96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70" w:type="dxa"/>
            <w:vAlign w:val="center"/>
          </w:tcPr>
          <w:p w14:paraId="0E6DBF67">
            <w:pPr>
              <w:spacing w:line="400" w:lineRule="exact"/>
              <w:jc w:val="center"/>
              <w:rPr>
                <w:rFonts w:ascii="宋体" w:hAnsi="宋体"/>
                <w:szCs w:val="21"/>
                <w:u w:val="single"/>
              </w:rPr>
            </w:pPr>
            <w:r>
              <w:rPr>
                <w:rFonts w:hint="eastAsia" w:ascii="宋体" w:hAnsi="宋体"/>
                <w:szCs w:val="21"/>
              </w:rPr>
              <w:t>……</w:t>
            </w:r>
          </w:p>
        </w:tc>
        <w:tc>
          <w:tcPr>
            <w:tcW w:w="868" w:type="dxa"/>
            <w:vAlign w:val="center"/>
          </w:tcPr>
          <w:p w14:paraId="6CF1615B">
            <w:pPr>
              <w:spacing w:line="400" w:lineRule="exact"/>
              <w:jc w:val="center"/>
              <w:rPr>
                <w:rFonts w:ascii="宋体" w:hAnsi="宋体"/>
                <w:szCs w:val="21"/>
              </w:rPr>
            </w:pPr>
            <w:r>
              <w:rPr>
                <w:rFonts w:hint="eastAsia" w:ascii="宋体" w:hAnsi="宋体"/>
                <w:szCs w:val="21"/>
              </w:rPr>
              <w:t>……</w:t>
            </w:r>
          </w:p>
        </w:tc>
        <w:tc>
          <w:tcPr>
            <w:tcW w:w="7168" w:type="dxa"/>
            <w:vAlign w:val="center"/>
          </w:tcPr>
          <w:p w14:paraId="248E8888">
            <w:pPr>
              <w:spacing w:line="400" w:lineRule="exact"/>
              <w:jc w:val="left"/>
              <w:rPr>
                <w:rFonts w:ascii="宋体" w:hAnsi="宋体"/>
                <w:szCs w:val="21"/>
              </w:rPr>
            </w:pPr>
            <w:r>
              <w:rPr>
                <w:rFonts w:hint="eastAsia" w:ascii="宋体" w:hAnsi="宋体"/>
                <w:szCs w:val="21"/>
              </w:rPr>
              <w:t>……</w:t>
            </w:r>
          </w:p>
        </w:tc>
      </w:tr>
    </w:tbl>
    <w:p w14:paraId="6F0690FD">
      <w:pPr>
        <w:pStyle w:val="299"/>
        <w:jc w:val="center"/>
        <w:rPr>
          <w:rFonts w:ascii="黑体" w:hAnsi="黑体" w:eastAsia="黑体"/>
          <w:bCs/>
          <w:sz w:val="24"/>
        </w:rPr>
      </w:pPr>
    </w:p>
    <w:p w14:paraId="67002735">
      <w:pPr>
        <w:pStyle w:val="37"/>
        <w:spacing w:line="360" w:lineRule="auto"/>
        <w:jc w:val="both"/>
        <w:rPr>
          <w:rFonts w:hint="eastAsia" w:ascii="宋体" w:hAnsi="宋体" w:cs="宋体"/>
          <w:sz w:val="21"/>
          <w:szCs w:val="21"/>
        </w:rPr>
      </w:pPr>
      <w:r>
        <w:rPr>
          <w:rFonts w:hint="eastAsia" w:ascii="宋体" w:hAnsi="宋体" w:cs="宋体"/>
          <w:sz w:val="21"/>
          <w:szCs w:val="21"/>
        </w:rPr>
        <w:t>注：当本次拟委任的主要人员不做为资格审查强制性条件，投标人若成为中标人，则在签订合同前，须上报满足本表“主要人员最低要求”的相关具体人员，经招标人或发包人审核同意后签订合同，并按填报的人员进场开展工作。</w:t>
      </w:r>
    </w:p>
    <w:p w14:paraId="017075B4">
      <w:pPr>
        <w:pStyle w:val="299"/>
        <w:jc w:val="center"/>
        <w:rPr>
          <w:rFonts w:ascii="黑体" w:hAnsi="黑体" w:eastAsia="黑体"/>
          <w:bCs/>
          <w:sz w:val="24"/>
        </w:rPr>
      </w:pPr>
    </w:p>
    <w:p w14:paraId="0B30980F">
      <w:pPr>
        <w:pStyle w:val="299"/>
        <w:jc w:val="center"/>
        <w:rPr>
          <w:rFonts w:ascii="黑体" w:hAnsi="黑体" w:eastAsia="黑体"/>
          <w:bCs/>
          <w:sz w:val="24"/>
        </w:rPr>
      </w:pPr>
    </w:p>
    <w:p w14:paraId="4B060F1E">
      <w:pPr>
        <w:pStyle w:val="299"/>
        <w:jc w:val="center"/>
        <w:rPr>
          <w:rFonts w:ascii="黑体" w:hAnsi="黑体" w:eastAsia="黑体"/>
          <w:bCs/>
          <w:sz w:val="24"/>
        </w:rPr>
      </w:pPr>
    </w:p>
    <w:p w14:paraId="56A2FFEF">
      <w:pPr>
        <w:pStyle w:val="299"/>
        <w:jc w:val="center"/>
        <w:rPr>
          <w:rFonts w:ascii="黑体" w:hAnsi="黑体" w:eastAsia="黑体"/>
          <w:bCs/>
          <w:sz w:val="24"/>
        </w:rPr>
      </w:pPr>
    </w:p>
    <w:p w14:paraId="1730CCA2">
      <w:pPr>
        <w:pStyle w:val="299"/>
        <w:jc w:val="center"/>
        <w:rPr>
          <w:rFonts w:ascii="黑体" w:hAnsi="黑体" w:eastAsia="黑体"/>
          <w:bCs/>
          <w:sz w:val="24"/>
        </w:rPr>
      </w:pPr>
    </w:p>
    <w:p w14:paraId="18A42A9D">
      <w:pPr>
        <w:pStyle w:val="299"/>
        <w:jc w:val="center"/>
        <w:rPr>
          <w:rFonts w:ascii="黑体" w:hAnsi="黑体" w:eastAsia="黑体"/>
          <w:bCs/>
          <w:sz w:val="24"/>
        </w:rPr>
      </w:pPr>
    </w:p>
    <w:p w14:paraId="595FA12E">
      <w:pPr>
        <w:pStyle w:val="299"/>
        <w:jc w:val="center"/>
        <w:rPr>
          <w:rFonts w:ascii="黑体" w:hAnsi="黑体" w:eastAsia="黑体"/>
          <w:bCs/>
          <w:sz w:val="24"/>
        </w:rPr>
      </w:pPr>
    </w:p>
    <w:p w14:paraId="3BC179A6">
      <w:pPr>
        <w:pStyle w:val="299"/>
        <w:rPr>
          <w:rFonts w:ascii="黑体" w:hAnsi="黑体" w:eastAsia="黑体"/>
          <w:bCs/>
          <w:sz w:val="24"/>
        </w:rPr>
      </w:pPr>
    </w:p>
    <w:p w14:paraId="71F7E662">
      <w:pPr>
        <w:spacing w:line="500" w:lineRule="exact"/>
        <w:jc w:val="center"/>
        <w:rPr>
          <w:rFonts w:ascii="黑体" w:hAnsi="黑体" w:eastAsia="黑体"/>
          <w:sz w:val="24"/>
        </w:rPr>
      </w:pPr>
      <w:r>
        <w:rPr>
          <w:rFonts w:hint="eastAsia" w:ascii="黑体" w:hAnsi="黑体" w:eastAsia="黑体"/>
          <w:sz w:val="24"/>
        </w:rPr>
        <w:br w:type="page"/>
      </w:r>
    </w:p>
    <w:p w14:paraId="165E52C1">
      <w:pPr>
        <w:pStyle w:val="4"/>
        <w:spacing w:before="0" w:beforeLines="0" w:after="0" w:afterLines="0" w:line="500" w:lineRule="exact"/>
        <w:jc w:val="center"/>
        <w:rPr>
          <w:rFonts w:ascii="黑体" w:hAnsi="黑体" w:eastAsia="黑体"/>
          <w:b w:val="0"/>
          <w:sz w:val="24"/>
        </w:rPr>
      </w:pPr>
      <w:r>
        <w:rPr>
          <w:rFonts w:hint="eastAsia" w:ascii="黑体" w:hAnsi="黑体" w:eastAsia="黑体"/>
          <w:bCs w:val="0"/>
          <w:sz w:val="24"/>
        </w:rPr>
        <w:t xml:space="preserve">□ </w:t>
      </w:r>
      <w:r>
        <w:rPr>
          <w:rFonts w:hint="eastAsia" w:ascii="黑体" w:hAnsi="黑体" w:eastAsia="黑体"/>
          <w:b w:val="0"/>
          <w:sz w:val="24"/>
        </w:rPr>
        <w:t>设计项目负责人</w:t>
      </w:r>
    </w:p>
    <w:p w14:paraId="3D1B8F76">
      <w:pPr>
        <w:rPr>
          <w:rFonts w:ascii="黑体" w:hAnsi="黑体" w:eastAsia="黑体"/>
          <w:sz w:val="24"/>
        </w:rPr>
      </w:pPr>
    </w:p>
    <w:tbl>
      <w:tblPr>
        <w:tblStyle w:val="49"/>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46"/>
        <w:gridCol w:w="7084"/>
      </w:tblGrid>
      <w:tr w14:paraId="27E2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6" w:type="dxa"/>
            <w:vAlign w:val="center"/>
          </w:tcPr>
          <w:p w14:paraId="2AA7A48C">
            <w:pPr>
              <w:spacing w:line="400" w:lineRule="exact"/>
              <w:jc w:val="center"/>
              <w:rPr>
                <w:rFonts w:ascii="宋体" w:hAnsi="宋体"/>
                <w:bCs/>
                <w:szCs w:val="21"/>
              </w:rPr>
            </w:pPr>
            <w:r>
              <w:rPr>
                <w:rFonts w:hint="eastAsia" w:ascii="宋体" w:hAnsi="宋体"/>
                <w:bCs/>
                <w:szCs w:val="21"/>
              </w:rPr>
              <w:t>标段</w:t>
            </w:r>
          </w:p>
        </w:tc>
        <w:tc>
          <w:tcPr>
            <w:tcW w:w="846" w:type="dxa"/>
            <w:vAlign w:val="center"/>
          </w:tcPr>
          <w:p w14:paraId="74D00E0B">
            <w:pPr>
              <w:spacing w:line="400" w:lineRule="exact"/>
              <w:jc w:val="center"/>
              <w:rPr>
                <w:rFonts w:ascii="宋体" w:hAnsi="宋体"/>
                <w:bCs/>
                <w:szCs w:val="21"/>
              </w:rPr>
            </w:pPr>
            <w:r>
              <w:rPr>
                <w:rFonts w:hint="eastAsia" w:ascii="宋体" w:hAnsi="宋体"/>
                <w:bCs/>
                <w:szCs w:val="21"/>
              </w:rPr>
              <w:t>数量</w:t>
            </w:r>
          </w:p>
        </w:tc>
        <w:tc>
          <w:tcPr>
            <w:tcW w:w="7084" w:type="dxa"/>
            <w:vAlign w:val="center"/>
          </w:tcPr>
          <w:p w14:paraId="39924319">
            <w:pPr>
              <w:spacing w:line="400" w:lineRule="exact"/>
              <w:jc w:val="center"/>
              <w:rPr>
                <w:rFonts w:ascii="宋体" w:hAnsi="宋体"/>
                <w:bCs/>
                <w:szCs w:val="21"/>
              </w:rPr>
            </w:pPr>
            <w:r>
              <w:rPr>
                <w:rFonts w:hint="eastAsia" w:ascii="宋体" w:hAnsi="宋体"/>
                <w:bCs/>
                <w:szCs w:val="21"/>
              </w:rPr>
              <w:t>资格要求</w:t>
            </w:r>
          </w:p>
        </w:tc>
      </w:tr>
      <w:tr w14:paraId="2DBF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3" w:hRule="atLeast"/>
          <w:jc w:val="center"/>
        </w:trPr>
        <w:tc>
          <w:tcPr>
            <w:tcW w:w="1006" w:type="dxa"/>
            <w:vAlign w:val="center"/>
          </w:tcPr>
          <w:p w14:paraId="4FE9A2F4">
            <w:pPr>
              <w:spacing w:line="400" w:lineRule="exact"/>
              <w:jc w:val="center"/>
              <w:rPr>
                <w:rFonts w:ascii="宋体" w:hAnsi="宋体"/>
                <w:szCs w:val="21"/>
                <w:u w:val="single"/>
              </w:rPr>
            </w:pPr>
          </w:p>
        </w:tc>
        <w:tc>
          <w:tcPr>
            <w:tcW w:w="846" w:type="dxa"/>
            <w:vAlign w:val="center"/>
          </w:tcPr>
          <w:p w14:paraId="1931ABB7">
            <w:pPr>
              <w:spacing w:line="400" w:lineRule="exact"/>
              <w:jc w:val="center"/>
              <w:rPr>
                <w:rFonts w:ascii="宋体" w:hAnsi="宋体"/>
                <w:szCs w:val="21"/>
              </w:rPr>
            </w:pPr>
          </w:p>
        </w:tc>
        <w:tc>
          <w:tcPr>
            <w:tcW w:w="7084" w:type="dxa"/>
            <w:vAlign w:val="center"/>
          </w:tcPr>
          <w:p w14:paraId="1E924E38">
            <w:pPr>
              <w:spacing w:line="400" w:lineRule="exact"/>
              <w:ind w:left="0" w:leftChars="0" w:firstLine="0" w:firstLineChars="0"/>
              <w:jc w:val="left"/>
              <w:rPr>
                <w:rFonts w:ascii="宋体" w:hAnsi="宋体"/>
                <w:szCs w:val="21"/>
              </w:rPr>
            </w:pPr>
            <w:r>
              <w:rPr>
                <w:rFonts w:hint="eastAsia" w:ascii="宋体" w:hAnsi="宋体"/>
                <w:b/>
                <w:bCs/>
                <w:szCs w:val="21"/>
              </w:rPr>
              <w:t>□</w:t>
            </w:r>
            <w:r>
              <w:rPr>
                <w:rFonts w:hint="eastAsia" w:ascii="宋体" w:hAnsi="宋体"/>
                <w:szCs w:val="21"/>
              </w:rPr>
              <w:t xml:space="preserve"> 具有</w:t>
            </w:r>
            <w:r>
              <w:rPr>
                <w:rFonts w:ascii="宋体" w:hAnsi="宋体"/>
                <w:szCs w:val="21"/>
                <w:u w:val="single"/>
              </w:rPr>
              <w:t xml:space="preserve">   </w:t>
            </w:r>
            <w:r>
              <w:rPr>
                <w:rFonts w:hint="eastAsia" w:ascii="宋体" w:hAnsi="宋体"/>
                <w:szCs w:val="21"/>
              </w:rPr>
              <w:t>（职称专业）</w:t>
            </w:r>
            <w:r>
              <w:rPr>
                <w:rFonts w:hint="eastAsia" w:ascii="宋体" w:hAnsi="宋体" w:eastAsia="宋体" w:cs="宋体"/>
                <w:szCs w:val="21"/>
                <w:lang w:eastAsia="zh-CN"/>
              </w:rPr>
              <w:t>〔</w:t>
            </w:r>
            <w:r>
              <w:rPr>
                <w:rFonts w:hint="eastAsia" w:ascii="宋体" w:hAnsi="宋体"/>
                <w:szCs w:val="21"/>
              </w:rPr>
              <w:t>□工程师；□高级工程师</w:t>
            </w:r>
            <w:r>
              <w:rPr>
                <w:rFonts w:hint="eastAsia" w:ascii="宋体" w:hAnsi="宋体" w:eastAsia="宋体" w:cs="宋体"/>
                <w:szCs w:val="21"/>
                <w:lang w:eastAsia="zh-CN"/>
              </w:rPr>
              <w:t>〕</w:t>
            </w:r>
            <w:r>
              <w:rPr>
                <w:rFonts w:hint="eastAsia" w:ascii="宋体" w:hAnsi="宋体" w:cs="宋体"/>
                <w:szCs w:val="21"/>
                <w:lang w:val="en-US" w:eastAsia="zh-CN"/>
              </w:rPr>
              <w:t>及以上</w:t>
            </w:r>
            <w:r>
              <w:rPr>
                <w:rFonts w:hint="eastAsia" w:ascii="宋体" w:hAnsi="宋体"/>
                <w:szCs w:val="21"/>
              </w:rPr>
              <w:t>技术职称。</w:t>
            </w:r>
          </w:p>
          <w:p w14:paraId="27EB63D2">
            <w:pPr>
              <w:widowControl/>
              <w:spacing w:line="400" w:lineRule="exact"/>
              <w:ind w:left="420" w:leftChars="100" w:hanging="210" w:hangingChars="100"/>
              <w:jc w:val="left"/>
              <w:rPr>
                <w:rFonts w:hint="eastAsia" w:ascii="宋体" w:hAnsi="宋体"/>
                <w:szCs w:val="21"/>
              </w:rPr>
            </w:pPr>
            <w:r>
              <w:rPr>
                <w:rFonts w:hint="eastAsia" w:ascii="宋体" w:hAnsi="宋体"/>
                <w:szCs w:val="21"/>
              </w:rPr>
              <w:t>注：“□工程师；□高级工程师”为单选项</w:t>
            </w:r>
          </w:p>
          <w:p w14:paraId="53837836">
            <w:pPr>
              <w:spacing w:line="400" w:lineRule="exact"/>
              <w:rPr>
                <w:rFonts w:hint="eastAsia" w:ascii="宋体" w:hAnsi="宋体"/>
                <w:kern w:val="0"/>
                <w:szCs w:val="21"/>
              </w:rPr>
            </w:pPr>
            <w:r>
              <w:rPr>
                <w:rFonts w:hint="eastAsia" w:ascii="宋体" w:hAnsi="宋体"/>
                <w:b/>
                <w:bCs/>
                <w:szCs w:val="21"/>
              </w:rPr>
              <w:t>□</w:t>
            </w:r>
            <w:r>
              <w:rPr>
                <w:rFonts w:hint="eastAsia" w:ascii="宋体" w:hAnsi="宋体"/>
                <w:szCs w:val="21"/>
              </w:rPr>
              <w:t xml:space="preserve"> 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5AFFFB28">
            <w:pPr>
              <w:tabs>
                <w:tab w:val="left" w:pos="4213"/>
                <w:tab w:val="center" w:pos="4973"/>
              </w:tabs>
              <w:adjustRightInd w:val="0"/>
              <w:snapToGrid w:val="0"/>
              <w:spacing w:line="400" w:lineRule="exact"/>
              <w:ind w:firstLine="210" w:firstLineChars="100"/>
              <w:rPr>
                <w:rFonts w:hint="eastAsia" w:ascii="宋体" w:hAnsi="宋体"/>
                <w:kern w:val="0"/>
                <w:szCs w:val="21"/>
              </w:rPr>
            </w:pPr>
            <w:r>
              <w:rPr>
                <w:rFonts w:hint="eastAsia" w:ascii="宋体" w:hAnsi="宋体" w:cs="宋体"/>
                <w:kern w:val="2"/>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150FB78F">
            <w:pPr>
              <w:spacing w:line="400" w:lineRule="exact"/>
              <w:ind w:left="422" w:hanging="422" w:hangingChars="200"/>
              <w:rPr>
                <w:rFonts w:ascii="宋体" w:hAnsi="宋体" w:cs="宋体"/>
                <w:szCs w:val="21"/>
              </w:rPr>
            </w:pPr>
            <w:r>
              <w:rPr>
                <w:rFonts w:hint="eastAsia" w:ascii="宋体" w:hAnsi="宋体"/>
                <w:b/>
                <w:bCs/>
                <w:szCs w:val="21"/>
              </w:rPr>
              <w:t>□</w:t>
            </w:r>
            <w:r>
              <w:rPr>
                <w:rFonts w:hint="eastAsia" w:ascii="宋体" w:hAnsi="宋体"/>
                <w:szCs w:val="21"/>
              </w:rPr>
              <w:t xml:space="preserve"> </w:t>
            </w:r>
            <w:r>
              <w:rPr>
                <w:rFonts w:hint="eastAsia"/>
              </w:rPr>
              <w:t>投标截止日所在月上个月或上上个月起之前在其</w:t>
            </w:r>
            <w:r>
              <w:rPr>
                <w:rFonts w:hint="eastAsia" w:ascii="宋体" w:hAnsi="宋体" w:cs="宋体"/>
                <w:szCs w:val="21"/>
              </w:rPr>
              <w:t>投标单位连续6个</w:t>
            </w:r>
          </w:p>
          <w:p w14:paraId="0247DF27">
            <w:pPr>
              <w:spacing w:line="400" w:lineRule="exact"/>
              <w:ind w:left="601" w:leftChars="86" w:hanging="420" w:hangingChars="200"/>
              <w:rPr>
                <w:rFonts w:ascii="宋体" w:hAnsi="宋体"/>
                <w:szCs w:val="21"/>
              </w:rPr>
            </w:pPr>
            <w:r>
              <w:rPr>
                <w:rFonts w:hint="eastAsia" w:ascii="宋体" w:hAnsi="宋体" w:cs="宋体"/>
                <w:szCs w:val="21"/>
              </w:rPr>
              <w:t xml:space="preserve"> 月参加社保</w:t>
            </w:r>
            <w:r>
              <w:rPr>
                <w:rFonts w:hint="eastAsia" w:ascii="宋体" w:hAnsi="宋体"/>
                <w:szCs w:val="21"/>
              </w:rPr>
              <w:t>。</w:t>
            </w:r>
          </w:p>
          <w:p w14:paraId="1F9BE335">
            <w:pPr>
              <w:spacing w:line="400" w:lineRule="exact"/>
              <w:ind w:left="211" w:hanging="211" w:hangingChars="100"/>
              <w:jc w:val="left"/>
              <w:rPr>
                <w:rFonts w:ascii="宋体" w:hAnsi="宋体"/>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szCs w:val="21"/>
                <w:u w:val="single"/>
              </w:rPr>
              <w:t xml:space="preserve">   </w:t>
            </w:r>
            <w:r>
              <w:rPr>
                <w:rFonts w:hint="eastAsia" w:ascii="宋体" w:hAnsi="宋体"/>
                <w:szCs w:val="21"/>
              </w:rPr>
              <w:t>段每段里程不低于</w:t>
            </w:r>
            <w:r>
              <w:rPr>
                <w:rFonts w:hint="eastAsia" w:ascii="宋体" w:hAnsi="宋体"/>
                <w:szCs w:val="21"/>
                <w:u w:val="single"/>
              </w:rPr>
              <w:t xml:space="preserve">    </w:t>
            </w:r>
            <w:r>
              <w:rPr>
                <w:rFonts w:hint="eastAsia" w:ascii="宋体" w:hAnsi="宋体"/>
                <w:szCs w:val="21"/>
              </w:rPr>
              <w:t>公里的国内（□新建；□改扩建；□新建或改扩建）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级及以上公路（□初步；□施工图；□初步或施工图）勘察设计工作中担任过项目负责人，其中至少有</w:t>
            </w:r>
            <w:r>
              <w:rPr>
                <w:rFonts w:hint="eastAsia" w:ascii="宋体" w:hAnsi="宋体"/>
                <w:szCs w:val="21"/>
                <w:u w:val="single"/>
              </w:rPr>
              <w:t xml:space="preserve">     </w:t>
            </w:r>
            <w:r>
              <w:rPr>
                <w:rFonts w:hint="eastAsia" w:ascii="宋体" w:hAnsi="宋体"/>
                <w:szCs w:val="21"/>
              </w:rPr>
              <w:t>段桥隧比不低于</w:t>
            </w:r>
            <w:r>
              <w:rPr>
                <w:rFonts w:hint="eastAsia" w:ascii="宋体" w:hAnsi="宋体"/>
                <w:szCs w:val="21"/>
                <w:u w:val="single"/>
              </w:rPr>
              <w:t xml:space="preserve">      </w:t>
            </w:r>
            <w:r>
              <w:rPr>
                <w:rFonts w:hint="eastAsia" w:ascii="宋体" w:hAnsi="宋体"/>
                <w:szCs w:val="21"/>
              </w:rPr>
              <w:t>%。</w:t>
            </w:r>
          </w:p>
          <w:p w14:paraId="0B4FAA7C">
            <w:pPr>
              <w:spacing w:line="400" w:lineRule="exact"/>
              <w:ind w:left="0" w:leftChars="0" w:firstLine="210" w:firstLineChars="100"/>
              <w:jc w:val="left"/>
            </w:pPr>
            <w:r>
              <w:rPr>
                <w:rFonts w:hint="eastAsia"/>
              </w:rPr>
              <w:t>注：“</w:t>
            </w:r>
            <w:r>
              <w:rPr>
                <w:rFonts w:hint="eastAsia" w:ascii="宋体" w:hAnsi="宋体"/>
                <w:szCs w:val="21"/>
              </w:rPr>
              <w:t>□新建；□改扩建；□新建或改扩建</w:t>
            </w:r>
            <w:r>
              <w:rPr>
                <w:rFonts w:hint="eastAsia"/>
              </w:rPr>
              <w:t>”“</w:t>
            </w:r>
            <w:r>
              <w:rPr>
                <w:rFonts w:hint="eastAsia" w:ascii="宋体" w:hAnsi="宋体"/>
                <w:szCs w:val="21"/>
              </w:rPr>
              <w:t>□初步；□施工图；□初步或施工图</w:t>
            </w:r>
            <w:r>
              <w:rPr>
                <w:rFonts w:hint="eastAsia"/>
              </w:rPr>
              <w:t>”</w:t>
            </w:r>
            <w:r>
              <w:rPr>
                <w:rFonts w:hint="eastAsia" w:ascii="宋体" w:hAnsi="宋体" w:cs="宋体"/>
              </w:rPr>
              <w:t>为单选项。</w:t>
            </w:r>
          </w:p>
          <w:p w14:paraId="4B538199">
            <w:pPr>
              <w:spacing w:line="400" w:lineRule="exact"/>
              <w:jc w:val="left"/>
              <w:rPr>
                <w:rFonts w:ascii="宋体" w:hAnsi="宋体"/>
                <w:b/>
                <w:bCs/>
                <w:szCs w:val="21"/>
                <w:u w:val="single"/>
              </w:rPr>
            </w:pPr>
            <w:r>
              <w:rPr>
                <w:rFonts w:hint="eastAsia" w:ascii="宋体" w:hAnsi="宋体"/>
                <w:b/>
                <w:bCs/>
                <w:szCs w:val="21"/>
              </w:rPr>
              <w:t xml:space="preserve">□ </w:t>
            </w:r>
            <w:r>
              <w:rPr>
                <w:rFonts w:hint="eastAsia" w:ascii="宋体" w:hAnsi="宋体"/>
                <w:szCs w:val="21"/>
              </w:rPr>
              <w:t>其他</w:t>
            </w:r>
            <w:r>
              <w:rPr>
                <w:rFonts w:hint="eastAsia" w:ascii="宋体" w:hAnsi="宋体"/>
                <w:b/>
                <w:bCs/>
                <w:szCs w:val="21"/>
              </w:rPr>
              <w:t>：</w:t>
            </w:r>
            <w:r>
              <w:rPr>
                <w:rFonts w:hint="eastAsia" w:ascii="宋体" w:hAnsi="宋体"/>
                <w:b/>
                <w:bCs/>
                <w:szCs w:val="21"/>
                <w:u w:val="single"/>
              </w:rPr>
              <w:t xml:space="preserve">              </w:t>
            </w:r>
          </w:p>
          <w:p w14:paraId="50414A9D">
            <w:pPr>
              <w:spacing w:line="400" w:lineRule="exact"/>
              <w:rPr>
                <w:rFonts w:ascii="宋体" w:hAnsi="宋体"/>
                <w:szCs w:val="21"/>
              </w:rPr>
            </w:pPr>
            <w:r>
              <w:rPr>
                <w:rFonts w:ascii="宋体" w:hAnsi="宋体"/>
                <w:b/>
                <w:bCs/>
                <w:szCs w:val="21"/>
              </w:rPr>
              <w:t>□</w:t>
            </w:r>
            <w:r>
              <w:rPr>
                <w:rFonts w:ascii="宋体" w:hAnsi="宋体"/>
                <w:szCs w:val="21"/>
              </w:rPr>
              <w:t xml:space="preserve"> 联合体应满足下列要求</w:t>
            </w:r>
            <w:r>
              <w:rPr>
                <w:rFonts w:hint="eastAsia" w:ascii="宋体" w:hAnsi="宋体"/>
                <w:szCs w:val="21"/>
              </w:rPr>
              <w:t>：</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24C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06" w:type="dxa"/>
            <w:vAlign w:val="center"/>
          </w:tcPr>
          <w:p w14:paraId="616D5E6C">
            <w:pPr>
              <w:spacing w:line="400" w:lineRule="exact"/>
              <w:jc w:val="center"/>
              <w:rPr>
                <w:rFonts w:ascii="宋体" w:hAnsi="宋体"/>
                <w:szCs w:val="21"/>
              </w:rPr>
            </w:pPr>
            <w:r>
              <w:rPr>
                <w:rFonts w:ascii="宋体" w:hAnsi="宋体"/>
                <w:szCs w:val="21"/>
              </w:rPr>
              <w:t>……</w:t>
            </w:r>
          </w:p>
        </w:tc>
        <w:tc>
          <w:tcPr>
            <w:tcW w:w="846" w:type="dxa"/>
            <w:vAlign w:val="center"/>
          </w:tcPr>
          <w:p w14:paraId="610BAC78">
            <w:pPr>
              <w:spacing w:line="400" w:lineRule="exact"/>
              <w:jc w:val="center"/>
              <w:rPr>
                <w:rFonts w:ascii="宋体" w:hAnsi="宋体"/>
                <w:szCs w:val="21"/>
              </w:rPr>
            </w:pPr>
            <w:r>
              <w:rPr>
                <w:rFonts w:ascii="宋体" w:hAnsi="宋体"/>
                <w:szCs w:val="21"/>
              </w:rPr>
              <w:t>……</w:t>
            </w:r>
          </w:p>
        </w:tc>
        <w:tc>
          <w:tcPr>
            <w:tcW w:w="7084" w:type="dxa"/>
            <w:vAlign w:val="center"/>
          </w:tcPr>
          <w:p w14:paraId="56B1391A">
            <w:pPr>
              <w:spacing w:line="400" w:lineRule="exact"/>
              <w:jc w:val="center"/>
              <w:rPr>
                <w:rFonts w:ascii="宋体" w:hAnsi="宋体"/>
                <w:szCs w:val="21"/>
              </w:rPr>
            </w:pPr>
            <w:r>
              <w:rPr>
                <w:rFonts w:ascii="宋体" w:hAnsi="宋体"/>
                <w:szCs w:val="21"/>
              </w:rPr>
              <w:t>……</w:t>
            </w:r>
          </w:p>
        </w:tc>
      </w:tr>
    </w:tbl>
    <w:p w14:paraId="53B85E2C">
      <w:pPr>
        <w:rPr>
          <w:rFonts w:ascii="黑体" w:hAnsi="黑体" w:eastAsia="黑体"/>
          <w:sz w:val="24"/>
        </w:rPr>
      </w:pPr>
    </w:p>
    <w:p w14:paraId="3AD7F1FE"/>
    <w:p w14:paraId="6EBE741E">
      <w:pPr>
        <w:pStyle w:val="4"/>
        <w:spacing w:before="0" w:beforeLines="0" w:after="0" w:afterLines="0" w:line="500" w:lineRule="exact"/>
        <w:jc w:val="center"/>
        <w:rPr>
          <w:rFonts w:ascii="黑体" w:hAnsi="黑体" w:eastAsia="黑体"/>
          <w:b w:val="0"/>
          <w:sz w:val="24"/>
        </w:rPr>
      </w:pPr>
      <w:r>
        <w:rPr>
          <w:rFonts w:ascii="宋体" w:hAnsi="宋体"/>
          <w:bCs w:val="0"/>
          <w:sz w:val="24"/>
        </w:rPr>
        <w:br w:type="page"/>
      </w:r>
      <w:r>
        <w:rPr>
          <w:rFonts w:hint="eastAsia" w:ascii="黑体" w:hAnsi="黑体" w:eastAsia="黑体"/>
          <w:bCs w:val="0"/>
          <w:sz w:val="24"/>
        </w:rPr>
        <w:t>□</w:t>
      </w:r>
      <w:r>
        <w:rPr>
          <w:rFonts w:ascii="黑体" w:hAnsi="黑体" w:eastAsia="黑体"/>
          <w:b w:val="0"/>
          <w:sz w:val="24"/>
        </w:rPr>
        <w:t xml:space="preserve"> </w:t>
      </w:r>
      <w:r>
        <w:rPr>
          <w:rFonts w:hint="eastAsia"/>
          <w:sz w:val="24"/>
        </w:rPr>
        <w:t>勘察设计</w:t>
      </w:r>
      <w:r>
        <w:rPr>
          <w:rFonts w:hint="eastAsia" w:ascii="宋体" w:hAnsi="宋体"/>
          <w:spacing w:val="-4"/>
          <w:sz w:val="24"/>
        </w:rPr>
        <w:t>技术负责人或总设计师</w:t>
      </w:r>
    </w:p>
    <w:p w14:paraId="742D08DE">
      <w:pPr>
        <w:rPr>
          <w:rFonts w:ascii="黑体" w:hAnsi="黑体" w:eastAsia="黑体"/>
          <w:sz w:val="24"/>
        </w:rPr>
      </w:pPr>
    </w:p>
    <w:tbl>
      <w:tblPr>
        <w:tblStyle w:val="49"/>
        <w:tblW w:w="88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72"/>
        <w:gridCol w:w="7200"/>
      </w:tblGrid>
      <w:tr w14:paraId="4105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9" w:type="dxa"/>
          </w:tcPr>
          <w:p w14:paraId="4E187142">
            <w:pPr>
              <w:spacing w:line="400" w:lineRule="exact"/>
              <w:jc w:val="center"/>
              <w:rPr>
                <w:bCs/>
                <w:szCs w:val="21"/>
              </w:rPr>
            </w:pPr>
            <w:r>
              <w:rPr>
                <w:rFonts w:hint="eastAsia"/>
                <w:bCs/>
                <w:szCs w:val="21"/>
              </w:rPr>
              <w:t>标段</w:t>
            </w:r>
          </w:p>
        </w:tc>
        <w:tc>
          <w:tcPr>
            <w:tcW w:w="772" w:type="dxa"/>
          </w:tcPr>
          <w:p w14:paraId="7D2F17A6">
            <w:pPr>
              <w:spacing w:line="400" w:lineRule="exact"/>
              <w:jc w:val="center"/>
              <w:rPr>
                <w:bCs/>
                <w:szCs w:val="21"/>
              </w:rPr>
            </w:pPr>
            <w:r>
              <w:rPr>
                <w:rFonts w:hint="eastAsia"/>
                <w:bCs/>
                <w:szCs w:val="21"/>
              </w:rPr>
              <w:t>数量</w:t>
            </w:r>
          </w:p>
        </w:tc>
        <w:tc>
          <w:tcPr>
            <w:tcW w:w="7200" w:type="dxa"/>
          </w:tcPr>
          <w:p w14:paraId="5A872BA2">
            <w:pPr>
              <w:spacing w:line="400" w:lineRule="exact"/>
              <w:jc w:val="center"/>
              <w:rPr>
                <w:bCs/>
                <w:szCs w:val="21"/>
              </w:rPr>
            </w:pPr>
            <w:r>
              <w:rPr>
                <w:rFonts w:hint="eastAsia"/>
                <w:bCs/>
                <w:szCs w:val="21"/>
              </w:rPr>
              <w:t>资格要求</w:t>
            </w:r>
          </w:p>
        </w:tc>
      </w:tr>
      <w:tr w14:paraId="33C1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8" w:hRule="atLeast"/>
        </w:trPr>
        <w:tc>
          <w:tcPr>
            <w:tcW w:w="879" w:type="dxa"/>
            <w:vAlign w:val="center"/>
          </w:tcPr>
          <w:p w14:paraId="56DC5D8D">
            <w:pPr>
              <w:spacing w:line="400" w:lineRule="exact"/>
              <w:jc w:val="center"/>
              <w:rPr>
                <w:szCs w:val="21"/>
              </w:rPr>
            </w:pPr>
          </w:p>
        </w:tc>
        <w:tc>
          <w:tcPr>
            <w:tcW w:w="772" w:type="dxa"/>
            <w:vAlign w:val="center"/>
          </w:tcPr>
          <w:p w14:paraId="7359DF41">
            <w:pPr>
              <w:spacing w:line="400" w:lineRule="exact"/>
              <w:jc w:val="center"/>
              <w:rPr>
                <w:szCs w:val="21"/>
              </w:rPr>
            </w:pPr>
          </w:p>
        </w:tc>
        <w:tc>
          <w:tcPr>
            <w:tcW w:w="7200" w:type="dxa"/>
          </w:tcPr>
          <w:p w14:paraId="51015F3D">
            <w:pPr>
              <w:spacing w:line="400" w:lineRule="exact"/>
              <w:ind w:left="0" w:leftChars="0" w:firstLine="0" w:firstLineChars="0"/>
              <w:jc w:val="left"/>
              <w:rPr>
                <w:rFonts w:ascii="宋体" w:hAnsi="宋体"/>
                <w:szCs w:val="21"/>
              </w:rPr>
            </w:pPr>
            <w:r>
              <w:rPr>
                <w:rFonts w:hint="eastAsia" w:ascii="宋体" w:hAnsi="宋体"/>
                <w:b/>
                <w:bCs/>
                <w:szCs w:val="21"/>
              </w:rPr>
              <w:t>□</w:t>
            </w:r>
            <w:r>
              <w:rPr>
                <w:rFonts w:hint="eastAsia" w:ascii="宋体" w:hAnsi="宋体"/>
                <w:szCs w:val="21"/>
              </w:rPr>
              <w:t xml:space="preserve"> 具有</w:t>
            </w:r>
            <w:r>
              <w:rPr>
                <w:rFonts w:ascii="宋体" w:hAnsi="宋体"/>
                <w:szCs w:val="21"/>
                <w:u w:val="single"/>
              </w:rPr>
              <w:t xml:space="preserve">      </w:t>
            </w:r>
            <w:r>
              <w:rPr>
                <w:rFonts w:hint="eastAsia" w:ascii="宋体" w:hAnsi="宋体"/>
                <w:szCs w:val="21"/>
              </w:rPr>
              <w:t>（职称专业）</w:t>
            </w:r>
            <w:r>
              <w:rPr>
                <w:rFonts w:hint="eastAsia" w:ascii="宋体" w:hAnsi="宋体" w:eastAsia="宋体" w:cs="宋体"/>
                <w:szCs w:val="21"/>
                <w:lang w:eastAsia="zh-CN"/>
              </w:rPr>
              <w:t>〔</w:t>
            </w:r>
            <w:r>
              <w:rPr>
                <w:rFonts w:hint="eastAsia" w:ascii="宋体" w:hAnsi="宋体"/>
                <w:szCs w:val="21"/>
              </w:rPr>
              <w:t>□工程师；□高级工程师</w:t>
            </w:r>
            <w:r>
              <w:rPr>
                <w:rFonts w:hint="eastAsia" w:ascii="宋体" w:hAnsi="宋体" w:eastAsia="宋体" w:cs="宋体"/>
                <w:szCs w:val="21"/>
                <w:lang w:eastAsia="zh-CN"/>
              </w:rPr>
              <w:t>〕</w:t>
            </w:r>
            <w:r>
              <w:rPr>
                <w:rFonts w:hint="eastAsia" w:ascii="宋体" w:hAnsi="宋体" w:cs="宋体"/>
                <w:szCs w:val="21"/>
                <w:lang w:val="en-US" w:eastAsia="zh-CN"/>
              </w:rPr>
              <w:t>及以上</w:t>
            </w:r>
            <w:r>
              <w:rPr>
                <w:rFonts w:hint="eastAsia" w:ascii="宋体" w:hAnsi="宋体"/>
                <w:szCs w:val="21"/>
              </w:rPr>
              <w:t>技术职称。</w:t>
            </w:r>
          </w:p>
          <w:p w14:paraId="346C517D">
            <w:pPr>
              <w:pStyle w:val="48"/>
              <w:spacing w:after="0" w:line="400" w:lineRule="exact"/>
              <w:ind w:left="0" w:leftChars="0" w:firstLine="210" w:firstLineChars="100"/>
              <w:rPr>
                <w:rFonts w:ascii="宋体" w:hAnsi="宋体"/>
                <w:szCs w:val="21"/>
              </w:rPr>
            </w:pPr>
            <w:r>
              <w:rPr>
                <w:rFonts w:hint="eastAsia" w:ascii="宋体" w:hAnsi="宋体"/>
                <w:szCs w:val="21"/>
              </w:rPr>
              <w:t>注：“□工程师；□高级工程师”为单选项。</w:t>
            </w:r>
          </w:p>
          <w:p w14:paraId="1DBBBE42">
            <w:pPr>
              <w:spacing w:line="400" w:lineRule="exact"/>
              <w:jc w:val="left"/>
              <w:rPr>
                <w:rFonts w:ascii="宋体" w:hAnsi="宋体"/>
                <w:kern w:val="0"/>
                <w:szCs w:val="21"/>
              </w:rPr>
            </w:pPr>
            <w:r>
              <w:rPr>
                <w:rFonts w:hint="eastAsia" w:ascii="宋体" w:hAnsi="宋体"/>
                <w:b/>
                <w:bCs/>
                <w:szCs w:val="21"/>
              </w:rPr>
              <w:t xml:space="preserve">□ </w:t>
            </w:r>
            <w:r>
              <w:rPr>
                <w:rFonts w:hint="eastAsia" w:ascii="宋体" w:hAnsi="宋体"/>
                <w:szCs w:val="21"/>
              </w:rPr>
              <w:t>具有</w:t>
            </w:r>
            <w:r>
              <w:rPr>
                <w:rFonts w:hint="eastAsia" w:ascii="宋体" w:hAnsi="宋体"/>
                <w:kern w:val="0"/>
                <w:szCs w:val="21"/>
                <w:u w:val="single"/>
              </w:rPr>
              <w:t xml:space="preserve">        </w:t>
            </w:r>
            <w:r>
              <w:rPr>
                <w:rFonts w:hint="eastAsia" w:ascii="宋体" w:hAnsi="宋体"/>
                <w:kern w:val="0"/>
                <w:szCs w:val="21"/>
              </w:rPr>
              <w:t>执业资格证书</w:t>
            </w:r>
            <w:r>
              <w:rPr>
                <w:rFonts w:hint="eastAsia" w:ascii="宋体" w:hAnsi="宋体"/>
                <w:szCs w:val="21"/>
              </w:rPr>
              <w:t>（注册在该投标单位）</w:t>
            </w:r>
            <w:r>
              <w:rPr>
                <w:rFonts w:hint="eastAsia" w:ascii="宋体" w:hAnsi="宋体"/>
                <w:kern w:val="0"/>
                <w:szCs w:val="21"/>
              </w:rPr>
              <w:t>。</w:t>
            </w:r>
          </w:p>
          <w:p w14:paraId="15735B80">
            <w:pPr>
              <w:pStyle w:val="48"/>
              <w:spacing w:after="0" w:line="400" w:lineRule="exact"/>
              <w:ind w:left="0" w:leftChars="0" w:firstLine="210" w:firstLineChars="100"/>
            </w:pPr>
            <w:r>
              <w:rPr>
                <w:rFonts w:hint="eastAsia" w:ascii="宋体" w:hAnsi="宋体"/>
                <w:kern w:val="0"/>
                <w:szCs w:val="21"/>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14:paraId="550CA3B3">
            <w:pPr>
              <w:spacing w:line="400" w:lineRule="exact"/>
              <w:ind w:left="211" w:hanging="211" w:hangingChars="100"/>
              <w:jc w:val="left"/>
              <w:rPr>
                <w:rFonts w:ascii="宋体" w:hAnsi="宋体"/>
                <w:szCs w:val="21"/>
              </w:rPr>
            </w:pPr>
            <w:r>
              <w:rPr>
                <w:rFonts w:hint="eastAsia" w:ascii="宋体" w:hAnsi="宋体"/>
                <w:b/>
                <w:bCs/>
                <w:szCs w:val="21"/>
              </w:rPr>
              <w:t xml:space="preserve">□ </w:t>
            </w:r>
            <w:r>
              <w:rPr>
                <w:rFonts w:hint="eastAsia" w:ascii="宋体" w:hAnsi="宋体"/>
                <w:szCs w:val="21"/>
              </w:rPr>
              <w:t>投标截止日所在月上个月或上上个月起之前在其投标单位连续6个月参加社保；</w:t>
            </w:r>
          </w:p>
          <w:p w14:paraId="330AE8E0">
            <w:pPr>
              <w:spacing w:line="400" w:lineRule="exact"/>
              <w:ind w:left="211" w:hanging="211" w:hangingChars="100"/>
              <w:jc w:val="left"/>
              <w:rPr>
                <w:rFonts w:ascii="宋体" w:hAnsi="宋体"/>
                <w:szCs w:val="21"/>
              </w:rPr>
            </w:pPr>
            <w:r>
              <w:rPr>
                <w:rFonts w:hint="eastAsia" w:ascii="宋体" w:hAnsi="宋体"/>
                <w:b/>
                <w:bCs/>
                <w:szCs w:val="21"/>
              </w:rPr>
              <w:t xml:space="preserve">□ </w:t>
            </w:r>
            <w:r>
              <w:rPr>
                <w:rFonts w:hint="eastAsia" w:ascii="宋体" w:hAnsi="宋体"/>
                <w:szCs w:val="21"/>
              </w:rPr>
              <w:t>至少在</w:t>
            </w:r>
            <w:r>
              <w:rPr>
                <w:rFonts w:hint="eastAsia" w:ascii="宋体" w:hAnsi="宋体"/>
                <w:szCs w:val="21"/>
                <w:u w:val="single"/>
              </w:rPr>
              <w:t xml:space="preserve">   </w:t>
            </w:r>
            <w:r>
              <w:rPr>
                <w:rFonts w:hint="eastAsia" w:ascii="宋体" w:hAnsi="宋体"/>
                <w:szCs w:val="21"/>
              </w:rPr>
              <w:t>段每段里程不低于</w:t>
            </w:r>
            <w:r>
              <w:rPr>
                <w:rFonts w:hint="eastAsia" w:ascii="宋体" w:hAnsi="宋体"/>
                <w:szCs w:val="21"/>
                <w:u w:val="single"/>
              </w:rPr>
              <w:t xml:space="preserve">   </w:t>
            </w:r>
            <w:r>
              <w:rPr>
                <w:rFonts w:hint="eastAsia" w:ascii="宋体" w:hAnsi="宋体"/>
                <w:szCs w:val="21"/>
              </w:rPr>
              <w:t>公里的国内（□新建；</w:t>
            </w:r>
            <w:r>
              <w:rPr>
                <w:rFonts w:ascii="宋体" w:hAnsi="宋体"/>
                <w:szCs w:val="21"/>
              </w:rPr>
              <w:t>□改扩建</w:t>
            </w:r>
            <w:r>
              <w:rPr>
                <w:rFonts w:hint="eastAsia" w:ascii="宋体" w:hAnsi="宋体"/>
                <w:szCs w:val="21"/>
              </w:rPr>
              <w:t>；</w:t>
            </w:r>
            <w:r>
              <w:rPr>
                <w:rFonts w:ascii="宋体" w:hAnsi="宋体"/>
                <w:szCs w:val="21"/>
              </w:rPr>
              <w:t>□新建或改扩建）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级</w:t>
            </w:r>
            <w:r>
              <w:rPr>
                <w:rFonts w:ascii="宋体" w:hAnsi="宋体"/>
                <w:szCs w:val="21"/>
              </w:rPr>
              <w:t>公路</w:t>
            </w:r>
            <w:r>
              <w:rPr>
                <w:rFonts w:hint="eastAsia" w:ascii="宋体" w:hAnsi="宋体"/>
                <w:szCs w:val="21"/>
              </w:rPr>
              <w:t>及以上（□初步；</w:t>
            </w:r>
            <w:r>
              <w:rPr>
                <w:rFonts w:ascii="宋体" w:hAnsi="宋体"/>
                <w:szCs w:val="21"/>
              </w:rPr>
              <w:t>□施工图</w:t>
            </w:r>
            <w:r>
              <w:rPr>
                <w:rFonts w:hint="eastAsia" w:ascii="宋体" w:hAnsi="宋体"/>
                <w:szCs w:val="21"/>
              </w:rPr>
              <w:t>；</w:t>
            </w:r>
            <w:r>
              <w:rPr>
                <w:rFonts w:ascii="宋体" w:hAnsi="宋体"/>
                <w:szCs w:val="21"/>
              </w:rPr>
              <w:t>□初步或施工图）勘察设计工作</w:t>
            </w:r>
            <w:r>
              <w:rPr>
                <w:rFonts w:hint="eastAsia" w:ascii="宋体" w:hAnsi="宋体"/>
                <w:szCs w:val="21"/>
              </w:rPr>
              <w:t>中担任过</w:t>
            </w:r>
            <w:r>
              <w:rPr>
                <w:rFonts w:ascii="宋体" w:hAnsi="宋体"/>
                <w:szCs w:val="21"/>
              </w:rPr>
              <w:t>项目负责人或技术负责人或总设计师</w:t>
            </w:r>
            <w:r>
              <w:rPr>
                <w:rFonts w:hint="eastAsia" w:ascii="宋体" w:hAnsi="宋体"/>
                <w:szCs w:val="21"/>
              </w:rPr>
              <w:t>，</w:t>
            </w:r>
            <w:r>
              <w:rPr>
                <w:rFonts w:ascii="宋体" w:hAnsi="宋体"/>
                <w:szCs w:val="21"/>
              </w:rPr>
              <w:t>其中至少有</w:t>
            </w:r>
            <w:r>
              <w:rPr>
                <w:rFonts w:hint="eastAsia" w:ascii="宋体" w:hAnsi="宋体"/>
                <w:szCs w:val="21"/>
                <w:u w:val="single"/>
              </w:rPr>
              <w:t xml:space="preserve">   </w:t>
            </w:r>
            <w:r>
              <w:rPr>
                <w:rFonts w:hint="eastAsia" w:ascii="宋体" w:hAnsi="宋体"/>
                <w:szCs w:val="21"/>
              </w:rPr>
              <w:t>段桥隧比不低于</w:t>
            </w:r>
            <w:r>
              <w:rPr>
                <w:rFonts w:hint="eastAsia" w:ascii="宋体" w:hAnsi="宋体"/>
                <w:szCs w:val="21"/>
                <w:u w:val="single"/>
              </w:rPr>
              <w:t xml:space="preserve">    </w:t>
            </w:r>
            <w:r>
              <w:rPr>
                <w:rFonts w:ascii="宋体" w:hAnsi="宋体"/>
                <w:szCs w:val="21"/>
              </w:rPr>
              <w:t>%；</w:t>
            </w:r>
          </w:p>
          <w:p w14:paraId="53FA7A5E">
            <w:pPr>
              <w:spacing w:line="400" w:lineRule="exact"/>
              <w:ind w:left="0" w:leftChars="0" w:firstLine="210" w:firstLineChars="100"/>
              <w:jc w:val="left"/>
            </w:pPr>
            <w:r>
              <w:rPr>
                <w:rFonts w:hint="eastAsia"/>
              </w:rPr>
              <w:t>注：“</w:t>
            </w:r>
            <w:r>
              <w:rPr>
                <w:rFonts w:hint="eastAsia" w:ascii="宋体" w:hAnsi="宋体"/>
                <w:szCs w:val="21"/>
              </w:rPr>
              <w:t>□新建；□改扩建；□新建或改扩建</w:t>
            </w:r>
            <w:r>
              <w:rPr>
                <w:rFonts w:hint="eastAsia"/>
              </w:rPr>
              <w:t>”“</w:t>
            </w:r>
            <w:r>
              <w:rPr>
                <w:rFonts w:hint="eastAsia" w:ascii="宋体" w:hAnsi="宋体"/>
                <w:szCs w:val="21"/>
              </w:rPr>
              <w:t>□初步；□施工图；□初步或施工图</w:t>
            </w:r>
            <w:r>
              <w:rPr>
                <w:rFonts w:hint="eastAsia"/>
              </w:rPr>
              <w:t>”</w:t>
            </w:r>
            <w:r>
              <w:rPr>
                <w:rFonts w:hint="eastAsia" w:ascii="宋体" w:hAnsi="宋体" w:cs="宋体"/>
              </w:rPr>
              <w:t>为单选项。</w:t>
            </w:r>
          </w:p>
          <w:p w14:paraId="7B959E39">
            <w:pPr>
              <w:spacing w:line="400" w:lineRule="exact"/>
              <w:jc w:val="left"/>
              <w:rPr>
                <w:rFonts w:ascii="宋体" w:hAnsi="宋体"/>
                <w:b/>
                <w:bCs/>
                <w:szCs w:val="21"/>
                <w:u w:val="single"/>
              </w:rPr>
            </w:pPr>
            <w:r>
              <w:rPr>
                <w:rFonts w:hint="eastAsia" w:ascii="宋体" w:hAnsi="宋体"/>
                <w:b/>
                <w:bCs/>
                <w:szCs w:val="21"/>
              </w:rPr>
              <w:t xml:space="preserve">□ </w:t>
            </w:r>
            <w:r>
              <w:rPr>
                <w:rFonts w:hint="eastAsia" w:ascii="宋体" w:hAnsi="宋体"/>
                <w:szCs w:val="21"/>
              </w:rPr>
              <w:t>其他</w:t>
            </w:r>
            <w:r>
              <w:rPr>
                <w:rFonts w:hint="eastAsia" w:ascii="宋体" w:hAnsi="宋体"/>
                <w:b/>
                <w:bCs/>
                <w:szCs w:val="21"/>
              </w:rPr>
              <w:t>：</w:t>
            </w:r>
            <w:r>
              <w:rPr>
                <w:rFonts w:hint="eastAsia" w:ascii="宋体" w:hAnsi="宋体"/>
                <w:b/>
                <w:bCs/>
                <w:szCs w:val="21"/>
                <w:u w:val="single"/>
              </w:rPr>
              <w:t xml:space="preserve">              </w:t>
            </w:r>
          </w:p>
          <w:p w14:paraId="53D679DF">
            <w:pPr>
              <w:spacing w:line="400" w:lineRule="exact"/>
              <w:rPr>
                <w:szCs w:val="21"/>
              </w:rPr>
            </w:pPr>
            <w:r>
              <w:rPr>
                <w:rFonts w:ascii="宋体" w:hAnsi="宋体"/>
                <w:b/>
                <w:bCs/>
                <w:szCs w:val="21"/>
              </w:rPr>
              <w:t>□</w:t>
            </w:r>
            <w:r>
              <w:rPr>
                <w:rFonts w:ascii="宋体" w:hAnsi="宋体"/>
                <w:szCs w:val="21"/>
              </w:rPr>
              <w:t xml:space="preserve"> 联合体应满足下列要求</w:t>
            </w:r>
            <w:r>
              <w:rPr>
                <w:rFonts w:hint="eastAsia" w:ascii="宋体" w:hAnsi="宋体"/>
                <w:szCs w:val="21"/>
              </w:rPr>
              <w:t>：</w:t>
            </w:r>
            <w:r>
              <w:rPr>
                <w:rFonts w:ascii="宋体" w:hAnsi="宋体"/>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tc>
      </w:tr>
      <w:tr w14:paraId="3D27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79" w:type="dxa"/>
            <w:vAlign w:val="center"/>
          </w:tcPr>
          <w:p w14:paraId="4EE64A23">
            <w:pPr>
              <w:spacing w:line="400" w:lineRule="exact"/>
              <w:jc w:val="center"/>
              <w:rPr>
                <w:rFonts w:ascii="宋体" w:hAnsi="宋体"/>
                <w:b w:val="0"/>
                <w:bCs/>
                <w:szCs w:val="21"/>
              </w:rPr>
            </w:pPr>
            <w:r>
              <w:rPr>
                <w:rFonts w:ascii="宋体" w:hAnsi="宋体"/>
                <w:b w:val="0"/>
                <w:bCs/>
                <w:szCs w:val="21"/>
              </w:rPr>
              <w:t>……</w:t>
            </w:r>
          </w:p>
        </w:tc>
        <w:tc>
          <w:tcPr>
            <w:tcW w:w="772" w:type="dxa"/>
            <w:vAlign w:val="center"/>
          </w:tcPr>
          <w:p w14:paraId="77652769">
            <w:pPr>
              <w:spacing w:line="400" w:lineRule="exact"/>
              <w:jc w:val="center"/>
              <w:rPr>
                <w:rFonts w:ascii="宋体" w:hAnsi="宋体"/>
                <w:b w:val="0"/>
                <w:bCs/>
                <w:szCs w:val="21"/>
              </w:rPr>
            </w:pPr>
            <w:r>
              <w:rPr>
                <w:rFonts w:ascii="宋体" w:hAnsi="宋体"/>
                <w:b w:val="0"/>
                <w:bCs/>
                <w:szCs w:val="21"/>
              </w:rPr>
              <w:t>……</w:t>
            </w:r>
          </w:p>
        </w:tc>
        <w:tc>
          <w:tcPr>
            <w:tcW w:w="7200" w:type="dxa"/>
            <w:vAlign w:val="center"/>
          </w:tcPr>
          <w:p w14:paraId="120D937B">
            <w:pPr>
              <w:spacing w:line="400" w:lineRule="exact"/>
              <w:jc w:val="center"/>
              <w:rPr>
                <w:rFonts w:ascii="宋体" w:hAnsi="宋体"/>
                <w:b w:val="0"/>
                <w:bCs/>
                <w:szCs w:val="21"/>
              </w:rPr>
            </w:pPr>
            <w:r>
              <w:rPr>
                <w:rFonts w:ascii="宋体" w:hAnsi="宋体"/>
                <w:b w:val="0"/>
                <w:bCs/>
                <w:szCs w:val="21"/>
              </w:rPr>
              <w:t>……</w:t>
            </w:r>
          </w:p>
        </w:tc>
      </w:tr>
    </w:tbl>
    <w:p w14:paraId="4BE24B0F">
      <w:pPr>
        <w:pStyle w:val="299"/>
        <w:jc w:val="center"/>
        <w:rPr>
          <w:rFonts w:ascii="黑体" w:hAnsi="黑体" w:eastAsia="黑体"/>
          <w:bCs/>
          <w:sz w:val="24"/>
        </w:rPr>
      </w:pPr>
    </w:p>
    <w:p w14:paraId="5DF75ADB">
      <w:pPr>
        <w:pStyle w:val="299"/>
        <w:jc w:val="center"/>
        <w:rPr>
          <w:rFonts w:ascii="黑体" w:hAnsi="黑体" w:eastAsia="黑体"/>
          <w:bCs/>
          <w:sz w:val="24"/>
        </w:rPr>
      </w:pPr>
    </w:p>
    <w:p w14:paraId="08FC9CC2">
      <w:pPr>
        <w:pStyle w:val="299"/>
        <w:jc w:val="center"/>
        <w:rPr>
          <w:rFonts w:ascii="黑体" w:hAnsi="黑体" w:eastAsia="黑体"/>
          <w:bCs/>
          <w:sz w:val="24"/>
        </w:rPr>
      </w:pPr>
      <w:r>
        <w:rPr>
          <w:rFonts w:ascii="黑体" w:hAnsi="黑体" w:eastAsia="黑体"/>
          <w:bCs/>
          <w:sz w:val="24"/>
        </w:rPr>
        <w:br w:type="page"/>
      </w:r>
    </w:p>
    <w:p w14:paraId="51364D45">
      <w:pPr>
        <w:pStyle w:val="4"/>
        <w:spacing w:beforeLines="0" w:afterLines="0" w:line="500" w:lineRule="exact"/>
        <w:jc w:val="center"/>
        <w:rPr>
          <w:rFonts w:ascii="黑体" w:hAnsi="黑体" w:eastAsia="黑体"/>
          <w:sz w:val="24"/>
        </w:rPr>
      </w:pPr>
      <w:r>
        <w:rPr>
          <w:rFonts w:hint="eastAsia" w:ascii="宋体" w:hAnsi="宋体" w:eastAsia="宋体"/>
          <w:b/>
          <w:spacing w:val="-4"/>
          <w:sz w:val="24"/>
        </w:rPr>
        <w:t xml:space="preserve">□ </w:t>
      </w:r>
      <w:r>
        <w:rPr>
          <w:rFonts w:hint="eastAsia" w:ascii="宋体" w:hAnsi="宋体" w:eastAsia="宋体"/>
          <w:spacing w:val="-4"/>
          <w:sz w:val="24"/>
        </w:rPr>
        <w:t>项目经理</w:t>
      </w:r>
    </w:p>
    <w:tbl>
      <w:tblPr>
        <w:tblStyle w:val="4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23"/>
        <w:gridCol w:w="5967"/>
        <w:gridCol w:w="1276"/>
      </w:tblGrid>
      <w:tr w14:paraId="7C3E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960" w:type="dxa"/>
            <w:tcBorders>
              <w:bottom w:val="single" w:color="auto" w:sz="4" w:space="0"/>
            </w:tcBorders>
            <w:vAlign w:val="center"/>
          </w:tcPr>
          <w:p w14:paraId="1AEB85A2">
            <w:pPr>
              <w:spacing w:line="400" w:lineRule="exact"/>
              <w:jc w:val="center"/>
              <w:rPr>
                <w:rFonts w:ascii="宋体" w:hAnsi="宋体"/>
                <w:szCs w:val="21"/>
              </w:rPr>
            </w:pPr>
            <w:r>
              <w:rPr>
                <w:rFonts w:hint="eastAsia" w:ascii="宋体" w:hAnsi="宋体"/>
                <w:szCs w:val="21"/>
              </w:rPr>
              <w:t>标段</w:t>
            </w:r>
          </w:p>
        </w:tc>
        <w:tc>
          <w:tcPr>
            <w:tcW w:w="723" w:type="dxa"/>
            <w:tcBorders>
              <w:bottom w:val="single" w:color="auto" w:sz="4" w:space="0"/>
            </w:tcBorders>
            <w:vAlign w:val="center"/>
          </w:tcPr>
          <w:p w14:paraId="02FBA778">
            <w:pPr>
              <w:spacing w:line="400" w:lineRule="exact"/>
              <w:jc w:val="center"/>
              <w:rPr>
                <w:rFonts w:ascii="宋体" w:hAnsi="宋体"/>
                <w:szCs w:val="21"/>
              </w:rPr>
            </w:pPr>
            <w:r>
              <w:rPr>
                <w:rFonts w:hint="eastAsia" w:ascii="宋体" w:hAnsi="宋体"/>
                <w:szCs w:val="21"/>
              </w:rPr>
              <w:t>数量</w:t>
            </w:r>
          </w:p>
        </w:tc>
        <w:tc>
          <w:tcPr>
            <w:tcW w:w="5967" w:type="dxa"/>
            <w:tcBorders>
              <w:bottom w:val="single" w:color="auto" w:sz="4" w:space="0"/>
            </w:tcBorders>
            <w:vAlign w:val="center"/>
          </w:tcPr>
          <w:p w14:paraId="167A1DFA">
            <w:pPr>
              <w:spacing w:line="400" w:lineRule="exact"/>
              <w:jc w:val="center"/>
              <w:rPr>
                <w:rFonts w:ascii="宋体" w:hAnsi="宋体"/>
                <w:szCs w:val="21"/>
              </w:rPr>
            </w:pPr>
            <w:r>
              <w:rPr>
                <w:rFonts w:hint="eastAsia" w:ascii="宋体" w:hAnsi="宋体"/>
                <w:szCs w:val="21"/>
              </w:rPr>
              <w:t>资格要求</w:t>
            </w:r>
          </w:p>
        </w:tc>
        <w:tc>
          <w:tcPr>
            <w:tcW w:w="1276" w:type="dxa"/>
            <w:tcBorders>
              <w:bottom w:val="single" w:color="auto" w:sz="4" w:space="0"/>
            </w:tcBorders>
            <w:vAlign w:val="center"/>
          </w:tcPr>
          <w:p w14:paraId="51EC6DBC">
            <w:pPr>
              <w:spacing w:line="400" w:lineRule="exact"/>
              <w:jc w:val="center"/>
              <w:rPr>
                <w:rFonts w:ascii="宋体" w:hAnsi="宋体"/>
                <w:b/>
                <w:szCs w:val="21"/>
              </w:rPr>
            </w:pPr>
            <w:r>
              <w:rPr>
                <w:rFonts w:hint="eastAsia" w:ascii="宋体" w:hAnsi="宋体"/>
                <w:szCs w:val="21"/>
              </w:rPr>
              <w:t>在岗情况</w:t>
            </w:r>
          </w:p>
        </w:tc>
      </w:tr>
      <w:tr w14:paraId="0875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0" w:type="dxa"/>
            <w:vAlign w:val="center"/>
          </w:tcPr>
          <w:p w14:paraId="284BDC3C">
            <w:pPr>
              <w:spacing w:line="400" w:lineRule="exact"/>
              <w:jc w:val="center"/>
              <w:rPr>
                <w:rFonts w:ascii="宋体" w:hAnsi="宋体"/>
                <w:szCs w:val="21"/>
                <w:u w:val="single"/>
              </w:rPr>
            </w:pPr>
          </w:p>
        </w:tc>
        <w:tc>
          <w:tcPr>
            <w:tcW w:w="723" w:type="dxa"/>
            <w:vAlign w:val="center"/>
          </w:tcPr>
          <w:p w14:paraId="7D5D9D63">
            <w:pPr>
              <w:spacing w:line="400" w:lineRule="exact"/>
              <w:jc w:val="center"/>
              <w:rPr>
                <w:rFonts w:ascii="宋体" w:hAnsi="宋体"/>
                <w:szCs w:val="21"/>
              </w:rPr>
            </w:pPr>
          </w:p>
        </w:tc>
        <w:tc>
          <w:tcPr>
            <w:tcW w:w="5967" w:type="dxa"/>
            <w:vAlign w:val="center"/>
          </w:tcPr>
          <w:p w14:paraId="2589DBD8">
            <w:pPr>
              <w:spacing w:line="400" w:lineRule="exact"/>
              <w:ind w:left="211" w:hanging="211" w:hangingChars="100"/>
              <w:rPr>
                <w:rFonts w:hint="eastAsia" w:ascii="宋体" w:hAnsi="宋体"/>
                <w:szCs w:val="21"/>
                <w:lang w:eastAsia="zh-CN"/>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）（□工程师；□高级工程师）及以上技术职称</w:t>
            </w:r>
            <w:r>
              <w:rPr>
                <w:rFonts w:hint="eastAsia" w:ascii="宋体" w:hAnsi="宋体"/>
                <w:szCs w:val="21"/>
                <w:lang w:eastAsia="zh-CN"/>
              </w:rPr>
              <w:t>。</w:t>
            </w:r>
          </w:p>
          <w:p w14:paraId="1238572E">
            <w:pPr>
              <w:spacing w:line="400" w:lineRule="exact"/>
              <w:ind w:firstLine="315" w:firstLineChars="150"/>
              <w:rPr>
                <w:rFonts w:hint="eastAsia" w:ascii="宋体" w:hAnsi="宋体"/>
                <w:szCs w:val="21"/>
                <w:lang w:eastAsia="zh-CN"/>
              </w:rPr>
            </w:pPr>
            <w:r>
              <w:rPr>
                <w:rFonts w:hint="eastAsia" w:ascii="宋体" w:hAnsi="宋体"/>
                <w:szCs w:val="21"/>
              </w:rPr>
              <w:t>注：“□工程师；□高级工程师”为单选项。</w:t>
            </w:r>
          </w:p>
          <w:p w14:paraId="7F57F2A1">
            <w:pPr>
              <w:spacing w:line="400" w:lineRule="exact"/>
              <w:rPr>
                <w:rFonts w:ascii="宋体" w:hAnsi="宋体"/>
                <w:kern w:val="0"/>
                <w:szCs w:val="21"/>
              </w:rPr>
            </w:pPr>
            <w:r>
              <w:rPr>
                <w:rFonts w:hint="eastAsia" w:ascii="宋体" w:hAnsi="宋体"/>
                <w:b/>
                <w:szCs w:val="21"/>
              </w:rPr>
              <w:t>□</w:t>
            </w:r>
            <w:r>
              <w:rPr>
                <w:rFonts w:ascii="宋体" w:hAnsi="宋体"/>
                <w:szCs w:val="21"/>
              </w:rPr>
              <w:t xml:space="preserve"> 具有</w:t>
            </w:r>
            <w:r>
              <w:rPr>
                <w:rFonts w:hint="eastAsia" w:ascii="宋体" w:hAnsi="宋体"/>
                <w:kern w:val="0"/>
                <w:szCs w:val="21"/>
              </w:rPr>
              <w:t>注册建造师</w:t>
            </w:r>
            <w:r>
              <w:rPr>
                <w:rFonts w:ascii="宋体" w:hAnsi="宋体"/>
                <w:kern w:val="0"/>
                <w:szCs w:val="21"/>
                <w:u w:val="single"/>
              </w:rPr>
              <w:t xml:space="preserve">      </w:t>
            </w:r>
            <w:r>
              <w:rPr>
                <w:rFonts w:hint="eastAsia" w:ascii="宋体" w:hAnsi="宋体"/>
                <w:kern w:val="0"/>
                <w:szCs w:val="21"/>
              </w:rPr>
              <w:t>级（专业：</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）执业资格证书</w:t>
            </w:r>
          </w:p>
          <w:p w14:paraId="063BCA33">
            <w:pPr>
              <w:spacing w:line="400" w:lineRule="exact"/>
              <w:ind w:firstLine="315" w:firstLineChars="150"/>
              <w:rPr>
                <w:rFonts w:ascii="宋体" w:hAnsi="宋体"/>
                <w:szCs w:val="21"/>
              </w:rPr>
            </w:pPr>
            <w:r>
              <w:rPr>
                <w:rFonts w:hint="eastAsia" w:ascii="宋体" w:hAnsi="宋体"/>
                <w:szCs w:val="21"/>
              </w:rPr>
              <w:t>（注册在该投标单位）且未处于暂停执业处罚期内，未被</w:t>
            </w:r>
          </w:p>
          <w:p w14:paraId="2F989516">
            <w:pPr>
              <w:spacing w:line="400" w:lineRule="exact"/>
              <w:ind w:firstLine="315" w:firstLineChars="150"/>
              <w:rPr>
                <w:rFonts w:hint="eastAsia" w:ascii="宋体" w:hAnsi="宋体" w:eastAsia="宋体"/>
                <w:szCs w:val="21"/>
                <w:lang w:eastAsia="zh-CN"/>
              </w:rPr>
            </w:pPr>
            <w:r>
              <w:rPr>
                <w:rFonts w:hint="eastAsia" w:ascii="宋体" w:hAnsi="宋体"/>
                <w:szCs w:val="21"/>
              </w:rPr>
              <w:t>取消资格</w:t>
            </w:r>
            <w:r>
              <w:rPr>
                <w:rFonts w:hint="eastAsia" w:ascii="宋体" w:hAnsi="宋体"/>
                <w:szCs w:val="21"/>
                <w:lang w:eastAsia="zh-CN"/>
              </w:rPr>
              <w:t>。</w:t>
            </w:r>
          </w:p>
          <w:p w14:paraId="7BD1CC86">
            <w:pPr>
              <w:spacing w:line="400" w:lineRule="exact"/>
              <w:rPr>
                <w:rFonts w:hint="eastAsia" w:ascii="宋体" w:hAnsi="宋体" w:eastAsia="宋体"/>
                <w:szCs w:val="21"/>
                <w:lang w:eastAsia="zh-CN"/>
              </w:rPr>
            </w:pPr>
            <w:r>
              <w:rPr>
                <w:rFonts w:hint="eastAsia" w:ascii="宋体" w:hAnsi="宋体"/>
                <w:b/>
                <w:szCs w:val="21"/>
              </w:rPr>
              <w:t>□</w:t>
            </w:r>
            <w:r>
              <w:rPr>
                <w:rFonts w:ascii="宋体" w:hAnsi="宋体"/>
                <w:b/>
                <w:szCs w:val="21"/>
              </w:rPr>
              <w:t xml:space="preserve"> </w:t>
            </w:r>
            <w:r>
              <w:rPr>
                <w:rFonts w:hint="eastAsia" w:ascii="宋体" w:hAnsi="宋体"/>
                <w:szCs w:val="21"/>
              </w:rPr>
              <w:t>持有安全生产考核合格“</w:t>
            </w:r>
            <w:r>
              <w:rPr>
                <w:rFonts w:ascii="宋体" w:hAnsi="宋体"/>
                <w:szCs w:val="21"/>
              </w:rPr>
              <w:t>B”类证书（□交安类）</w:t>
            </w:r>
            <w:r>
              <w:rPr>
                <w:rFonts w:hint="eastAsia" w:ascii="宋体" w:hAnsi="宋体"/>
                <w:szCs w:val="21"/>
                <w:lang w:eastAsia="zh-CN"/>
              </w:rPr>
              <w:t>。</w:t>
            </w:r>
          </w:p>
          <w:p w14:paraId="715A948D">
            <w:pPr>
              <w:spacing w:line="40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rPr>
              <w:t>投标截止日所在月上个月或上上个月起之前在其</w:t>
            </w:r>
            <w:r>
              <w:rPr>
                <w:rFonts w:hint="eastAsia" w:ascii="宋体" w:hAnsi="宋体" w:cs="宋体"/>
                <w:szCs w:val="21"/>
              </w:rPr>
              <w:t>投标单位</w:t>
            </w:r>
          </w:p>
          <w:p w14:paraId="1CE3F37C">
            <w:pPr>
              <w:spacing w:line="400" w:lineRule="exact"/>
              <w:rPr>
                <w:rFonts w:hint="eastAsia" w:ascii="宋体" w:hAnsi="宋体" w:eastAsia="宋体"/>
                <w:szCs w:val="21"/>
                <w:lang w:eastAsia="zh-CN"/>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连续6个月参加社保</w:t>
            </w:r>
            <w:r>
              <w:rPr>
                <w:rFonts w:hint="eastAsia" w:ascii="宋体" w:hAnsi="宋体"/>
                <w:szCs w:val="21"/>
                <w:lang w:eastAsia="zh-CN"/>
              </w:rPr>
              <w:t>。</w:t>
            </w:r>
          </w:p>
          <w:p w14:paraId="152A531C">
            <w:pPr>
              <w:pStyle w:val="299"/>
              <w:adjustRightInd w:val="0"/>
              <w:snapToGrid w:val="0"/>
              <w:spacing w:line="400" w:lineRule="exact"/>
              <w:ind w:left="211" w:hanging="211" w:hangingChars="100"/>
              <w:rPr>
                <w:rFonts w:hint="eastAsia" w:ascii="宋体" w:hAnsi="宋体" w:cs="宋体"/>
                <w:szCs w:val="21"/>
                <w:lang w:eastAsia="zh-CN"/>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个国内（□新建；□改扩建；□新建或改扩建）</w:t>
            </w:r>
            <w:r>
              <w:rPr>
                <w:rFonts w:hint="eastAsia" w:ascii="宋体" w:hAnsi="宋体"/>
                <w:szCs w:val="21"/>
                <w:u w:val="single"/>
              </w:rPr>
              <w:t xml:space="preserve">     </w:t>
            </w:r>
            <w:r>
              <w:rPr>
                <w:rFonts w:hint="eastAsia" w:ascii="宋体" w:hAnsi="宋体" w:cs="宋体"/>
                <w:szCs w:val="21"/>
                <w:lang w:eastAsia="zh-CN"/>
              </w:rPr>
              <w:t>级及以上</w:t>
            </w:r>
            <w:r>
              <w:rPr>
                <w:rFonts w:hint="eastAsia" w:ascii="宋体" w:hAnsi="宋体" w:cs="宋体"/>
                <w:szCs w:val="21"/>
              </w:rPr>
              <w:t>公路路基土建工程施工项目中担任过（□项目经理</w:t>
            </w:r>
            <w:r>
              <w:rPr>
                <w:rFonts w:hint="eastAsia" w:ascii="宋体" w:hAnsi="宋体" w:cs="宋体"/>
                <w:szCs w:val="21"/>
                <w:lang w:eastAsia="zh-CN"/>
              </w:rPr>
              <w:t>、</w:t>
            </w:r>
          </w:p>
          <w:p w14:paraId="58AC1B17">
            <w:pPr>
              <w:pStyle w:val="299"/>
              <w:adjustRightInd w:val="0"/>
              <w:snapToGrid w:val="0"/>
              <w:spacing w:line="400" w:lineRule="exact"/>
              <w:ind w:left="211" w:hanging="210" w:hangingChars="100"/>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37BB63C7">
            <w:pPr>
              <w:pStyle w:val="299"/>
              <w:adjustRightInd w:val="0"/>
              <w:snapToGrid w:val="0"/>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座国内（□新建；□改扩建；□新建或改扩建）</w:t>
            </w:r>
          </w:p>
          <w:p w14:paraId="1477BE48">
            <w:pPr>
              <w:pStyle w:val="299"/>
              <w:adjustRightInd w:val="0"/>
              <w:snapToGrid w:val="0"/>
              <w:spacing w:line="400" w:lineRule="exact"/>
              <w:ind w:firstLine="315" w:firstLineChars="150"/>
              <w:rPr>
                <w:rFonts w:hint="eastAsia" w:ascii="宋体" w:hAnsi="宋体" w:cs="宋体"/>
                <w:szCs w:val="21"/>
              </w:rPr>
            </w:pPr>
            <w:r>
              <w:rPr>
                <w:rFonts w:hint="eastAsia" w:ascii="宋体" w:hAnsi="宋体"/>
                <w:szCs w:val="21"/>
                <w:u w:val="single"/>
              </w:rPr>
              <w:t xml:space="preserve">     </w:t>
            </w:r>
            <w:r>
              <w:rPr>
                <w:rFonts w:hint="eastAsia" w:ascii="宋体" w:hAnsi="宋体" w:cs="宋体"/>
                <w:szCs w:val="21"/>
                <w:lang w:eastAsia="zh-CN"/>
              </w:rPr>
              <w:t>级及以上</w:t>
            </w:r>
            <w:r>
              <w:rPr>
                <w:rFonts w:hint="eastAsia" w:ascii="宋体" w:hAnsi="宋体" w:cs="宋体"/>
                <w:szCs w:val="21"/>
              </w:rPr>
              <w:t>公路特大桥的施工项目中担任过（□项目经</w:t>
            </w:r>
          </w:p>
          <w:p w14:paraId="191FAE9C">
            <w:pPr>
              <w:pStyle w:val="299"/>
              <w:adjustRightInd w:val="0"/>
              <w:snapToGrid w:val="0"/>
              <w:spacing w:line="400" w:lineRule="exact"/>
              <w:ind w:firstLine="315" w:firstLineChars="150"/>
              <w:rPr>
                <w:rFonts w:hint="eastAsia" w:ascii="宋体" w:hAnsi="宋体" w:cs="宋体"/>
                <w:szCs w:val="21"/>
              </w:rPr>
            </w:pPr>
            <w:r>
              <w:rPr>
                <w:rFonts w:hint="eastAsia" w:ascii="宋体" w:hAnsi="宋体" w:cs="宋体"/>
                <w:szCs w:val="21"/>
              </w:rPr>
              <w:t>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）职务，□其中须至少</w:t>
            </w:r>
          </w:p>
          <w:p w14:paraId="140FE7D0">
            <w:pPr>
              <w:pStyle w:val="299"/>
              <w:adjustRightInd w:val="0"/>
              <w:snapToGrid w:val="0"/>
              <w:spacing w:line="400" w:lineRule="exact"/>
              <w:ind w:firstLine="315" w:firstLineChars="150"/>
              <w:rPr>
                <w:rFonts w:ascii="宋体" w:hAnsi="宋体" w:cs="宋体"/>
                <w:szCs w:val="21"/>
              </w:rPr>
            </w:pPr>
            <w:r>
              <w:rPr>
                <w:rFonts w:hint="eastAsia" w:ascii="宋体" w:hAnsi="宋体" w:cs="宋体"/>
                <w:szCs w:val="21"/>
              </w:rPr>
              <w:t>包含（□同时包含；□包含其中之一）主跨桥梁类型：</w:t>
            </w:r>
          </w:p>
          <w:p w14:paraId="5EF398CD">
            <w:pPr>
              <w:pStyle w:val="299"/>
              <w:adjustRightInd w:val="0"/>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7E716CFC">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座</w:t>
            </w:r>
          </w:p>
          <w:p w14:paraId="52FB5B76">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座  </w:t>
            </w:r>
          </w:p>
          <w:p w14:paraId="09A53C59">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座</w:t>
            </w:r>
          </w:p>
          <w:p w14:paraId="69A1227E">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座</w:t>
            </w:r>
          </w:p>
          <w:p w14:paraId="0B55FEE0">
            <w:pPr>
              <w:adjustRightInd w:val="0"/>
              <w:snapToGrid w:val="0"/>
              <w:spacing w:line="40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座</w:t>
            </w:r>
          </w:p>
          <w:p w14:paraId="4FFD84FE">
            <w:pPr>
              <w:pStyle w:val="48"/>
              <w:spacing w:after="0" w:line="400" w:lineRule="exact"/>
              <w:ind w:left="0" w:leftChars="0" w:firstLine="285" w:firstLineChars="136"/>
              <w:rPr>
                <w:rFonts w:hint="eastAsia" w:ascii="宋体" w:hAnsi="宋体" w:eastAsia="宋体" w:cs="宋体"/>
              </w:rPr>
            </w:pPr>
            <w:r>
              <w:rPr>
                <w:rFonts w:hint="eastAsia" w:ascii="宋体" w:hAnsi="宋体" w:cs="宋体"/>
                <w:lang w:val="en-US" w:eastAsia="zh-CN"/>
              </w:rPr>
              <w:t>注：</w:t>
            </w:r>
            <w:r>
              <w:rPr>
                <w:rFonts w:hint="eastAsia" w:ascii="宋体" w:hAnsi="宋体" w:eastAsia="宋体" w:cs="宋体"/>
              </w:rPr>
              <w:t>1.</w:t>
            </w:r>
            <w:r>
              <w:rPr>
                <w:rFonts w:hint="eastAsia" w:ascii="宋体" w:hAnsi="宋体" w:eastAsia="宋体" w:cs="宋体"/>
                <w:lang w:val="en-US" w:eastAsia="zh-CN"/>
              </w:rPr>
              <w:t>该桥梁</w:t>
            </w:r>
            <w:r>
              <w:rPr>
                <w:rFonts w:hint="eastAsia" w:ascii="宋体" w:hAnsi="宋体" w:eastAsia="宋体" w:cs="宋体"/>
              </w:rPr>
              <w:t>工程可为路基土建工程中包含的内容或者单独桥梁工程合同的项目。</w:t>
            </w:r>
          </w:p>
          <w:p w14:paraId="3B4AA2A1">
            <w:pPr>
              <w:pStyle w:val="48"/>
              <w:spacing w:after="0" w:line="400" w:lineRule="exact"/>
              <w:ind w:left="0" w:leftChars="0" w:firstLine="285" w:firstLineChars="136"/>
              <w:rPr>
                <w:rFonts w:hint="eastAsia" w:ascii="宋体" w:hAnsi="宋体" w:eastAsia="宋体" w:cs="宋体"/>
              </w:rPr>
            </w:pPr>
            <w:r>
              <w:rPr>
                <w:rFonts w:hint="eastAsia" w:ascii="宋体" w:hAnsi="宋体" w:eastAsia="宋体" w:cs="宋体"/>
              </w:rPr>
              <w:t>2.</w:t>
            </w:r>
            <w:r>
              <w:rPr>
                <w:rFonts w:hint="eastAsia" w:ascii="宋体" w:hAnsi="宋体" w:eastAsia="宋体" w:cs="宋体"/>
                <w:sz w:val="21"/>
                <w:szCs w:val="24"/>
              </w:rPr>
              <w:t>主跨桥梁</w:t>
            </w:r>
            <w:r>
              <w:rPr>
                <w:rFonts w:hint="eastAsia" w:ascii="宋体" w:hAnsi="宋体" w:eastAsia="宋体" w:cs="宋体"/>
                <w:sz w:val="21"/>
                <w:szCs w:val="24"/>
                <w:lang w:val="en-US" w:eastAsia="zh-CN"/>
              </w:rPr>
              <w:t>类型</w:t>
            </w:r>
            <w:r>
              <w:rPr>
                <w:rFonts w:hint="eastAsia" w:ascii="宋体" w:hAnsi="宋体" w:eastAsia="宋体" w:cs="宋体"/>
                <w:sz w:val="21"/>
                <w:szCs w:val="24"/>
              </w:rPr>
              <w:t>，</w:t>
            </w:r>
            <w:r>
              <w:rPr>
                <w:rFonts w:hint="eastAsia" w:ascii="宋体" w:hAnsi="宋体" w:eastAsia="宋体" w:cs="宋体"/>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63791046">
            <w:pPr>
              <w:adjustRightInd w:val="0"/>
              <w:snapToGrid w:val="0"/>
              <w:spacing w:line="400" w:lineRule="exact"/>
              <w:ind w:firstLine="210" w:firstLineChars="100"/>
              <w:rPr>
                <w:rFonts w:ascii="宋体" w:hAnsi="宋体" w:cs="宋体"/>
                <w:szCs w:val="21"/>
              </w:rPr>
            </w:pPr>
            <w:r>
              <w:rPr>
                <w:rFonts w:hint="eastAsia" w:ascii="宋体" w:hAnsi="宋体" w:eastAsia="宋体" w:cs="宋体"/>
              </w:rPr>
              <w:t>3.拱式桥主跨跨径，对于左右幅桥长不相</w:t>
            </w:r>
            <w:r>
              <w:rPr>
                <w:rFonts w:hint="eastAsia"/>
              </w:rPr>
              <w:t>同的桥梁，其桥梁长度以左右幅长度较长的为准；若只有单幅的，则以单幅桥梁长度数据为准</w:t>
            </w:r>
          </w:p>
          <w:p w14:paraId="65297EE8">
            <w:pPr>
              <w:adjustRightInd w:val="0"/>
              <w:snapToGrid w:val="0"/>
              <w:spacing w:line="400" w:lineRule="exact"/>
              <w:ind w:left="316" w:hanging="316" w:hangingChars="150"/>
              <w:rPr>
                <w:rFonts w:hint="eastAsia" w:ascii="宋体" w:hAnsi="宋体" w:cs="宋体"/>
                <w:szCs w:val="21"/>
              </w:rPr>
            </w:pPr>
            <w:r>
              <w:rPr>
                <w:rFonts w:hint="eastAsia" w:ascii="宋体" w:hAnsi="宋体" w:cs="宋体"/>
                <w:b/>
                <w:szCs w:val="21"/>
              </w:rPr>
              <w:t>□</w:t>
            </w:r>
            <w:r>
              <w:rPr>
                <w:rFonts w:hint="eastAsia" w:ascii="宋体" w:hAnsi="宋体" w:cs="宋体"/>
                <w:bCs/>
                <w:szCs w:val="21"/>
              </w:rPr>
              <w:t xml:space="preserve"> 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座国内（□新建；□改扩建；□新建或改扩建）</w:t>
            </w:r>
            <w:r>
              <w:rPr>
                <w:rFonts w:hint="eastAsia" w:ascii="宋体" w:hAnsi="宋体"/>
                <w:szCs w:val="21"/>
                <w:u w:val="single"/>
              </w:rPr>
              <w:t xml:space="preserve">     </w:t>
            </w:r>
            <w:r>
              <w:rPr>
                <w:rFonts w:ascii="宋体" w:hAnsi="宋体" w:cs="宋体"/>
                <w:szCs w:val="21"/>
                <w:u w:val="single"/>
              </w:rPr>
              <w:t xml:space="preserve">     </w:t>
            </w:r>
            <w:r>
              <w:rPr>
                <w:rFonts w:hint="eastAsia" w:ascii="宋体" w:hAnsi="宋体" w:cs="宋体"/>
                <w:szCs w:val="21"/>
                <w:lang w:eastAsia="zh-CN"/>
              </w:rPr>
              <w:t>级及以上</w:t>
            </w:r>
            <w:r>
              <w:rPr>
                <w:rFonts w:hint="eastAsia" w:ascii="宋体" w:hAnsi="宋体" w:cs="宋体"/>
                <w:szCs w:val="21"/>
              </w:rPr>
              <w:t>公路（□中隧道及以上；□长隧道及以上；□特长隧道；□单洞长度</w:t>
            </w:r>
            <w:r>
              <w:rPr>
                <w:rFonts w:ascii="宋体" w:hAnsi="宋体" w:cs="宋体"/>
                <w:szCs w:val="21"/>
                <w:u w:val="single"/>
              </w:rPr>
              <w:t xml:space="preserve">    </w:t>
            </w:r>
            <w:r>
              <w:rPr>
                <w:rFonts w:hint="eastAsia" w:ascii="宋体" w:hAnsi="宋体" w:cs="宋体"/>
                <w:szCs w:val="21"/>
              </w:rPr>
              <w:t>米及以上特长隧道）施工项目中担任过（□项目经理、□或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254DCFE6">
            <w:pPr>
              <w:pStyle w:val="48"/>
              <w:adjustRightInd/>
              <w:snapToGrid/>
              <w:spacing w:after="0" w:line="400" w:lineRule="exact"/>
              <w:ind w:left="0" w:leftChars="0" w:firstLine="285" w:firstLineChars="136"/>
              <w:rPr>
                <w:rStyle w:val="51"/>
                <w:rFonts w:hint="eastAsia" w:ascii="宋体" w:hAnsi="宋体" w:eastAsia="宋体" w:cs="宋体"/>
                <w:vertAlign w:val="baseline"/>
              </w:rPr>
            </w:pPr>
            <w:r>
              <w:rPr>
                <w:rFonts w:hint="eastAsia" w:ascii="宋体" w:hAnsi="宋体" w:cs="宋体"/>
                <w:lang w:val="en-US" w:eastAsia="zh-CN"/>
              </w:rPr>
              <w:t>注：</w:t>
            </w:r>
            <w:r>
              <w:rPr>
                <w:rFonts w:hint="eastAsia" w:ascii="宋体" w:hAnsi="宋体" w:eastAsia="宋体" w:cs="宋体"/>
              </w:rPr>
              <w:t>1.单洞长度，</w:t>
            </w:r>
            <w:r>
              <w:rPr>
                <w:rStyle w:val="51"/>
                <w:rFonts w:hint="eastAsia" w:ascii="宋体" w:hAnsi="宋体" w:eastAsia="宋体" w:cs="宋体"/>
                <w:vertAlign w:val="baseline"/>
              </w:rPr>
              <w:t>对于具有双洞的隧道，其承担隧道长度以左右线隧道长度较长的为准；若只有单洞的，则以承担单洞隧道长度数据为准。隧道单洞长度不含斜井、竖井、支洞。</w:t>
            </w:r>
          </w:p>
          <w:p w14:paraId="6F107764">
            <w:pPr>
              <w:pStyle w:val="48"/>
              <w:adjustRightInd/>
              <w:snapToGrid/>
              <w:spacing w:after="0" w:line="400" w:lineRule="exact"/>
              <w:ind w:left="0" w:leftChars="0" w:firstLine="285" w:firstLineChars="136"/>
              <w:rPr>
                <w:rFonts w:hint="eastAsia" w:ascii="宋体" w:hAnsi="宋体" w:cs="宋体"/>
                <w:szCs w:val="21"/>
              </w:rPr>
            </w:pPr>
            <w:r>
              <w:rPr>
                <w:rFonts w:hint="eastAsia" w:ascii="宋体" w:hAnsi="宋体" w:eastAsia="宋体" w:cs="宋体"/>
              </w:rPr>
              <w:t>2.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14:paraId="219E357D">
            <w:pPr>
              <w:spacing w:line="400" w:lineRule="exact"/>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个国内（□新建；□改扩建；□新建或改扩建）</w:t>
            </w:r>
          </w:p>
          <w:p w14:paraId="19F21D40">
            <w:pPr>
              <w:spacing w:line="400" w:lineRule="exact"/>
              <w:ind w:firstLine="315" w:firstLineChars="150"/>
              <w:rPr>
                <w:rFonts w:hint="eastAsia" w:ascii="宋体" w:hAnsi="宋体" w:cs="宋体"/>
                <w:szCs w:val="21"/>
              </w:rPr>
            </w:pPr>
            <w:r>
              <w:rPr>
                <w:rFonts w:ascii="宋体" w:hAnsi="宋体" w:cs="宋体"/>
                <w:szCs w:val="21"/>
                <w:u w:val="single"/>
              </w:rPr>
              <w:t xml:space="preserve">     </w:t>
            </w:r>
            <w:r>
              <w:rPr>
                <w:rFonts w:hint="eastAsia" w:ascii="宋体" w:hAnsi="宋体" w:cs="宋体"/>
                <w:szCs w:val="21"/>
                <w:lang w:eastAsia="zh-CN"/>
              </w:rPr>
              <w:t>级及以上</w:t>
            </w:r>
            <w:r>
              <w:rPr>
                <w:rFonts w:hint="eastAsia" w:ascii="宋体" w:hAnsi="宋体" w:cs="宋体"/>
                <w:szCs w:val="21"/>
              </w:rPr>
              <w:t>公路路面工程施工项目中担任过（□项目经</w:t>
            </w:r>
          </w:p>
          <w:p w14:paraId="1B4FE775">
            <w:pPr>
              <w:spacing w:line="400" w:lineRule="exact"/>
              <w:ind w:firstLine="315" w:firstLineChars="150"/>
              <w:rPr>
                <w:rFonts w:ascii="宋体" w:hAnsi="宋体"/>
                <w:b/>
                <w:szCs w:val="21"/>
              </w:rPr>
            </w:pPr>
            <w:r>
              <w:rPr>
                <w:rFonts w:hint="eastAsia" w:ascii="宋体" w:hAnsi="宋体" w:cs="宋体"/>
                <w:szCs w:val="21"/>
              </w:rPr>
              <w:t>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）职务。</w:t>
            </w:r>
          </w:p>
          <w:p w14:paraId="183BC89D">
            <w:pPr>
              <w:spacing w:line="400" w:lineRule="exact"/>
              <w:ind w:firstLine="0" w:firstLineChars="0"/>
              <w:rPr>
                <w:rFonts w:ascii="宋体" w:hAnsi="宋体" w:cs="宋体"/>
                <w:szCs w:val="21"/>
              </w:rPr>
            </w:pPr>
            <w:r>
              <w:rPr>
                <w:rFonts w:hint="eastAsia" w:ascii="宋体" w:hAnsi="宋体"/>
                <w:b/>
                <w:szCs w:val="21"/>
                <w:lang w:eastAsia="zh-CN"/>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p>
          <w:p w14:paraId="5CAD38D3">
            <w:pPr>
              <w:spacing w:line="400" w:lineRule="exact"/>
              <w:ind w:firstLine="210" w:firstLineChars="100"/>
              <w:rPr>
                <w:rFonts w:hint="eastAsia" w:ascii="宋体" w:hAnsi="宋体" w:cs="宋体"/>
                <w:szCs w:val="21"/>
              </w:rPr>
            </w:pPr>
            <w:r>
              <w:rPr>
                <w:rFonts w:ascii="宋体" w:hAnsi="宋体" w:cs="宋体"/>
                <w:szCs w:val="21"/>
                <w:u w:val="single"/>
              </w:rPr>
              <w:t xml:space="preserve">     </w:t>
            </w:r>
            <w:r>
              <w:rPr>
                <w:rFonts w:hint="eastAsia" w:ascii="宋体" w:hAnsi="宋体"/>
                <w:szCs w:val="21"/>
                <w:lang w:eastAsia="zh-CN"/>
              </w:rPr>
              <w:t>级及以上</w:t>
            </w:r>
            <w:r>
              <w:rPr>
                <w:rFonts w:hint="eastAsia" w:ascii="宋体" w:hAnsi="宋体"/>
                <w:szCs w:val="21"/>
              </w:rPr>
              <w:t>公路交通安全设施工程施工项目中担任</w:t>
            </w:r>
            <w:r>
              <w:rPr>
                <w:rFonts w:hint="eastAsia" w:ascii="宋体" w:hAnsi="宋体" w:cs="宋体"/>
                <w:szCs w:val="21"/>
              </w:rPr>
              <w:t>过</w:t>
            </w:r>
          </w:p>
          <w:p w14:paraId="6D72587B">
            <w:pPr>
              <w:spacing w:line="400" w:lineRule="exact"/>
              <w:ind w:firstLine="210" w:firstLineChars="100"/>
              <w:rPr>
                <w:rFonts w:ascii="宋体" w:hAnsi="宋体"/>
                <w:szCs w:val="21"/>
              </w:rPr>
            </w:pPr>
            <w:r>
              <w:rPr>
                <w:rFonts w:hint="eastAsia" w:ascii="宋体" w:hAnsi="宋体" w:cs="宋体"/>
                <w:szCs w:val="21"/>
              </w:rPr>
              <w:t>（□项目经理、□或</w:t>
            </w:r>
            <w:r>
              <w:rPr>
                <w:rFonts w:ascii="宋体" w:hAnsi="宋体"/>
                <w:szCs w:val="21"/>
              </w:rPr>
              <w:t>项目副经理</w:t>
            </w:r>
            <w:r>
              <w:rPr>
                <w:rFonts w:hint="eastAsia" w:ascii="宋体" w:hAnsi="宋体"/>
                <w:szCs w:val="21"/>
              </w:rPr>
              <w:t>、</w:t>
            </w:r>
            <w:r>
              <w:rPr>
                <w:rFonts w:hint="eastAsia" w:ascii="宋体" w:hAnsi="宋体" w:cs="宋体"/>
                <w:szCs w:val="21"/>
                <w:lang w:eastAsia="zh-CN"/>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47D01AEB">
            <w:pPr>
              <w:pStyle w:val="299"/>
              <w:adjustRightInd w:val="0"/>
              <w:snapToGrid w:val="0"/>
              <w:spacing w:line="400" w:lineRule="exact"/>
              <w:rPr>
                <w:rFonts w:hint="eastAsia" w:ascii="宋体" w:hAnsi="宋体" w:cs="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Cs/>
                <w:szCs w:val="21"/>
              </w:rPr>
              <w:t>至少</w:t>
            </w:r>
            <w:r>
              <w:rPr>
                <w:rFonts w:ascii="宋体" w:hAnsi="宋体"/>
                <w:szCs w:val="21"/>
              </w:rPr>
              <w:t>在</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p>
          <w:p w14:paraId="6F697F65">
            <w:pPr>
              <w:pStyle w:val="299"/>
              <w:adjustRightInd w:val="0"/>
              <w:snapToGrid w:val="0"/>
              <w:ind w:firstLine="210" w:firstLineChars="100"/>
              <w:rPr>
                <w:rFonts w:ascii="宋体" w:hAnsi="宋体" w:cs="宋体"/>
                <w:szCs w:val="21"/>
              </w:rPr>
            </w:pPr>
            <w:r>
              <w:rPr>
                <w:rFonts w:ascii="宋体" w:hAnsi="宋体" w:cs="宋体"/>
                <w:szCs w:val="21"/>
                <w:u w:val="single"/>
              </w:rPr>
              <w:t xml:space="preserve">   </w:t>
            </w:r>
            <w:r>
              <w:rPr>
                <w:rFonts w:hint="eastAsia" w:ascii="宋体" w:hAnsi="宋体"/>
                <w:szCs w:val="21"/>
                <w:lang w:eastAsia="zh-CN"/>
              </w:rPr>
              <w:t>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机电工程施工项目中</w:t>
            </w:r>
            <w:r>
              <w:rPr>
                <w:rFonts w:hint="eastAsia" w:ascii="宋体" w:hAnsi="宋体" w:cs="宋体"/>
                <w:szCs w:val="21"/>
              </w:rPr>
              <w:t>担任过（□项目</w:t>
            </w:r>
          </w:p>
          <w:p w14:paraId="20C6A7FB">
            <w:pPr>
              <w:pStyle w:val="299"/>
              <w:adjustRightInd w:val="0"/>
              <w:snapToGrid w:val="0"/>
              <w:spacing w:line="400" w:lineRule="exact"/>
              <w:ind w:firstLine="315" w:firstLineChars="150"/>
              <w:rPr>
                <w:rFonts w:ascii="宋体" w:hAnsi="宋体"/>
                <w:szCs w:val="21"/>
              </w:rPr>
            </w:pPr>
            <w:r>
              <w:rPr>
                <w:rFonts w:hint="eastAsia" w:ascii="宋体" w:hAnsi="宋体" w:cs="宋体"/>
                <w:szCs w:val="21"/>
              </w:rPr>
              <w:t>经理、□或</w:t>
            </w:r>
            <w:r>
              <w:rPr>
                <w:rFonts w:ascii="宋体" w:hAnsi="宋体"/>
                <w:szCs w:val="21"/>
              </w:rPr>
              <w:t>项目副经理</w:t>
            </w:r>
            <w:r>
              <w:rPr>
                <w:rFonts w:hint="eastAsia" w:ascii="宋体" w:hAnsi="宋体"/>
                <w:szCs w:val="21"/>
              </w:rPr>
              <w:t>、</w:t>
            </w:r>
            <w:r>
              <w:rPr>
                <w:rFonts w:hint="eastAsia" w:ascii="宋体" w:hAnsi="宋体" w:cs="宋体"/>
                <w:szCs w:val="21"/>
                <w:lang w:eastAsia="zh-CN"/>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3BF25B47">
            <w:pPr>
              <w:spacing w:line="360" w:lineRule="atLeast"/>
              <w:rPr>
                <w:rFonts w:ascii="宋体" w:hAnsi="宋体" w:cs="宋体"/>
                <w:szCs w:val="21"/>
              </w:rPr>
            </w:pPr>
            <w:r>
              <w:rPr>
                <w:rFonts w:hint="eastAsia" w:ascii="宋体" w:hAnsi="宋体"/>
                <w:b/>
                <w:szCs w:val="21"/>
              </w:rPr>
              <w:t>□</w:t>
            </w:r>
            <w:r>
              <w:rPr>
                <w:rFonts w:hint="eastAsia" w:ascii="宋体" w:hAnsi="宋体"/>
                <w:szCs w:val="21"/>
              </w:rPr>
              <w:t xml:space="preserve"> 至少在</w:t>
            </w:r>
            <w:r>
              <w:rPr>
                <w:rFonts w:hint="eastAsia" w:ascii="宋体" w:hAnsi="宋体"/>
                <w:szCs w:val="21"/>
                <w:u w:val="single"/>
              </w:rPr>
              <w:t xml:space="preserve">     </w:t>
            </w:r>
            <w:r>
              <w:rPr>
                <w:rFonts w:hint="eastAsia" w:ascii="宋体" w:hAnsi="宋体"/>
                <w:szCs w:val="21"/>
              </w:rPr>
              <w:t>个国内房建工程施工项目中担任过</w:t>
            </w:r>
            <w:r>
              <w:rPr>
                <w:rFonts w:hint="eastAsia" w:ascii="宋体" w:hAnsi="宋体" w:cs="宋体"/>
                <w:szCs w:val="21"/>
              </w:rPr>
              <w:t>（□项目经</w:t>
            </w:r>
          </w:p>
          <w:p w14:paraId="351E4DBC">
            <w:pPr>
              <w:spacing w:line="360" w:lineRule="atLeast"/>
              <w:rPr>
                <w:rFonts w:ascii="宋体" w:hAnsi="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2B219C65">
            <w:pPr>
              <w:spacing w:line="400" w:lineRule="exact"/>
              <w:rPr>
                <w:rFonts w:ascii="宋体" w:hAnsi="宋体"/>
                <w:b/>
                <w:szCs w:val="21"/>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r>
              <w:rPr>
                <w:rFonts w:ascii="宋体" w:hAnsi="宋体"/>
                <w:szCs w:val="21"/>
              </w:rPr>
              <w:t xml:space="preserve"> </w:t>
            </w:r>
          </w:p>
          <w:p w14:paraId="078DB67B">
            <w:pPr>
              <w:spacing w:line="400" w:lineRule="exact"/>
              <w:rPr>
                <w:rFonts w:ascii="宋体" w:hAnsi="宋体"/>
                <w:szCs w:val="21"/>
                <w:u w:val="single"/>
              </w:rPr>
            </w:pPr>
            <w:r>
              <w:rPr>
                <w:rFonts w:hint="eastAsia" w:ascii="宋体" w:hAnsi="宋体"/>
                <w:b/>
                <w:szCs w:val="21"/>
              </w:rPr>
              <w:t>□</w:t>
            </w:r>
            <w:r>
              <w:rPr>
                <w:rFonts w:ascii="宋体" w:hAnsi="宋体"/>
                <w:szCs w:val="21"/>
              </w:rPr>
              <w:t xml:space="preserve"> 联合体应满足下列要求：</w:t>
            </w:r>
            <w:r>
              <w:rPr>
                <w:rFonts w:ascii="宋体" w:hAnsi="宋体"/>
                <w:szCs w:val="21"/>
                <w:u w:val="single"/>
              </w:rPr>
              <w:t xml:space="preserve">                  </w:t>
            </w:r>
          </w:p>
          <w:p w14:paraId="3F9C4FB5">
            <w:pPr>
              <w:spacing w:line="400" w:lineRule="exact"/>
              <w:rPr>
                <w:rFonts w:ascii="宋体" w:hAnsi="宋体"/>
                <w:szCs w:val="21"/>
                <w:u w:val="single"/>
              </w:rPr>
            </w:pPr>
          </w:p>
        </w:tc>
        <w:tc>
          <w:tcPr>
            <w:tcW w:w="1276" w:type="dxa"/>
            <w:vAlign w:val="center"/>
          </w:tcPr>
          <w:p w14:paraId="5B3272B3">
            <w:pPr>
              <w:spacing w:line="400" w:lineRule="exact"/>
              <w:jc w:val="left"/>
              <w:rPr>
                <w:rFonts w:ascii="宋体" w:hAnsi="宋体"/>
                <w:szCs w:val="21"/>
              </w:rPr>
            </w:pPr>
            <w:r>
              <w:rPr>
                <w:rFonts w:hint="eastAsia" w:ascii="宋体" w:hAnsi="宋体"/>
                <w:szCs w:val="21"/>
              </w:rPr>
              <w:t>无在岗项目（指目前未在其他项目上任职，或虽在其他项目上任职但本项目中标后能够从该项目撤离）</w:t>
            </w:r>
          </w:p>
        </w:tc>
      </w:tr>
      <w:tr w14:paraId="6FAE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0" w:type="dxa"/>
            <w:vAlign w:val="center"/>
          </w:tcPr>
          <w:p w14:paraId="3CE81C3A">
            <w:pPr>
              <w:spacing w:line="400" w:lineRule="exact"/>
              <w:jc w:val="center"/>
              <w:rPr>
                <w:rFonts w:ascii="宋体" w:hAnsi="宋体"/>
                <w:szCs w:val="21"/>
                <w:u w:val="single"/>
              </w:rPr>
            </w:pPr>
            <w:r>
              <w:rPr>
                <w:rFonts w:hint="eastAsia" w:ascii="宋体" w:hAnsi="宋体"/>
                <w:szCs w:val="21"/>
              </w:rPr>
              <w:t>……</w:t>
            </w:r>
          </w:p>
        </w:tc>
        <w:tc>
          <w:tcPr>
            <w:tcW w:w="723" w:type="dxa"/>
            <w:vAlign w:val="center"/>
          </w:tcPr>
          <w:p w14:paraId="5EF33DE6">
            <w:pPr>
              <w:spacing w:line="400" w:lineRule="exact"/>
              <w:jc w:val="center"/>
              <w:rPr>
                <w:rFonts w:ascii="宋体" w:hAnsi="宋体"/>
                <w:szCs w:val="21"/>
              </w:rPr>
            </w:pPr>
            <w:r>
              <w:rPr>
                <w:rFonts w:hint="eastAsia" w:ascii="宋体" w:hAnsi="宋体"/>
                <w:szCs w:val="21"/>
              </w:rPr>
              <w:t>……</w:t>
            </w:r>
          </w:p>
        </w:tc>
        <w:tc>
          <w:tcPr>
            <w:tcW w:w="5967" w:type="dxa"/>
            <w:vAlign w:val="center"/>
          </w:tcPr>
          <w:p w14:paraId="7FD67E2D">
            <w:pPr>
              <w:spacing w:line="400" w:lineRule="exact"/>
              <w:jc w:val="left"/>
              <w:rPr>
                <w:rFonts w:ascii="宋体" w:hAnsi="宋体"/>
                <w:szCs w:val="21"/>
              </w:rPr>
            </w:pPr>
            <w:r>
              <w:rPr>
                <w:rFonts w:hint="eastAsia" w:ascii="宋体" w:hAnsi="宋体"/>
                <w:szCs w:val="21"/>
              </w:rPr>
              <w:t>……</w:t>
            </w:r>
          </w:p>
        </w:tc>
        <w:tc>
          <w:tcPr>
            <w:tcW w:w="1276" w:type="dxa"/>
            <w:vAlign w:val="center"/>
          </w:tcPr>
          <w:p w14:paraId="59C26CFA">
            <w:pPr>
              <w:spacing w:line="400" w:lineRule="exact"/>
              <w:jc w:val="left"/>
              <w:rPr>
                <w:rFonts w:ascii="宋体" w:hAnsi="宋体"/>
                <w:szCs w:val="21"/>
              </w:rPr>
            </w:pPr>
            <w:r>
              <w:rPr>
                <w:rFonts w:hint="eastAsia" w:ascii="宋体" w:hAnsi="宋体"/>
                <w:szCs w:val="21"/>
              </w:rPr>
              <w:t>……</w:t>
            </w:r>
          </w:p>
        </w:tc>
      </w:tr>
    </w:tbl>
    <w:p w14:paraId="51D32639">
      <w:pPr>
        <w:pStyle w:val="299"/>
        <w:jc w:val="center"/>
        <w:rPr>
          <w:rFonts w:ascii="黑体" w:hAnsi="黑体" w:eastAsia="黑体"/>
          <w:sz w:val="24"/>
        </w:rPr>
      </w:pPr>
    </w:p>
    <w:p w14:paraId="20D26155">
      <w:pPr>
        <w:pStyle w:val="48"/>
        <w:spacing w:after="0" w:line="360" w:lineRule="auto"/>
        <w:ind w:left="0" w:leftChars="0" w:firstLine="0" w:firstLineChars="0"/>
      </w:pPr>
      <w:r>
        <w:rPr>
          <w:rFonts w:hint="eastAsia" w:ascii="宋体" w:hAnsi="宋体" w:eastAsia="宋体" w:cs="宋体"/>
          <w:szCs w:val="21"/>
        </w:rPr>
        <w:t>注</w:t>
      </w:r>
      <w:r>
        <w:rPr>
          <w:rFonts w:hint="eastAsia" w:ascii="宋体" w:hAnsi="宋体" w:eastAsia="宋体" w:cs="宋体"/>
          <w:sz w:val="24"/>
          <w:szCs w:val="21"/>
        </w:rPr>
        <w:t>：</w:t>
      </w:r>
      <w:r>
        <w:rPr>
          <w:rFonts w:ascii="宋体" w:hAnsi="宋体" w:cs="宋体"/>
          <w:szCs w:val="21"/>
        </w:rPr>
        <w:t>1.</w:t>
      </w:r>
      <w:r>
        <w:rPr>
          <w:rFonts w:hint="eastAsia" w:ascii="宋体" w:hAnsi="宋体" w:cs="宋体"/>
          <w:szCs w:val="21"/>
        </w:rPr>
        <w:t>如项目总工仍在其他项目上任职，则投标人在投标函中应承诺上述人员能够从该项目撤离。</w:t>
      </w:r>
    </w:p>
    <w:p w14:paraId="54F13C18">
      <w:pPr>
        <w:pStyle w:val="48"/>
        <w:spacing w:after="0" w:line="360" w:lineRule="auto"/>
        <w:ind w:firstLine="4" w:firstLineChars="2"/>
        <w:rPr>
          <w:rFonts w:ascii="宋体" w:hAnsi="宋体"/>
        </w:rPr>
      </w:pPr>
      <w:r>
        <w:rPr>
          <w:rFonts w:hint="eastAsia" w:ascii="宋体" w:hAnsi="宋体" w:cs="宋体"/>
          <w:szCs w:val="21"/>
        </w:rPr>
        <w:t>2.涉及“</w:t>
      </w:r>
      <w:r>
        <w:rPr>
          <w:rFonts w:hint="eastAsia" w:ascii="宋体" w:hAnsi="宋体" w:cs="宋体"/>
          <w:szCs w:val="21"/>
        </w:rPr>
        <w:sym w:font="Wingdings 2" w:char="00A3"/>
      </w:r>
      <w:r>
        <w:rPr>
          <w:rFonts w:hint="eastAsia" w:ascii="宋体" w:hAnsi="宋体" w:cs="宋体"/>
          <w:szCs w:val="21"/>
        </w:rPr>
        <w:t>新建；□改扩建；□新建或改扩建”</w:t>
      </w:r>
      <w:r>
        <w:rPr>
          <w:rFonts w:hint="eastAsia" w:ascii="宋体" w:hAnsi="宋体"/>
        </w:rPr>
        <w:t>为单选项。</w:t>
      </w:r>
    </w:p>
    <w:p w14:paraId="02475988">
      <w:pPr>
        <w:pStyle w:val="48"/>
        <w:spacing w:after="0" w:line="360" w:lineRule="auto"/>
        <w:ind w:firstLine="0" w:firstLineChars="0"/>
        <w:rPr>
          <w:rFonts w:hint="eastAsia" w:ascii="宋体" w:hAnsi="宋体" w:cs="宋体"/>
          <w:szCs w:val="21"/>
        </w:rPr>
      </w:pPr>
      <w:r>
        <w:rPr>
          <w:rFonts w:ascii="宋体" w:hAnsi="宋体" w:cs="宋体"/>
          <w:szCs w:val="21"/>
        </w:rPr>
        <w:t>3.</w:t>
      </w:r>
      <w:r>
        <w:rPr>
          <w:rFonts w:hint="eastAsia" w:ascii="宋体" w:hAnsi="宋体" w:cs="宋体"/>
          <w:szCs w:val="21"/>
        </w:rPr>
        <w:t>路基土建工程指须至少包含“路基工程、桥涵工程”或“路基工程、隧道工程”的项目。</w:t>
      </w:r>
    </w:p>
    <w:p w14:paraId="45A11DF2">
      <w:pPr>
        <w:pStyle w:val="48"/>
        <w:spacing w:line="360" w:lineRule="auto"/>
        <w:ind w:firstLine="4" w:firstLineChars="2"/>
      </w:pPr>
      <w:r>
        <w:rPr>
          <w:rFonts w:hint="eastAsia" w:ascii="宋体" w:hAnsi="宋体" w:cs="宋体"/>
          <w:szCs w:val="21"/>
        </w:rPr>
        <w:t>4.本表涉及“□项目总工、</w:t>
      </w:r>
      <w:r>
        <w:rPr>
          <w:rFonts w:hint="eastAsia" w:ascii="宋体" w:hAnsi="宋体" w:cs="宋体"/>
          <w:szCs w:val="21"/>
        </w:rPr>
        <w:sym w:font="Wingdings 2" w:char="00A3"/>
      </w:r>
      <w:r>
        <w:rPr>
          <w:rFonts w:hint="eastAsia" w:ascii="宋体" w:hAnsi="宋体" w:cs="宋体"/>
          <w:szCs w:val="21"/>
        </w:rPr>
        <w:t>或</w:t>
      </w:r>
      <w:r>
        <w:rPr>
          <w:rFonts w:ascii="宋体" w:hAnsi="宋体" w:cs="宋体"/>
          <w:szCs w:val="21"/>
        </w:rPr>
        <w:t>项目副总工</w:t>
      </w:r>
      <w:r>
        <w:rPr>
          <w:rFonts w:hint="eastAsia" w:ascii="宋体" w:hAnsi="宋体" w:cs="宋体"/>
          <w:szCs w:val="21"/>
        </w:rPr>
        <w:t>”选择项由招标人对主要人员业绩经验担任的相应职务进行要求，可为单选或多选。</w:t>
      </w:r>
    </w:p>
    <w:p w14:paraId="26A38514">
      <w:pPr>
        <w:pStyle w:val="299"/>
        <w:adjustRightInd w:val="0"/>
        <w:snapToGrid w:val="0"/>
        <w:spacing w:line="480" w:lineRule="exact"/>
        <w:jc w:val="center"/>
        <w:rPr>
          <w:b/>
          <w:bCs/>
          <w:sz w:val="28"/>
          <w:szCs w:val="28"/>
        </w:rPr>
      </w:pPr>
    </w:p>
    <w:p w14:paraId="2E0FF934">
      <w:pPr>
        <w:adjustRightInd w:val="0"/>
        <w:snapToGrid w:val="0"/>
        <w:spacing w:line="480" w:lineRule="exact"/>
        <w:jc w:val="center"/>
        <w:rPr>
          <w:rFonts w:ascii="黑体" w:hAnsi="黑体" w:eastAsia="黑体"/>
          <w:b/>
          <w:sz w:val="24"/>
        </w:rPr>
      </w:pPr>
      <w:r>
        <w:rPr>
          <w:rFonts w:hint="eastAsia" w:ascii="黑体" w:hAnsi="黑体" w:eastAsia="黑体"/>
          <w:b/>
          <w:sz w:val="24"/>
        </w:rPr>
        <w:br w:type="page"/>
      </w:r>
    </w:p>
    <w:p w14:paraId="41737BEF">
      <w:pPr>
        <w:pStyle w:val="4"/>
        <w:spacing w:beforeLines="0" w:afterLines="0" w:line="500" w:lineRule="exact"/>
        <w:jc w:val="center"/>
        <w:rPr>
          <w:rFonts w:hint="eastAsia" w:ascii="宋体" w:hAnsi="宋体" w:eastAsia="宋体"/>
          <w:bCs/>
          <w:spacing w:val="-4"/>
          <w:sz w:val="24"/>
        </w:rPr>
      </w:pPr>
      <w:r>
        <w:rPr>
          <w:rFonts w:hint="eastAsia" w:ascii="宋体" w:hAnsi="宋体" w:eastAsia="宋体"/>
          <w:b/>
          <w:spacing w:val="-4"/>
          <w:sz w:val="24"/>
        </w:rPr>
        <w:t>□</w:t>
      </w:r>
      <w:r>
        <w:rPr>
          <w:rFonts w:hint="eastAsia" w:ascii="宋体" w:hAnsi="宋体" w:eastAsia="宋体"/>
          <w:bCs/>
          <w:spacing w:val="-4"/>
          <w:sz w:val="24"/>
        </w:rPr>
        <w:t xml:space="preserve"> 项目总工</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72"/>
        <w:gridCol w:w="5976"/>
        <w:gridCol w:w="1268"/>
      </w:tblGrid>
      <w:tr w14:paraId="7557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939" w:type="dxa"/>
            <w:vAlign w:val="center"/>
          </w:tcPr>
          <w:p w14:paraId="1FE900A9">
            <w:pPr>
              <w:spacing w:line="400" w:lineRule="exact"/>
              <w:jc w:val="center"/>
              <w:rPr>
                <w:rFonts w:ascii="宋体" w:hAnsi="宋体"/>
                <w:szCs w:val="21"/>
              </w:rPr>
            </w:pPr>
            <w:r>
              <w:rPr>
                <w:rFonts w:hint="eastAsia" w:ascii="宋体" w:hAnsi="宋体"/>
                <w:szCs w:val="21"/>
              </w:rPr>
              <w:t>标段</w:t>
            </w:r>
          </w:p>
        </w:tc>
        <w:tc>
          <w:tcPr>
            <w:tcW w:w="972" w:type="dxa"/>
            <w:vAlign w:val="center"/>
          </w:tcPr>
          <w:p w14:paraId="366BFFA2">
            <w:pPr>
              <w:spacing w:line="400" w:lineRule="exact"/>
              <w:jc w:val="center"/>
              <w:rPr>
                <w:rFonts w:ascii="宋体" w:hAnsi="宋体"/>
                <w:szCs w:val="21"/>
              </w:rPr>
            </w:pPr>
            <w:r>
              <w:rPr>
                <w:rFonts w:hint="eastAsia" w:ascii="宋体" w:hAnsi="宋体"/>
                <w:szCs w:val="21"/>
              </w:rPr>
              <w:t>数量</w:t>
            </w:r>
          </w:p>
        </w:tc>
        <w:tc>
          <w:tcPr>
            <w:tcW w:w="5976" w:type="dxa"/>
            <w:vAlign w:val="center"/>
          </w:tcPr>
          <w:p w14:paraId="1543AFEE">
            <w:pPr>
              <w:spacing w:line="400" w:lineRule="exact"/>
              <w:jc w:val="center"/>
              <w:rPr>
                <w:rFonts w:ascii="宋体" w:hAnsi="宋体"/>
                <w:szCs w:val="21"/>
              </w:rPr>
            </w:pPr>
            <w:r>
              <w:rPr>
                <w:rFonts w:hint="eastAsia" w:ascii="宋体" w:hAnsi="宋体"/>
                <w:szCs w:val="21"/>
              </w:rPr>
              <w:t>资格要求</w:t>
            </w:r>
          </w:p>
        </w:tc>
        <w:tc>
          <w:tcPr>
            <w:tcW w:w="1268" w:type="dxa"/>
            <w:vAlign w:val="center"/>
          </w:tcPr>
          <w:p w14:paraId="3E7400FC">
            <w:pPr>
              <w:spacing w:line="400" w:lineRule="exact"/>
              <w:jc w:val="center"/>
              <w:rPr>
                <w:rFonts w:ascii="宋体" w:hAnsi="宋体"/>
                <w:szCs w:val="21"/>
              </w:rPr>
            </w:pPr>
            <w:r>
              <w:rPr>
                <w:rFonts w:hint="eastAsia" w:ascii="宋体" w:hAnsi="宋体"/>
                <w:szCs w:val="21"/>
              </w:rPr>
              <w:t>在岗情况</w:t>
            </w:r>
          </w:p>
        </w:tc>
      </w:tr>
      <w:tr w14:paraId="3665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4" w:hRule="atLeast"/>
        </w:trPr>
        <w:tc>
          <w:tcPr>
            <w:tcW w:w="939" w:type="dxa"/>
            <w:vAlign w:val="center"/>
          </w:tcPr>
          <w:p w14:paraId="4C7A47EA">
            <w:pPr>
              <w:spacing w:line="400" w:lineRule="exact"/>
              <w:rPr>
                <w:rFonts w:ascii="宋体" w:hAnsi="宋体"/>
                <w:szCs w:val="21"/>
              </w:rPr>
            </w:pPr>
          </w:p>
        </w:tc>
        <w:tc>
          <w:tcPr>
            <w:tcW w:w="972" w:type="dxa"/>
            <w:vAlign w:val="center"/>
          </w:tcPr>
          <w:p w14:paraId="432E4F6E">
            <w:pPr>
              <w:spacing w:line="400" w:lineRule="exact"/>
              <w:jc w:val="center"/>
              <w:rPr>
                <w:rFonts w:ascii="宋体" w:hAnsi="宋体"/>
                <w:szCs w:val="21"/>
              </w:rPr>
            </w:pPr>
          </w:p>
        </w:tc>
        <w:tc>
          <w:tcPr>
            <w:tcW w:w="5976" w:type="dxa"/>
            <w:vAlign w:val="center"/>
          </w:tcPr>
          <w:p w14:paraId="07EF224E">
            <w:pPr>
              <w:spacing w:line="400" w:lineRule="exact"/>
              <w:ind w:left="211" w:hanging="211" w:hangingChars="100"/>
              <w:rPr>
                <w:rFonts w:hint="eastAsia" w:ascii="宋体" w:hAnsi="宋体" w:eastAsia="宋体"/>
                <w:szCs w:val="21"/>
                <w:lang w:eastAsia="zh-CN"/>
              </w:rPr>
            </w:pPr>
            <w:r>
              <w:rPr>
                <w:rFonts w:hint="eastAsia" w:ascii="宋体" w:hAnsi="宋体"/>
                <w:b/>
                <w:szCs w:val="21"/>
              </w:rPr>
              <w:t>□</w:t>
            </w:r>
            <w:r>
              <w:rPr>
                <w:rFonts w:ascii="宋体" w:hAnsi="宋体"/>
                <w:szCs w:val="21"/>
              </w:rPr>
              <w:t xml:space="preserve"> 具有</w:t>
            </w:r>
            <w:r>
              <w:rPr>
                <w:rFonts w:ascii="宋体" w:hAnsi="宋体"/>
                <w:szCs w:val="21"/>
                <w:u w:val="single"/>
              </w:rPr>
              <w:t xml:space="preserve">        </w:t>
            </w:r>
            <w:r>
              <w:rPr>
                <w:rFonts w:hint="eastAsia" w:ascii="宋体" w:hAnsi="宋体"/>
                <w:szCs w:val="21"/>
              </w:rPr>
              <w:t>（</w:t>
            </w:r>
            <w:r>
              <w:rPr>
                <w:rFonts w:hint="eastAsia" w:ascii="宋体" w:hAnsi="宋体"/>
                <w:kern w:val="0"/>
                <w:szCs w:val="21"/>
              </w:rPr>
              <w:t>专业</w:t>
            </w:r>
            <w:r>
              <w:rPr>
                <w:rFonts w:hint="eastAsia" w:ascii="宋体" w:hAnsi="宋体"/>
                <w:szCs w:val="21"/>
              </w:rPr>
              <w:t>）（□工程师；□高级工程师）及以上技术职称</w:t>
            </w:r>
            <w:r>
              <w:rPr>
                <w:rFonts w:hint="eastAsia" w:ascii="宋体" w:hAnsi="宋体"/>
                <w:szCs w:val="21"/>
                <w:lang w:eastAsia="zh-CN"/>
              </w:rPr>
              <w:t>。</w:t>
            </w:r>
          </w:p>
          <w:p w14:paraId="3F0DB77B">
            <w:pPr>
              <w:spacing w:line="400" w:lineRule="exact"/>
              <w:ind w:firstLine="315" w:firstLineChars="150"/>
              <w:rPr>
                <w:rFonts w:hint="eastAsia" w:ascii="宋体" w:hAnsi="宋体"/>
                <w:szCs w:val="21"/>
                <w:lang w:eastAsia="zh-CN"/>
              </w:rPr>
            </w:pPr>
            <w:r>
              <w:rPr>
                <w:rFonts w:hint="eastAsia" w:ascii="宋体" w:hAnsi="宋体"/>
                <w:szCs w:val="21"/>
              </w:rPr>
              <w:t>注：“□工程师；□高级工程师”为单选项。</w:t>
            </w:r>
          </w:p>
          <w:p w14:paraId="353F4F05">
            <w:pPr>
              <w:spacing w:line="400" w:lineRule="exact"/>
              <w:rPr>
                <w:rFonts w:ascii="宋体" w:hAnsi="宋体" w:cs="宋体"/>
                <w:szCs w:val="21"/>
              </w:rPr>
            </w:pPr>
            <w:r>
              <w:rPr>
                <w:rFonts w:hint="eastAsia" w:ascii="宋体" w:hAnsi="宋体"/>
                <w:b/>
                <w:szCs w:val="21"/>
              </w:rPr>
              <w:t>□</w:t>
            </w:r>
            <w:r>
              <w:rPr>
                <w:rFonts w:ascii="宋体" w:hAnsi="宋体"/>
                <w:szCs w:val="21"/>
              </w:rPr>
              <w:t xml:space="preserve"> </w:t>
            </w:r>
            <w:r>
              <w:rPr>
                <w:rFonts w:hint="eastAsia"/>
              </w:rPr>
              <w:t>投标截止日所在月上个月或上上个月起之前在其</w:t>
            </w:r>
            <w:r>
              <w:rPr>
                <w:rFonts w:hint="eastAsia" w:ascii="宋体" w:hAnsi="宋体" w:cs="宋体"/>
                <w:szCs w:val="21"/>
              </w:rPr>
              <w:t>投标单</w:t>
            </w:r>
          </w:p>
          <w:p w14:paraId="69856347">
            <w:pPr>
              <w:spacing w:line="400" w:lineRule="exact"/>
              <w:ind w:firstLine="315" w:firstLineChars="150"/>
              <w:rPr>
                <w:rFonts w:hint="eastAsia" w:ascii="宋体" w:hAnsi="宋体" w:eastAsia="宋体"/>
                <w:szCs w:val="21"/>
                <w:lang w:eastAsia="zh-CN"/>
              </w:rPr>
            </w:pPr>
            <w:r>
              <w:rPr>
                <w:rFonts w:hint="eastAsia" w:ascii="宋体" w:hAnsi="宋体" w:cs="宋体"/>
                <w:szCs w:val="21"/>
              </w:rPr>
              <w:t>位连续6个月参加社保</w:t>
            </w:r>
            <w:r>
              <w:rPr>
                <w:rFonts w:hint="eastAsia" w:ascii="宋体" w:hAnsi="宋体"/>
                <w:szCs w:val="21"/>
                <w:lang w:eastAsia="zh-CN"/>
              </w:rPr>
              <w:t>。</w:t>
            </w:r>
          </w:p>
          <w:p w14:paraId="3842FA6F">
            <w:pPr>
              <w:pStyle w:val="299"/>
              <w:adjustRightInd w:val="0"/>
              <w:snapToGrid w:val="0"/>
              <w:spacing w:line="400" w:lineRule="exact"/>
              <w:ind w:left="211" w:hanging="211" w:hangingChars="1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lang w:eastAsia="zh-CN"/>
              </w:rPr>
              <w:t>级及以上</w:t>
            </w:r>
            <w:r>
              <w:rPr>
                <w:rFonts w:hint="eastAsia" w:ascii="宋体" w:hAnsi="宋体" w:cs="宋体"/>
                <w:szCs w:val="21"/>
              </w:rPr>
              <w:t>公路路基土建工程施工项目中担任过（□项目总工、□或</w:t>
            </w:r>
            <w:r>
              <w:rPr>
                <w:rFonts w:ascii="宋体" w:hAnsi="宋体"/>
                <w:szCs w:val="21"/>
              </w:rPr>
              <w:t>项目副总工</w:t>
            </w:r>
            <w:r>
              <w:rPr>
                <w:rFonts w:hint="eastAsia" w:ascii="宋体" w:hAnsi="宋体" w:cs="宋体"/>
                <w:szCs w:val="21"/>
              </w:rPr>
              <w:t>）职务。</w:t>
            </w:r>
          </w:p>
          <w:p w14:paraId="6C016B14">
            <w:pPr>
              <w:pStyle w:val="299"/>
              <w:adjustRightInd w:val="0"/>
              <w:snapToGrid w:val="0"/>
              <w:spacing w:line="400" w:lineRule="exact"/>
              <w:ind w:left="211" w:hanging="211" w:hangingChars="1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座国内（□新建；□改扩建；□新建或改扩建）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lang w:eastAsia="zh-CN"/>
              </w:rPr>
              <w:t>级及以上</w:t>
            </w:r>
            <w:r>
              <w:rPr>
                <w:rFonts w:hint="eastAsia" w:ascii="宋体" w:hAnsi="宋体" w:cs="宋体"/>
                <w:szCs w:val="21"/>
              </w:rPr>
              <w:t>公路特大桥的施工项目中担任过（□项目总工、□或</w:t>
            </w:r>
            <w:r>
              <w:rPr>
                <w:rFonts w:ascii="宋体" w:hAnsi="宋体"/>
                <w:szCs w:val="21"/>
              </w:rPr>
              <w:t>项目副总工</w:t>
            </w:r>
            <w:r>
              <w:rPr>
                <w:rFonts w:hint="eastAsia" w:ascii="宋体" w:hAnsi="宋体" w:cs="宋体"/>
                <w:szCs w:val="21"/>
              </w:rPr>
              <w:t>）职务，□其中须至少包含（□同时包含；□包含其中之一）主跨桥梁类型：</w:t>
            </w:r>
          </w:p>
          <w:p w14:paraId="6AC4F861">
            <w:pPr>
              <w:pStyle w:val="299"/>
              <w:adjustRightInd w:val="0"/>
              <w:snapToGrid w:val="0"/>
              <w:spacing w:line="400" w:lineRule="exact"/>
              <w:rPr>
                <w:rFonts w:ascii="宋体" w:hAnsi="宋体" w:cs="宋体"/>
                <w:szCs w:val="21"/>
              </w:rPr>
            </w:pPr>
            <w:r>
              <w:rPr>
                <w:rFonts w:ascii="宋体" w:hAnsi="宋体" w:cs="宋体"/>
                <w:szCs w:val="21"/>
              </w:rPr>
              <w:t xml:space="preserve">     □拱式桥，主跨跨径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4736E992">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□悬索桥，主跨跨径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736F3996">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□斜拉桥，主跨跨径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r>
              <w:rPr>
                <w:rFonts w:ascii="宋体" w:hAnsi="宋体" w:cs="宋体"/>
                <w:szCs w:val="21"/>
              </w:rPr>
              <w:t xml:space="preserve">  </w:t>
            </w:r>
          </w:p>
          <w:p w14:paraId="530BA31E">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□刚构桥，主跨跨径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3C6D3E52">
            <w:pPr>
              <w:pStyle w:val="299"/>
              <w:adjustRightInd w:val="0"/>
              <w:snapToGrid w:val="0"/>
              <w:spacing w:line="400" w:lineRule="exact"/>
              <w:ind w:firstLine="525" w:firstLineChars="250"/>
              <w:rPr>
                <w:rFonts w:ascii="宋体" w:hAnsi="宋体" w:cs="宋体"/>
                <w:szCs w:val="21"/>
              </w:rPr>
            </w:pPr>
            <w:r>
              <w:rPr>
                <w:rFonts w:hint="eastAsia" w:ascii="宋体" w:hAnsi="宋体" w:cs="宋体"/>
                <w:szCs w:val="21"/>
              </w:rPr>
              <w:t>□组合体系桥，主跨跨径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631FB2AC">
            <w:pPr>
              <w:adjustRightInd w:val="0"/>
              <w:snapToGrid w:val="0"/>
              <w:spacing w:line="400" w:lineRule="exact"/>
              <w:ind w:firstLine="525" w:firstLineChars="250"/>
              <w:rPr>
                <w:rFonts w:ascii="宋体" w:hAnsi="宋体" w:cs="宋体"/>
                <w:szCs w:val="21"/>
              </w:rPr>
            </w:pPr>
            <w:r>
              <w:rPr>
                <w:rFonts w:hint="eastAsia" w:ascii="宋体" w:hAnsi="宋体" w:cs="宋体"/>
                <w:szCs w:val="21"/>
              </w:rPr>
              <w:t>□其他：</w:t>
            </w:r>
            <w:r>
              <w:rPr>
                <w:rFonts w:ascii="宋体" w:hAnsi="宋体" w:cs="宋体"/>
                <w:szCs w:val="21"/>
                <w:u w:val="single"/>
              </w:rPr>
              <w:t xml:space="preserve">    </w:t>
            </w:r>
            <w:r>
              <w:rPr>
                <w:rFonts w:hint="eastAsia" w:ascii="宋体" w:hAnsi="宋体" w:cs="宋体"/>
                <w:szCs w:val="21"/>
              </w:rPr>
              <w:t>，主跨跨径</w:t>
            </w:r>
            <w:r>
              <w:rPr>
                <w:rFonts w:ascii="宋体" w:hAnsi="宋体" w:cs="宋体"/>
                <w:szCs w:val="21"/>
                <w:u w:val="single"/>
              </w:rPr>
              <w:t xml:space="preserve">    </w:t>
            </w:r>
            <w:r>
              <w:rPr>
                <w:rFonts w:hint="eastAsia" w:ascii="宋体" w:hAnsi="宋体" w:cs="宋体"/>
                <w:szCs w:val="21"/>
              </w:rPr>
              <w:t>米及以上</w:t>
            </w:r>
            <w:r>
              <w:rPr>
                <w:rFonts w:ascii="宋体" w:hAnsi="宋体" w:cs="宋体"/>
                <w:szCs w:val="21"/>
                <w:u w:val="single"/>
              </w:rPr>
              <w:t xml:space="preserve">   </w:t>
            </w:r>
            <w:r>
              <w:rPr>
                <w:rFonts w:hint="eastAsia" w:ascii="宋体" w:hAnsi="宋体" w:cs="宋体"/>
                <w:szCs w:val="21"/>
              </w:rPr>
              <w:t>座</w:t>
            </w:r>
          </w:p>
          <w:p w14:paraId="664FBFD7">
            <w:pPr>
              <w:pStyle w:val="48"/>
              <w:spacing w:after="0" w:line="400" w:lineRule="exact"/>
              <w:ind w:left="0" w:leftChars="0" w:firstLine="210" w:firstLineChars="100"/>
              <w:rPr>
                <w:rFonts w:hint="eastAsia" w:ascii="宋体" w:hAnsi="宋体" w:eastAsia="宋体" w:cs="宋体"/>
              </w:rPr>
            </w:pPr>
            <w:r>
              <w:rPr>
                <w:rFonts w:hint="eastAsia" w:ascii="宋体" w:hAnsi="宋体" w:cs="宋体"/>
                <w:lang w:val="en-US" w:eastAsia="zh-CN"/>
              </w:rPr>
              <w:t>注：</w:t>
            </w:r>
            <w:r>
              <w:rPr>
                <w:rFonts w:hint="eastAsia" w:ascii="宋体" w:hAnsi="宋体" w:eastAsia="宋体" w:cs="宋体"/>
              </w:rPr>
              <w:t>1.</w:t>
            </w:r>
            <w:r>
              <w:rPr>
                <w:rFonts w:hint="eastAsia" w:ascii="宋体" w:hAnsi="宋体" w:eastAsia="宋体" w:cs="宋体"/>
                <w:lang w:val="en-US" w:eastAsia="zh-CN"/>
              </w:rPr>
              <w:t>该桥梁</w:t>
            </w:r>
            <w:r>
              <w:rPr>
                <w:rFonts w:hint="eastAsia" w:ascii="宋体" w:hAnsi="宋体" w:eastAsia="宋体" w:cs="宋体"/>
              </w:rPr>
              <w:t>工程可为路基土建工程中包含的内容或者单独桥梁工程合同的项目。</w:t>
            </w:r>
          </w:p>
          <w:p w14:paraId="25326832">
            <w:pPr>
              <w:pStyle w:val="48"/>
              <w:spacing w:after="0" w:line="400" w:lineRule="exact"/>
              <w:ind w:left="0" w:leftChars="0" w:firstLine="291" w:firstLineChars="139"/>
              <w:rPr>
                <w:rFonts w:hint="eastAsia" w:ascii="宋体" w:hAnsi="宋体" w:eastAsia="宋体" w:cs="宋体"/>
              </w:rPr>
            </w:pPr>
            <w:r>
              <w:rPr>
                <w:rFonts w:hint="eastAsia" w:ascii="宋体" w:hAnsi="宋体" w:eastAsia="宋体" w:cs="宋体"/>
              </w:rPr>
              <w:t>2.</w:t>
            </w:r>
            <w:r>
              <w:rPr>
                <w:rFonts w:hint="eastAsia" w:ascii="宋体" w:hAnsi="宋体" w:eastAsia="宋体" w:cs="宋体"/>
                <w:sz w:val="21"/>
                <w:szCs w:val="24"/>
              </w:rPr>
              <w:t>主跨桥梁</w:t>
            </w:r>
            <w:r>
              <w:rPr>
                <w:rFonts w:hint="eastAsia" w:ascii="宋体" w:hAnsi="宋体" w:eastAsia="宋体" w:cs="宋体"/>
                <w:sz w:val="21"/>
                <w:szCs w:val="24"/>
                <w:lang w:val="en-US" w:eastAsia="zh-CN"/>
              </w:rPr>
              <w:t>类型</w:t>
            </w:r>
            <w:r>
              <w:rPr>
                <w:rFonts w:hint="eastAsia" w:ascii="宋体" w:hAnsi="宋体" w:eastAsia="宋体" w:cs="宋体"/>
                <w:sz w:val="21"/>
                <w:szCs w:val="24"/>
              </w:rPr>
              <w:t>，</w:t>
            </w:r>
            <w:r>
              <w:rPr>
                <w:rFonts w:hint="eastAsia" w:ascii="宋体" w:hAnsi="宋体" w:eastAsia="宋体" w:cs="宋体"/>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14:paraId="3C39D2C6">
            <w:pPr>
              <w:pStyle w:val="48"/>
              <w:spacing w:after="0" w:line="400" w:lineRule="exact"/>
              <w:ind w:left="0" w:leftChars="0" w:firstLine="291" w:firstLineChars="139"/>
              <w:rPr>
                <w:rFonts w:hint="eastAsia" w:ascii="宋体" w:hAnsi="宋体" w:eastAsia="宋体" w:cs="宋体"/>
              </w:rPr>
            </w:pPr>
            <w:r>
              <w:rPr>
                <w:rFonts w:hint="eastAsia" w:ascii="宋体" w:hAnsi="宋体" w:eastAsia="宋体" w:cs="宋体"/>
              </w:rPr>
              <w:t>3.拱式桥主跨跨径，对于左右幅桥长不相同的桥梁，其桥梁长度以左右幅长度较长的为准；若只有单幅的，则以单幅桥梁长度数据为准。</w:t>
            </w:r>
          </w:p>
          <w:p w14:paraId="03E6C787">
            <w:pPr>
              <w:adjustRightInd w:val="0"/>
              <w:snapToGrid w:val="0"/>
              <w:spacing w:line="400" w:lineRule="exact"/>
              <w:ind w:left="211" w:hanging="211" w:hangingChars="1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座国内（□新建；□改扩建；□新建或改</w:t>
            </w:r>
            <w:r>
              <w:rPr>
                <w:rFonts w:ascii="宋体" w:hAnsi="宋体" w:cs="宋体"/>
                <w:szCs w:val="21"/>
              </w:rPr>
              <w:t>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lang w:eastAsia="zh-CN"/>
              </w:rPr>
              <w:t>级及以上</w:t>
            </w:r>
            <w:r>
              <w:rPr>
                <w:rFonts w:ascii="宋体" w:hAnsi="宋体" w:cs="宋体"/>
                <w:szCs w:val="21"/>
              </w:rPr>
              <w:t>公路（□中隧道及以上；□长隧道及以上；□特长隧道；□单洞长度</w:t>
            </w:r>
            <w:r>
              <w:rPr>
                <w:rFonts w:ascii="宋体" w:hAnsi="宋体" w:cs="宋体"/>
                <w:szCs w:val="21"/>
                <w:u w:val="single"/>
              </w:rPr>
              <w:t xml:space="preserve">     </w:t>
            </w:r>
            <w:r>
              <w:rPr>
                <w:rFonts w:hint="eastAsia" w:ascii="宋体" w:hAnsi="宋体" w:cs="宋体"/>
                <w:szCs w:val="21"/>
              </w:rPr>
              <w:t>米及以上特长隧道）施工项目中担任过（□项目总工、□或</w:t>
            </w:r>
            <w:r>
              <w:rPr>
                <w:rFonts w:ascii="宋体" w:hAnsi="宋体"/>
                <w:szCs w:val="21"/>
              </w:rPr>
              <w:t>项目副总工</w:t>
            </w:r>
            <w:r>
              <w:rPr>
                <w:rFonts w:hint="eastAsia" w:ascii="宋体" w:hAnsi="宋体" w:cs="宋体"/>
                <w:szCs w:val="21"/>
              </w:rPr>
              <w:t>）职务。</w:t>
            </w:r>
          </w:p>
          <w:p w14:paraId="659860B5">
            <w:pPr>
              <w:pStyle w:val="48"/>
              <w:spacing w:after="0" w:line="400" w:lineRule="exact"/>
              <w:ind w:left="0" w:leftChars="0" w:firstLine="210" w:firstLineChars="100"/>
              <w:rPr>
                <w:rStyle w:val="51"/>
                <w:rFonts w:hint="eastAsia" w:ascii="宋体" w:hAnsi="宋体" w:eastAsia="宋体" w:cs="宋体"/>
                <w:vertAlign w:val="baseline"/>
              </w:rPr>
            </w:pPr>
            <w:r>
              <w:rPr>
                <w:rFonts w:hint="eastAsia" w:ascii="宋体" w:hAnsi="宋体" w:cs="宋体"/>
                <w:lang w:val="en-US" w:eastAsia="zh-CN"/>
              </w:rPr>
              <w:t>注：</w:t>
            </w:r>
            <w:r>
              <w:rPr>
                <w:rFonts w:hint="eastAsia" w:ascii="宋体" w:hAnsi="宋体" w:eastAsia="宋体" w:cs="宋体"/>
              </w:rPr>
              <w:t>1.单洞长度，</w:t>
            </w:r>
            <w:r>
              <w:rPr>
                <w:rStyle w:val="51"/>
                <w:rFonts w:hint="eastAsia" w:ascii="宋体" w:hAnsi="宋体" w:eastAsia="宋体" w:cs="宋体"/>
                <w:vertAlign w:val="baseline"/>
              </w:rPr>
              <w:t>对于具有双洞的隧道，其承担隧道长度以左右线隧道长度较长的为准；若只有单洞的，则以承担单洞隧道长度数据为准。隧道单洞长度不含斜井、竖井、支洞。</w:t>
            </w:r>
          </w:p>
          <w:p w14:paraId="1F6F5B0E">
            <w:pPr>
              <w:pStyle w:val="48"/>
              <w:spacing w:after="0" w:line="400" w:lineRule="exact"/>
              <w:ind w:left="0" w:leftChars="0" w:firstLine="291" w:firstLineChars="139"/>
            </w:pPr>
            <w:r>
              <w:rPr>
                <w:rFonts w:hint="eastAsia" w:ascii="宋体" w:hAnsi="宋体" w:eastAsia="宋体" w:cs="宋体"/>
              </w:rPr>
              <w:t>2.该隧道工程可为路基土建工程中包含的内容或者单独隧道工程合同的项目。根据项目具体情况，若存在特殊隧道或特长隧道或特别复杂的隧道，需要增加特殊要</w:t>
            </w:r>
            <w:r>
              <w:rPr>
                <w:rFonts w:hint="eastAsia"/>
              </w:rPr>
              <w:t>求时，可对隧道形式或隧道单洞长度进行要求，但不得设置过高的要求。</w:t>
            </w:r>
          </w:p>
          <w:p w14:paraId="3E3D8F97">
            <w:pPr>
              <w:spacing w:line="400" w:lineRule="exact"/>
              <w:ind w:left="211" w:hanging="211" w:hangingChars="100"/>
              <w:rPr>
                <w:rFonts w:ascii="宋体" w:hAnsi="宋体" w:cs="宋体"/>
                <w:szCs w:val="21"/>
              </w:rPr>
            </w:pPr>
            <w:r>
              <w:rPr>
                <w:rFonts w:hint="eastAsia" w:ascii="宋体" w:hAnsi="宋体" w:cs="宋体"/>
                <w:b/>
                <w:szCs w:val="21"/>
              </w:rPr>
              <w:t>□</w:t>
            </w:r>
            <w:r>
              <w:rPr>
                <w:rFonts w:ascii="宋体" w:hAnsi="宋体" w:cs="宋体"/>
                <w:szCs w:val="21"/>
              </w:rPr>
              <w:t xml:space="preserve"> </w:t>
            </w:r>
            <w:r>
              <w:rPr>
                <w:rFonts w:hint="eastAsia" w:ascii="宋体" w:hAnsi="宋体" w:cs="宋体"/>
                <w:szCs w:val="21"/>
              </w:rPr>
              <w:t>至少</w:t>
            </w:r>
            <w:r>
              <w:rPr>
                <w:rFonts w:ascii="宋体" w:hAnsi="宋体" w:cs="宋体"/>
                <w:szCs w:val="21"/>
              </w:rPr>
              <w:t>在</w:t>
            </w:r>
            <w:r>
              <w:rPr>
                <w:rFonts w:ascii="宋体" w:hAnsi="宋体" w:cs="宋体"/>
                <w:szCs w:val="21"/>
                <w:u w:val="single"/>
              </w:rPr>
              <w:t xml:space="preserve">    </w:t>
            </w:r>
            <w:r>
              <w:rPr>
                <w:rFonts w:hint="eastAsia" w:ascii="宋体" w:hAnsi="宋体" w:cs="宋体"/>
                <w:szCs w:val="21"/>
              </w:rPr>
              <w:t>个（□新建；□改扩建；□新建或改扩建）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lang w:eastAsia="zh-CN"/>
              </w:rPr>
              <w:t>级及以上</w:t>
            </w:r>
            <w:r>
              <w:rPr>
                <w:rFonts w:hint="eastAsia" w:ascii="宋体" w:hAnsi="宋体" w:cs="宋体"/>
                <w:szCs w:val="21"/>
              </w:rPr>
              <w:t>公路路面工程施工项目中担任过（□项目总工、□或</w:t>
            </w:r>
            <w:r>
              <w:rPr>
                <w:rFonts w:ascii="宋体" w:hAnsi="宋体"/>
                <w:szCs w:val="21"/>
              </w:rPr>
              <w:t>项目副总工</w:t>
            </w:r>
            <w:r>
              <w:rPr>
                <w:rFonts w:hint="eastAsia" w:ascii="宋体" w:hAnsi="宋体" w:cs="宋体"/>
                <w:szCs w:val="21"/>
              </w:rPr>
              <w:t>）职务。</w:t>
            </w:r>
          </w:p>
          <w:p w14:paraId="29CAB85F">
            <w:pPr>
              <w:adjustRightInd/>
              <w:snapToGrid/>
              <w:spacing w:line="400" w:lineRule="exact"/>
              <w:ind w:left="211" w:hanging="211" w:hangingChars="100"/>
              <w:rPr>
                <w:rFonts w:ascii="宋体" w:hAnsi="宋体"/>
                <w:szCs w:val="21"/>
              </w:rPr>
            </w:pPr>
            <w:r>
              <w:rPr>
                <w:rFonts w:hint="eastAsia" w:ascii="宋体" w:hAnsi="宋体"/>
                <w:b/>
                <w:szCs w:val="21"/>
              </w:rPr>
              <w:t>□</w:t>
            </w:r>
            <w:r>
              <w:rPr>
                <w:rFonts w:ascii="宋体" w:hAnsi="宋体"/>
                <w:szCs w:val="21"/>
              </w:rPr>
              <w:t xml:space="preserve"> </w:t>
            </w:r>
            <w:r>
              <w:rPr>
                <w:rFonts w:hint="eastAsia" w:ascii="宋体" w:hAnsi="宋体"/>
                <w:szCs w:val="21"/>
              </w:rPr>
              <w:t>至少</w:t>
            </w:r>
            <w:r>
              <w:rPr>
                <w:rFonts w:ascii="宋体" w:hAnsi="宋体"/>
                <w:szCs w:val="21"/>
              </w:rPr>
              <w:t>在</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szCs w:val="21"/>
                <w:lang w:eastAsia="zh-CN"/>
              </w:rPr>
              <w:t>级及以上</w:t>
            </w:r>
            <w:r>
              <w:rPr>
                <w:rFonts w:hint="eastAsia" w:ascii="宋体" w:hAnsi="宋体"/>
                <w:szCs w:val="21"/>
              </w:rPr>
              <w:t>公路交通安全设施工程施工项目中担任</w:t>
            </w:r>
            <w:r>
              <w:rPr>
                <w:rFonts w:hint="eastAsia" w:ascii="宋体" w:hAnsi="宋体" w:cs="宋体"/>
                <w:szCs w:val="21"/>
              </w:rPr>
              <w:t>过（□项目总工、□或</w:t>
            </w:r>
            <w:r>
              <w:rPr>
                <w:rFonts w:ascii="宋体" w:hAnsi="宋体"/>
                <w:szCs w:val="21"/>
              </w:rPr>
              <w:t>项目副总工</w:t>
            </w:r>
            <w:r>
              <w:rPr>
                <w:rFonts w:hint="eastAsia" w:ascii="宋体" w:hAnsi="宋体" w:cs="宋体"/>
                <w:szCs w:val="21"/>
              </w:rPr>
              <w:t>）</w:t>
            </w:r>
            <w:r>
              <w:rPr>
                <w:rFonts w:hint="eastAsia" w:ascii="宋体" w:hAnsi="宋体"/>
                <w:szCs w:val="21"/>
              </w:rPr>
              <w:t>职务。</w:t>
            </w:r>
          </w:p>
          <w:p w14:paraId="03F06ED7">
            <w:pPr>
              <w:pStyle w:val="299"/>
              <w:snapToGrid w:val="0"/>
              <w:spacing w:line="400" w:lineRule="exact"/>
              <w:ind w:left="211" w:hanging="211" w:hangingChars="100"/>
              <w:rPr>
                <w:rFonts w:ascii="宋体" w:hAnsi="宋体"/>
                <w:szCs w:val="21"/>
              </w:rPr>
            </w:pPr>
            <w:r>
              <w:rPr>
                <w:rFonts w:hint="eastAsia" w:ascii="宋体" w:hAnsi="宋体" w:cs="宋体"/>
                <w:b/>
                <w:szCs w:val="21"/>
              </w:rPr>
              <w:t>□</w:t>
            </w:r>
            <w:r>
              <w:rPr>
                <w:rFonts w:ascii="宋体" w:hAnsi="宋体" w:cs="宋体"/>
                <w:b/>
                <w:szCs w:val="21"/>
              </w:rPr>
              <w:t xml:space="preserve"> </w:t>
            </w:r>
            <w:r>
              <w:rPr>
                <w:rFonts w:hint="eastAsia" w:ascii="宋体" w:hAnsi="宋体" w:cs="宋体"/>
                <w:bCs/>
                <w:szCs w:val="21"/>
              </w:rPr>
              <w:t>至少</w:t>
            </w:r>
            <w:r>
              <w:rPr>
                <w:rFonts w:ascii="宋体" w:hAnsi="宋体"/>
                <w:szCs w:val="21"/>
              </w:rPr>
              <w:t>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个国内</w:t>
            </w:r>
            <w:r>
              <w:rPr>
                <w:rFonts w:hint="eastAsia" w:ascii="宋体" w:hAnsi="宋体" w:cs="宋体"/>
                <w:szCs w:val="21"/>
              </w:rPr>
              <w:t>（□新建；□改扩建；□新建或改扩建）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szCs w:val="21"/>
                <w:lang w:eastAsia="zh-CN"/>
              </w:rPr>
              <w:t>级及以上</w:t>
            </w:r>
            <w:r>
              <w:rPr>
                <w:rFonts w:hint="eastAsia" w:ascii="宋体" w:hAnsi="宋体"/>
                <w:szCs w:val="21"/>
              </w:rPr>
              <w:t>公路</w:t>
            </w:r>
            <w:r>
              <w:rPr>
                <w:rFonts w:hint="eastAsia" w:ascii="宋体" w:hAnsi="宋体" w:cs="宋体"/>
                <w:szCs w:val="21"/>
              </w:rPr>
              <w:t>隧道</w:t>
            </w:r>
            <w:r>
              <w:rPr>
                <w:rFonts w:hint="eastAsia" w:ascii="宋体" w:hAnsi="宋体"/>
                <w:szCs w:val="21"/>
              </w:rPr>
              <w:t>机电工程施工项目中</w:t>
            </w:r>
            <w:r>
              <w:rPr>
                <w:rFonts w:hint="eastAsia" w:ascii="宋体" w:hAnsi="宋体" w:cs="宋体"/>
                <w:szCs w:val="21"/>
              </w:rPr>
              <w:t>担任过（□项目经理、□或</w:t>
            </w:r>
            <w:r>
              <w:rPr>
                <w:rFonts w:ascii="宋体" w:hAnsi="宋体"/>
                <w:szCs w:val="21"/>
              </w:rPr>
              <w:t>项目副经理</w:t>
            </w:r>
            <w:r>
              <w:rPr>
                <w:rFonts w:hint="eastAsia" w:ascii="宋体" w:hAnsi="宋体"/>
                <w:szCs w:val="21"/>
              </w:rPr>
              <w:t>、</w:t>
            </w:r>
            <w:r>
              <w:rPr>
                <w:rFonts w:hint="eastAsia" w:ascii="宋体" w:hAnsi="宋体" w:cs="宋体"/>
                <w:szCs w:val="21"/>
              </w:rPr>
              <w:t>□或</w:t>
            </w:r>
            <w:r>
              <w:rPr>
                <w:rFonts w:ascii="宋体" w:hAnsi="宋体"/>
                <w:szCs w:val="21"/>
              </w:rPr>
              <w:t>项目总工</w:t>
            </w:r>
            <w:r>
              <w:rPr>
                <w:rFonts w:hint="eastAsia" w:ascii="宋体" w:hAnsi="宋体" w:cs="宋体"/>
                <w:szCs w:val="21"/>
              </w:rPr>
              <w:t>）</w:t>
            </w:r>
            <w:r>
              <w:rPr>
                <w:rFonts w:hint="eastAsia" w:ascii="宋体" w:hAnsi="宋体"/>
                <w:szCs w:val="21"/>
              </w:rPr>
              <w:t>职务。</w:t>
            </w:r>
          </w:p>
          <w:p w14:paraId="15C3D947">
            <w:pPr>
              <w:pStyle w:val="299"/>
              <w:adjustRightInd w:val="0"/>
              <w:snapToGrid w:val="0"/>
              <w:spacing w:line="400" w:lineRule="exact"/>
              <w:ind w:left="211" w:hanging="211" w:hangingChars="100"/>
              <w:rPr>
                <w:rFonts w:ascii="宋体" w:hAnsi="宋体" w:cs="宋体"/>
                <w:szCs w:val="21"/>
              </w:rPr>
            </w:pPr>
            <w:r>
              <w:rPr>
                <w:rFonts w:hint="eastAsia" w:ascii="宋体" w:hAnsi="宋体"/>
                <w:b/>
                <w:szCs w:val="21"/>
              </w:rPr>
              <w:t>□</w:t>
            </w:r>
            <w:r>
              <w:rPr>
                <w:rFonts w:hint="eastAsia" w:ascii="宋体" w:hAnsi="宋体"/>
                <w:szCs w:val="21"/>
              </w:rPr>
              <w:t xml:space="preserve"> 至少在</w:t>
            </w:r>
            <w:r>
              <w:rPr>
                <w:rFonts w:hint="eastAsia" w:ascii="宋体" w:hAnsi="宋体"/>
                <w:szCs w:val="21"/>
                <w:u w:val="single"/>
              </w:rPr>
              <w:t xml:space="preserve">   </w:t>
            </w:r>
            <w:r>
              <w:rPr>
                <w:rFonts w:hint="eastAsia" w:ascii="宋体" w:hAnsi="宋体"/>
                <w:szCs w:val="21"/>
              </w:rPr>
              <w:t>个国内房建工程</w:t>
            </w:r>
            <w:r>
              <w:rPr>
                <w:rFonts w:hint="eastAsia" w:ascii="宋体" w:hAnsi="宋体"/>
                <w:szCs w:val="21"/>
                <w:lang w:val="en-US" w:eastAsia="zh-CN"/>
              </w:rPr>
              <w:t>施工</w:t>
            </w:r>
            <w:r>
              <w:rPr>
                <w:rFonts w:hint="eastAsia" w:ascii="宋体" w:hAnsi="宋体"/>
                <w:szCs w:val="21"/>
              </w:rPr>
              <w:t>项目中担任</w:t>
            </w:r>
            <w:r>
              <w:rPr>
                <w:rFonts w:hint="eastAsia" w:ascii="宋体" w:hAnsi="宋体" w:cs="宋体"/>
                <w:szCs w:val="21"/>
              </w:rPr>
              <w:t>过（□项目总工、</w:t>
            </w:r>
          </w:p>
          <w:p w14:paraId="61D9B8AC">
            <w:pPr>
              <w:pStyle w:val="299"/>
              <w:adjustRightInd w:val="0"/>
              <w:snapToGrid w:val="0"/>
              <w:spacing w:line="400" w:lineRule="exact"/>
              <w:ind w:left="211" w:hanging="210" w:hangingChars="100"/>
              <w:rPr>
                <w:rFonts w:ascii="宋体" w:hAnsi="宋体"/>
                <w:b/>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□或</w:t>
            </w:r>
            <w:r>
              <w:rPr>
                <w:rFonts w:ascii="宋体" w:hAnsi="宋体"/>
                <w:szCs w:val="21"/>
              </w:rPr>
              <w:t>项目副总工</w:t>
            </w:r>
            <w:r>
              <w:rPr>
                <w:rFonts w:hint="eastAsia" w:ascii="宋体" w:hAnsi="宋体" w:cs="宋体"/>
                <w:szCs w:val="21"/>
              </w:rPr>
              <w:t>）</w:t>
            </w:r>
            <w:r>
              <w:rPr>
                <w:rFonts w:hint="eastAsia" w:ascii="宋体" w:hAnsi="宋体"/>
                <w:szCs w:val="21"/>
              </w:rPr>
              <w:t>职务。</w:t>
            </w:r>
          </w:p>
          <w:p w14:paraId="5A9789FD">
            <w:pPr>
              <w:spacing w:line="400" w:lineRule="exact"/>
              <w:rPr>
                <w:rFonts w:ascii="宋体" w:hAnsi="宋体"/>
                <w:szCs w:val="21"/>
              </w:rPr>
            </w:pPr>
            <w:r>
              <w:rPr>
                <w:rFonts w:hint="eastAsia" w:ascii="宋体" w:hAnsi="宋体"/>
                <w:b/>
                <w:szCs w:val="21"/>
              </w:rPr>
              <w:t>□</w:t>
            </w:r>
            <w:r>
              <w:rPr>
                <w:rFonts w:ascii="宋体" w:hAnsi="宋体"/>
                <w:szCs w:val="21"/>
              </w:rPr>
              <w:t xml:space="preserve"> 其他：</w:t>
            </w:r>
            <w:r>
              <w:rPr>
                <w:rFonts w:ascii="宋体" w:hAnsi="宋体"/>
                <w:szCs w:val="21"/>
                <w:u w:val="single"/>
              </w:rPr>
              <w:t xml:space="preserve">          </w:t>
            </w:r>
          </w:p>
          <w:p w14:paraId="2E3D788C">
            <w:pPr>
              <w:spacing w:line="400" w:lineRule="exact"/>
              <w:rPr>
                <w:rFonts w:ascii="宋体" w:hAnsi="宋体"/>
                <w:szCs w:val="21"/>
              </w:rPr>
            </w:pPr>
            <w:r>
              <w:rPr>
                <w:rFonts w:hint="eastAsia" w:ascii="宋体" w:hAnsi="宋体"/>
                <w:b/>
                <w:szCs w:val="21"/>
              </w:rPr>
              <w:t>□</w:t>
            </w:r>
            <w:r>
              <w:rPr>
                <w:rFonts w:ascii="宋体" w:hAnsi="宋体"/>
                <w:szCs w:val="21"/>
              </w:rPr>
              <w:t xml:space="preserve"> 联合体应满足下列要求：</w:t>
            </w:r>
            <w:r>
              <w:rPr>
                <w:rFonts w:ascii="宋体" w:hAnsi="宋体"/>
                <w:szCs w:val="21"/>
                <w:u w:val="single"/>
              </w:rPr>
              <w:t xml:space="preserve">                 </w:t>
            </w:r>
            <w:r>
              <w:rPr>
                <w:rFonts w:ascii="宋体" w:hAnsi="宋体"/>
                <w:szCs w:val="21"/>
              </w:rPr>
              <w:t xml:space="preserve"> </w:t>
            </w:r>
          </w:p>
          <w:p w14:paraId="075F580D">
            <w:pPr>
              <w:spacing w:line="400" w:lineRule="exact"/>
              <w:rPr>
                <w:rFonts w:ascii="宋体" w:hAnsi="宋体"/>
                <w:szCs w:val="21"/>
              </w:rPr>
            </w:pPr>
          </w:p>
        </w:tc>
        <w:tc>
          <w:tcPr>
            <w:tcW w:w="1268" w:type="dxa"/>
            <w:vAlign w:val="center"/>
          </w:tcPr>
          <w:p w14:paraId="299AB879">
            <w:pPr>
              <w:spacing w:line="400" w:lineRule="exact"/>
              <w:jc w:val="center"/>
              <w:rPr>
                <w:rFonts w:ascii="宋体" w:hAnsi="宋体"/>
                <w:szCs w:val="21"/>
              </w:rPr>
            </w:pPr>
            <w:r>
              <w:rPr>
                <w:rFonts w:hint="eastAsia" w:ascii="宋体" w:hAnsi="宋体"/>
                <w:szCs w:val="21"/>
              </w:rPr>
              <w:t>无在岗项目（指目前未在其他项目上任职，或虽在其他项目上任职但本项目中标后能够从该项目撤离）</w:t>
            </w:r>
          </w:p>
        </w:tc>
      </w:tr>
      <w:tr w14:paraId="06EA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39" w:type="dxa"/>
            <w:vAlign w:val="center"/>
          </w:tcPr>
          <w:p w14:paraId="21ECB23B">
            <w:pPr>
              <w:spacing w:line="400" w:lineRule="exact"/>
              <w:jc w:val="center"/>
              <w:rPr>
                <w:rFonts w:ascii="宋体" w:hAnsi="宋体"/>
                <w:szCs w:val="21"/>
              </w:rPr>
            </w:pPr>
            <w:r>
              <w:rPr>
                <w:rFonts w:hint="eastAsia" w:ascii="宋体" w:hAnsi="宋体"/>
                <w:szCs w:val="21"/>
              </w:rPr>
              <w:t>……</w:t>
            </w:r>
          </w:p>
        </w:tc>
        <w:tc>
          <w:tcPr>
            <w:tcW w:w="972" w:type="dxa"/>
            <w:vAlign w:val="center"/>
          </w:tcPr>
          <w:p w14:paraId="29345F50">
            <w:pPr>
              <w:spacing w:line="400" w:lineRule="exact"/>
              <w:jc w:val="center"/>
              <w:rPr>
                <w:rFonts w:ascii="宋体" w:hAnsi="宋体"/>
                <w:szCs w:val="21"/>
              </w:rPr>
            </w:pPr>
            <w:r>
              <w:rPr>
                <w:rFonts w:hint="eastAsia" w:ascii="宋体" w:hAnsi="宋体"/>
                <w:szCs w:val="21"/>
              </w:rPr>
              <w:t>……</w:t>
            </w:r>
          </w:p>
        </w:tc>
        <w:tc>
          <w:tcPr>
            <w:tcW w:w="5976" w:type="dxa"/>
            <w:vAlign w:val="center"/>
          </w:tcPr>
          <w:p w14:paraId="46FABD1E">
            <w:pPr>
              <w:spacing w:line="400" w:lineRule="exact"/>
              <w:rPr>
                <w:rFonts w:ascii="宋体" w:hAnsi="宋体"/>
                <w:szCs w:val="21"/>
              </w:rPr>
            </w:pPr>
            <w:r>
              <w:rPr>
                <w:rFonts w:hint="eastAsia" w:ascii="宋体" w:hAnsi="宋体"/>
                <w:szCs w:val="21"/>
              </w:rPr>
              <w:t>……</w:t>
            </w:r>
          </w:p>
        </w:tc>
        <w:tc>
          <w:tcPr>
            <w:tcW w:w="1268" w:type="dxa"/>
            <w:vAlign w:val="center"/>
          </w:tcPr>
          <w:p w14:paraId="55D89522">
            <w:pPr>
              <w:spacing w:line="400" w:lineRule="exact"/>
              <w:rPr>
                <w:rFonts w:ascii="宋体" w:hAnsi="宋体"/>
                <w:szCs w:val="21"/>
              </w:rPr>
            </w:pPr>
            <w:r>
              <w:rPr>
                <w:rFonts w:hint="eastAsia" w:ascii="宋体" w:hAnsi="宋体"/>
                <w:szCs w:val="21"/>
              </w:rPr>
              <w:t>……</w:t>
            </w:r>
          </w:p>
        </w:tc>
      </w:tr>
    </w:tbl>
    <w:p w14:paraId="10E4A8C9">
      <w:pPr>
        <w:pStyle w:val="299"/>
        <w:adjustRightInd w:val="0"/>
        <w:snapToGrid w:val="0"/>
        <w:spacing w:line="360" w:lineRule="auto"/>
        <w:jc w:val="center"/>
        <w:rPr>
          <w:rFonts w:ascii="黑体" w:hAnsi="黑体" w:eastAsia="黑体"/>
          <w:bCs/>
          <w:sz w:val="24"/>
        </w:rPr>
      </w:pPr>
    </w:p>
    <w:p w14:paraId="6AD2995B">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pPr>
      <w:r>
        <w:rPr>
          <w:rFonts w:hint="eastAsia" w:ascii="宋体" w:hAnsi="宋体" w:eastAsia="宋体" w:cs="宋体"/>
          <w:szCs w:val="21"/>
        </w:rPr>
        <w:t>注</w:t>
      </w:r>
      <w:r>
        <w:rPr>
          <w:rFonts w:hint="eastAsia" w:ascii="宋体" w:hAnsi="宋体" w:eastAsia="宋体" w:cs="宋体"/>
          <w:sz w:val="24"/>
          <w:szCs w:val="21"/>
        </w:rPr>
        <w:t>：</w:t>
      </w:r>
      <w:r>
        <w:rPr>
          <w:rFonts w:ascii="宋体" w:hAnsi="宋体" w:cs="宋体"/>
          <w:szCs w:val="21"/>
        </w:rPr>
        <w:t>1.</w:t>
      </w:r>
      <w:r>
        <w:rPr>
          <w:rFonts w:hint="eastAsia" w:ascii="宋体" w:hAnsi="宋体" w:cs="宋体"/>
          <w:szCs w:val="21"/>
        </w:rPr>
        <w:t>如项目总工仍在其他项目上任职，则投标人在投标函中应承诺上述人员能够从该项目撤离。</w:t>
      </w:r>
    </w:p>
    <w:p w14:paraId="2C5F62AF">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rPr>
      </w:pPr>
      <w:r>
        <w:rPr>
          <w:rFonts w:hint="eastAsia" w:ascii="宋体" w:hAnsi="宋体" w:cs="宋体"/>
          <w:szCs w:val="21"/>
        </w:rPr>
        <w:t>2.涉及“</w:t>
      </w:r>
      <w:r>
        <w:rPr>
          <w:rFonts w:hint="eastAsia" w:ascii="宋体" w:hAnsi="宋体" w:cs="宋体"/>
          <w:szCs w:val="21"/>
        </w:rPr>
        <w:sym w:font="Wingdings 2" w:char="00A3"/>
      </w:r>
      <w:r>
        <w:rPr>
          <w:rFonts w:hint="eastAsia" w:ascii="宋体" w:hAnsi="宋体" w:cs="宋体"/>
          <w:szCs w:val="21"/>
        </w:rPr>
        <w:t>新建；□改扩建；□新建或改扩建”</w:t>
      </w:r>
      <w:r>
        <w:rPr>
          <w:rFonts w:hint="eastAsia" w:ascii="宋体" w:hAnsi="宋体"/>
        </w:rPr>
        <w:t>为单选项。</w:t>
      </w:r>
    </w:p>
    <w:p w14:paraId="51B12E73">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Cs w:val="21"/>
          <w:lang w:eastAsia="zh-CN"/>
        </w:rPr>
      </w:pPr>
      <w:r>
        <w:rPr>
          <w:rFonts w:ascii="宋体" w:hAnsi="宋体" w:cs="宋体"/>
          <w:szCs w:val="21"/>
        </w:rPr>
        <w:t>3.</w:t>
      </w:r>
      <w:r>
        <w:rPr>
          <w:rFonts w:hint="eastAsia" w:ascii="宋体" w:hAnsi="宋体" w:cs="宋体"/>
          <w:szCs w:val="21"/>
        </w:rPr>
        <w:t>路基土建工程指须至少包含“路基工程、桥涵工程”或“路基工程、隧道工程”的项目</w:t>
      </w:r>
      <w:r>
        <w:rPr>
          <w:rFonts w:hint="eastAsia" w:ascii="宋体" w:hAnsi="宋体" w:cs="宋体"/>
          <w:szCs w:val="21"/>
          <w:lang w:eastAsia="zh-CN"/>
        </w:rPr>
        <w:t>。</w:t>
      </w:r>
    </w:p>
    <w:p w14:paraId="6DEB14CF">
      <w:pPr>
        <w:pStyle w:val="48"/>
        <w:spacing w:line="360" w:lineRule="auto"/>
        <w:ind w:left="0" w:leftChars="0" w:firstLine="420" w:firstLineChars="200"/>
      </w:pPr>
      <w:r>
        <w:rPr>
          <w:rFonts w:hint="eastAsia" w:ascii="宋体" w:hAnsi="宋体" w:cs="宋体"/>
          <w:szCs w:val="21"/>
        </w:rPr>
        <w:t>4.本表涉及“□项目总工、</w:t>
      </w:r>
      <w:r>
        <w:rPr>
          <w:rFonts w:hint="eastAsia" w:ascii="宋体" w:hAnsi="宋体" w:cs="宋体"/>
          <w:szCs w:val="21"/>
        </w:rPr>
        <w:sym w:font="Wingdings 2" w:char="00A3"/>
      </w:r>
      <w:r>
        <w:rPr>
          <w:rFonts w:hint="eastAsia" w:ascii="宋体" w:hAnsi="宋体" w:cs="宋体"/>
          <w:szCs w:val="21"/>
        </w:rPr>
        <w:t>或</w:t>
      </w:r>
      <w:r>
        <w:rPr>
          <w:rFonts w:ascii="宋体" w:hAnsi="宋体" w:cs="宋体"/>
          <w:szCs w:val="21"/>
        </w:rPr>
        <w:t>项目副总工</w:t>
      </w:r>
      <w:r>
        <w:rPr>
          <w:rFonts w:hint="eastAsia" w:ascii="宋体" w:hAnsi="宋体" w:cs="宋体"/>
          <w:szCs w:val="21"/>
        </w:rPr>
        <w:t>”选择项由招标人对主要人员业绩经验担任的相应职务进行要求，可为单选或多选</w:t>
      </w:r>
      <w:r>
        <w:rPr>
          <w:rFonts w:hint="eastAsia" w:ascii="宋体" w:hAnsi="宋体" w:cs="宋体"/>
          <w:szCs w:val="21"/>
          <w:lang w:eastAsia="zh-CN"/>
        </w:rPr>
        <w:t>。</w:t>
      </w:r>
      <w:bookmarkEnd w:id="842"/>
      <w:r>
        <w:br w:type="page"/>
      </w:r>
    </w:p>
    <w:p w14:paraId="7A44455A">
      <w:pPr>
        <w:pStyle w:val="20"/>
        <w:spacing w:line="360" w:lineRule="auto"/>
      </w:pPr>
      <w:r>
        <w:rPr>
          <w:rFonts w:hint="eastAsia" w:ascii="黑体" w:hAnsi="黑体" w:eastAsia="黑体"/>
        </w:rPr>
        <w:t>附件五</w:t>
      </w:r>
      <w:r>
        <w:rPr>
          <w:rFonts w:ascii="黑体" w:hAnsi="黑体" w:eastAsia="黑体"/>
          <w:kern w:val="0"/>
        </w:rPr>
        <w:t xml:space="preserve"> </w:t>
      </w:r>
      <w:r>
        <w:rPr>
          <w:rFonts w:hint="eastAsia" w:ascii="黑体" w:hAnsi="黑体" w:eastAsia="黑体"/>
          <w:kern w:val="0"/>
        </w:rPr>
        <w:t>其他管理和技术人员最低要求</w:t>
      </w:r>
    </w:p>
    <w:p w14:paraId="4176CAE3">
      <w:pPr>
        <w:pStyle w:val="20"/>
        <w:spacing w:before="4" w:after="1"/>
        <w:rPr>
          <w:b/>
          <w:sz w:val="13"/>
        </w:rPr>
      </w:pPr>
    </w:p>
    <w:p w14:paraId="04DAB00A">
      <w:pPr>
        <w:pStyle w:val="299"/>
        <w:jc w:val="center"/>
        <w:rPr>
          <w:rFonts w:ascii="黑体" w:hAnsi="黑体" w:eastAsia="黑体"/>
          <w:bCs/>
          <w:sz w:val="24"/>
        </w:rPr>
      </w:pPr>
      <w:r>
        <w:rPr>
          <w:rFonts w:hint="eastAsia" w:ascii="黑体" w:hAnsi="黑体" w:eastAsia="黑体"/>
          <w:b/>
          <w:sz w:val="24"/>
        </w:rPr>
        <w:t>□</w:t>
      </w:r>
      <w:r>
        <w:rPr>
          <w:rFonts w:ascii="黑体" w:hAnsi="黑体" w:eastAsia="黑体"/>
          <w:bCs/>
          <w:sz w:val="24"/>
        </w:rPr>
        <w:t xml:space="preserve"> </w:t>
      </w:r>
      <w:r>
        <w:rPr>
          <w:rFonts w:hint="eastAsia" w:ascii="黑体" w:hAnsi="黑体" w:eastAsia="黑体"/>
          <w:bCs/>
          <w:sz w:val="24"/>
        </w:rPr>
        <w:t>其他勘察设计管理和技术人员</w:t>
      </w:r>
    </w:p>
    <w:p w14:paraId="340793DD">
      <w:pPr>
        <w:pStyle w:val="299"/>
        <w:jc w:val="center"/>
        <w:rPr>
          <w:rFonts w:ascii="黑体" w:hAnsi="黑体" w:eastAsia="黑体"/>
          <w:bCs/>
          <w:sz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659"/>
        <w:gridCol w:w="1371"/>
        <w:gridCol w:w="4675"/>
      </w:tblGrid>
      <w:tr w14:paraId="5D364B2C">
        <w:tblPrEx>
          <w:tblCellMar>
            <w:top w:w="0" w:type="dxa"/>
            <w:left w:w="108" w:type="dxa"/>
            <w:bottom w:w="0" w:type="dxa"/>
            <w:right w:w="108" w:type="dxa"/>
          </w:tblCellMar>
        </w:tblPrEx>
        <w:trPr>
          <w:trHeight w:val="673" w:hRule="atLeast"/>
        </w:trPr>
        <w:tc>
          <w:tcPr>
            <w:tcW w:w="1076" w:type="dxa"/>
            <w:vAlign w:val="center"/>
          </w:tcPr>
          <w:p w14:paraId="17AC6AA6">
            <w:pPr>
              <w:spacing w:line="480" w:lineRule="exact"/>
              <w:jc w:val="center"/>
              <w:rPr>
                <w:rFonts w:ascii="宋体" w:hAnsi="宋体"/>
                <w:szCs w:val="21"/>
              </w:rPr>
            </w:pPr>
            <w:r>
              <w:rPr>
                <w:rFonts w:hint="eastAsia" w:ascii="宋体" w:hAnsi="宋体"/>
                <w:szCs w:val="21"/>
              </w:rPr>
              <w:t>标段</w:t>
            </w:r>
          </w:p>
        </w:tc>
        <w:tc>
          <w:tcPr>
            <w:tcW w:w="1659" w:type="dxa"/>
            <w:vAlign w:val="center"/>
          </w:tcPr>
          <w:p w14:paraId="382DA320">
            <w:pPr>
              <w:spacing w:line="480" w:lineRule="exact"/>
              <w:jc w:val="center"/>
              <w:rPr>
                <w:rFonts w:ascii="宋体" w:hAnsi="宋体"/>
                <w:szCs w:val="21"/>
              </w:rPr>
            </w:pPr>
            <w:r>
              <w:rPr>
                <w:rFonts w:hint="eastAsia" w:ascii="宋体" w:hAnsi="宋体"/>
                <w:szCs w:val="21"/>
              </w:rPr>
              <w:t>人员</w:t>
            </w:r>
          </w:p>
        </w:tc>
        <w:tc>
          <w:tcPr>
            <w:tcW w:w="1371" w:type="dxa"/>
            <w:vAlign w:val="center"/>
          </w:tcPr>
          <w:p w14:paraId="2356928C">
            <w:pPr>
              <w:spacing w:line="480" w:lineRule="exact"/>
              <w:jc w:val="center"/>
              <w:rPr>
                <w:rFonts w:ascii="宋体" w:hAnsi="宋体"/>
                <w:szCs w:val="21"/>
              </w:rPr>
            </w:pPr>
            <w:r>
              <w:rPr>
                <w:rFonts w:hint="eastAsia" w:ascii="宋体" w:hAnsi="宋体"/>
                <w:szCs w:val="21"/>
              </w:rPr>
              <w:t>数量</w:t>
            </w:r>
          </w:p>
        </w:tc>
        <w:tc>
          <w:tcPr>
            <w:tcW w:w="4675" w:type="dxa"/>
            <w:vAlign w:val="center"/>
          </w:tcPr>
          <w:p w14:paraId="65F51265">
            <w:pPr>
              <w:spacing w:line="480" w:lineRule="exact"/>
              <w:jc w:val="center"/>
              <w:rPr>
                <w:rFonts w:ascii="宋体" w:hAnsi="宋体"/>
                <w:szCs w:val="21"/>
              </w:rPr>
            </w:pPr>
            <w:r>
              <w:rPr>
                <w:rFonts w:hint="eastAsia" w:ascii="宋体" w:hAnsi="宋体"/>
                <w:szCs w:val="21"/>
              </w:rPr>
              <w:t>资格要求</w:t>
            </w:r>
          </w:p>
        </w:tc>
      </w:tr>
      <w:tr w14:paraId="41E6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1BAC13A9">
            <w:pPr>
              <w:spacing w:line="480" w:lineRule="exact"/>
              <w:jc w:val="center"/>
              <w:rPr>
                <w:rFonts w:ascii="宋体" w:hAnsi="宋体"/>
                <w:szCs w:val="21"/>
              </w:rPr>
            </w:pPr>
          </w:p>
        </w:tc>
        <w:tc>
          <w:tcPr>
            <w:tcW w:w="1659" w:type="dxa"/>
            <w:vAlign w:val="center"/>
          </w:tcPr>
          <w:p w14:paraId="55C09448">
            <w:pPr>
              <w:spacing w:line="480" w:lineRule="exact"/>
              <w:jc w:val="center"/>
              <w:rPr>
                <w:rFonts w:ascii="宋体" w:hAnsi="宋体"/>
                <w:szCs w:val="21"/>
              </w:rPr>
            </w:pPr>
          </w:p>
        </w:tc>
        <w:tc>
          <w:tcPr>
            <w:tcW w:w="1371" w:type="dxa"/>
            <w:vAlign w:val="center"/>
          </w:tcPr>
          <w:p w14:paraId="6AAEE9CD">
            <w:pPr>
              <w:spacing w:line="480" w:lineRule="exact"/>
              <w:jc w:val="center"/>
              <w:rPr>
                <w:rFonts w:ascii="宋体" w:hAnsi="宋体"/>
                <w:szCs w:val="21"/>
              </w:rPr>
            </w:pPr>
          </w:p>
        </w:tc>
        <w:tc>
          <w:tcPr>
            <w:tcW w:w="4675" w:type="dxa"/>
            <w:vAlign w:val="center"/>
          </w:tcPr>
          <w:p w14:paraId="1A449FE4">
            <w:pPr>
              <w:spacing w:line="480" w:lineRule="exact"/>
              <w:jc w:val="center"/>
              <w:rPr>
                <w:rFonts w:ascii="宋体" w:hAnsi="宋体"/>
                <w:szCs w:val="21"/>
              </w:rPr>
            </w:pPr>
          </w:p>
        </w:tc>
      </w:tr>
      <w:tr w14:paraId="2EC6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79E5934F">
            <w:pPr>
              <w:spacing w:line="480" w:lineRule="exact"/>
              <w:jc w:val="center"/>
              <w:rPr>
                <w:rFonts w:ascii="宋体" w:hAnsi="宋体"/>
                <w:szCs w:val="21"/>
              </w:rPr>
            </w:pPr>
          </w:p>
        </w:tc>
        <w:tc>
          <w:tcPr>
            <w:tcW w:w="1659" w:type="dxa"/>
            <w:vAlign w:val="center"/>
          </w:tcPr>
          <w:p w14:paraId="4233D0D2">
            <w:pPr>
              <w:spacing w:line="480" w:lineRule="exact"/>
              <w:jc w:val="center"/>
              <w:rPr>
                <w:rFonts w:ascii="宋体" w:hAnsi="宋体"/>
                <w:szCs w:val="21"/>
              </w:rPr>
            </w:pPr>
          </w:p>
        </w:tc>
        <w:tc>
          <w:tcPr>
            <w:tcW w:w="1371" w:type="dxa"/>
            <w:vAlign w:val="center"/>
          </w:tcPr>
          <w:p w14:paraId="7F68EFEC">
            <w:pPr>
              <w:spacing w:line="480" w:lineRule="exact"/>
              <w:jc w:val="center"/>
              <w:rPr>
                <w:rFonts w:ascii="宋体" w:hAnsi="宋体"/>
                <w:szCs w:val="21"/>
              </w:rPr>
            </w:pPr>
          </w:p>
        </w:tc>
        <w:tc>
          <w:tcPr>
            <w:tcW w:w="4675" w:type="dxa"/>
            <w:vAlign w:val="center"/>
          </w:tcPr>
          <w:p w14:paraId="28E4F3A5">
            <w:pPr>
              <w:spacing w:line="480" w:lineRule="exact"/>
              <w:jc w:val="center"/>
              <w:rPr>
                <w:rFonts w:ascii="宋体" w:hAnsi="宋体"/>
                <w:szCs w:val="21"/>
              </w:rPr>
            </w:pPr>
          </w:p>
        </w:tc>
      </w:tr>
      <w:tr w14:paraId="30D2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076" w:type="dxa"/>
            <w:vAlign w:val="center"/>
          </w:tcPr>
          <w:p w14:paraId="3DA13E58">
            <w:pPr>
              <w:spacing w:line="480" w:lineRule="exact"/>
              <w:jc w:val="center"/>
              <w:rPr>
                <w:rFonts w:ascii="宋体" w:hAnsi="宋体"/>
                <w:szCs w:val="21"/>
              </w:rPr>
            </w:pPr>
          </w:p>
        </w:tc>
        <w:tc>
          <w:tcPr>
            <w:tcW w:w="1659" w:type="dxa"/>
            <w:vAlign w:val="center"/>
          </w:tcPr>
          <w:p w14:paraId="354C1EE9">
            <w:pPr>
              <w:spacing w:line="480" w:lineRule="exact"/>
              <w:jc w:val="center"/>
              <w:rPr>
                <w:rFonts w:ascii="宋体" w:hAnsi="宋体"/>
                <w:szCs w:val="21"/>
              </w:rPr>
            </w:pPr>
          </w:p>
        </w:tc>
        <w:tc>
          <w:tcPr>
            <w:tcW w:w="1371" w:type="dxa"/>
            <w:vAlign w:val="center"/>
          </w:tcPr>
          <w:p w14:paraId="5570EA54">
            <w:pPr>
              <w:spacing w:line="480" w:lineRule="exact"/>
              <w:jc w:val="center"/>
              <w:rPr>
                <w:rFonts w:ascii="宋体" w:hAnsi="宋体"/>
                <w:szCs w:val="21"/>
              </w:rPr>
            </w:pPr>
          </w:p>
        </w:tc>
        <w:tc>
          <w:tcPr>
            <w:tcW w:w="4675" w:type="dxa"/>
            <w:vAlign w:val="center"/>
          </w:tcPr>
          <w:p w14:paraId="20E31AE3">
            <w:pPr>
              <w:spacing w:line="480" w:lineRule="exact"/>
              <w:jc w:val="center"/>
              <w:rPr>
                <w:rFonts w:ascii="宋体" w:hAnsi="宋体"/>
                <w:szCs w:val="21"/>
              </w:rPr>
            </w:pPr>
          </w:p>
        </w:tc>
      </w:tr>
      <w:tr w14:paraId="4B2E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076" w:type="dxa"/>
            <w:vAlign w:val="center"/>
          </w:tcPr>
          <w:p w14:paraId="1AD4D4BB">
            <w:pPr>
              <w:spacing w:line="480" w:lineRule="exact"/>
              <w:jc w:val="center"/>
              <w:rPr>
                <w:rFonts w:ascii="宋体" w:hAnsi="宋体"/>
                <w:szCs w:val="21"/>
              </w:rPr>
            </w:pPr>
          </w:p>
        </w:tc>
        <w:tc>
          <w:tcPr>
            <w:tcW w:w="1659" w:type="dxa"/>
            <w:vAlign w:val="center"/>
          </w:tcPr>
          <w:p w14:paraId="6C6E02FE">
            <w:pPr>
              <w:spacing w:line="480" w:lineRule="exact"/>
              <w:jc w:val="center"/>
              <w:rPr>
                <w:rFonts w:ascii="宋体" w:hAnsi="宋体"/>
                <w:szCs w:val="21"/>
              </w:rPr>
            </w:pPr>
          </w:p>
        </w:tc>
        <w:tc>
          <w:tcPr>
            <w:tcW w:w="1371" w:type="dxa"/>
            <w:vAlign w:val="center"/>
          </w:tcPr>
          <w:p w14:paraId="702B6F59">
            <w:pPr>
              <w:spacing w:line="480" w:lineRule="exact"/>
              <w:jc w:val="center"/>
              <w:rPr>
                <w:rFonts w:ascii="宋体" w:hAnsi="宋体"/>
                <w:szCs w:val="21"/>
              </w:rPr>
            </w:pPr>
          </w:p>
        </w:tc>
        <w:tc>
          <w:tcPr>
            <w:tcW w:w="4675" w:type="dxa"/>
            <w:vAlign w:val="center"/>
          </w:tcPr>
          <w:p w14:paraId="7BBED40C">
            <w:pPr>
              <w:spacing w:line="480" w:lineRule="exact"/>
              <w:jc w:val="center"/>
              <w:rPr>
                <w:rFonts w:ascii="宋体" w:hAnsi="宋体"/>
                <w:szCs w:val="21"/>
              </w:rPr>
            </w:pPr>
          </w:p>
        </w:tc>
      </w:tr>
      <w:tr w14:paraId="65A3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6" w:type="dxa"/>
            <w:vAlign w:val="center"/>
          </w:tcPr>
          <w:p w14:paraId="20BC9A63">
            <w:pPr>
              <w:spacing w:line="480" w:lineRule="exact"/>
              <w:jc w:val="center"/>
              <w:rPr>
                <w:rFonts w:ascii="宋体" w:hAnsi="宋体"/>
                <w:szCs w:val="21"/>
              </w:rPr>
            </w:pPr>
          </w:p>
        </w:tc>
        <w:tc>
          <w:tcPr>
            <w:tcW w:w="1659" w:type="dxa"/>
            <w:vAlign w:val="center"/>
          </w:tcPr>
          <w:p w14:paraId="3190B45C">
            <w:pPr>
              <w:spacing w:line="480" w:lineRule="exact"/>
              <w:jc w:val="center"/>
              <w:rPr>
                <w:rFonts w:ascii="宋体" w:hAnsi="宋体"/>
                <w:szCs w:val="21"/>
              </w:rPr>
            </w:pPr>
          </w:p>
        </w:tc>
        <w:tc>
          <w:tcPr>
            <w:tcW w:w="1371" w:type="dxa"/>
            <w:vAlign w:val="center"/>
          </w:tcPr>
          <w:p w14:paraId="16530C44">
            <w:pPr>
              <w:spacing w:line="480" w:lineRule="exact"/>
              <w:jc w:val="center"/>
              <w:rPr>
                <w:rFonts w:ascii="宋体" w:hAnsi="宋体"/>
                <w:szCs w:val="21"/>
              </w:rPr>
            </w:pPr>
          </w:p>
        </w:tc>
        <w:tc>
          <w:tcPr>
            <w:tcW w:w="4675" w:type="dxa"/>
            <w:vAlign w:val="center"/>
          </w:tcPr>
          <w:p w14:paraId="6AECABBE">
            <w:pPr>
              <w:spacing w:line="480" w:lineRule="exact"/>
              <w:jc w:val="center"/>
              <w:rPr>
                <w:rFonts w:ascii="宋体" w:hAnsi="宋体"/>
                <w:szCs w:val="21"/>
              </w:rPr>
            </w:pPr>
          </w:p>
        </w:tc>
      </w:tr>
      <w:tr w14:paraId="1FD1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06D20ECF">
            <w:pPr>
              <w:spacing w:line="480" w:lineRule="exact"/>
              <w:jc w:val="center"/>
              <w:rPr>
                <w:rFonts w:ascii="宋体" w:hAnsi="宋体"/>
                <w:szCs w:val="21"/>
              </w:rPr>
            </w:pPr>
          </w:p>
        </w:tc>
        <w:tc>
          <w:tcPr>
            <w:tcW w:w="1659" w:type="dxa"/>
            <w:vAlign w:val="center"/>
          </w:tcPr>
          <w:p w14:paraId="64DD942D">
            <w:pPr>
              <w:spacing w:line="480" w:lineRule="exact"/>
              <w:jc w:val="center"/>
              <w:rPr>
                <w:rFonts w:ascii="宋体" w:hAnsi="宋体"/>
                <w:szCs w:val="21"/>
              </w:rPr>
            </w:pPr>
          </w:p>
        </w:tc>
        <w:tc>
          <w:tcPr>
            <w:tcW w:w="1371" w:type="dxa"/>
            <w:vAlign w:val="center"/>
          </w:tcPr>
          <w:p w14:paraId="2D48F01E">
            <w:pPr>
              <w:spacing w:line="480" w:lineRule="exact"/>
              <w:jc w:val="center"/>
              <w:rPr>
                <w:rFonts w:ascii="宋体" w:hAnsi="宋体"/>
                <w:szCs w:val="21"/>
              </w:rPr>
            </w:pPr>
          </w:p>
        </w:tc>
        <w:tc>
          <w:tcPr>
            <w:tcW w:w="4675" w:type="dxa"/>
            <w:vAlign w:val="center"/>
          </w:tcPr>
          <w:p w14:paraId="119DAC22">
            <w:pPr>
              <w:spacing w:line="480" w:lineRule="exact"/>
              <w:jc w:val="center"/>
              <w:rPr>
                <w:rFonts w:ascii="宋体" w:hAnsi="宋体"/>
                <w:szCs w:val="21"/>
              </w:rPr>
            </w:pPr>
          </w:p>
        </w:tc>
      </w:tr>
      <w:tr w14:paraId="6E97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5E77A84D">
            <w:pPr>
              <w:spacing w:line="480" w:lineRule="exact"/>
              <w:jc w:val="center"/>
              <w:rPr>
                <w:rFonts w:ascii="宋体" w:hAnsi="宋体"/>
                <w:szCs w:val="21"/>
              </w:rPr>
            </w:pPr>
          </w:p>
        </w:tc>
        <w:tc>
          <w:tcPr>
            <w:tcW w:w="1659" w:type="dxa"/>
            <w:vAlign w:val="center"/>
          </w:tcPr>
          <w:p w14:paraId="3C9B8EA0">
            <w:pPr>
              <w:spacing w:line="480" w:lineRule="exact"/>
              <w:jc w:val="center"/>
              <w:rPr>
                <w:rFonts w:ascii="宋体" w:hAnsi="宋体"/>
                <w:szCs w:val="21"/>
              </w:rPr>
            </w:pPr>
          </w:p>
        </w:tc>
        <w:tc>
          <w:tcPr>
            <w:tcW w:w="1371" w:type="dxa"/>
            <w:vAlign w:val="center"/>
          </w:tcPr>
          <w:p w14:paraId="69AA445B">
            <w:pPr>
              <w:spacing w:line="480" w:lineRule="exact"/>
              <w:jc w:val="center"/>
              <w:rPr>
                <w:rFonts w:ascii="宋体" w:hAnsi="宋体"/>
                <w:szCs w:val="21"/>
              </w:rPr>
            </w:pPr>
          </w:p>
        </w:tc>
        <w:tc>
          <w:tcPr>
            <w:tcW w:w="4675" w:type="dxa"/>
            <w:vAlign w:val="center"/>
          </w:tcPr>
          <w:p w14:paraId="41F3DAC2">
            <w:pPr>
              <w:spacing w:line="480" w:lineRule="exact"/>
              <w:jc w:val="center"/>
              <w:rPr>
                <w:rFonts w:ascii="宋体" w:hAnsi="宋体"/>
                <w:szCs w:val="21"/>
              </w:rPr>
            </w:pPr>
          </w:p>
        </w:tc>
      </w:tr>
      <w:tr w14:paraId="462A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6A2E7BA8">
            <w:pPr>
              <w:spacing w:line="480" w:lineRule="exact"/>
              <w:jc w:val="center"/>
              <w:rPr>
                <w:rFonts w:ascii="宋体" w:hAnsi="宋体"/>
                <w:szCs w:val="21"/>
              </w:rPr>
            </w:pPr>
          </w:p>
        </w:tc>
        <w:tc>
          <w:tcPr>
            <w:tcW w:w="1659" w:type="dxa"/>
            <w:vAlign w:val="center"/>
          </w:tcPr>
          <w:p w14:paraId="7FC3A43D">
            <w:pPr>
              <w:spacing w:line="480" w:lineRule="exact"/>
              <w:jc w:val="center"/>
              <w:rPr>
                <w:rFonts w:ascii="宋体" w:hAnsi="宋体"/>
                <w:szCs w:val="21"/>
              </w:rPr>
            </w:pPr>
          </w:p>
        </w:tc>
        <w:tc>
          <w:tcPr>
            <w:tcW w:w="1371" w:type="dxa"/>
            <w:vAlign w:val="center"/>
          </w:tcPr>
          <w:p w14:paraId="02D94B1A">
            <w:pPr>
              <w:spacing w:line="480" w:lineRule="exact"/>
              <w:jc w:val="center"/>
              <w:rPr>
                <w:rFonts w:ascii="宋体" w:hAnsi="宋体"/>
                <w:szCs w:val="21"/>
              </w:rPr>
            </w:pPr>
          </w:p>
        </w:tc>
        <w:tc>
          <w:tcPr>
            <w:tcW w:w="4675" w:type="dxa"/>
            <w:vAlign w:val="center"/>
          </w:tcPr>
          <w:p w14:paraId="488D38C1">
            <w:pPr>
              <w:spacing w:line="480" w:lineRule="exact"/>
              <w:jc w:val="center"/>
              <w:rPr>
                <w:rFonts w:ascii="宋体" w:hAnsi="宋体"/>
                <w:szCs w:val="21"/>
              </w:rPr>
            </w:pPr>
          </w:p>
        </w:tc>
      </w:tr>
    </w:tbl>
    <w:p w14:paraId="378723E5">
      <w:pPr>
        <w:spacing w:line="360" w:lineRule="auto"/>
        <w:jc w:val="center"/>
        <w:rPr>
          <w:rFonts w:ascii="宋体" w:hAnsi="宋体"/>
          <w:sz w:val="24"/>
        </w:rPr>
      </w:pPr>
    </w:p>
    <w:p w14:paraId="5448FB82">
      <w:pPr>
        <w:pStyle w:val="299"/>
        <w:spacing w:line="400" w:lineRule="exact"/>
        <w:rPr>
          <w:rFonts w:ascii="宋体" w:hAnsi="宋体" w:cs="宋体"/>
          <w:sz w:val="21"/>
          <w:szCs w:val="21"/>
        </w:rPr>
      </w:pPr>
      <w:r>
        <w:rPr>
          <w:rFonts w:hint="eastAsia" w:asciiTheme="minorEastAsia" w:hAnsiTheme="minorEastAsia" w:eastAsiaTheme="minorEastAsia" w:cstheme="minorEastAsia"/>
          <w:bCs/>
          <w:sz w:val="21"/>
          <w:szCs w:val="21"/>
        </w:rPr>
        <w:t>注：</w:t>
      </w:r>
      <w:r>
        <w:rPr>
          <w:rFonts w:hint="eastAsia" w:ascii="宋体" w:hAnsi="宋体" w:cs="宋体"/>
          <w:sz w:val="21"/>
          <w:szCs w:val="21"/>
        </w:rPr>
        <w:t>其他</w:t>
      </w:r>
      <w:r>
        <w:rPr>
          <w:rFonts w:hint="eastAsia" w:ascii="宋体" w:hAnsi="宋体" w:cs="宋体"/>
          <w:sz w:val="21"/>
          <w:szCs w:val="21"/>
          <w:lang w:val="en-US" w:eastAsia="zh-CN"/>
        </w:rPr>
        <w:t>勘察设计管理和</w:t>
      </w:r>
      <w:r>
        <w:rPr>
          <w:rFonts w:hint="eastAsia" w:ascii="宋体" w:hAnsi="宋体" w:cs="宋体"/>
          <w:sz w:val="21"/>
          <w:szCs w:val="21"/>
        </w:rPr>
        <w:t>设计人员最低要求的一般规定：</w:t>
      </w:r>
    </w:p>
    <w:p w14:paraId="509F5BB5">
      <w:pPr>
        <w:pStyle w:val="299"/>
        <w:spacing w:line="400" w:lineRule="exact"/>
        <w:ind w:left="0" w:leftChars="0" w:firstLine="210" w:firstLineChars="100"/>
        <w:rPr>
          <w:rFonts w:ascii="宋体" w:hAnsi="宋体" w:cs="宋体"/>
          <w:sz w:val="21"/>
          <w:szCs w:val="21"/>
        </w:rPr>
      </w:pPr>
      <w:r>
        <w:rPr>
          <w:rFonts w:hint="eastAsia" w:ascii="宋体" w:hAnsi="宋体" w:cs="宋体"/>
          <w:sz w:val="21"/>
          <w:szCs w:val="21"/>
          <w:lang w:val="en-US" w:eastAsia="zh-CN"/>
        </w:rPr>
        <w:t>a.</w:t>
      </w:r>
      <w:r>
        <w:rPr>
          <w:rFonts w:ascii="宋体" w:hAnsi="宋体" w:cs="宋体"/>
          <w:sz w:val="21"/>
          <w:szCs w:val="21"/>
        </w:rPr>
        <w:t>招标人应在招标文件中规定若投标人在所投标段中标需派驻的各专业分项负责人。上述人员的具体人选由招标人和中标人在合同谈判阶段确定，且经招标人审批后作为派驻本标段的主要人员，不允许更换。如中标人拟派驻的人员数量和资格条件不满足本表要求，招标人应取消其中标资格。</w:t>
      </w:r>
    </w:p>
    <w:p w14:paraId="50D6773F">
      <w:pPr>
        <w:spacing w:line="400" w:lineRule="exact"/>
        <w:ind w:firstLine="210" w:firstLineChars="100"/>
        <w:rPr>
          <w:rFonts w:ascii="宋体" w:hAnsi="宋体"/>
          <w:sz w:val="24"/>
        </w:rPr>
      </w:pPr>
      <w:r>
        <w:rPr>
          <w:rFonts w:hint="eastAsia" w:ascii="宋体" w:hAnsi="宋体" w:cs="宋体"/>
          <w:sz w:val="21"/>
          <w:szCs w:val="21"/>
          <w:lang w:val="en-US" w:eastAsia="zh-CN"/>
        </w:rPr>
        <w:t>b.</w:t>
      </w:r>
      <w:r>
        <w:rPr>
          <w:rFonts w:ascii="宋体" w:hAnsi="宋体" w:cs="宋体"/>
          <w:sz w:val="21"/>
          <w:szCs w:val="21"/>
        </w:rPr>
        <w:t>本表不适用于已按招标文件要求提供了各专业分项负责人的特殊复杂的特大桥和特长隧道项目主体工程以及其他有特殊要求的工程。</w:t>
      </w:r>
      <w:r>
        <w:rPr>
          <w:rFonts w:ascii="宋体" w:hAnsi="宋体"/>
          <w:sz w:val="24"/>
        </w:rPr>
        <w:br w:type="page"/>
      </w:r>
    </w:p>
    <w:p w14:paraId="015D1EE6">
      <w:pPr>
        <w:pStyle w:val="299"/>
        <w:jc w:val="center"/>
        <w:rPr>
          <w:rFonts w:ascii="黑体" w:hAnsi="黑体" w:eastAsia="黑体"/>
          <w:bCs/>
          <w:sz w:val="24"/>
        </w:rPr>
      </w:pPr>
      <w:r>
        <w:rPr>
          <w:rFonts w:hint="eastAsia" w:ascii="黑体" w:hAnsi="黑体" w:eastAsia="黑体"/>
          <w:b/>
          <w:sz w:val="24"/>
        </w:rPr>
        <w:t>□</w:t>
      </w:r>
      <w:r>
        <w:rPr>
          <w:rFonts w:ascii="黑体" w:hAnsi="黑体" w:eastAsia="黑体"/>
          <w:bCs/>
          <w:sz w:val="24"/>
        </w:rPr>
        <w:t xml:space="preserve"> </w:t>
      </w:r>
      <w:r>
        <w:rPr>
          <w:rFonts w:hint="eastAsia" w:ascii="黑体" w:hAnsi="黑体" w:eastAsia="黑体"/>
          <w:bCs/>
          <w:sz w:val="24"/>
        </w:rPr>
        <w:t>其他施工管理和技术人员</w:t>
      </w:r>
    </w:p>
    <w:p w14:paraId="0612D8F4">
      <w:pPr>
        <w:pStyle w:val="299"/>
        <w:jc w:val="center"/>
        <w:rPr>
          <w:rFonts w:ascii="黑体" w:hAnsi="黑体" w:eastAsia="黑体"/>
          <w:bCs/>
          <w:sz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659"/>
        <w:gridCol w:w="1371"/>
        <w:gridCol w:w="4675"/>
      </w:tblGrid>
      <w:tr w14:paraId="7910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77224084">
            <w:pPr>
              <w:spacing w:line="480" w:lineRule="exact"/>
              <w:jc w:val="center"/>
              <w:rPr>
                <w:rFonts w:ascii="宋体" w:hAnsi="宋体"/>
                <w:szCs w:val="21"/>
              </w:rPr>
            </w:pPr>
            <w:r>
              <w:rPr>
                <w:rFonts w:hint="eastAsia" w:ascii="宋体" w:hAnsi="宋体"/>
                <w:szCs w:val="21"/>
              </w:rPr>
              <w:t>标段</w:t>
            </w:r>
          </w:p>
        </w:tc>
        <w:tc>
          <w:tcPr>
            <w:tcW w:w="1659" w:type="dxa"/>
            <w:vAlign w:val="center"/>
          </w:tcPr>
          <w:p w14:paraId="4A9FD937">
            <w:pPr>
              <w:spacing w:line="480" w:lineRule="exact"/>
              <w:jc w:val="center"/>
              <w:rPr>
                <w:rFonts w:ascii="宋体" w:hAnsi="宋体"/>
                <w:szCs w:val="21"/>
              </w:rPr>
            </w:pPr>
            <w:r>
              <w:rPr>
                <w:rFonts w:hint="eastAsia" w:ascii="宋体" w:hAnsi="宋体"/>
                <w:szCs w:val="21"/>
              </w:rPr>
              <w:t>人员</w:t>
            </w:r>
          </w:p>
        </w:tc>
        <w:tc>
          <w:tcPr>
            <w:tcW w:w="1371" w:type="dxa"/>
            <w:vAlign w:val="center"/>
          </w:tcPr>
          <w:p w14:paraId="647E7D35">
            <w:pPr>
              <w:spacing w:line="480" w:lineRule="exact"/>
              <w:jc w:val="center"/>
              <w:rPr>
                <w:rFonts w:ascii="宋体" w:hAnsi="宋体"/>
                <w:szCs w:val="21"/>
              </w:rPr>
            </w:pPr>
            <w:r>
              <w:rPr>
                <w:rFonts w:hint="eastAsia" w:ascii="宋体" w:hAnsi="宋体"/>
                <w:szCs w:val="21"/>
              </w:rPr>
              <w:t>数量</w:t>
            </w:r>
          </w:p>
        </w:tc>
        <w:tc>
          <w:tcPr>
            <w:tcW w:w="4675" w:type="dxa"/>
            <w:vAlign w:val="center"/>
          </w:tcPr>
          <w:p w14:paraId="402F355E">
            <w:pPr>
              <w:spacing w:line="480" w:lineRule="exact"/>
              <w:jc w:val="center"/>
              <w:rPr>
                <w:rFonts w:ascii="宋体" w:hAnsi="宋体"/>
                <w:szCs w:val="21"/>
              </w:rPr>
            </w:pPr>
            <w:r>
              <w:rPr>
                <w:rFonts w:hint="eastAsia" w:ascii="宋体" w:hAnsi="宋体"/>
                <w:szCs w:val="21"/>
              </w:rPr>
              <w:t>资格要求</w:t>
            </w:r>
          </w:p>
        </w:tc>
      </w:tr>
      <w:tr w14:paraId="76F5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0B00A195">
            <w:pPr>
              <w:spacing w:line="480" w:lineRule="exact"/>
              <w:jc w:val="center"/>
              <w:rPr>
                <w:rFonts w:ascii="宋体" w:hAnsi="宋体"/>
                <w:szCs w:val="21"/>
              </w:rPr>
            </w:pPr>
          </w:p>
        </w:tc>
        <w:tc>
          <w:tcPr>
            <w:tcW w:w="1659" w:type="dxa"/>
            <w:vAlign w:val="center"/>
          </w:tcPr>
          <w:p w14:paraId="2829DC1F">
            <w:pPr>
              <w:spacing w:line="480" w:lineRule="exact"/>
              <w:jc w:val="center"/>
              <w:rPr>
                <w:rFonts w:ascii="宋体" w:hAnsi="宋体"/>
                <w:szCs w:val="21"/>
              </w:rPr>
            </w:pPr>
          </w:p>
        </w:tc>
        <w:tc>
          <w:tcPr>
            <w:tcW w:w="1371" w:type="dxa"/>
            <w:vAlign w:val="center"/>
          </w:tcPr>
          <w:p w14:paraId="0C15DAFE">
            <w:pPr>
              <w:spacing w:line="480" w:lineRule="exact"/>
              <w:jc w:val="center"/>
              <w:rPr>
                <w:rFonts w:ascii="宋体" w:hAnsi="宋体"/>
                <w:szCs w:val="21"/>
              </w:rPr>
            </w:pPr>
          </w:p>
        </w:tc>
        <w:tc>
          <w:tcPr>
            <w:tcW w:w="4675" w:type="dxa"/>
            <w:vAlign w:val="center"/>
          </w:tcPr>
          <w:p w14:paraId="560462FB">
            <w:pPr>
              <w:spacing w:line="480" w:lineRule="exact"/>
              <w:jc w:val="center"/>
              <w:rPr>
                <w:rFonts w:ascii="宋体" w:hAnsi="宋体"/>
                <w:szCs w:val="21"/>
              </w:rPr>
            </w:pPr>
          </w:p>
        </w:tc>
      </w:tr>
      <w:tr w14:paraId="3B11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73855747">
            <w:pPr>
              <w:spacing w:line="480" w:lineRule="exact"/>
              <w:jc w:val="center"/>
              <w:rPr>
                <w:rFonts w:ascii="宋体" w:hAnsi="宋体"/>
                <w:szCs w:val="21"/>
              </w:rPr>
            </w:pPr>
          </w:p>
        </w:tc>
        <w:tc>
          <w:tcPr>
            <w:tcW w:w="1659" w:type="dxa"/>
            <w:vAlign w:val="center"/>
          </w:tcPr>
          <w:p w14:paraId="5B68870C">
            <w:pPr>
              <w:spacing w:line="480" w:lineRule="exact"/>
              <w:jc w:val="center"/>
              <w:rPr>
                <w:rFonts w:ascii="宋体" w:hAnsi="宋体"/>
                <w:szCs w:val="21"/>
              </w:rPr>
            </w:pPr>
          </w:p>
        </w:tc>
        <w:tc>
          <w:tcPr>
            <w:tcW w:w="1371" w:type="dxa"/>
            <w:vAlign w:val="center"/>
          </w:tcPr>
          <w:p w14:paraId="78FF6C9B">
            <w:pPr>
              <w:spacing w:line="480" w:lineRule="exact"/>
              <w:jc w:val="center"/>
              <w:rPr>
                <w:rFonts w:ascii="宋体" w:hAnsi="宋体"/>
                <w:szCs w:val="21"/>
              </w:rPr>
            </w:pPr>
          </w:p>
        </w:tc>
        <w:tc>
          <w:tcPr>
            <w:tcW w:w="4675" w:type="dxa"/>
            <w:vAlign w:val="center"/>
          </w:tcPr>
          <w:p w14:paraId="59D77BCB">
            <w:pPr>
              <w:spacing w:line="480" w:lineRule="exact"/>
              <w:jc w:val="center"/>
              <w:rPr>
                <w:rFonts w:ascii="宋体" w:hAnsi="宋体"/>
                <w:szCs w:val="21"/>
              </w:rPr>
            </w:pPr>
          </w:p>
        </w:tc>
      </w:tr>
      <w:tr w14:paraId="225E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3F9C6B0E">
            <w:pPr>
              <w:spacing w:line="480" w:lineRule="exact"/>
              <w:jc w:val="center"/>
              <w:rPr>
                <w:rFonts w:ascii="宋体" w:hAnsi="宋体"/>
                <w:szCs w:val="21"/>
              </w:rPr>
            </w:pPr>
          </w:p>
        </w:tc>
        <w:tc>
          <w:tcPr>
            <w:tcW w:w="1659" w:type="dxa"/>
            <w:vAlign w:val="center"/>
          </w:tcPr>
          <w:p w14:paraId="36BC14A6">
            <w:pPr>
              <w:spacing w:line="480" w:lineRule="exact"/>
              <w:jc w:val="center"/>
              <w:rPr>
                <w:rFonts w:ascii="宋体" w:hAnsi="宋体"/>
                <w:szCs w:val="21"/>
              </w:rPr>
            </w:pPr>
          </w:p>
        </w:tc>
        <w:tc>
          <w:tcPr>
            <w:tcW w:w="1371" w:type="dxa"/>
            <w:vAlign w:val="center"/>
          </w:tcPr>
          <w:p w14:paraId="59DBCA54">
            <w:pPr>
              <w:spacing w:line="480" w:lineRule="exact"/>
              <w:jc w:val="center"/>
              <w:rPr>
                <w:rFonts w:ascii="宋体" w:hAnsi="宋体"/>
                <w:szCs w:val="21"/>
              </w:rPr>
            </w:pPr>
          </w:p>
        </w:tc>
        <w:tc>
          <w:tcPr>
            <w:tcW w:w="4675" w:type="dxa"/>
            <w:vAlign w:val="center"/>
          </w:tcPr>
          <w:p w14:paraId="2681F137">
            <w:pPr>
              <w:spacing w:line="480" w:lineRule="exact"/>
              <w:jc w:val="center"/>
              <w:rPr>
                <w:rFonts w:ascii="宋体" w:hAnsi="宋体"/>
                <w:szCs w:val="21"/>
              </w:rPr>
            </w:pPr>
          </w:p>
        </w:tc>
      </w:tr>
      <w:tr w14:paraId="3A33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1C1F3EF1">
            <w:pPr>
              <w:spacing w:line="480" w:lineRule="exact"/>
              <w:jc w:val="center"/>
              <w:rPr>
                <w:rFonts w:ascii="宋体" w:hAnsi="宋体"/>
                <w:szCs w:val="21"/>
              </w:rPr>
            </w:pPr>
          </w:p>
        </w:tc>
        <w:tc>
          <w:tcPr>
            <w:tcW w:w="1659" w:type="dxa"/>
            <w:vAlign w:val="center"/>
          </w:tcPr>
          <w:p w14:paraId="7CFF3DA9">
            <w:pPr>
              <w:spacing w:line="480" w:lineRule="exact"/>
              <w:jc w:val="center"/>
              <w:rPr>
                <w:rFonts w:ascii="宋体" w:hAnsi="宋体"/>
                <w:szCs w:val="21"/>
              </w:rPr>
            </w:pPr>
          </w:p>
        </w:tc>
        <w:tc>
          <w:tcPr>
            <w:tcW w:w="1371" w:type="dxa"/>
            <w:vAlign w:val="center"/>
          </w:tcPr>
          <w:p w14:paraId="298B2325">
            <w:pPr>
              <w:spacing w:line="480" w:lineRule="exact"/>
              <w:jc w:val="center"/>
              <w:rPr>
                <w:rFonts w:ascii="宋体" w:hAnsi="宋体"/>
                <w:szCs w:val="21"/>
              </w:rPr>
            </w:pPr>
          </w:p>
        </w:tc>
        <w:tc>
          <w:tcPr>
            <w:tcW w:w="4675" w:type="dxa"/>
            <w:vAlign w:val="center"/>
          </w:tcPr>
          <w:p w14:paraId="3ADDA336">
            <w:pPr>
              <w:spacing w:line="480" w:lineRule="exact"/>
              <w:jc w:val="center"/>
              <w:rPr>
                <w:rFonts w:ascii="宋体" w:hAnsi="宋体"/>
                <w:szCs w:val="21"/>
              </w:rPr>
            </w:pPr>
          </w:p>
        </w:tc>
      </w:tr>
      <w:tr w14:paraId="7050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6" w:type="dxa"/>
            <w:vAlign w:val="center"/>
          </w:tcPr>
          <w:p w14:paraId="3F765462">
            <w:pPr>
              <w:spacing w:line="480" w:lineRule="exact"/>
              <w:jc w:val="center"/>
              <w:rPr>
                <w:rFonts w:ascii="宋体" w:hAnsi="宋体"/>
                <w:szCs w:val="21"/>
              </w:rPr>
            </w:pPr>
          </w:p>
        </w:tc>
        <w:tc>
          <w:tcPr>
            <w:tcW w:w="1659" w:type="dxa"/>
            <w:vAlign w:val="center"/>
          </w:tcPr>
          <w:p w14:paraId="46032E9E">
            <w:pPr>
              <w:spacing w:line="480" w:lineRule="exact"/>
              <w:jc w:val="center"/>
              <w:rPr>
                <w:rFonts w:ascii="宋体" w:hAnsi="宋体"/>
                <w:szCs w:val="21"/>
              </w:rPr>
            </w:pPr>
          </w:p>
        </w:tc>
        <w:tc>
          <w:tcPr>
            <w:tcW w:w="1371" w:type="dxa"/>
            <w:vAlign w:val="center"/>
          </w:tcPr>
          <w:p w14:paraId="727A75EB">
            <w:pPr>
              <w:spacing w:line="480" w:lineRule="exact"/>
              <w:jc w:val="center"/>
              <w:rPr>
                <w:rFonts w:ascii="宋体" w:hAnsi="宋体"/>
                <w:szCs w:val="21"/>
              </w:rPr>
            </w:pPr>
          </w:p>
        </w:tc>
        <w:tc>
          <w:tcPr>
            <w:tcW w:w="4675" w:type="dxa"/>
            <w:vAlign w:val="center"/>
          </w:tcPr>
          <w:p w14:paraId="647F9DC5">
            <w:pPr>
              <w:spacing w:line="480" w:lineRule="exact"/>
              <w:jc w:val="center"/>
              <w:rPr>
                <w:rFonts w:ascii="宋体" w:hAnsi="宋体"/>
                <w:szCs w:val="21"/>
              </w:rPr>
            </w:pPr>
          </w:p>
        </w:tc>
      </w:tr>
      <w:tr w14:paraId="6C74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41F8836B">
            <w:pPr>
              <w:spacing w:line="480" w:lineRule="exact"/>
              <w:jc w:val="center"/>
              <w:rPr>
                <w:rFonts w:ascii="宋体" w:hAnsi="宋体"/>
                <w:szCs w:val="21"/>
              </w:rPr>
            </w:pPr>
          </w:p>
        </w:tc>
        <w:tc>
          <w:tcPr>
            <w:tcW w:w="1659" w:type="dxa"/>
            <w:vAlign w:val="center"/>
          </w:tcPr>
          <w:p w14:paraId="53E2B875">
            <w:pPr>
              <w:spacing w:line="480" w:lineRule="exact"/>
              <w:jc w:val="center"/>
              <w:rPr>
                <w:rFonts w:ascii="宋体" w:hAnsi="宋体"/>
                <w:szCs w:val="21"/>
              </w:rPr>
            </w:pPr>
          </w:p>
        </w:tc>
        <w:tc>
          <w:tcPr>
            <w:tcW w:w="1371" w:type="dxa"/>
            <w:vAlign w:val="center"/>
          </w:tcPr>
          <w:p w14:paraId="71005435">
            <w:pPr>
              <w:spacing w:line="480" w:lineRule="exact"/>
              <w:jc w:val="center"/>
              <w:rPr>
                <w:rFonts w:ascii="宋体" w:hAnsi="宋体"/>
                <w:szCs w:val="21"/>
              </w:rPr>
            </w:pPr>
          </w:p>
        </w:tc>
        <w:tc>
          <w:tcPr>
            <w:tcW w:w="4675" w:type="dxa"/>
            <w:vAlign w:val="center"/>
          </w:tcPr>
          <w:p w14:paraId="1BD0279E">
            <w:pPr>
              <w:spacing w:line="480" w:lineRule="exact"/>
              <w:jc w:val="center"/>
              <w:rPr>
                <w:rFonts w:ascii="宋体" w:hAnsi="宋体"/>
                <w:szCs w:val="21"/>
              </w:rPr>
            </w:pPr>
          </w:p>
        </w:tc>
      </w:tr>
      <w:tr w14:paraId="35F7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7C04931A">
            <w:pPr>
              <w:spacing w:line="480" w:lineRule="exact"/>
              <w:jc w:val="center"/>
              <w:rPr>
                <w:rFonts w:ascii="宋体" w:hAnsi="宋体"/>
                <w:szCs w:val="21"/>
              </w:rPr>
            </w:pPr>
          </w:p>
        </w:tc>
        <w:tc>
          <w:tcPr>
            <w:tcW w:w="1659" w:type="dxa"/>
            <w:vAlign w:val="center"/>
          </w:tcPr>
          <w:p w14:paraId="463ACB96">
            <w:pPr>
              <w:spacing w:line="480" w:lineRule="exact"/>
              <w:jc w:val="center"/>
              <w:rPr>
                <w:rFonts w:ascii="宋体" w:hAnsi="宋体"/>
                <w:szCs w:val="21"/>
              </w:rPr>
            </w:pPr>
          </w:p>
        </w:tc>
        <w:tc>
          <w:tcPr>
            <w:tcW w:w="1371" w:type="dxa"/>
            <w:vAlign w:val="center"/>
          </w:tcPr>
          <w:p w14:paraId="4BE2B035">
            <w:pPr>
              <w:spacing w:line="480" w:lineRule="exact"/>
              <w:jc w:val="center"/>
              <w:rPr>
                <w:rFonts w:ascii="宋体" w:hAnsi="宋体"/>
                <w:szCs w:val="21"/>
              </w:rPr>
            </w:pPr>
          </w:p>
        </w:tc>
        <w:tc>
          <w:tcPr>
            <w:tcW w:w="4675" w:type="dxa"/>
            <w:vAlign w:val="center"/>
          </w:tcPr>
          <w:p w14:paraId="34AF0609">
            <w:pPr>
              <w:spacing w:line="480" w:lineRule="exact"/>
              <w:jc w:val="center"/>
              <w:rPr>
                <w:rFonts w:ascii="宋体" w:hAnsi="宋体"/>
                <w:szCs w:val="21"/>
              </w:rPr>
            </w:pPr>
          </w:p>
        </w:tc>
      </w:tr>
      <w:tr w14:paraId="7BFC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6" w:type="dxa"/>
            <w:vAlign w:val="center"/>
          </w:tcPr>
          <w:p w14:paraId="111D4EE6">
            <w:pPr>
              <w:spacing w:line="480" w:lineRule="exact"/>
              <w:jc w:val="center"/>
              <w:rPr>
                <w:rFonts w:ascii="宋体" w:hAnsi="宋体"/>
                <w:szCs w:val="21"/>
              </w:rPr>
            </w:pPr>
          </w:p>
        </w:tc>
        <w:tc>
          <w:tcPr>
            <w:tcW w:w="1659" w:type="dxa"/>
            <w:vAlign w:val="center"/>
          </w:tcPr>
          <w:p w14:paraId="267DDA1A">
            <w:pPr>
              <w:spacing w:line="480" w:lineRule="exact"/>
              <w:jc w:val="center"/>
              <w:rPr>
                <w:rFonts w:ascii="宋体" w:hAnsi="宋体"/>
                <w:szCs w:val="21"/>
              </w:rPr>
            </w:pPr>
          </w:p>
        </w:tc>
        <w:tc>
          <w:tcPr>
            <w:tcW w:w="1371" w:type="dxa"/>
            <w:vAlign w:val="center"/>
          </w:tcPr>
          <w:p w14:paraId="4ED86C7B">
            <w:pPr>
              <w:spacing w:line="480" w:lineRule="exact"/>
              <w:jc w:val="center"/>
              <w:rPr>
                <w:rFonts w:ascii="宋体" w:hAnsi="宋体"/>
                <w:szCs w:val="21"/>
              </w:rPr>
            </w:pPr>
          </w:p>
        </w:tc>
        <w:tc>
          <w:tcPr>
            <w:tcW w:w="4675" w:type="dxa"/>
            <w:vAlign w:val="center"/>
          </w:tcPr>
          <w:p w14:paraId="3AA4A080">
            <w:pPr>
              <w:spacing w:line="480" w:lineRule="exact"/>
              <w:jc w:val="center"/>
              <w:rPr>
                <w:rFonts w:ascii="宋体" w:hAnsi="宋体"/>
                <w:szCs w:val="21"/>
              </w:rPr>
            </w:pPr>
          </w:p>
        </w:tc>
      </w:tr>
    </w:tbl>
    <w:p w14:paraId="42A43FAB">
      <w:pPr>
        <w:spacing w:line="360" w:lineRule="auto"/>
        <w:ind w:right="221"/>
        <w:jc w:val="left"/>
        <w:rPr>
          <w:rFonts w:hint="eastAsia" w:asciiTheme="minorEastAsia" w:hAnsiTheme="minorEastAsia" w:eastAsiaTheme="minorEastAsia" w:cstheme="minorEastAsia"/>
          <w:szCs w:val="21"/>
        </w:rPr>
      </w:pPr>
    </w:p>
    <w:p w14:paraId="53C4E334">
      <w:pPr>
        <w:spacing w:line="360" w:lineRule="auto"/>
        <w:ind w:right="221"/>
        <w:jc w:val="left"/>
        <w:rPr>
          <w:rFonts w:ascii="宋体" w:hAnsi="宋体"/>
          <w:spacing w:val="-1"/>
          <w:szCs w:val="21"/>
        </w:rPr>
      </w:pPr>
      <w:r>
        <w:rPr>
          <w:rFonts w:hint="eastAsia" w:asciiTheme="minorEastAsia" w:hAnsiTheme="minorEastAsia" w:eastAsiaTheme="minorEastAsia" w:cstheme="minorEastAsia"/>
          <w:szCs w:val="21"/>
        </w:rPr>
        <w:t>注：</w:t>
      </w:r>
      <w:r>
        <w:rPr>
          <w:rFonts w:hint="eastAsia" w:ascii="宋体" w:hAnsi="宋体"/>
          <w:spacing w:val="-1"/>
          <w:szCs w:val="21"/>
        </w:rPr>
        <w:t>其他管理和技术人员：</w:t>
      </w:r>
    </w:p>
    <w:p w14:paraId="251AFAF9">
      <w:pPr>
        <w:numPr>
          <w:ilvl w:val="255"/>
          <w:numId w:val="0"/>
        </w:numPr>
        <w:spacing w:line="360" w:lineRule="auto"/>
        <w:ind w:left="0" w:right="221" w:firstLine="416" w:firstLineChars="200"/>
        <w:jc w:val="left"/>
        <w:rPr>
          <w:rFonts w:ascii="宋体" w:hAnsi="宋体" w:cs="宋体"/>
          <w:spacing w:val="-1"/>
          <w:szCs w:val="21"/>
        </w:rPr>
      </w:pPr>
      <w:r>
        <w:rPr>
          <w:rFonts w:hint="eastAsia" w:ascii="宋体" w:hAnsi="宋体"/>
          <w:spacing w:val="-1"/>
          <w:szCs w:val="21"/>
        </w:rPr>
        <w:t>a.</w:t>
      </w:r>
      <w:r>
        <w:rPr>
          <w:rFonts w:hint="eastAsia" w:ascii="宋体" w:hAnsi="宋体" w:cs="宋体"/>
          <w:spacing w:val="-1"/>
          <w:szCs w:val="21"/>
        </w:rPr>
        <w:t>发包人应在招标文件中规定若投标人在所投标段中标需派驻的其他管理和技术人员（例如项目副经理、专业工程师等）</w:t>
      </w:r>
      <w:r>
        <w:rPr>
          <w:rFonts w:hint="eastAsia" w:ascii="宋体" w:hAnsi="宋体" w:cs="宋体"/>
          <w:szCs w:val="21"/>
        </w:rPr>
        <w:t>。上述人员的具体人选由招标人和中标人在合同谈判阶段确定，且经招标人审批后作为派驻本标段的项目管理机构主要人员，不允许更换。如中标人拟派驻的人员数量和资格条件不满足本表要求，招标人应取消其</w:t>
      </w:r>
      <w:r>
        <w:rPr>
          <w:rFonts w:hint="eastAsia" w:ascii="宋体" w:hAnsi="宋体" w:cs="宋体"/>
          <w:spacing w:val="-1"/>
          <w:szCs w:val="21"/>
        </w:rPr>
        <w:t>中标资格。</w:t>
      </w:r>
    </w:p>
    <w:p w14:paraId="09CABA7A">
      <w:pPr>
        <w:numPr>
          <w:ilvl w:val="255"/>
          <w:numId w:val="0"/>
        </w:numPr>
        <w:spacing w:line="360" w:lineRule="auto"/>
        <w:ind w:left="0" w:right="221" w:firstLine="416" w:firstLineChars="200"/>
        <w:jc w:val="left"/>
        <w:rPr>
          <w:rFonts w:ascii="宋体" w:hAnsi="宋体"/>
          <w:spacing w:val="-1"/>
          <w:szCs w:val="21"/>
        </w:rPr>
      </w:pPr>
      <w:r>
        <w:rPr>
          <w:rFonts w:ascii="宋体" w:hAnsi="宋体"/>
          <w:spacing w:val="-1"/>
          <w:szCs w:val="21"/>
        </w:rPr>
        <w:t>b.本表不适用于已按招标文件要求提供了其他管理和技术人员的特别复杂的特大桥梁和特长隧道项目主体工程以及其他有特殊要求的工程。</w:t>
      </w:r>
    </w:p>
    <w:p w14:paraId="6D31D2EE">
      <w:pPr>
        <w:spacing w:line="480" w:lineRule="exact"/>
        <w:rPr>
          <w:rFonts w:ascii="宋体" w:hAnsi="宋体"/>
          <w:sz w:val="24"/>
        </w:rPr>
      </w:pPr>
    </w:p>
    <w:p w14:paraId="768207CB">
      <w:pPr>
        <w:spacing w:line="480" w:lineRule="exact"/>
        <w:rPr>
          <w:rFonts w:ascii="宋体" w:hAnsi="宋体"/>
          <w:sz w:val="24"/>
        </w:rPr>
      </w:pPr>
    </w:p>
    <w:p w14:paraId="63128164">
      <w:pPr>
        <w:spacing w:line="480" w:lineRule="exact"/>
        <w:rPr>
          <w:rFonts w:ascii="宋体" w:hAnsi="宋体"/>
          <w:sz w:val="24"/>
        </w:rPr>
      </w:pPr>
    </w:p>
    <w:p w14:paraId="45CA81EB">
      <w:pPr>
        <w:pStyle w:val="20"/>
        <w:spacing w:before="4" w:after="1"/>
        <w:rPr>
          <w:b/>
          <w:sz w:val="13"/>
        </w:rPr>
      </w:pPr>
    </w:p>
    <w:p w14:paraId="519B70E8">
      <w:pPr>
        <w:pStyle w:val="20"/>
        <w:spacing w:before="4" w:after="1"/>
        <w:rPr>
          <w:b/>
          <w:sz w:val="13"/>
        </w:rPr>
      </w:pPr>
    </w:p>
    <w:p w14:paraId="13C69A8B">
      <w:pPr>
        <w:pStyle w:val="20"/>
        <w:rPr>
          <w:b/>
          <w:sz w:val="20"/>
        </w:rPr>
      </w:pPr>
    </w:p>
    <w:p w14:paraId="1103C47C">
      <w:pPr>
        <w:pStyle w:val="20"/>
        <w:rPr>
          <w:b/>
          <w:sz w:val="20"/>
        </w:rPr>
      </w:pPr>
    </w:p>
    <w:p w14:paraId="7D0E60AB">
      <w:pPr>
        <w:pStyle w:val="20"/>
        <w:spacing w:before="188" w:line="360" w:lineRule="auto"/>
        <w:ind w:right="-6605"/>
        <w:rPr>
          <w:rFonts w:ascii="黑体" w:hAnsi="黑体" w:eastAsia="黑体"/>
        </w:rPr>
      </w:pPr>
      <w:r>
        <w:rPr>
          <w:rFonts w:ascii="黑体" w:hAnsi="黑体" w:eastAsia="黑体"/>
        </w:rPr>
        <w:br w:type="page"/>
      </w:r>
    </w:p>
    <w:p w14:paraId="52BA2B4E">
      <w:pPr>
        <w:pStyle w:val="20"/>
        <w:spacing w:before="188" w:line="360" w:lineRule="auto"/>
        <w:ind w:right="-6605"/>
        <w:rPr>
          <w:rFonts w:ascii="黑体" w:hAnsi="黑体" w:eastAsia="黑体"/>
        </w:rPr>
      </w:pPr>
      <w:r>
        <w:rPr>
          <w:rFonts w:hint="eastAsia" w:ascii="黑体" w:hAnsi="黑体" w:eastAsia="黑体"/>
        </w:rPr>
        <w:t>附件六</w:t>
      </w:r>
      <w:r>
        <w:rPr>
          <w:rFonts w:ascii="黑体" w:hAnsi="黑体" w:eastAsia="黑体"/>
        </w:rPr>
        <w:t xml:space="preserve"> 主要施工机械设备和试验检测设备最低要求</w:t>
      </w:r>
    </w:p>
    <w:p w14:paraId="2801602C">
      <w:pPr>
        <w:pStyle w:val="20"/>
        <w:spacing w:before="4" w:after="1"/>
        <w:rPr>
          <w:b/>
          <w:sz w:val="13"/>
        </w:rPr>
      </w:pPr>
    </w:p>
    <w:tbl>
      <w:tblPr>
        <w:tblStyle w:val="49"/>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7"/>
        <w:gridCol w:w="1861"/>
        <w:gridCol w:w="2021"/>
        <w:gridCol w:w="777"/>
        <w:gridCol w:w="3534"/>
      </w:tblGrid>
      <w:tr w14:paraId="383AE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71" w:type="pct"/>
            <w:vAlign w:val="center"/>
          </w:tcPr>
          <w:p w14:paraId="172D8A84">
            <w:pPr>
              <w:pStyle w:val="256"/>
              <w:spacing w:before="162"/>
              <w:jc w:val="center"/>
              <w:rPr>
                <w:szCs w:val="21"/>
              </w:rPr>
            </w:pPr>
            <w:r>
              <w:rPr>
                <w:rFonts w:hint="eastAsia"/>
                <w:szCs w:val="21"/>
              </w:rPr>
              <w:t>标段</w:t>
            </w:r>
          </w:p>
        </w:tc>
        <w:tc>
          <w:tcPr>
            <w:tcW w:w="989" w:type="pct"/>
            <w:vAlign w:val="center"/>
          </w:tcPr>
          <w:p w14:paraId="78C395CC">
            <w:pPr>
              <w:pStyle w:val="256"/>
              <w:spacing w:before="162"/>
              <w:jc w:val="center"/>
              <w:rPr>
                <w:szCs w:val="21"/>
              </w:rPr>
            </w:pPr>
            <w:r>
              <w:rPr>
                <w:rFonts w:hint="eastAsia"/>
                <w:szCs w:val="21"/>
              </w:rPr>
              <w:t>设备名称</w:t>
            </w:r>
          </w:p>
        </w:tc>
        <w:tc>
          <w:tcPr>
            <w:tcW w:w="1074" w:type="pct"/>
            <w:vAlign w:val="center"/>
          </w:tcPr>
          <w:p w14:paraId="3BF7D1AD">
            <w:pPr>
              <w:pStyle w:val="256"/>
              <w:spacing w:before="162"/>
              <w:jc w:val="center"/>
              <w:rPr>
                <w:szCs w:val="21"/>
              </w:rPr>
            </w:pPr>
            <w:r>
              <w:rPr>
                <w:rFonts w:hint="eastAsia"/>
                <w:szCs w:val="21"/>
              </w:rPr>
              <w:t>规格、功率及容量</w:t>
            </w:r>
          </w:p>
        </w:tc>
        <w:tc>
          <w:tcPr>
            <w:tcW w:w="413" w:type="pct"/>
            <w:vAlign w:val="center"/>
          </w:tcPr>
          <w:p w14:paraId="56BB9547">
            <w:pPr>
              <w:pStyle w:val="256"/>
              <w:spacing w:before="162"/>
              <w:jc w:val="center"/>
              <w:rPr>
                <w:szCs w:val="21"/>
              </w:rPr>
            </w:pPr>
            <w:r>
              <w:rPr>
                <w:rFonts w:hint="eastAsia"/>
                <w:szCs w:val="21"/>
              </w:rPr>
              <w:t>单位</w:t>
            </w:r>
          </w:p>
        </w:tc>
        <w:tc>
          <w:tcPr>
            <w:tcW w:w="1877" w:type="pct"/>
            <w:vAlign w:val="center"/>
          </w:tcPr>
          <w:p w14:paraId="5086F872">
            <w:pPr>
              <w:pStyle w:val="256"/>
              <w:spacing w:before="162"/>
              <w:jc w:val="center"/>
              <w:rPr>
                <w:szCs w:val="21"/>
              </w:rPr>
            </w:pPr>
            <w:r>
              <w:rPr>
                <w:rFonts w:hint="eastAsia"/>
                <w:szCs w:val="21"/>
              </w:rPr>
              <w:t>最低数量要求</w:t>
            </w:r>
          </w:p>
        </w:tc>
      </w:tr>
      <w:tr w14:paraId="6B843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71" w:type="pct"/>
            <w:vMerge w:val="restart"/>
            <w:vAlign w:val="center"/>
          </w:tcPr>
          <w:p w14:paraId="0DA4AEA5">
            <w:pPr>
              <w:jc w:val="center"/>
              <w:rPr>
                <w:rFonts w:ascii="宋体" w:hAnsi="宋体"/>
                <w:szCs w:val="21"/>
              </w:rPr>
            </w:pPr>
          </w:p>
        </w:tc>
        <w:tc>
          <w:tcPr>
            <w:tcW w:w="989" w:type="pct"/>
            <w:vAlign w:val="center"/>
          </w:tcPr>
          <w:p w14:paraId="1F7598F7">
            <w:pPr>
              <w:jc w:val="center"/>
              <w:rPr>
                <w:rFonts w:ascii="宋体" w:hAnsi="宋体"/>
                <w:szCs w:val="21"/>
              </w:rPr>
            </w:pPr>
          </w:p>
        </w:tc>
        <w:tc>
          <w:tcPr>
            <w:tcW w:w="1074" w:type="pct"/>
            <w:vAlign w:val="center"/>
          </w:tcPr>
          <w:p w14:paraId="58A2B34C">
            <w:pPr>
              <w:jc w:val="center"/>
              <w:rPr>
                <w:rFonts w:ascii="宋体" w:hAnsi="宋体"/>
                <w:szCs w:val="21"/>
              </w:rPr>
            </w:pPr>
          </w:p>
        </w:tc>
        <w:tc>
          <w:tcPr>
            <w:tcW w:w="413" w:type="pct"/>
            <w:vAlign w:val="center"/>
          </w:tcPr>
          <w:p w14:paraId="6E73B683">
            <w:pPr>
              <w:jc w:val="center"/>
              <w:rPr>
                <w:rFonts w:ascii="宋体" w:hAnsi="宋体"/>
                <w:szCs w:val="21"/>
              </w:rPr>
            </w:pPr>
          </w:p>
        </w:tc>
        <w:tc>
          <w:tcPr>
            <w:tcW w:w="1877" w:type="pct"/>
            <w:vAlign w:val="center"/>
          </w:tcPr>
          <w:p w14:paraId="74E36012">
            <w:pPr>
              <w:jc w:val="center"/>
              <w:rPr>
                <w:rFonts w:ascii="宋体" w:hAnsi="宋体"/>
                <w:szCs w:val="21"/>
              </w:rPr>
            </w:pPr>
          </w:p>
        </w:tc>
      </w:tr>
      <w:tr w14:paraId="18E0C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71" w:type="pct"/>
            <w:vMerge w:val="continue"/>
            <w:vAlign w:val="center"/>
          </w:tcPr>
          <w:p w14:paraId="6197640A">
            <w:pPr>
              <w:jc w:val="center"/>
              <w:rPr>
                <w:rFonts w:ascii="宋体" w:hAnsi="宋体"/>
                <w:szCs w:val="21"/>
              </w:rPr>
            </w:pPr>
          </w:p>
        </w:tc>
        <w:tc>
          <w:tcPr>
            <w:tcW w:w="989" w:type="pct"/>
            <w:vAlign w:val="center"/>
          </w:tcPr>
          <w:p w14:paraId="57031B84">
            <w:pPr>
              <w:jc w:val="center"/>
              <w:rPr>
                <w:rFonts w:ascii="宋体" w:hAnsi="宋体"/>
                <w:szCs w:val="21"/>
              </w:rPr>
            </w:pPr>
          </w:p>
        </w:tc>
        <w:tc>
          <w:tcPr>
            <w:tcW w:w="1074" w:type="pct"/>
            <w:vAlign w:val="center"/>
          </w:tcPr>
          <w:p w14:paraId="0324C2A8">
            <w:pPr>
              <w:jc w:val="center"/>
              <w:rPr>
                <w:rFonts w:ascii="宋体" w:hAnsi="宋体"/>
                <w:szCs w:val="21"/>
              </w:rPr>
            </w:pPr>
          </w:p>
        </w:tc>
        <w:tc>
          <w:tcPr>
            <w:tcW w:w="413" w:type="pct"/>
            <w:vAlign w:val="center"/>
          </w:tcPr>
          <w:p w14:paraId="0F8E3E31">
            <w:pPr>
              <w:jc w:val="center"/>
              <w:rPr>
                <w:rFonts w:ascii="宋体" w:hAnsi="宋体"/>
                <w:szCs w:val="21"/>
              </w:rPr>
            </w:pPr>
          </w:p>
        </w:tc>
        <w:tc>
          <w:tcPr>
            <w:tcW w:w="1877" w:type="pct"/>
            <w:vAlign w:val="center"/>
          </w:tcPr>
          <w:p w14:paraId="74219602">
            <w:pPr>
              <w:jc w:val="center"/>
              <w:rPr>
                <w:rFonts w:ascii="宋体" w:hAnsi="宋体"/>
                <w:szCs w:val="21"/>
              </w:rPr>
            </w:pPr>
          </w:p>
        </w:tc>
      </w:tr>
      <w:tr w14:paraId="4DD19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71" w:type="pct"/>
            <w:vMerge w:val="continue"/>
            <w:vAlign w:val="center"/>
          </w:tcPr>
          <w:p w14:paraId="2025C197">
            <w:pPr>
              <w:jc w:val="center"/>
              <w:rPr>
                <w:rFonts w:ascii="宋体" w:hAnsi="宋体"/>
                <w:szCs w:val="21"/>
              </w:rPr>
            </w:pPr>
          </w:p>
        </w:tc>
        <w:tc>
          <w:tcPr>
            <w:tcW w:w="989" w:type="pct"/>
            <w:vAlign w:val="center"/>
          </w:tcPr>
          <w:p w14:paraId="323A0C0D">
            <w:pPr>
              <w:jc w:val="center"/>
              <w:rPr>
                <w:rFonts w:ascii="宋体" w:hAnsi="宋体"/>
                <w:szCs w:val="21"/>
              </w:rPr>
            </w:pPr>
          </w:p>
        </w:tc>
        <w:tc>
          <w:tcPr>
            <w:tcW w:w="1074" w:type="pct"/>
            <w:vAlign w:val="center"/>
          </w:tcPr>
          <w:p w14:paraId="7A277D05">
            <w:pPr>
              <w:jc w:val="center"/>
              <w:rPr>
                <w:rFonts w:ascii="宋体" w:hAnsi="宋体"/>
                <w:szCs w:val="21"/>
              </w:rPr>
            </w:pPr>
          </w:p>
        </w:tc>
        <w:tc>
          <w:tcPr>
            <w:tcW w:w="413" w:type="pct"/>
            <w:vAlign w:val="center"/>
          </w:tcPr>
          <w:p w14:paraId="4AF16985">
            <w:pPr>
              <w:jc w:val="center"/>
              <w:rPr>
                <w:rFonts w:ascii="宋体" w:hAnsi="宋体"/>
                <w:szCs w:val="21"/>
              </w:rPr>
            </w:pPr>
          </w:p>
        </w:tc>
        <w:tc>
          <w:tcPr>
            <w:tcW w:w="1877" w:type="pct"/>
            <w:vAlign w:val="center"/>
          </w:tcPr>
          <w:p w14:paraId="7D851863">
            <w:pPr>
              <w:jc w:val="center"/>
              <w:rPr>
                <w:rFonts w:ascii="宋体" w:hAnsi="宋体"/>
                <w:szCs w:val="21"/>
              </w:rPr>
            </w:pPr>
          </w:p>
        </w:tc>
      </w:tr>
      <w:tr w14:paraId="32DF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71" w:type="pct"/>
            <w:vMerge w:val="continue"/>
            <w:vAlign w:val="center"/>
          </w:tcPr>
          <w:p w14:paraId="27C24A05">
            <w:pPr>
              <w:jc w:val="center"/>
              <w:rPr>
                <w:rFonts w:ascii="宋体" w:hAnsi="宋体"/>
                <w:szCs w:val="21"/>
              </w:rPr>
            </w:pPr>
          </w:p>
        </w:tc>
        <w:tc>
          <w:tcPr>
            <w:tcW w:w="989" w:type="pct"/>
            <w:vAlign w:val="center"/>
          </w:tcPr>
          <w:p w14:paraId="74440F44">
            <w:pPr>
              <w:jc w:val="center"/>
              <w:rPr>
                <w:rFonts w:ascii="宋体" w:hAnsi="宋体"/>
                <w:szCs w:val="21"/>
              </w:rPr>
            </w:pPr>
          </w:p>
        </w:tc>
        <w:tc>
          <w:tcPr>
            <w:tcW w:w="1074" w:type="pct"/>
            <w:vAlign w:val="center"/>
          </w:tcPr>
          <w:p w14:paraId="1A9669C6">
            <w:pPr>
              <w:jc w:val="center"/>
              <w:rPr>
                <w:rFonts w:ascii="宋体" w:hAnsi="宋体"/>
                <w:szCs w:val="21"/>
              </w:rPr>
            </w:pPr>
          </w:p>
        </w:tc>
        <w:tc>
          <w:tcPr>
            <w:tcW w:w="413" w:type="pct"/>
            <w:vAlign w:val="center"/>
          </w:tcPr>
          <w:p w14:paraId="57EBB1D9">
            <w:pPr>
              <w:jc w:val="center"/>
              <w:rPr>
                <w:rFonts w:ascii="宋体" w:hAnsi="宋体"/>
                <w:szCs w:val="21"/>
              </w:rPr>
            </w:pPr>
          </w:p>
        </w:tc>
        <w:tc>
          <w:tcPr>
            <w:tcW w:w="1877" w:type="pct"/>
            <w:vAlign w:val="center"/>
          </w:tcPr>
          <w:p w14:paraId="260683D8">
            <w:pPr>
              <w:jc w:val="center"/>
              <w:rPr>
                <w:rFonts w:ascii="宋体" w:hAnsi="宋体"/>
                <w:szCs w:val="21"/>
              </w:rPr>
            </w:pPr>
          </w:p>
        </w:tc>
      </w:tr>
      <w:tr w14:paraId="5703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471" w:type="pct"/>
            <w:vMerge w:val="continue"/>
            <w:vAlign w:val="center"/>
          </w:tcPr>
          <w:p w14:paraId="7179CA8D">
            <w:pPr>
              <w:jc w:val="center"/>
              <w:rPr>
                <w:rFonts w:ascii="宋体" w:hAnsi="宋体"/>
                <w:szCs w:val="21"/>
              </w:rPr>
            </w:pPr>
          </w:p>
        </w:tc>
        <w:tc>
          <w:tcPr>
            <w:tcW w:w="989" w:type="pct"/>
            <w:vAlign w:val="center"/>
          </w:tcPr>
          <w:p w14:paraId="57969FDD">
            <w:pPr>
              <w:jc w:val="center"/>
              <w:rPr>
                <w:rFonts w:ascii="宋体" w:hAnsi="宋体"/>
                <w:szCs w:val="21"/>
              </w:rPr>
            </w:pPr>
          </w:p>
        </w:tc>
        <w:tc>
          <w:tcPr>
            <w:tcW w:w="1074" w:type="pct"/>
            <w:vAlign w:val="center"/>
          </w:tcPr>
          <w:p w14:paraId="4376BC08">
            <w:pPr>
              <w:jc w:val="center"/>
              <w:rPr>
                <w:rFonts w:ascii="宋体" w:hAnsi="宋体"/>
                <w:szCs w:val="21"/>
              </w:rPr>
            </w:pPr>
          </w:p>
        </w:tc>
        <w:tc>
          <w:tcPr>
            <w:tcW w:w="413" w:type="pct"/>
            <w:vAlign w:val="center"/>
          </w:tcPr>
          <w:p w14:paraId="124AB217">
            <w:pPr>
              <w:jc w:val="center"/>
              <w:rPr>
                <w:rFonts w:ascii="宋体" w:hAnsi="宋体"/>
                <w:szCs w:val="21"/>
              </w:rPr>
            </w:pPr>
          </w:p>
        </w:tc>
        <w:tc>
          <w:tcPr>
            <w:tcW w:w="1877" w:type="pct"/>
            <w:vAlign w:val="center"/>
          </w:tcPr>
          <w:p w14:paraId="62016129">
            <w:pPr>
              <w:jc w:val="center"/>
              <w:rPr>
                <w:rFonts w:ascii="宋体" w:hAnsi="宋体"/>
                <w:szCs w:val="21"/>
              </w:rPr>
            </w:pPr>
          </w:p>
        </w:tc>
      </w:tr>
      <w:tr w14:paraId="604D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471" w:type="pct"/>
            <w:vMerge w:val="continue"/>
            <w:vAlign w:val="center"/>
          </w:tcPr>
          <w:p w14:paraId="5315BC36">
            <w:pPr>
              <w:jc w:val="center"/>
              <w:rPr>
                <w:rFonts w:ascii="宋体" w:hAnsi="宋体"/>
                <w:szCs w:val="21"/>
              </w:rPr>
            </w:pPr>
          </w:p>
        </w:tc>
        <w:tc>
          <w:tcPr>
            <w:tcW w:w="989" w:type="pct"/>
            <w:vAlign w:val="center"/>
          </w:tcPr>
          <w:p w14:paraId="127DAEB5">
            <w:pPr>
              <w:jc w:val="center"/>
              <w:rPr>
                <w:rFonts w:ascii="宋体" w:hAnsi="宋体"/>
                <w:szCs w:val="21"/>
              </w:rPr>
            </w:pPr>
          </w:p>
        </w:tc>
        <w:tc>
          <w:tcPr>
            <w:tcW w:w="1074" w:type="pct"/>
            <w:vAlign w:val="center"/>
          </w:tcPr>
          <w:p w14:paraId="18C0CA5A">
            <w:pPr>
              <w:jc w:val="center"/>
              <w:rPr>
                <w:rFonts w:ascii="宋体" w:hAnsi="宋体"/>
                <w:szCs w:val="21"/>
              </w:rPr>
            </w:pPr>
          </w:p>
        </w:tc>
        <w:tc>
          <w:tcPr>
            <w:tcW w:w="413" w:type="pct"/>
            <w:vAlign w:val="center"/>
          </w:tcPr>
          <w:p w14:paraId="71C7B7B2">
            <w:pPr>
              <w:jc w:val="center"/>
              <w:rPr>
                <w:rFonts w:ascii="宋体" w:hAnsi="宋体"/>
                <w:szCs w:val="21"/>
              </w:rPr>
            </w:pPr>
          </w:p>
        </w:tc>
        <w:tc>
          <w:tcPr>
            <w:tcW w:w="1877" w:type="pct"/>
            <w:vAlign w:val="center"/>
          </w:tcPr>
          <w:p w14:paraId="2B99861A">
            <w:pPr>
              <w:jc w:val="center"/>
              <w:rPr>
                <w:rFonts w:ascii="宋体" w:hAnsi="宋体"/>
                <w:szCs w:val="21"/>
              </w:rPr>
            </w:pPr>
          </w:p>
        </w:tc>
      </w:tr>
    </w:tbl>
    <w:p w14:paraId="55891917">
      <w:pPr>
        <w:pStyle w:val="20"/>
        <w:rPr>
          <w:b/>
          <w:sz w:val="20"/>
        </w:rPr>
      </w:pPr>
    </w:p>
    <w:p w14:paraId="6015AD9B">
      <w:pPr>
        <w:spacing w:line="360" w:lineRule="auto"/>
        <w:rPr>
          <w:rFonts w:ascii="宋体" w:hAnsi="宋体" w:cs="宋体"/>
          <w:szCs w:val="21"/>
        </w:rPr>
      </w:pPr>
      <w:r>
        <w:rPr>
          <w:rFonts w:hint="eastAsia"/>
          <w:b w:val="0"/>
          <w:bCs/>
          <w:szCs w:val="21"/>
        </w:rPr>
        <w:t>注：</w:t>
      </w:r>
      <w:r>
        <w:rPr>
          <w:rFonts w:hint="eastAsia" w:ascii="宋体" w:hAnsi="宋体" w:cs="宋体"/>
          <w:szCs w:val="21"/>
        </w:rPr>
        <w:t>主要机械设备和试验检测设备最低要求：</w:t>
      </w:r>
    </w:p>
    <w:p w14:paraId="3BFAC7C3">
      <w:pPr>
        <w:spacing w:line="360" w:lineRule="auto"/>
        <w:ind w:left="0" w:leftChars="0" w:firstLine="420" w:firstLineChars="200"/>
        <w:rPr>
          <w:rFonts w:ascii="宋体" w:hAnsi="宋体"/>
          <w:szCs w:val="21"/>
        </w:rPr>
      </w:pPr>
      <w:r>
        <w:rPr>
          <w:rFonts w:ascii="宋体" w:hAnsi="宋体"/>
          <w:szCs w:val="21"/>
        </w:rPr>
        <w:t>a.</w:t>
      </w:r>
      <w:r>
        <w:rPr>
          <w:rFonts w:hint="eastAsia" w:ascii="宋体" w:hAnsi="宋体" w:cs="宋体"/>
          <w:szCs w:val="21"/>
        </w:rPr>
        <w:t>发包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r>
        <w:rPr>
          <w:rFonts w:ascii="宋体" w:hAnsi="宋体"/>
          <w:szCs w:val="21"/>
        </w:rPr>
        <w:t xml:space="preserve"> </w:t>
      </w:r>
    </w:p>
    <w:p w14:paraId="6682BC02">
      <w:pPr>
        <w:spacing w:line="360" w:lineRule="auto"/>
        <w:ind w:left="0" w:leftChars="0" w:firstLine="420" w:firstLineChars="200"/>
        <w:rPr>
          <w:rFonts w:ascii="宋体" w:hAnsi="宋体"/>
          <w:szCs w:val="21"/>
        </w:rPr>
      </w:pPr>
      <w:r>
        <w:rPr>
          <w:rFonts w:hint="eastAsia" w:ascii="宋体" w:hAnsi="宋体"/>
          <w:szCs w:val="21"/>
        </w:rPr>
        <w:t>b.本表不适用于已按招标文件要求提供了主要机械设备和试验检测设备的特别复杂的特大桥梁和特长隧道项目主体工程以及其他有特殊要求的工程。</w:t>
      </w:r>
    </w:p>
    <w:p w14:paraId="3DD208AA">
      <w:pPr>
        <w:pStyle w:val="20"/>
        <w:spacing w:before="2"/>
        <w:rPr>
          <w:b/>
          <w:sz w:val="17"/>
        </w:rPr>
      </w:pPr>
    </w:p>
    <w:p w14:paraId="2F9A1E2E">
      <w:pPr>
        <w:pStyle w:val="20"/>
        <w:spacing w:before="2"/>
        <w:rPr>
          <w:b/>
          <w:sz w:val="17"/>
        </w:rPr>
      </w:pPr>
    </w:p>
    <w:p w14:paraId="5E22C2E2">
      <w:pPr>
        <w:pStyle w:val="20"/>
        <w:spacing w:before="2"/>
        <w:rPr>
          <w:b/>
          <w:sz w:val="17"/>
        </w:rPr>
      </w:pPr>
    </w:p>
    <w:p w14:paraId="378A2ABB">
      <w:pPr>
        <w:pStyle w:val="20"/>
        <w:spacing w:before="2"/>
        <w:rPr>
          <w:b/>
          <w:sz w:val="17"/>
        </w:rPr>
      </w:pPr>
    </w:p>
    <w:p w14:paraId="6E80DD06">
      <w:pPr>
        <w:spacing w:before="2"/>
        <w:rPr>
          <w:b/>
          <w:sz w:val="17"/>
        </w:rPr>
      </w:pPr>
      <w:r>
        <w:rPr>
          <w:b/>
          <w:sz w:val="17"/>
        </w:rPr>
        <w:br w:type="page"/>
      </w:r>
    </w:p>
    <w:p w14:paraId="4E31C0FA">
      <w:pPr>
        <w:pStyle w:val="20"/>
        <w:spacing w:before="188"/>
        <w:ind w:right="-6605"/>
        <w:outlineLvl w:val="2"/>
        <w:rPr>
          <w:rStyle w:val="51"/>
          <w:rFonts w:hint="eastAsia" w:ascii="黑体" w:hAnsi="黑体" w:eastAsia="黑体" w:cs="黑体"/>
          <w:b w:val="0"/>
          <w:bCs w:val="0"/>
        </w:rPr>
      </w:pPr>
      <w:r>
        <w:rPr>
          <w:rStyle w:val="51"/>
          <w:rFonts w:hint="eastAsia" w:ascii="黑体" w:hAnsi="黑体" w:eastAsia="黑体" w:cs="黑体"/>
          <w:b w:val="0"/>
          <w:bCs w:val="0"/>
        </w:rPr>
        <w:t>附件七 项目经理委任书</w:t>
      </w:r>
    </w:p>
    <w:p w14:paraId="07258FFC">
      <w:pPr>
        <w:pStyle w:val="20"/>
        <w:spacing w:before="26" w:line="360" w:lineRule="auto"/>
        <w:ind w:left="144" w:right="103"/>
        <w:jc w:val="center"/>
        <w:rPr>
          <w:rFonts w:ascii="黑体" w:hAnsi="黑体" w:eastAsia="黑体" w:cs="宋体"/>
          <w:sz w:val="28"/>
          <w:szCs w:val="28"/>
          <w:u w:val="single"/>
        </w:rPr>
      </w:pPr>
      <w:r>
        <w:rPr>
          <w:rFonts w:hint="eastAsia" w:ascii="黑体" w:hAnsi="黑体" w:eastAsia="黑体" w:cs="宋体"/>
          <w:sz w:val="28"/>
          <w:szCs w:val="28"/>
          <w:u w:val="single"/>
        </w:rPr>
        <w:t>（承包人全称）</w:t>
      </w:r>
    </w:p>
    <w:p w14:paraId="052F9BB2">
      <w:pPr>
        <w:pStyle w:val="20"/>
        <w:spacing w:before="26" w:line="360" w:lineRule="auto"/>
        <w:ind w:left="144" w:right="103"/>
        <w:jc w:val="center"/>
        <w:rPr>
          <w:rFonts w:ascii="黑体" w:hAnsi="黑体" w:eastAsia="黑体" w:cs="宋体"/>
          <w:sz w:val="28"/>
          <w:szCs w:val="28"/>
        </w:rPr>
      </w:pPr>
      <w:r>
        <w:rPr>
          <w:rFonts w:hint="eastAsia" w:ascii="黑体" w:hAnsi="黑体" w:eastAsia="黑体" w:cs="宋体"/>
          <w:sz w:val="28"/>
          <w:szCs w:val="28"/>
          <w:u w:val="single"/>
        </w:rPr>
        <w:t>（合同工程名称）</w:t>
      </w:r>
      <w:r>
        <w:rPr>
          <w:rFonts w:hint="eastAsia" w:ascii="黑体" w:hAnsi="黑体" w:eastAsia="黑体" w:cs="宋体"/>
          <w:sz w:val="28"/>
          <w:szCs w:val="28"/>
        </w:rPr>
        <w:t>项目经理委任书</w:t>
      </w:r>
    </w:p>
    <w:p w14:paraId="3AD6F8F7">
      <w:pPr>
        <w:pStyle w:val="20"/>
        <w:spacing w:before="26" w:line="360" w:lineRule="auto"/>
        <w:ind w:left="144" w:right="103"/>
        <w:rPr>
          <w:rFonts w:cs="宋体"/>
          <w:sz w:val="21"/>
          <w:szCs w:val="21"/>
        </w:rPr>
      </w:pPr>
    </w:p>
    <w:p w14:paraId="0CEEE2AB">
      <w:pPr>
        <w:pStyle w:val="20"/>
        <w:spacing w:before="26" w:line="360" w:lineRule="auto"/>
        <w:ind w:left="144" w:right="103"/>
        <w:rPr>
          <w:rFonts w:cs="宋体"/>
        </w:rPr>
      </w:pPr>
    </w:p>
    <w:p w14:paraId="0852426F">
      <w:pPr>
        <w:pStyle w:val="20"/>
        <w:spacing w:before="26" w:line="360" w:lineRule="auto"/>
        <w:ind w:left="144" w:right="103"/>
      </w:pPr>
      <w:r>
        <w:rPr>
          <w:rFonts w:hint="eastAsia" w:cs="宋体"/>
        </w:rPr>
        <w:t>致：</w:t>
      </w:r>
      <w:r>
        <w:rPr>
          <w:u w:val="single"/>
        </w:rPr>
        <w:t>（</w:t>
      </w:r>
      <w:r>
        <w:rPr>
          <w:rFonts w:hint="eastAsia" w:cs="宋体"/>
          <w:u w:val="single"/>
        </w:rPr>
        <w:t>发包人全称</w:t>
      </w:r>
      <w:r>
        <w:rPr>
          <w:u w:val="single"/>
        </w:rPr>
        <w:t>）</w:t>
      </w:r>
    </w:p>
    <w:p w14:paraId="111FF909">
      <w:pPr>
        <w:pStyle w:val="20"/>
        <w:spacing w:before="67" w:line="360" w:lineRule="auto"/>
        <w:ind w:left="144" w:right="101" w:firstLine="616"/>
      </w:pPr>
      <w:r>
        <w:rPr>
          <w:u w:val="single"/>
        </w:rPr>
        <w:t xml:space="preserve">    （</w:t>
      </w:r>
      <w:r>
        <w:rPr>
          <w:rFonts w:hint="eastAsia" w:cs="宋体"/>
          <w:u w:val="single"/>
        </w:rPr>
        <w:t>承包人全称</w:t>
      </w:r>
      <w:r>
        <w:rPr>
          <w:u w:val="single"/>
        </w:rPr>
        <w:t xml:space="preserve">） </w:t>
      </w:r>
      <w:r>
        <w:rPr>
          <w:rFonts w:hint="eastAsia"/>
          <w:u w:val="single"/>
        </w:rPr>
        <w:t xml:space="preserve">  </w:t>
      </w:r>
      <w:r>
        <w:rPr>
          <w:rFonts w:hint="eastAsia" w:cs="宋体"/>
        </w:rPr>
        <w:t>法定代表人</w:t>
      </w:r>
      <w:r>
        <w:t xml:space="preserve"> </w:t>
      </w:r>
      <w:r>
        <w:rPr>
          <w:u w:val="single"/>
        </w:rPr>
        <w:t>（</w:t>
      </w:r>
      <w:r>
        <w:rPr>
          <w:rFonts w:hint="eastAsia" w:cs="宋体"/>
          <w:u w:val="single"/>
        </w:rPr>
        <w:t>职务、姓名</w:t>
      </w:r>
      <w:r>
        <w:rPr>
          <w:u w:val="single"/>
        </w:rPr>
        <w:t xml:space="preserve">） </w:t>
      </w:r>
      <w:r>
        <w:rPr>
          <w:rFonts w:hint="eastAsia" w:cs="宋体"/>
        </w:rPr>
        <w:t>代表本单位委任</w:t>
      </w:r>
      <w:r>
        <w:t xml:space="preserve"> </w:t>
      </w:r>
      <w:r>
        <w:rPr>
          <w:u w:val="single"/>
        </w:rPr>
        <w:t>（</w:t>
      </w:r>
      <w:r>
        <w:rPr>
          <w:rFonts w:hint="eastAsia" w:cs="宋体"/>
          <w:u w:val="single"/>
        </w:rPr>
        <w:t>职务、姓名</w:t>
      </w:r>
      <w:r>
        <w:rPr>
          <w:u w:val="single"/>
        </w:rPr>
        <w:t xml:space="preserve">） </w:t>
      </w:r>
      <w:r>
        <w:rPr>
          <w:rFonts w:hint="eastAsia" w:cs="宋体"/>
        </w:rPr>
        <w:t>为</w:t>
      </w:r>
      <w:r>
        <w:rPr>
          <w:u w:val="single"/>
        </w:rPr>
        <w:t xml:space="preserve"> （</w:t>
      </w:r>
      <w:r>
        <w:rPr>
          <w:rFonts w:hint="eastAsia" w:cs="宋体"/>
          <w:u w:val="single"/>
        </w:rPr>
        <w:t>合同工程名称</w:t>
      </w:r>
      <w:r>
        <w:rPr>
          <w:u w:val="single"/>
        </w:rPr>
        <w:t>）</w:t>
      </w:r>
      <w:r>
        <w:rPr>
          <w:rFonts w:hint="eastAsia"/>
          <w:u w:val="single"/>
        </w:rPr>
        <w:t xml:space="preserve"> </w:t>
      </w:r>
      <w:r>
        <w:rPr>
          <w:rFonts w:hint="eastAsia" w:cs="宋体"/>
        </w:rPr>
        <w:t>的项目经理。凡本合同执行中的有关技术、工程进度、现场管理、质量检验、结算与支付等方面工作，由</w:t>
      </w:r>
      <w:r>
        <w:rPr>
          <w:u w:val="single"/>
        </w:rPr>
        <w:t xml:space="preserve">  （</w:t>
      </w:r>
      <w:r>
        <w:rPr>
          <w:rFonts w:hint="eastAsia" w:cs="宋体"/>
          <w:u w:val="single"/>
        </w:rPr>
        <w:t>姓名</w:t>
      </w:r>
      <w:r>
        <w:rPr>
          <w:u w:val="single"/>
        </w:rPr>
        <w:t xml:space="preserve">）  </w:t>
      </w:r>
      <w:r>
        <w:rPr>
          <w:rFonts w:hint="eastAsia" w:cs="宋体"/>
        </w:rPr>
        <w:t>代表本单位全面负责。</w:t>
      </w:r>
    </w:p>
    <w:p w14:paraId="7AACED98">
      <w:pPr>
        <w:pStyle w:val="20"/>
        <w:spacing w:before="8" w:line="360" w:lineRule="auto"/>
      </w:pPr>
    </w:p>
    <w:p w14:paraId="6107D300">
      <w:pPr>
        <w:pStyle w:val="20"/>
        <w:tabs>
          <w:tab w:val="left" w:pos="7027"/>
          <w:tab w:val="left" w:pos="7463"/>
          <w:tab w:val="left" w:pos="8627"/>
        </w:tabs>
        <w:spacing w:before="26" w:line="360" w:lineRule="auto"/>
        <w:ind w:left="4747" w:right="294" w:hanging="764"/>
        <w:jc w:val="right"/>
      </w:pPr>
      <w:r>
        <w:rPr>
          <w:rFonts w:hint="eastAsia" w:cs="宋体"/>
        </w:rPr>
        <w:t xml:space="preserve">    承包人：</w:t>
      </w:r>
      <w:r>
        <w:rPr>
          <w:u w:val="single"/>
        </w:rPr>
        <w:t xml:space="preserve"> </w:t>
      </w:r>
      <w:r>
        <w:rPr>
          <w:rFonts w:hint="eastAsia"/>
          <w:u w:val="single"/>
        </w:rPr>
        <w:t xml:space="preserve"> </w:t>
      </w:r>
      <w:r>
        <w:rPr>
          <w:u w:val="single"/>
        </w:rPr>
        <w:tab/>
      </w:r>
      <w:r>
        <w:rPr>
          <w:rFonts w:hint="eastAsia"/>
          <w:u w:val="single"/>
        </w:rPr>
        <w:t xml:space="preserve"> </w:t>
      </w:r>
      <w:r>
        <w:t>（</w:t>
      </w:r>
      <w:r>
        <w:rPr>
          <w:rFonts w:hint="eastAsia" w:cs="宋体"/>
        </w:rPr>
        <w:t>盖单位章</w:t>
      </w:r>
      <w:r>
        <w:t xml:space="preserve">） </w:t>
      </w:r>
    </w:p>
    <w:p w14:paraId="4BBE8000">
      <w:pPr>
        <w:pStyle w:val="20"/>
        <w:tabs>
          <w:tab w:val="left" w:pos="7027"/>
          <w:tab w:val="left" w:pos="7463"/>
          <w:tab w:val="left" w:pos="8627"/>
        </w:tabs>
        <w:wordWrap w:val="0"/>
        <w:spacing w:before="26" w:line="360" w:lineRule="auto"/>
        <w:ind w:left="4747" w:right="174" w:hanging="764"/>
        <w:jc w:val="right"/>
      </w:pPr>
      <w:r>
        <w:rPr>
          <w:rFonts w:hint="eastAsia" w:cs="宋体"/>
        </w:rPr>
        <w:t>法定代表人：</w:t>
      </w:r>
      <w:r>
        <w:rPr>
          <w:u w:val="single"/>
        </w:rPr>
        <w:t xml:space="preserve">   </w:t>
      </w:r>
      <w:r>
        <w:rPr>
          <w:rFonts w:hint="eastAsia"/>
          <w:u w:val="single"/>
        </w:rPr>
        <w:t xml:space="preserve">        </w:t>
      </w:r>
      <w:r>
        <w:rPr>
          <w:u w:val="single"/>
        </w:rPr>
        <w:t>（</w:t>
      </w:r>
      <w:r>
        <w:rPr>
          <w:rFonts w:hint="eastAsia" w:cs="宋体"/>
          <w:u w:val="single"/>
        </w:rPr>
        <w:t>职务</w:t>
      </w:r>
      <w:r>
        <w:rPr>
          <w:u w:val="single"/>
        </w:rPr>
        <w:t>）</w:t>
      </w:r>
      <w:r>
        <w:rPr>
          <w:rFonts w:hint="eastAsia"/>
          <w:u w:val="single"/>
        </w:rPr>
        <w:t xml:space="preserve">       </w:t>
      </w:r>
      <w:r>
        <w:rPr>
          <w:u w:val="single"/>
        </w:rPr>
        <w:t xml:space="preserve"> </w:t>
      </w:r>
    </w:p>
    <w:p w14:paraId="69CEAFB7">
      <w:pPr>
        <w:pStyle w:val="20"/>
        <w:tabs>
          <w:tab w:val="left" w:pos="839"/>
          <w:tab w:val="left" w:pos="2320"/>
        </w:tabs>
        <w:spacing w:before="11" w:line="360" w:lineRule="auto"/>
        <w:ind w:right="217"/>
        <w:jc w:val="right"/>
      </w:pPr>
      <w:r>
        <w:rPr>
          <w:u w:val="single"/>
        </w:rPr>
        <w:t xml:space="preserve"> </w:t>
      </w:r>
      <w:r>
        <w:rPr>
          <w:u w:val="single"/>
        </w:rPr>
        <w:tab/>
      </w:r>
      <w:r>
        <w:rPr>
          <w:u w:val="single"/>
        </w:rPr>
        <w:t>（</w:t>
      </w:r>
      <w:r>
        <w:rPr>
          <w:rFonts w:hint="eastAsia" w:cs="宋体"/>
          <w:u w:val="single"/>
        </w:rPr>
        <w:t>姓名</w:t>
      </w:r>
      <w:r>
        <w:rPr>
          <w:u w:val="single"/>
        </w:rPr>
        <w:t>）</w:t>
      </w:r>
      <w:r>
        <w:rPr>
          <w:u w:val="single"/>
        </w:rPr>
        <w:tab/>
      </w:r>
    </w:p>
    <w:p w14:paraId="2C988F65">
      <w:pPr>
        <w:pStyle w:val="20"/>
        <w:tabs>
          <w:tab w:val="left" w:pos="839"/>
          <w:tab w:val="left" w:pos="2320"/>
        </w:tabs>
        <w:spacing w:before="67" w:line="360" w:lineRule="auto"/>
        <w:ind w:right="217"/>
        <w:jc w:val="right"/>
        <w:rPr>
          <w:u w:val="single"/>
        </w:rPr>
      </w:pPr>
      <w:r>
        <w:rPr>
          <w:u w:val="single"/>
        </w:rPr>
        <w:t xml:space="preserve"> </w:t>
      </w:r>
      <w:r>
        <w:rPr>
          <w:u w:val="single"/>
        </w:rPr>
        <w:tab/>
      </w:r>
      <w:r>
        <w:rPr>
          <w:u w:val="single"/>
        </w:rPr>
        <w:t>（</w:t>
      </w:r>
      <w:r>
        <w:rPr>
          <w:rFonts w:hint="eastAsia" w:cs="宋体"/>
          <w:u w:val="single"/>
        </w:rPr>
        <w:t>签字</w:t>
      </w:r>
      <w:r>
        <w:rPr>
          <w:u w:val="single"/>
        </w:rPr>
        <w:t>）</w:t>
      </w:r>
      <w:r>
        <w:rPr>
          <w:u w:val="single"/>
        </w:rPr>
        <w:tab/>
      </w:r>
    </w:p>
    <w:p w14:paraId="1E5B7CC2">
      <w:pPr>
        <w:pStyle w:val="20"/>
        <w:tabs>
          <w:tab w:val="left" w:pos="839"/>
          <w:tab w:val="left" w:pos="2320"/>
        </w:tabs>
        <w:spacing w:before="67" w:line="360" w:lineRule="auto"/>
        <w:ind w:right="217"/>
        <w:jc w:val="right"/>
      </w:pPr>
      <w:r>
        <w:rPr>
          <w:u w:val="single"/>
        </w:rPr>
        <w:t xml:space="preserve"> </w:t>
      </w:r>
      <w:r>
        <w:rPr>
          <w:u w:val="single"/>
        </w:rPr>
        <w:tab/>
      </w:r>
      <w:r>
        <w:rPr>
          <w:rFonts w:hint="eastAsia" w:cs="宋体"/>
        </w:rPr>
        <w:t>年</w:t>
      </w:r>
      <w:r>
        <w:rPr>
          <w:u w:val="single"/>
        </w:rPr>
        <w:t xml:space="preserve">    </w:t>
      </w:r>
      <w:r>
        <w:rPr>
          <w:rFonts w:hint="eastAsia" w:cs="宋体"/>
        </w:rPr>
        <w:t>月</w:t>
      </w:r>
      <w:r>
        <w:rPr>
          <w:u w:val="single"/>
        </w:rPr>
        <w:t xml:space="preserve"> </w:t>
      </w:r>
      <w:r>
        <w:rPr>
          <w:u w:val="single"/>
        </w:rPr>
        <w:tab/>
      </w:r>
      <w:r>
        <w:rPr>
          <w:rFonts w:hint="eastAsia" w:cs="宋体"/>
        </w:rPr>
        <w:t>日</w:t>
      </w:r>
    </w:p>
    <w:p w14:paraId="757B5D70">
      <w:pPr>
        <w:pStyle w:val="20"/>
        <w:spacing w:line="360" w:lineRule="auto"/>
      </w:pPr>
    </w:p>
    <w:p w14:paraId="274C035A">
      <w:pPr>
        <w:pStyle w:val="20"/>
        <w:spacing w:line="360" w:lineRule="auto"/>
        <w:rPr>
          <w:sz w:val="21"/>
          <w:szCs w:val="21"/>
        </w:rPr>
      </w:pPr>
    </w:p>
    <w:p w14:paraId="53559764">
      <w:pPr>
        <w:pStyle w:val="20"/>
        <w:spacing w:line="360" w:lineRule="auto"/>
        <w:rPr>
          <w:sz w:val="21"/>
          <w:szCs w:val="21"/>
        </w:rPr>
      </w:pPr>
    </w:p>
    <w:p w14:paraId="0B6EAC5E">
      <w:pPr>
        <w:pStyle w:val="20"/>
        <w:spacing w:line="360" w:lineRule="auto"/>
        <w:rPr>
          <w:sz w:val="21"/>
          <w:szCs w:val="21"/>
        </w:rPr>
      </w:pPr>
    </w:p>
    <w:p w14:paraId="4B855C5C">
      <w:pPr>
        <w:pStyle w:val="20"/>
        <w:spacing w:before="3" w:line="360" w:lineRule="auto"/>
        <w:rPr>
          <w:sz w:val="21"/>
          <w:szCs w:val="21"/>
        </w:rPr>
      </w:pPr>
    </w:p>
    <w:p w14:paraId="7A228AA9">
      <w:pPr>
        <w:pStyle w:val="20"/>
        <w:tabs>
          <w:tab w:val="left" w:pos="2224"/>
        </w:tabs>
        <w:spacing w:before="26" w:line="360" w:lineRule="auto"/>
        <w:ind w:left="144" w:right="103"/>
      </w:pPr>
      <w:r>
        <w:rPr>
          <w:rFonts w:hint="eastAsia" w:cs="宋体"/>
        </w:rPr>
        <w:t>抄送：</w:t>
      </w:r>
      <w:r>
        <w:t xml:space="preserve">  </w:t>
      </w:r>
      <w:r>
        <w:rPr>
          <w:u w:val="single"/>
        </w:rPr>
        <w:t>（</w:t>
      </w:r>
      <w:r>
        <w:rPr>
          <w:rFonts w:hint="eastAsia" w:cs="宋体"/>
          <w:u w:val="single"/>
        </w:rPr>
        <w:t>监理人</w:t>
      </w:r>
      <w:r>
        <w:rPr>
          <w:u w:val="single"/>
        </w:rPr>
        <w:t>）</w:t>
      </w:r>
      <w:r>
        <w:rPr>
          <w:u w:val="single"/>
        </w:rPr>
        <w:tab/>
      </w:r>
    </w:p>
    <w:p w14:paraId="7A3D051E">
      <w:pPr>
        <w:pStyle w:val="20"/>
        <w:spacing w:before="26" w:line="360" w:lineRule="auto"/>
        <w:ind w:left="144" w:right="7"/>
        <w:rPr>
          <w:b/>
          <w:sz w:val="30"/>
          <w:szCs w:val="30"/>
        </w:rPr>
      </w:pPr>
    </w:p>
    <w:p w14:paraId="623D05A9">
      <w:pPr>
        <w:pStyle w:val="20"/>
        <w:spacing w:before="2"/>
        <w:rPr>
          <w:b/>
          <w:sz w:val="17"/>
        </w:rPr>
      </w:pPr>
    </w:p>
    <w:p w14:paraId="5838C305">
      <w:pPr>
        <w:pStyle w:val="20"/>
        <w:spacing w:before="2"/>
        <w:rPr>
          <w:b/>
          <w:sz w:val="17"/>
        </w:rPr>
      </w:pPr>
    </w:p>
    <w:p w14:paraId="3C477FC5">
      <w:pPr>
        <w:pStyle w:val="20"/>
        <w:spacing w:before="2"/>
        <w:rPr>
          <w:b/>
          <w:sz w:val="17"/>
        </w:rPr>
      </w:pPr>
    </w:p>
    <w:p w14:paraId="33C22972">
      <w:pPr>
        <w:pStyle w:val="20"/>
        <w:spacing w:before="2"/>
        <w:rPr>
          <w:b/>
          <w:sz w:val="17"/>
        </w:rPr>
      </w:pPr>
    </w:p>
    <w:p w14:paraId="5F7CBA18">
      <w:pPr>
        <w:rPr>
          <w:rFonts w:ascii="宋体" w:hAnsi="宋体"/>
          <w:sz w:val="18"/>
        </w:rPr>
      </w:pPr>
    </w:p>
    <w:p w14:paraId="20B2D1BC">
      <w:pPr>
        <w:spacing w:before="188" w:line="360" w:lineRule="auto"/>
        <w:ind w:right="-6605"/>
        <w:rPr>
          <w:rFonts w:hint="eastAsia" w:ascii="黑体" w:hAnsi="黑体" w:eastAsia="黑体"/>
        </w:rPr>
        <w:sectPr>
          <w:footerReference r:id="rId10" w:type="default"/>
          <w:footnotePr>
            <w:numFmt w:val="decimalEnclosedCircleChinese"/>
            <w:numRestart w:val="eachPage"/>
          </w:footnotePr>
          <w:pgSz w:w="11900" w:h="16840"/>
          <w:pgMar w:top="1418" w:right="1134" w:bottom="1418" w:left="1701" w:header="851" w:footer="624" w:gutter="0"/>
          <w:cols w:space="720" w:num="1"/>
          <w:docGrid w:linePitch="312" w:charSpace="0"/>
        </w:sectPr>
      </w:pPr>
      <w:r>
        <w:rPr>
          <w:rFonts w:hint="eastAsia" w:ascii="黑体" w:hAnsi="黑体" w:eastAsia="黑体"/>
        </w:rPr>
        <w:br w:type="page"/>
      </w:r>
    </w:p>
    <w:p w14:paraId="6634179F">
      <w:pPr>
        <w:pStyle w:val="20"/>
        <w:spacing w:before="188" w:line="360" w:lineRule="auto"/>
        <w:ind w:right="-6605"/>
        <w:rPr>
          <w:rFonts w:ascii="黑体" w:hAnsi="黑体" w:eastAsia="黑体"/>
        </w:rPr>
      </w:pPr>
      <w:r>
        <w:rPr>
          <w:rFonts w:hint="eastAsia" w:ascii="黑体" w:hAnsi="黑体" w:eastAsia="黑体"/>
        </w:rPr>
        <w:t>附件</w:t>
      </w:r>
      <w:r>
        <w:rPr>
          <w:rFonts w:hint="eastAsia" w:ascii="黑体" w:hAnsi="黑体" w:eastAsia="黑体"/>
          <w:lang w:val="en-US" w:eastAsia="zh-CN"/>
        </w:rPr>
        <w:t>八</w:t>
      </w:r>
      <w:r>
        <w:rPr>
          <w:rFonts w:ascii="黑体" w:hAnsi="黑体" w:eastAsia="黑体"/>
        </w:rPr>
        <w:t xml:space="preserve">  履约保证金格式</w:t>
      </w:r>
    </w:p>
    <w:p w14:paraId="46D8E206">
      <w:pPr>
        <w:pStyle w:val="20"/>
        <w:spacing w:before="26" w:line="360" w:lineRule="auto"/>
        <w:ind w:left="0" w:right="7"/>
        <w:rPr>
          <w:rFonts w:cs="MS Gothic"/>
          <w:bCs/>
        </w:rPr>
      </w:pPr>
      <w:r>
        <w:rPr>
          <w:rFonts w:hint="eastAsia" w:cs="MS Gothic"/>
          <w:bCs/>
        </w:rPr>
        <w:t>如采用银行保函，格式如下：</w:t>
      </w:r>
    </w:p>
    <w:p w14:paraId="5FEFD6D0">
      <w:pPr>
        <w:pStyle w:val="20"/>
        <w:spacing w:before="8" w:line="360" w:lineRule="auto"/>
        <w:jc w:val="center"/>
        <w:rPr>
          <w:sz w:val="28"/>
          <w:szCs w:val="28"/>
        </w:rPr>
      </w:pPr>
      <w:r>
        <w:rPr>
          <w:rFonts w:hint="eastAsia" w:ascii="黑体" w:hAnsi="黑体" w:eastAsia="黑体"/>
          <w:sz w:val="28"/>
          <w:szCs w:val="28"/>
        </w:rPr>
        <w:t>履约保证金</w:t>
      </w:r>
    </w:p>
    <w:p w14:paraId="178873D8">
      <w:pPr>
        <w:pStyle w:val="20"/>
        <w:tabs>
          <w:tab w:val="left" w:pos="2483"/>
        </w:tabs>
        <w:spacing w:line="360" w:lineRule="auto"/>
        <w:ind w:left="0" w:right="7"/>
      </w:pPr>
      <w:r>
        <w:rPr>
          <w:u w:val="single"/>
        </w:rPr>
        <w:t xml:space="preserve"> </w:t>
      </w:r>
      <w:r>
        <w:rPr>
          <w:u w:val="single"/>
        </w:rPr>
        <w:tab/>
      </w:r>
      <w:r>
        <w:t>（</w:t>
      </w:r>
      <w:r>
        <w:rPr>
          <w:rFonts w:hint="eastAsia" w:cs="宋体"/>
        </w:rPr>
        <w:t>发包人名称</w:t>
      </w:r>
      <w:r>
        <w:t>）</w:t>
      </w:r>
      <w:r>
        <w:rPr>
          <w:rFonts w:hint="eastAsia" w:cs="宋体"/>
        </w:rPr>
        <w:t>：</w:t>
      </w:r>
    </w:p>
    <w:p w14:paraId="087100CE">
      <w:pPr>
        <w:pStyle w:val="20"/>
        <w:tabs>
          <w:tab w:val="left" w:pos="3143"/>
          <w:tab w:val="left" w:pos="3795"/>
          <w:tab w:val="left" w:pos="4935"/>
          <w:tab w:val="left" w:pos="7605"/>
          <w:tab w:val="left" w:pos="8020"/>
        </w:tabs>
        <w:spacing w:line="360" w:lineRule="auto"/>
        <w:ind w:right="102" w:firstLine="480" w:firstLineChars="200"/>
      </w:pPr>
      <w:r>
        <w:rPr>
          <w:rFonts w:hint="eastAsia" w:cs="宋体"/>
        </w:rPr>
        <w:t>鉴于</w:t>
      </w:r>
      <w:r>
        <w:rPr>
          <w:u w:val="single"/>
        </w:rPr>
        <w:t xml:space="preserve">           </w:t>
      </w:r>
      <w:r>
        <w:rPr>
          <w:spacing w:val="-4"/>
        </w:rPr>
        <w:t>（</w:t>
      </w:r>
      <w:r>
        <w:rPr>
          <w:rFonts w:hint="eastAsia" w:cs="宋体"/>
          <w:spacing w:val="-4"/>
        </w:rPr>
        <w:t>发包人名称，以下简称</w:t>
      </w:r>
      <w:r>
        <w:rPr>
          <w:spacing w:val="-4"/>
        </w:rPr>
        <w:t>“</w:t>
      </w:r>
      <w:r>
        <w:rPr>
          <w:rFonts w:hint="eastAsia" w:cs="宋体"/>
          <w:spacing w:val="-4"/>
        </w:rPr>
        <w:t>发包人</w:t>
      </w:r>
      <w:r>
        <w:rPr>
          <w:spacing w:val="-4"/>
        </w:rPr>
        <w:t>”）</w:t>
      </w:r>
      <w:r>
        <w:rPr>
          <w:rFonts w:hint="eastAsia" w:cs="宋体"/>
          <w:spacing w:val="-4"/>
        </w:rPr>
        <w:t>接受</w:t>
      </w:r>
      <w:r>
        <w:rPr>
          <w:spacing w:val="-4"/>
          <w:u w:val="single"/>
        </w:rPr>
        <w:t xml:space="preserve">        </w:t>
      </w:r>
      <w:r>
        <w:rPr>
          <w:spacing w:val="-4"/>
          <w:u w:val="single"/>
        </w:rPr>
        <w:tab/>
      </w:r>
      <w:r>
        <w:t>（</w:t>
      </w:r>
      <w:r>
        <w:rPr>
          <w:rFonts w:hint="eastAsia" w:cs="宋体"/>
        </w:rPr>
        <w:t>承包人</w:t>
      </w:r>
      <w:r>
        <w:rPr>
          <w:rFonts w:hint="eastAsia" w:cs="宋体"/>
          <w:spacing w:val="15"/>
        </w:rPr>
        <w:t>名称</w:t>
      </w:r>
      <w:r>
        <w:rPr>
          <w:rFonts w:hint="eastAsia"/>
          <w:spacing w:val="15"/>
          <w:lang w:eastAsia="zh-CN"/>
        </w:rPr>
        <w:t>，</w:t>
      </w:r>
      <w:r>
        <w:rPr>
          <w:rFonts w:hint="eastAsia" w:cs="宋体"/>
          <w:spacing w:val="15"/>
        </w:rPr>
        <w:t>以下称</w:t>
      </w:r>
      <w:r>
        <w:rPr>
          <w:spacing w:val="15"/>
        </w:rPr>
        <w:t>“</w:t>
      </w:r>
      <w:r>
        <w:rPr>
          <w:rFonts w:hint="eastAsia" w:cs="宋体"/>
          <w:spacing w:val="15"/>
        </w:rPr>
        <w:t>承包人</w:t>
      </w:r>
      <w:r>
        <w:rPr>
          <w:spacing w:val="15"/>
        </w:rPr>
        <w:t>”）</w:t>
      </w:r>
      <w:r>
        <w:rPr>
          <w:rFonts w:hint="eastAsia" w:cs="宋体"/>
          <w:spacing w:val="15"/>
        </w:rPr>
        <w:t>于</w:t>
      </w:r>
      <w:r>
        <w:rPr>
          <w:spacing w:val="15"/>
          <w:u w:val="single"/>
        </w:rPr>
        <w:t xml:space="preserve">    </w:t>
      </w:r>
      <w:r>
        <w:rPr>
          <w:rFonts w:hint="eastAsia" w:cs="宋体"/>
          <w:spacing w:val="19"/>
        </w:rPr>
        <w:t>年</w:t>
      </w:r>
      <w:r>
        <w:rPr>
          <w:spacing w:val="19"/>
          <w:u w:val="single"/>
        </w:rPr>
        <w:t xml:space="preserve">  </w:t>
      </w:r>
      <w:r>
        <w:rPr>
          <w:rFonts w:hint="eastAsia" w:cs="宋体"/>
          <w:spacing w:val="18"/>
        </w:rPr>
        <w:t>月</w:t>
      </w:r>
      <w:r>
        <w:rPr>
          <w:spacing w:val="18"/>
          <w:u w:val="single"/>
        </w:rPr>
        <w:t xml:space="preserve">  </w:t>
      </w:r>
      <w:r>
        <w:rPr>
          <w:rFonts w:hint="eastAsia" w:cs="宋体"/>
          <w:spacing w:val="18"/>
        </w:rPr>
        <w:t>日参加</w:t>
      </w:r>
      <w:r>
        <w:rPr>
          <w:spacing w:val="18"/>
          <w:u w:val="single"/>
        </w:rPr>
        <w:t xml:space="preserve">        </w:t>
      </w:r>
      <w:r>
        <w:rPr>
          <w:spacing w:val="15"/>
        </w:rPr>
        <w:t>（</w:t>
      </w:r>
      <w:r>
        <w:rPr>
          <w:rFonts w:hint="eastAsia" w:cs="宋体"/>
          <w:spacing w:val="2"/>
        </w:rPr>
        <w:t>招标</w:t>
      </w:r>
      <w:r>
        <w:rPr>
          <w:rFonts w:hint="eastAsia" w:cs="宋体"/>
          <w:spacing w:val="15"/>
        </w:rPr>
        <w:t>项目名称</w:t>
      </w:r>
      <w:r>
        <w:rPr>
          <w:spacing w:val="15"/>
        </w:rPr>
        <w:t>）</w:t>
      </w:r>
      <w:r>
        <w:rPr>
          <w:rFonts w:hint="eastAsia" w:cs="宋体"/>
          <w:lang w:val="en-US" w:eastAsia="zh-CN"/>
        </w:rPr>
        <w:t>设计施工总承包</w:t>
      </w:r>
      <w:r>
        <w:rPr>
          <w:spacing w:val="15"/>
          <w:u w:val="single"/>
        </w:rPr>
        <w:t xml:space="preserve">   </w:t>
      </w:r>
      <w:r>
        <w:rPr>
          <w:rFonts w:hint="eastAsia" w:cs="宋体"/>
          <w:spacing w:val="-3"/>
        </w:rPr>
        <w:t>标段的投标。我方愿意无条件地、不可撤销地就承包人履行与你方订立的合同，</w:t>
      </w:r>
      <w:r>
        <w:rPr>
          <w:rFonts w:hint="eastAsia" w:cs="宋体"/>
        </w:rPr>
        <w:t>向你方提供担保。</w:t>
      </w:r>
    </w:p>
    <w:p w14:paraId="259B134A">
      <w:pPr>
        <w:pStyle w:val="20"/>
        <w:tabs>
          <w:tab w:val="left" w:pos="5164"/>
          <w:tab w:val="left" w:pos="7285"/>
        </w:tabs>
        <w:spacing w:line="360" w:lineRule="auto"/>
        <w:ind w:left="623" w:right="7"/>
      </w:pPr>
      <w:r>
        <w:t>1.</w:t>
      </w:r>
      <w:r>
        <w:rPr>
          <w:rFonts w:hint="eastAsia" w:cs="宋体"/>
        </w:rPr>
        <w:t>担保金额人民币</w:t>
      </w:r>
      <w:r>
        <w:t>（</w:t>
      </w:r>
      <w:r>
        <w:rPr>
          <w:rFonts w:hint="eastAsia" w:cs="宋体"/>
        </w:rPr>
        <w:t>大写</w:t>
      </w:r>
      <w:r>
        <w:t>）</w:t>
      </w:r>
      <w:r>
        <w:rPr>
          <w:u w:val="single"/>
        </w:rPr>
        <w:tab/>
      </w:r>
      <w:r>
        <w:rPr>
          <w:rFonts w:hint="eastAsia" w:cs="宋体"/>
        </w:rPr>
        <w:t>元</w:t>
      </w:r>
      <w:r>
        <w:t>（¥</w:t>
      </w:r>
      <w:r>
        <w:rPr>
          <w:u w:val="single"/>
        </w:rPr>
        <w:t xml:space="preserve"> </w:t>
      </w:r>
      <w:r>
        <w:rPr>
          <w:u w:val="single"/>
        </w:rPr>
        <w:tab/>
      </w:r>
      <w:r>
        <w:t>）</w:t>
      </w:r>
      <w:r>
        <w:rPr>
          <w:rFonts w:hint="eastAsia" w:cs="宋体"/>
        </w:rPr>
        <w:t>。</w:t>
      </w:r>
    </w:p>
    <w:p w14:paraId="5D856689">
      <w:pPr>
        <w:pStyle w:val="20"/>
        <w:spacing w:line="360" w:lineRule="auto"/>
        <w:ind w:left="143" w:right="7" w:firstLine="480"/>
        <w:rPr>
          <w:rFonts w:cs="宋体"/>
        </w:rPr>
      </w:pPr>
      <w:r>
        <w:t>2.</w:t>
      </w:r>
      <w:r>
        <w:rPr>
          <w:rFonts w:hint="eastAsia" w:cs="宋体"/>
        </w:rPr>
        <w:t>担保有效期自发包人与承包人签订的合同生效之日起至发包人签发交工验收证书且承包人按照合同约定缴纳质量保证金之日止。</w:t>
      </w:r>
    </w:p>
    <w:p w14:paraId="4FA3EFB5">
      <w:pPr>
        <w:pStyle w:val="48"/>
        <w:spacing w:after="0" w:line="360" w:lineRule="auto"/>
        <w:ind w:left="0" w:leftChars="0" w:firstLine="420" w:firstLineChars="200"/>
        <w:rPr>
          <w:rFonts w:ascii="宋体" w:hAnsi="宋体"/>
          <w:sz w:val="21"/>
          <w:szCs w:val="21"/>
        </w:rPr>
      </w:pPr>
      <w:r>
        <w:rPr>
          <w:rFonts w:hint="eastAsia" w:ascii="宋体" w:hAnsi="宋体"/>
          <w:sz w:val="21"/>
          <w:szCs w:val="21"/>
        </w:rPr>
        <w:t>注：本条内容可修改为：“本担保自</w:t>
      </w:r>
      <w:r>
        <w:rPr>
          <w:rFonts w:ascii="宋体" w:hAnsi="宋体"/>
          <w:sz w:val="21"/>
          <w:szCs w:val="21"/>
          <w:u w:val="single"/>
        </w:rPr>
        <w:t xml:space="preserve">       </w:t>
      </w:r>
      <w:r>
        <w:rPr>
          <w:rFonts w:hint="eastAsia" w:ascii="宋体" w:hAnsi="宋体"/>
          <w:sz w:val="21"/>
          <w:szCs w:val="21"/>
        </w:rPr>
        <w:t>（生效日期）之日起生效，至</w:t>
      </w:r>
      <w:r>
        <w:rPr>
          <w:rFonts w:ascii="宋体" w:hAnsi="宋体"/>
          <w:sz w:val="21"/>
          <w:szCs w:val="21"/>
          <w:u w:val="single"/>
        </w:rPr>
        <w:t xml:space="preserve">      </w:t>
      </w:r>
      <w:r>
        <w:rPr>
          <w:rFonts w:hint="eastAsia" w:ascii="宋体" w:hAnsi="宋体"/>
          <w:sz w:val="21"/>
          <w:szCs w:val="21"/>
        </w:rPr>
        <w:t>（失效日期）之日失效。”如发包人接受履约保函采用固定有效期，在专用合同条款中应增加保证设计人在履约保函失效前向发包人出具后续阶段履约保函的约束性条款，直至发包人签收最后一批勘察设计成果文件且设计人按照合同约定缴纳质量保证金之日止。</w:t>
      </w:r>
    </w:p>
    <w:p w14:paraId="533821F1">
      <w:pPr>
        <w:pStyle w:val="20"/>
        <w:spacing w:line="360" w:lineRule="auto"/>
        <w:ind w:left="143" w:right="7" w:firstLine="480"/>
      </w:pPr>
      <w:r>
        <w:t>3.</w:t>
      </w:r>
      <w:r>
        <w:rPr>
          <w:rFonts w:hint="eastAsia" w:cs="宋体"/>
        </w:rPr>
        <w:t>在本担保有效期内，因承包人违反合同约定的义务给你方造成经济损失时，我方在收到你方以书面形式提出的在担保金额内的赔偿要求后，在</w:t>
      </w:r>
      <w:r>
        <w:t>7</w:t>
      </w:r>
      <w:r>
        <w:rPr>
          <w:rFonts w:hint="eastAsia" w:cs="宋体"/>
        </w:rPr>
        <w:t>天内无条件支付，无须你方出具证明或陈述理由。</w:t>
      </w:r>
    </w:p>
    <w:p w14:paraId="1AD7CB12">
      <w:pPr>
        <w:pStyle w:val="20"/>
        <w:spacing w:line="360" w:lineRule="auto"/>
        <w:ind w:left="143" w:right="7" w:firstLine="480"/>
      </w:pPr>
      <w:r>
        <w:t>4.</w:t>
      </w:r>
      <w:r>
        <w:rPr>
          <w:rFonts w:hint="eastAsia" w:cs="宋体"/>
        </w:rPr>
        <w:t>发包人和承包人按合同条款第</w:t>
      </w:r>
      <w:r>
        <w:t>15</w:t>
      </w:r>
      <w:r>
        <w:rPr>
          <w:rFonts w:hint="eastAsia" w:cs="宋体"/>
        </w:rPr>
        <w:t>条变更合同时，无论我方是否收到该变更，我方承担本担保规定的义务不变。</w:t>
      </w:r>
    </w:p>
    <w:p w14:paraId="0922A1BD">
      <w:pPr>
        <w:pStyle w:val="20"/>
        <w:spacing w:line="360" w:lineRule="auto"/>
      </w:pPr>
    </w:p>
    <w:p w14:paraId="224945E5">
      <w:pPr>
        <w:pStyle w:val="20"/>
        <w:tabs>
          <w:tab w:val="left" w:pos="4360"/>
          <w:tab w:val="left" w:pos="7600"/>
          <w:tab w:val="left" w:pos="8080"/>
          <w:tab w:val="left" w:pos="8543"/>
          <w:tab w:val="left" w:pos="8680"/>
        </w:tabs>
        <w:spacing w:line="360" w:lineRule="auto"/>
        <w:ind w:right="321" w:firstLine="2520" w:firstLineChars="1050"/>
      </w:pPr>
      <w:r>
        <w:rPr>
          <w:rFonts w:hint="eastAsia" w:cs="宋体"/>
        </w:rPr>
        <w:t>担</w:t>
      </w:r>
      <w:r>
        <w:t xml:space="preserve"> </w:t>
      </w:r>
      <w:r>
        <w:rPr>
          <w:rFonts w:hint="eastAsia" w:cs="宋体"/>
        </w:rPr>
        <w:t>保</w:t>
      </w:r>
      <w:r>
        <w:t xml:space="preserve"> </w:t>
      </w:r>
      <w:r>
        <w:rPr>
          <w:rFonts w:hint="eastAsia" w:cs="宋体"/>
        </w:rPr>
        <w:t>人：</w:t>
      </w:r>
      <w:r>
        <w:rPr>
          <w:rFonts w:cs="宋体"/>
          <w:u w:val="single"/>
        </w:rPr>
        <w:t xml:space="preserve">  </w:t>
      </w:r>
      <w:r>
        <w:rPr>
          <w:u w:val="single"/>
        </w:rPr>
        <w:t xml:space="preserve">       </w:t>
      </w:r>
      <w:r>
        <w:rPr>
          <w:rFonts w:cs="宋体"/>
        </w:rPr>
        <w:t xml:space="preserve"> </w:t>
      </w:r>
      <w:r>
        <w:rPr>
          <w:rFonts w:hint="eastAsia" w:cs="宋体"/>
        </w:rPr>
        <w:t>（盖单位章或</w:t>
      </w:r>
      <w:r>
        <w:rPr>
          <w:rFonts w:cs="宋体"/>
        </w:rPr>
        <w:t>业务专用章</w:t>
      </w:r>
      <w:r>
        <w:rPr>
          <w:rFonts w:hint="eastAsia" w:cs="宋体"/>
        </w:rPr>
        <w:t>）</w:t>
      </w:r>
    </w:p>
    <w:p w14:paraId="3E72C8F9">
      <w:pPr>
        <w:pStyle w:val="20"/>
        <w:tabs>
          <w:tab w:val="left" w:pos="4360"/>
          <w:tab w:val="left" w:pos="7600"/>
          <w:tab w:val="left" w:pos="8080"/>
          <w:tab w:val="left" w:pos="8543"/>
          <w:tab w:val="left" w:pos="8680"/>
        </w:tabs>
        <w:spacing w:line="360" w:lineRule="auto"/>
        <w:ind w:right="321" w:firstLine="2520" w:firstLineChars="1050"/>
        <w:rPr>
          <w:rFonts w:hint="eastAsia" w:cs="宋体"/>
        </w:rPr>
      </w:pPr>
      <w:r>
        <w:rPr>
          <w:rFonts w:hint="eastAsia" w:cs="宋体"/>
        </w:rPr>
        <w:t>法定代表人</w:t>
      </w:r>
    </w:p>
    <w:p w14:paraId="2709F166">
      <w:pPr>
        <w:pStyle w:val="20"/>
        <w:tabs>
          <w:tab w:val="left" w:pos="4360"/>
          <w:tab w:val="left" w:pos="7600"/>
          <w:tab w:val="left" w:pos="8080"/>
          <w:tab w:val="left" w:pos="8543"/>
          <w:tab w:val="left" w:pos="8680"/>
        </w:tabs>
        <w:spacing w:line="360" w:lineRule="auto"/>
        <w:ind w:right="321" w:firstLine="2520" w:firstLineChars="1050"/>
      </w:pPr>
      <w:r>
        <w:rPr>
          <w:rFonts w:hint="eastAsia" w:cs="宋体"/>
        </w:rPr>
        <w:t>或单位</w:t>
      </w:r>
      <w:r>
        <w:rPr>
          <w:rFonts w:cs="宋体"/>
        </w:rPr>
        <w:t>负责</w:t>
      </w:r>
      <w:r>
        <w:rPr>
          <w:rFonts w:hint="eastAsia" w:cs="宋体"/>
        </w:rPr>
        <w:t>人（或其委托代理人）：</w:t>
      </w:r>
      <w:r>
        <w:rPr>
          <w:u w:val="single"/>
        </w:rPr>
        <w:t xml:space="preserve">    </w:t>
      </w:r>
      <w:r>
        <w:t>（</w:t>
      </w:r>
      <w:r>
        <w:rPr>
          <w:rFonts w:hint="eastAsia" w:cs="宋体"/>
        </w:rPr>
        <w:t>签字</w:t>
      </w:r>
      <w:r>
        <w:t>）</w:t>
      </w:r>
    </w:p>
    <w:p w14:paraId="615438C9">
      <w:pPr>
        <w:pStyle w:val="20"/>
        <w:tabs>
          <w:tab w:val="left" w:pos="3885"/>
          <w:tab w:val="left" w:pos="8205"/>
          <w:tab w:val="left" w:pos="8543"/>
          <w:tab w:val="left" w:pos="8680"/>
        </w:tabs>
        <w:spacing w:line="360" w:lineRule="auto"/>
        <w:ind w:right="321" w:firstLine="2520" w:firstLineChars="1050"/>
      </w:pPr>
      <w:r>
        <w:rPr>
          <w:rFonts w:hint="eastAsia" w:cs="宋体"/>
        </w:rPr>
        <w:t>地</w:t>
      </w:r>
      <w:r>
        <w:t xml:space="preserve">    </w:t>
      </w:r>
      <w:r>
        <w:rPr>
          <w:rFonts w:hint="eastAsia" w:cs="宋体"/>
        </w:rPr>
        <w:t>址：</w:t>
      </w:r>
      <w:r>
        <w:rPr>
          <w:rFonts w:cs="宋体"/>
          <w:u w:val="single"/>
        </w:rPr>
        <w:t xml:space="preserve">                     </w:t>
      </w:r>
      <w:r>
        <w:t xml:space="preserve">     </w:t>
      </w:r>
    </w:p>
    <w:p w14:paraId="6AC3F5F3">
      <w:pPr>
        <w:pStyle w:val="20"/>
        <w:tabs>
          <w:tab w:val="left" w:pos="5805"/>
          <w:tab w:val="left" w:pos="7600"/>
          <w:tab w:val="left" w:pos="8080"/>
          <w:tab w:val="left" w:pos="8543"/>
          <w:tab w:val="left" w:pos="8680"/>
        </w:tabs>
        <w:spacing w:line="360" w:lineRule="auto"/>
        <w:ind w:right="321" w:firstLine="2520" w:firstLineChars="1050"/>
      </w:pPr>
      <w:r>
        <w:rPr>
          <w:rFonts w:hint="eastAsia" w:cs="宋体"/>
        </w:rPr>
        <w:t>邮政编码：</w:t>
      </w:r>
      <w:r>
        <w:rPr>
          <w:u w:val="single"/>
        </w:rPr>
        <w:tab/>
      </w:r>
      <w:r>
        <w:rPr>
          <w:u w:val="single"/>
        </w:rPr>
        <w:t xml:space="preserve"> </w:t>
      </w:r>
      <w:r>
        <w:t xml:space="preserve"> </w:t>
      </w:r>
    </w:p>
    <w:p w14:paraId="657CB2D0">
      <w:pPr>
        <w:pStyle w:val="20"/>
        <w:tabs>
          <w:tab w:val="left" w:pos="6165"/>
          <w:tab w:val="left" w:pos="8085"/>
          <w:tab w:val="left" w:pos="8543"/>
          <w:tab w:val="left" w:pos="8680"/>
        </w:tabs>
        <w:spacing w:line="360" w:lineRule="auto"/>
        <w:ind w:right="321" w:firstLine="2520" w:firstLineChars="1050"/>
      </w:pPr>
      <w:r>
        <w:rPr>
          <w:rFonts w:hint="eastAsia" w:cs="宋体"/>
        </w:rPr>
        <w:t>电</w:t>
      </w:r>
      <w:r>
        <w:rPr>
          <w:rFonts w:cs="宋体"/>
        </w:rPr>
        <w:t xml:space="preserve">    </w:t>
      </w:r>
      <w:r>
        <w:rPr>
          <w:rFonts w:hint="eastAsia" w:cs="宋体"/>
        </w:rPr>
        <w:t>话：</w:t>
      </w:r>
      <w:r>
        <w:rPr>
          <w:u w:val="single"/>
        </w:rPr>
        <w:tab/>
      </w:r>
      <w:r>
        <w:t xml:space="preserve"> </w:t>
      </w:r>
    </w:p>
    <w:p w14:paraId="4FB618FC">
      <w:pPr>
        <w:pStyle w:val="20"/>
        <w:tabs>
          <w:tab w:val="left" w:pos="6045"/>
          <w:tab w:val="left" w:pos="7600"/>
          <w:tab w:val="left" w:pos="8080"/>
          <w:tab w:val="left" w:pos="8543"/>
          <w:tab w:val="left" w:pos="8680"/>
        </w:tabs>
        <w:spacing w:line="360" w:lineRule="auto"/>
        <w:ind w:right="321" w:firstLine="2520" w:firstLineChars="1050"/>
      </w:pPr>
      <w:r>
        <w:rPr>
          <w:rFonts w:hint="eastAsia" w:cs="宋体"/>
        </w:rPr>
        <w:t>传</w:t>
      </w:r>
      <w:r>
        <w:rPr>
          <w:rFonts w:cs="宋体"/>
        </w:rPr>
        <w:t xml:space="preserve">    </w:t>
      </w:r>
      <w:r>
        <w:rPr>
          <w:rFonts w:hint="eastAsia" w:cs="宋体"/>
        </w:rPr>
        <w:t>真：</w:t>
      </w:r>
      <w:r>
        <w:rPr>
          <w:u w:val="single"/>
        </w:rPr>
        <w:t xml:space="preserve"> </w:t>
      </w:r>
      <w:r>
        <w:rPr>
          <w:u w:val="single"/>
        </w:rPr>
        <w:tab/>
      </w:r>
    </w:p>
    <w:p w14:paraId="7D33C355">
      <w:pPr>
        <w:pStyle w:val="20"/>
        <w:tabs>
          <w:tab w:val="left" w:pos="6538"/>
          <w:tab w:val="left" w:pos="7618"/>
          <w:tab w:val="left" w:pos="8578"/>
        </w:tabs>
        <w:spacing w:line="360" w:lineRule="auto"/>
        <w:ind w:left="5698" w:right="7"/>
        <w:rPr>
          <w:rFonts w:hint="eastAsia" w:cs="宋体"/>
        </w:rPr>
      </w:pPr>
    </w:p>
    <w:p w14:paraId="5485CD4F">
      <w:pPr>
        <w:pStyle w:val="20"/>
        <w:tabs>
          <w:tab w:val="left" w:pos="6538"/>
          <w:tab w:val="left" w:pos="7618"/>
          <w:tab w:val="left" w:pos="8578"/>
        </w:tabs>
        <w:spacing w:line="360" w:lineRule="auto"/>
        <w:ind w:left="5698" w:right="7"/>
        <w:rPr>
          <w:rFonts w:cs="宋体"/>
        </w:rPr>
      </w:pP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14:paraId="50F5EE3B">
      <w:pPr>
        <w:ind w:right="7"/>
        <w:jc w:val="left"/>
        <w:rPr>
          <w:rFonts w:ascii="黑体" w:hAnsi="黑体" w:eastAsia="黑体"/>
          <w:sz w:val="24"/>
          <w:szCs w:val="24"/>
        </w:rPr>
      </w:pPr>
      <w:r>
        <w:rPr>
          <w:rFonts w:hint="eastAsia" w:ascii="黑体" w:hAnsi="黑体" w:eastAsia="黑体"/>
          <w:sz w:val="24"/>
          <w:szCs w:val="24"/>
        </w:rPr>
        <w:t>附件</w:t>
      </w:r>
      <w:r>
        <w:rPr>
          <w:rFonts w:hint="eastAsia" w:ascii="黑体" w:hAnsi="黑体" w:eastAsia="黑体"/>
          <w:sz w:val="24"/>
          <w:szCs w:val="24"/>
          <w:lang w:val="en-US" w:eastAsia="zh-CN"/>
        </w:rPr>
        <w:t>九</w:t>
      </w:r>
      <w:r>
        <w:rPr>
          <w:rFonts w:ascii="黑体" w:hAnsi="黑体" w:eastAsia="黑体"/>
          <w:sz w:val="24"/>
          <w:szCs w:val="24"/>
        </w:rPr>
        <w:t xml:space="preserve"> 工程资金监管协议格式</w:t>
      </w:r>
    </w:p>
    <w:p w14:paraId="1697BF76">
      <w:pPr>
        <w:pStyle w:val="20"/>
        <w:spacing w:before="66" w:line="360" w:lineRule="auto"/>
        <w:ind w:left="143" w:right="7" w:firstLine="480"/>
      </w:pPr>
      <w:r>
        <w:rPr>
          <w:sz w:val="22"/>
          <w:szCs w:val="22"/>
        </w:rPr>
        <w:t>（发包人与承包人签订合同协议书时应与发包人指定的银行签署工程资金监管协议</w:t>
      </w:r>
      <w:r>
        <w:rPr>
          <w:rFonts w:hint="eastAsia"/>
          <w:sz w:val="22"/>
          <w:szCs w:val="22"/>
        </w:rPr>
        <w:t>，</w:t>
      </w:r>
      <w:r>
        <w:rPr>
          <w:sz w:val="22"/>
          <w:szCs w:val="22"/>
        </w:rPr>
        <w:t>工程资金监管协议内容在保证本项目资金有效监管的前提下由三方共同商定）</w:t>
      </w:r>
    </w:p>
    <w:p w14:paraId="28715BF8">
      <w:pPr>
        <w:spacing w:line="360" w:lineRule="auto"/>
        <w:ind w:left="3361" w:right="7"/>
        <w:rPr>
          <w:rFonts w:ascii="黑体" w:hAnsi="黑体" w:eastAsia="黑体"/>
          <w:bCs/>
          <w:sz w:val="28"/>
          <w:szCs w:val="28"/>
        </w:rPr>
      </w:pPr>
      <w:r>
        <w:rPr>
          <w:rFonts w:hint="eastAsia" w:ascii="黑体" w:hAnsi="黑体" w:eastAsia="黑体"/>
          <w:bCs/>
          <w:sz w:val="28"/>
          <w:szCs w:val="28"/>
        </w:rPr>
        <w:t>工程资金监管协议</w:t>
      </w:r>
    </w:p>
    <w:p w14:paraId="2F01B6EA">
      <w:pPr>
        <w:pStyle w:val="20"/>
        <w:spacing w:before="7" w:line="360" w:lineRule="auto"/>
        <w:rPr>
          <w:sz w:val="34"/>
        </w:rPr>
      </w:pPr>
    </w:p>
    <w:p w14:paraId="39DFBF85">
      <w:pPr>
        <w:pStyle w:val="20"/>
        <w:tabs>
          <w:tab w:val="left" w:pos="3023"/>
          <w:tab w:val="left" w:pos="3143"/>
        </w:tabs>
        <w:spacing w:line="360" w:lineRule="auto"/>
        <w:ind w:left="144" w:right="119"/>
      </w:pPr>
      <w:r>
        <w:t>发</w:t>
      </w:r>
      <w:r>
        <w:rPr>
          <w:rFonts w:hint="eastAsia"/>
          <w:lang w:val="en-US" w:eastAsia="zh-CN"/>
        </w:rPr>
        <w:t xml:space="preserve"> </w:t>
      </w:r>
      <w:r>
        <w:t>包</w:t>
      </w:r>
      <w:r>
        <w:rPr>
          <w:rFonts w:hint="eastAsia"/>
          <w:lang w:val="en-US" w:eastAsia="zh-CN"/>
        </w:rPr>
        <w:t xml:space="preserve"> </w:t>
      </w:r>
      <w:r>
        <w:t>人：</w:t>
      </w:r>
      <w:r>
        <w:rPr>
          <w:u w:val="single"/>
        </w:rPr>
        <w:t xml:space="preserve"> </w:t>
      </w:r>
      <w:r>
        <w:rPr>
          <w:u w:val="single"/>
        </w:rPr>
        <w:tab/>
      </w:r>
      <w:r>
        <w:t xml:space="preserve">（以下简称“甲方”） </w:t>
      </w:r>
    </w:p>
    <w:p w14:paraId="3F941000">
      <w:pPr>
        <w:pStyle w:val="20"/>
        <w:tabs>
          <w:tab w:val="left" w:pos="3023"/>
          <w:tab w:val="left" w:pos="3143"/>
        </w:tabs>
        <w:spacing w:line="360" w:lineRule="auto"/>
        <w:ind w:left="144" w:right="119"/>
      </w:pPr>
      <w:r>
        <w:t>承</w:t>
      </w:r>
      <w:r>
        <w:rPr>
          <w:rFonts w:hint="eastAsia"/>
          <w:lang w:val="en-US" w:eastAsia="zh-CN"/>
        </w:rPr>
        <w:t xml:space="preserve"> </w:t>
      </w:r>
      <w:r>
        <w:t>包</w:t>
      </w:r>
      <w:r>
        <w:rPr>
          <w:rFonts w:hint="eastAsia"/>
          <w:lang w:val="en-US" w:eastAsia="zh-CN"/>
        </w:rPr>
        <w:t xml:space="preserve"> </w:t>
      </w:r>
      <w:r>
        <w:t>人：</w:t>
      </w:r>
      <w:r>
        <w:rPr>
          <w:u w:val="single"/>
        </w:rPr>
        <w:t xml:space="preserve"> </w:t>
      </w:r>
      <w:r>
        <w:rPr>
          <w:u w:val="single"/>
        </w:rPr>
        <w:tab/>
      </w:r>
      <w:r>
        <w:t xml:space="preserve">（以下简称“乙方”） </w:t>
      </w:r>
    </w:p>
    <w:p w14:paraId="2AEB6A40">
      <w:pPr>
        <w:pStyle w:val="20"/>
        <w:tabs>
          <w:tab w:val="left" w:pos="3023"/>
          <w:tab w:val="left" w:pos="3143"/>
        </w:tabs>
        <w:spacing w:line="360" w:lineRule="auto"/>
        <w:ind w:left="144" w:right="119"/>
      </w:pPr>
      <w:r>
        <w:t>经办银行：</w:t>
      </w:r>
      <w:r>
        <w:rPr>
          <w:u w:val="single"/>
        </w:rPr>
        <w:t xml:space="preserve"> </w:t>
      </w:r>
      <w:r>
        <w:rPr>
          <w:u w:val="single"/>
        </w:rPr>
        <w:tab/>
      </w:r>
      <w:r>
        <w:t>（以下简称“丙方”）</w:t>
      </w:r>
    </w:p>
    <w:p w14:paraId="76C90597">
      <w:pPr>
        <w:pStyle w:val="20"/>
        <w:spacing w:line="360" w:lineRule="auto"/>
      </w:pPr>
    </w:p>
    <w:p w14:paraId="31B040B9">
      <w:pPr>
        <w:pStyle w:val="20"/>
        <w:tabs>
          <w:tab w:val="left" w:pos="2579"/>
        </w:tabs>
        <w:spacing w:line="360" w:lineRule="auto"/>
        <w:ind w:right="217" w:firstLine="492" w:firstLineChars="200"/>
      </w:pPr>
      <w:r>
        <w:rPr>
          <w:spacing w:val="3"/>
        </w:rPr>
        <w:t>为了促进</w:t>
      </w:r>
      <w:r>
        <w:rPr>
          <w:spacing w:val="3"/>
          <w:u w:val="single"/>
        </w:rPr>
        <w:t xml:space="preserve"> </w:t>
      </w:r>
      <w:r>
        <w:rPr>
          <w:spacing w:val="3"/>
          <w:u w:val="single"/>
        </w:rPr>
        <w:tab/>
      </w:r>
      <w:r>
        <w:rPr>
          <w:spacing w:val="2"/>
        </w:rPr>
        <w:t>（项目名称）的顺利实施，管好用好建设资金，确保工程资金</w:t>
      </w:r>
      <w:r>
        <w:t>专款专用，同时为承包人提供便捷有效的银行业务服务，根据</w:t>
      </w:r>
      <w:r>
        <w:rPr>
          <w:u w:val="single"/>
        </w:rPr>
        <w:t xml:space="preserve"> </w:t>
      </w:r>
      <w:r>
        <w:rPr>
          <w:u w:val="single"/>
        </w:rPr>
        <w:tab/>
      </w:r>
      <w:r>
        <w:rPr>
          <w:u w:val="single"/>
        </w:rPr>
        <w:t xml:space="preserve"> </w:t>
      </w:r>
      <w:r>
        <w:t>（</w:t>
      </w:r>
      <w:r>
        <w:rPr>
          <w:rFonts w:hint="eastAsia" w:cs="宋体"/>
          <w:spacing w:val="2"/>
        </w:rPr>
        <w:t>招标</w:t>
      </w:r>
      <w:r>
        <w:t>项目名称）</w:t>
      </w:r>
      <w:r>
        <w:rPr>
          <w:rFonts w:hint="eastAsia" w:cs="宋体"/>
          <w:lang w:val="en-US" w:eastAsia="zh-CN"/>
        </w:rPr>
        <w:t>设计施工总承包</w:t>
      </w:r>
      <w:r>
        <w:rPr>
          <w:rFonts w:cs="宋体"/>
          <w:u w:val="single"/>
        </w:rPr>
        <w:t xml:space="preserve">     </w:t>
      </w:r>
      <w:r>
        <w:rPr>
          <w:rFonts w:hint="eastAsia" w:cs="宋体"/>
        </w:rPr>
        <w:t>标段</w:t>
      </w:r>
      <w:r>
        <w:t>合同条款有关规定，经甲、乙、丙三方协商，达成协议如下：</w:t>
      </w:r>
    </w:p>
    <w:p w14:paraId="40A0392C">
      <w:pPr>
        <w:pStyle w:val="20"/>
        <w:spacing w:line="360" w:lineRule="auto"/>
        <w:ind w:right="7" w:firstLine="480" w:firstLineChars="200"/>
        <w:rPr>
          <w:rFonts w:hint="eastAsia" w:cs="宋体"/>
        </w:rPr>
      </w:pPr>
      <w:r>
        <w:rPr>
          <w:rFonts w:hint="eastAsia" w:ascii="宋体" w:hAnsi="宋体" w:eastAsia="宋体" w:cs="宋体"/>
        </w:rPr>
        <w:t>1.资金管理的内容</w:t>
      </w:r>
    </w:p>
    <w:p w14:paraId="6506F521">
      <w:pPr>
        <w:pStyle w:val="20"/>
        <w:tabs>
          <w:tab w:val="left" w:pos="3229"/>
        </w:tabs>
        <w:spacing w:line="360" w:lineRule="auto"/>
        <w:ind w:right="219" w:firstLine="480" w:firstLineChars="200"/>
      </w:pPr>
      <w:r>
        <w:rPr>
          <w:rFonts w:hint="eastAsia"/>
        </w:rPr>
        <w:t>（</w:t>
      </w:r>
      <w:r>
        <w:t>1）</w:t>
      </w:r>
      <w:r>
        <w:rPr>
          <w:spacing w:val="3"/>
        </w:rPr>
        <w:t>乙方为完成</w:t>
      </w:r>
      <w:r>
        <w:rPr>
          <w:spacing w:val="3"/>
          <w:u w:val="single"/>
        </w:rPr>
        <w:t xml:space="preserve"> </w:t>
      </w:r>
      <w:r>
        <w:rPr>
          <w:spacing w:val="3"/>
          <w:u w:val="single"/>
        </w:rPr>
        <w:tab/>
      </w:r>
      <w:r>
        <w:rPr>
          <w:spacing w:val="3"/>
        </w:rPr>
        <w:t>（</w:t>
      </w:r>
      <w:r>
        <w:rPr>
          <w:rFonts w:hint="eastAsia" w:cs="宋体"/>
          <w:spacing w:val="2"/>
        </w:rPr>
        <w:t>招标</w:t>
      </w:r>
      <w:r>
        <w:rPr>
          <w:spacing w:val="3"/>
        </w:rPr>
        <w:t>项目名称）</w:t>
      </w:r>
      <w:r>
        <w:rPr>
          <w:rFonts w:hint="eastAsia" w:cs="宋体"/>
          <w:lang w:val="en-US" w:eastAsia="zh-CN"/>
        </w:rPr>
        <w:t>设计施工总承包</w:t>
      </w:r>
      <w:r>
        <w:rPr>
          <w:rFonts w:cs="宋体"/>
          <w:u w:val="single"/>
        </w:rPr>
        <w:t xml:space="preserve">   </w:t>
      </w:r>
      <w:r>
        <w:rPr>
          <w:rFonts w:hint="eastAsia" w:cs="宋体"/>
        </w:rPr>
        <w:t>标段</w:t>
      </w:r>
      <w:r>
        <w:rPr>
          <w:spacing w:val="3"/>
        </w:rPr>
        <w:t>工程成立的项目经理部在丙方开设基本</w:t>
      </w:r>
      <w:r>
        <w:t>结算户；</w:t>
      </w:r>
    </w:p>
    <w:p w14:paraId="07BEF52B">
      <w:pPr>
        <w:pStyle w:val="20"/>
        <w:spacing w:line="360" w:lineRule="auto"/>
        <w:ind w:right="7" w:firstLine="480" w:firstLineChars="200"/>
      </w:pPr>
      <w:r>
        <w:rPr>
          <w:rFonts w:hint="eastAsia"/>
        </w:rPr>
        <w:t>（</w:t>
      </w:r>
      <w:r>
        <w:t>2）甲方应按合同规定将工程款汇入乙方在丙方开设的账户；</w:t>
      </w:r>
    </w:p>
    <w:p w14:paraId="39D7FD79">
      <w:pPr>
        <w:pStyle w:val="20"/>
        <w:tabs>
          <w:tab w:val="left" w:pos="6783"/>
        </w:tabs>
        <w:spacing w:line="360" w:lineRule="auto"/>
        <w:ind w:right="7" w:firstLine="480" w:firstLineChars="200"/>
        <w:rPr>
          <w:rFonts w:cs="宋体"/>
        </w:rPr>
      </w:pPr>
      <w:r>
        <w:rPr>
          <w:rFonts w:hint="eastAsia"/>
        </w:rPr>
        <w:t>（</w:t>
      </w:r>
      <w:r>
        <w:t>3）</w:t>
      </w:r>
      <w:r>
        <w:rPr>
          <w:spacing w:val="-1"/>
        </w:rPr>
        <w:t>乙方应将流动资金及甲方所拨付资金专项用</w:t>
      </w:r>
      <w:r>
        <w:t>于</w:t>
      </w:r>
      <w:r>
        <w:rPr>
          <w:spacing w:val="3"/>
          <w:u w:val="single"/>
        </w:rPr>
        <w:tab/>
      </w:r>
      <w:r>
        <w:rPr>
          <w:spacing w:val="3"/>
        </w:rPr>
        <w:t>（</w:t>
      </w:r>
      <w:r>
        <w:rPr>
          <w:rFonts w:hint="eastAsia" w:cs="宋体"/>
          <w:spacing w:val="2"/>
        </w:rPr>
        <w:t>招标</w:t>
      </w:r>
      <w:r>
        <w:rPr>
          <w:spacing w:val="3"/>
        </w:rPr>
        <w:t>项目名称）</w:t>
      </w:r>
      <w:r>
        <w:rPr>
          <w:rFonts w:hint="eastAsia" w:cs="宋体"/>
          <w:lang w:val="en-US" w:eastAsia="zh-CN"/>
        </w:rPr>
        <w:t>设计施工总承包</w:t>
      </w:r>
      <w:r>
        <w:rPr>
          <w:rFonts w:cs="宋体"/>
          <w:u w:val="single"/>
        </w:rPr>
        <w:t xml:space="preserve">   </w:t>
      </w:r>
      <w:r>
        <w:rPr>
          <w:rFonts w:hint="eastAsia" w:cs="宋体"/>
        </w:rPr>
        <w:t>标段</w:t>
      </w:r>
      <w:r>
        <w:rPr>
          <w:rFonts w:hint="eastAsia"/>
        </w:rPr>
        <w:t>；</w:t>
      </w:r>
    </w:p>
    <w:p w14:paraId="657C8387">
      <w:pPr>
        <w:pStyle w:val="20"/>
        <w:spacing w:line="360" w:lineRule="auto"/>
        <w:ind w:right="7" w:firstLine="480" w:firstLineChars="200"/>
      </w:pPr>
      <w:r>
        <w:rPr>
          <w:rFonts w:hint="eastAsia"/>
        </w:rPr>
        <w:t>（</w:t>
      </w:r>
      <w:r>
        <w:t>4）丙方应为乙方提供便捷有效的银行业务服务，并接受甲方委托对乙方在丙方开设的基本结算户资金使用情况进行监督。</w:t>
      </w:r>
    </w:p>
    <w:p w14:paraId="1F6F8364">
      <w:pPr>
        <w:pStyle w:val="20"/>
        <w:spacing w:line="360" w:lineRule="auto"/>
        <w:ind w:right="7" w:firstLine="480" w:firstLineChars="200"/>
        <w:rPr>
          <w:rFonts w:hint="eastAsia" w:ascii="宋体" w:hAnsi="宋体" w:eastAsia="宋体" w:cs="宋体"/>
        </w:rPr>
      </w:pPr>
      <w:r>
        <w:rPr>
          <w:rFonts w:hint="eastAsia" w:ascii="宋体" w:hAnsi="宋体" w:eastAsia="宋体" w:cs="宋体"/>
        </w:rPr>
        <w:t>2.甲方的权责</w:t>
      </w:r>
    </w:p>
    <w:p w14:paraId="6AB9993E">
      <w:pPr>
        <w:pStyle w:val="20"/>
        <w:spacing w:line="360" w:lineRule="auto"/>
        <w:ind w:right="7" w:firstLine="480" w:firstLineChars="200"/>
      </w:pPr>
      <w:r>
        <w:rPr>
          <w:rFonts w:hint="eastAsia"/>
        </w:rPr>
        <w:t>（</w:t>
      </w:r>
      <w:r>
        <w:t>1）</w:t>
      </w:r>
      <w:r>
        <w:rPr>
          <w:rFonts w:hint="eastAsia"/>
          <w:spacing w:val="0"/>
        </w:rPr>
        <w:t>按照</w:t>
      </w:r>
      <w:r>
        <w:rPr>
          <w:rFonts w:hint="eastAsia"/>
          <w:spacing w:val="0"/>
          <w:u w:val="single"/>
        </w:rPr>
        <w:t xml:space="preserve"> </w:t>
      </w:r>
      <w:r>
        <w:rPr>
          <w:rFonts w:hint="eastAsia"/>
          <w:spacing w:val="0"/>
          <w:u w:val="single"/>
          <w:lang w:val="en-US" w:eastAsia="zh-CN"/>
        </w:rPr>
        <w:t xml:space="preserve">          </w:t>
      </w:r>
      <w:r>
        <w:rPr>
          <w:rFonts w:hint="eastAsia"/>
          <w:spacing w:val="0"/>
        </w:rPr>
        <w:t>（</w:t>
      </w:r>
      <w:r>
        <w:rPr>
          <w:rFonts w:hint="eastAsia" w:cs="Times New Roman"/>
          <w:spacing w:val="0"/>
        </w:rPr>
        <w:t>招标</w:t>
      </w:r>
      <w:r>
        <w:rPr>
          <w:rFonts w:hint="eastAsia"/>
          <w:spacing w:val="0"/>
        </w:rPr>
        <w:t>项目名称）</w:t>
      </w:r>
      <w:r>
        <w:rPr>
          <w:rFonts w:hint="eastAsia" w:cs="宋体"/>
          <w:lang w:val="en-US" w:eastAsia="zh-CN"/>
        </w:rPr>
        <w:t>设计施工总承包</w:t>
      </w:r>
      <w:r>
        <w:rPr>
          <w:rFonts w:hint="eastAsia" w:cs="Times New Roman"/>
          <w:u w:val="single"/>
        </w:rPr>
        <w:t xml:space="preserve">     </w:t>
      </w:r>
      <w:r>
        <w:rPr>
          <w:rFonts w:hint="eastAsia" w:cs="Times New Roman"/>
        </w:rPr>
        <w:t>标段</w:t>
      </w:r>
      <w:r>
        <w:rPr>
          <w:rFonts w:hint="eastAsia"/>
          <w:spacing w:val="0"/>
        </w:rPr>
        <w:t>合同有关条款规定的时间和方式，向乙方支付</w:t>
      </w:r>
      <w:r>
        <w:t>工程款；</w:t>
      </w:r>
    </w:p>
    <w:p w14:paraId="0CFE6FC4">
      <w:pPr>
        <w:pStyle w:val="20"/>
        <w:spacing w:line="360" w:lineRule="auto"/>
        <w:ind w:right="7" w:firstLine="480" w:firstLineChars="200"/>
      </w:pPr>
      <w:r>
        <w:rPr>
          <w:rFonts w:hint="eastAsia"/>
        </w:rPr>
        <w:t>（</w:t>
      </w:r>
      <w:r>
        <w:t>2）在发现乙方将本项目资金挪用、转移时，甲方有权中止工程支付，直至乙方改正为止；</w:t>
      </w:r>
    </w:p>
    <w:p w14:paraId="3B9B4CB6">
      <w:pPr>
        <w:pStyle w:val="20"/>
        <w:spacing w:line="360" w:lineRule="auto"/>
        <w:ind w:right="7" w:firstLine="480" w:firstLineChars="200"/>
      </w:pPr>
      <w:r>
        <w:rPr>
          <w:rFonts w:hint="eastAsia"/>
        </w:rPr>
        <w:t>（</w:t>
      </w:r>
      <w:r>
        <w:t>3）不定期审查丙方对乙方的资金使用监督情况，如丙方不能履行其责任，甲方有权随时终止本协议；</w:t>
      </w:r>
    </w:p>
    <w:p w14:paraId="24EDAD36">
      <w:pPr>
        <w:pStyle w:val="20"/>
        <w:spacing w:line="360" w:lineRule="auto"/>
        <w:ind w:right="7" w:firstLine="480" w:firstLineChars="200"/>
      </w:pPr>
      <w:r>
        <w:rPr>
          <w:rFonts w:hint="eastAsia"/>
        </w:rPr>
        <w:t>（</w:t>
      </w:r>
      <w:r>
        <w:t>4）在乙、丙双方发生争议时，甲方应负责协调、解决。</w:t>
      </w:r>
    </w:p>
    <w:p w14:paraId="75CA7AA1">
      <w:pPr>
        <w:pStyle w:val="20"/>
        <w:spacing w:line="360" w:lineRule="auto"/>
        <w:ind w:right="7" w:firstLine="480" w:firstLineChars="200"/>
        <w:rPr>
          <w:rFonts w:hint="eastAsia" w:ascii="宋体" w:hAnsi="宋体" w:eastAsia="宋体" w:cs="宋体"/>
        </w:rPr>
      </w:pPr>
      <w:r>
        <w:rPr>
          <w:rFonts w:hint="eastAsia" w:ascii="宋体" w:hAnsi="宋体" w:eastAsia="宋体" w:cs="宋体"/>
        </w:rPr>
        <w:t>3.乙方的权责</w:t>
      </w:r>
    </w:p>
    <w:p w14:paraId="25FD437B">
      <w:pPr>
        <w:pStyle w:val="20"/>
        <w:spacing w:line="360" w:lineRule="auto"/>
        <w:ind w:right="7" w:firstLine="480" w:firstLineChars="200"/>
      </w:pPr>
      <w:r>
        <w:rPr>
          <w:rFonts w:hint="eastAsia"/>
        </w:rPr>
        <w:t>（</w:t>
      </w:r>
      <w:r>
        <w:t>1）项目经理部成立以后，乙方应尽快在丙方开设基本结算户；</w:t>
      </w:r>
    </w:p>
    <w:p w14:paraId="4527FE7C">
      <w:pPr>
        <w:pStyle w:val="20"/>
        <w:spacing w:line="360" w:lineRule="auto"/>
        <w:ind w:right="7" w:firstLine="480" w:firstLineChars="200"/>
      </w:pPr>
      <w:r>
        <w:rPr>
          <w:rFonts w:hint="eastAsia"/>
        </w:rPr>
        <w:t>（</w:t>
      </w:r>
      <w:r>
        <w:t>2）确保本项目资金专款专用，不发生挪用、转移资金的现象；保证不通过权益转让、抵押、担保承担债务等任何其他方式使用基本结算户的资金；</w:t>
      </w:r>
    </w:p>
    <w:p w14:paraId="05B49B9F">
      <w:pPr>
        <w:pStyle w:val="20"/>
        <w:spacing w:line="360" w:lineRule="auto"/>
        <w:ind w:right="102" w:firstLine="480" w:firstLineChars="200"/>
        <w:rPr>
          <w:spacing w:val="-3"/>
        </w:rPr>
      </w:pPr>
      <w:r>
        <w:rPr>
          <w:rFonts w:hint="eastAsia"/>
        </w:rPr>
        <w:t>（</w:t>
      </w:r>
      <w:r>
        <w:t>3）</w:t>
      </w:r>
      <w:r>
        <w:rPr>
          <w:spacing w:val="3"/>
        </w:rPr>
        <w:t>办理材料、设备等采购业务金额在</w:t>
      </w:r>
      <w:r>
        <w:rPr>
          <w:spacing w:val="3"/>
          <w:u w:val="single"/>
        </w:rPr>
        <w:t xml:space="preserve">   </w:t>
      </w:r>
      <w:r>
        <w:rPr>
          <w:spacing w:val="3"/>
        </w:rPr>
        <w:t>万元以上的，应出示购货合同、协议</w:t>
      </w:r>
      <w:r>
        <w:t>和发票；在办理总额超过</w:t>
      </w:r>
      <w:r>
        <w:rPr>
          <w:u w:val="single"/>
        </w:rPr>
        <w:t xml:space="preserve">   </w:t>
      </w:r>
      <w:r>
        <w:t>万元以上的采购业务时，应将合同、协议和发票扫描件</w:t>
      </w:r>
      <w:r>
        <w:rPr>
          <w:spacing w:val="-3"/>
        </w:rPr>
        <w:t>送丙方备案；购买应急材料、设备时可先办理支付手续，但事后必须补备有关资料；</w:t>
      </w:r>
    </w:p>
    <w:p w14:paraId="31D92223">
      <w:pPr>
        <w:pStyle w:val="20"/>
        <w:spacing w:line="360" w:lineRule="auto"/>
        <w:ind w:right="102" w:firstLine="480" w:firstLineChars="200"/>
      </w:pPr>
      <w:r>
        <w:rPr>
          <w:rFonts w:hint="eastAsia"/>
        </w:rPr>
        <w:t>（</w:t>
      </w:r>
      <w:r>
        <w:t>4）用银行转账支票办理支付款项时，必须将转账支票送交丙方，由丙方负责办理支票转付手续；</w:t>
      </w:r>
    </w:p>
    <w:p w14:paraId="40CB7D1E">
      <w:pPr>
        <w:pStyle w:val="20"/>
        <w:spacing w:line="360" w:lineRule="auto"/>
        <w:ind w:right="7" w:firstLine="480" w:firstLineChars="200"/>
      </w:pPr>
      <w:r>
        <w:rPr>
          <w:rFonts w:hint="eastAsia"/>
        </w:rPr>
        <w:t>（</w:t>
      </w:r>
      <w:r>
        <w:t>5）向分包单位支付工程进度款时，应附甲方批准分包的文件；</w:t>
      </w:r>
    </w:p>
    <w:p w14:paraId="71999CEE">
      <w:pPr>
        <w:pStyle w:val="20"/>
        <w:spacing w:line="360" w:lineRule="auto"/>
        <w:ind w:right="7" w:firstLine="480" w:firstLineChars="200"/>
      </w:pPr>
      <w:r>
        <w:rPr>
          <w:rFonts w:hint="eastAsia"/>
        </w:rPr>
        <w:t>（</w:t>
      </w:r>
      <w:r>
        <w:t>6）向上级单位缴纳管理费、机械设备及周转材料租赁摊销费等款项时，应附上级单位出具的转账通知等有关资料，以确保资金专款专用。</w:t>
      </w:r>
    </w:p>
    <w:p w14:paraId="29DED0EB">
      <w:pPr>
        <w:pStyle w:val="20"/>
        <w:spacing w:line="360" w:lineRule="auto"/>
        <w:ind w:right="7" w:firstLine="480" w:firstLineChars="200"/>
        <w:rPr>
          <w:rFonts w:hint="eastAsia" w:ascii="宋体" w:hAnsi="宋体" w:eastAsia="宋体" w:cs="宋体"/>
        </w:rPr>
      </w:pPr>
      <w:r>
        <w:rPr>
          <w:rFonts w:hint="eastAsia" w:ascii="宋体" w:hAnsi="宋体" w:eastAsia="宋体" w:cs="宋体"/>
        </w:rPr>
        <w:t>4.丙方的权责</w:t>
      </w:r>
    </w:p>
    <w:p w14:paraId="1DCE39F0">
      <w:pPr>
        <w:pStyle w:val="20"/>
        <w:spacing w:line="360" w:lineRule="auto"/>
        <w:ind w:left="-6" w:leftChars="-3" w:right="7" w:firstLine="480" w:firstLineChars="200"/>
      </w:pPr>
      <w:r>
        <w:rPr>
          <w:rFonts w:hint="eastAsia"/>
        </w:rPr>
        <w:t>（</w:t>
      </w:r>
      <w:r>
        <w:t>1）</w:t>
      </w:r>
      <w:r>
        <w:rPr>
          <w:spacing w:val="2"/>
        </w:rPr>
        <w:t>成立</w:t>
      </w:r>
      <w:r>
        <w:rPr>
          <w:spacing w:val="2"/>
          <w:u w:val="single"/>
        </w:rPr>
        <w:t xml:space="preserve">   </w:t>
      </w:r>
      <w:r>
        <w:rPr>
          <w:spacing w:val="2"/>
          <w:u w:val="single"/>
        </w:rPr>
        <w:tab/>
      </w:r>
      <w:r>
        <w:rPr>
          <w:spacing w:val="3"/>
        </w:rPr>
        <w:t>（</w:t>
      </w:r>
      <w:r>
        <w:rPr>
          <w:rFonts w:hint="eastAsia" w:cs="宋体"/>
          <w:spacing w:val="2"/>
        </w:rPr>
        <w:t>招标</w:t>
      </w:r>
      <w:r>
        <w:rPr>
          <w:spacing w:val="3"/>
        </w:rPr>
        <w:t>项目名称）</w:t>
      </w:r>
      <w:r>
        <w:rPr>
          <w:rFonts w:hint="eastAsia" w:cs="宋体"/>
          <w:lang w:val="en-US" w:eastAsia="zh-CN"/>
        </w:rPr>
        <w:t>设计施工总承包</w:t>
      </w:r>
      <w:r>
        <w:rPr>
          <w:rFonts w:cs="宋体"/>
          <w:u w:val="single"/>
        </w:rPr>
        <w:t xml:space="preserve">     </w:t>
      </w:r>
      <w:r>
        <w:rPr>
          <w:rFonts w:hint="eastAsia" w:cs="宋体"/>
        </w:rPr>
        <w:t>标段</w:t>
      </w:r>
      <w:r>
        <w:rPr>
          <w:spacing w:val="3"/>
        </w:rPr>
        <w:t>工程资金管理服务小组，明确业务流程，提高</w:t>
      </w:r>
      <w:r>
        <w:t>工作效率，杜绝“压票”现象；</w:t>
      </w:r>
    </w:p>
    <w:p w14:paraId="4BCF7AE7">
      <w:pPr>
        <w:pStyle w:val="20"/>
        <w:spacing w:line="360" w:lineRule="auto"/>
        <w:ind w:left="-6" w:leftChars="-3" w:right="7" w:firstLine="480" w:firstLineChars="200"/>
      </w:pPr>
      <w:r>
        <w:rPr>
          <w:rFonts w:hint="eastAsia"/>
        </w:rPr>
        <w:t>（</w:t>
      </w:r>
      <w:r>
        <w:t>2）根据乙方提供的购货合同、协议和发票，检查其所购材料、设备是否用于</w:t>
      </w:r>
      <w:r>
        <w:rPr>
          <w:u w:val="single"/>
        </w:rPr>
        <w:t xml:space="preserve">   </w:t>
      </w:r>
      <w:r>
        <w:t>（</w:t>
      </w:r>
      <w:r>
        <w:rPr>
          <w:rFonts w:hint="eastAsia" w:cs="宋体"/>
          <w:spacing w:val="2"/>
        </w:rPr>
        <w:t>招标</w:t>
      </w:r>
      <w:r>
        <w:t>项目名称）</w:t>
      </w:r>
      <w:r>
        <w:rPr>
          <w:rFonts w:hint="eastAsia" w:cs="宋体"/>
          <w:lang w:val="en-US" w:eastAsia="zh-CN"/>
        </w:rPr>
        <w:t>设计施工总承包</w:t>
      </w:r>
      <w:r>
        <w:rPr>
          <w:rFonts w:cs="宋体"/>
          <w:u w:val="single"/>
        </w:rPr>
        <w:t xml:space="preserve">     </w:t>
      </w:r>
      <w:r>
        <w:rPr>
          <w:rFonts w:hint="eastAsia" w:cs="宋体"/>
        </w:rPr>
        <w:t>标段</w:t>
      </w:r>
      <w:r>
        <w:t>工程建设，对本标段以外的购货款项，有权拒绝办理，并及时报告甲方；</w:t>
      </w:r>
    </w:p>
    <w:p w14:paraId="002CBDFF">
      <w:pPr>
        <w:pStyle w:val="20"/>
        <w:spacing w:line="360" w:lineRule="auto"/>
        <w:ind w:left="-6" w:leftChars="-3" w:right="7" w:firstLine="480" w:firstLineChars="200"/>
      </w:pPr>
      <w:r>
        <w:rPr>
          <w:rFonts w:hint="eastAsia"/>
        </w:rPr>
        <w:t>（</w:t>
      </w:r>
      <w:r>
        <w:t>3）根据乙方与分包单位签订的合同及支付文件，检查其支付款项是否符合有关条件，向分包单位以外单位的支付有权拒绝办理，并及时报告甲方；</w:t>
      </w:r>
    </w:p>
    <w:p w14:paraId="408E3B14">
      <w:pPr>
        <w:pStyle w:val="20"/>
        <w:spacing w:line="360" w:lineRule="auto"/>
        <w:ind w:left="-6" w:leftChars="-3" w:right="7" w:firstLine="480" w:firstLineChars="200"/>
      </w:pPr>
      <w:r>
        <w:rPr>
          <w:rFonts w:hint="eastAsia"/>
        </w:rPr>
        <w:t>（</w:t>
      </w:r>
      <w:r>
        <w:t>4）根据乙方提供的上级单位出具的转账通知等有关资料，办理管理费、机械设备及周转材料租赁摊销费等款项的支付；对超出转账通知等有关资料以外的支付，有权拒绝办理，并及时报告甲方；</w:t>
      </w:r>
    </w:p>
    <w:p w14:paraId="249FEC84">
      <w:pPr>
        <w:pStyle w:val="20"/>
        <w:spacing w:line="360" w:lineRule="auto"/>
        <w:ind w:left="-6" w:leftChars="-3" w:right="7" w:firstLine="480" w:firstLineChars="200"/>
      </w:pPr>
      <w:r>
        <w:rPr>
          <w:rFonts w:hint="eastAsia"/>
        </w:rPr>
        <w:t>（</w:t>
      </w:r>
      <w:r>
        <w:t>5）定期将乙方前一个周期的支付情况，整理后书面报送甲方；乙方复印备案的材料一并送甲方。</w:t>
      </w:r>
    </w:p>
    <w:p w14:paraId="1DBADCC3">
      <w:pPr>
        <w:pStyle w:val="20"/>
        <w:spacing w:line="360" w:lineRule="auto"/>
        <w:ind w:right="7" w:firstLine="480" w:firstLineChars="200"/>
      </w:pPr>
      <w:r>
        <w:t>5.甲、乙、丙三方都应履行保密责任，不得将其他两方的业务情况透露给三方以外的其他单位或个人。</w:t>
      </w:r>
    </w:p>
    <w:p w14:paraId="5C5D69DD">
      <w:pPr>
        <w:pStyle w:val="20"/>
        <w:spacing w:line="360" w:lineRule="auto"/>
        <w:ind w:right="7" w:firstLine="480" w:firstLineChars="200"/>
      </w:pPr>
      <w:r>
        <w:t>6.本协议有效期自乙方在丙方开户起，至工程交工验收甲方向乙方颁发交工验收证书后结束。</w:t>
      </w:r>
    </w:p>
    <w:p w14:paraId="1B1E27FA">
      <w:pPr>
        <w:pStyle w:val="20"/>
        <w:spacing w:line="360" w:lineRule="auto"/>
        <w:ind w:right="7" w:firstLine="480" w:firstLineChars="200"/>
      </w:pPr>
      <w:r>
        <w:t>7.本协议未尽事宜，由甲方牵头，三方协商解决。</w:t>
      </w:r>
    </w:p>
    <w:p w14:paraId="10115501">
      <w:pPr>
        <w:pStyle w:val="20"/>
        <w:spacing w:line="360" w:lineRule="auto"/>
        <w:ind w:right="7" w:firstLine="480" w:firstLineChars="200"/>
      </w:pPr>
      <w:r>
        <w:t>8.本协议正本三份、副本</w:t>
      </w:r>
      <w:r>
        <w:rPr>
          <w:u w:val="single"/>
        </w:rPr>
        <w:t xml:space="preserve">   </w:t>
      </w:r>
      <w:r>
        <w:t>份。合同三方各执正本一份、副本</w:t>
      </w:r>
      <w:r>
        <w:rPr>
          <w:u w:val="single"/>
        </w:rPr>
        <w:t xml:space="preserve">   </w:t>
      </w:r>
      <w:r>
        <w:t>份，当正本与副本内容不一致时，以正本为准。</w:t>
      </w:r>
    </w:p>
    <w:p w14:paraId="296EE38F">
      <w:pPr>
        <w:pStyle w:val="20"/>
        <w:spacing w:line="360" w:lineRule="auto"/>
        <w:ind w:right="7"/>
      </w:pPr>
    </w:p>
    <w:p w14:paraId="77F52F1B">
      <w:pPr>
        <w:pStyle w:val="20"/>
        <w:tabs>
          <w:tab w:val="left" w:pos="4223"/>
          <w:tab w:val="left" w:pos="4703"/>
        </w:tabs>
        <w:spacing w:line="360" w:lineRule="auto"/>
        <w:ind w:left="144" w:right="3698"/>
      </w:pPr>
      <w:r>
        <w:t>发包人：</w:t>
      </w:r>
      <w:r>
        <w:rPr>
          <w:u w:val="single"/>
        </w:rPr>
        <w:t xml:space="preserve">                       </w:t>
      </w:r>
      <w:r>
        <w:t xml:space="preserve">（盖单位章） </w:t>
      </w:r>
    </w:p>
    <w:p w14:paraId="05173B7F">
      <w:pPr>
        <w:pStyle w:val="20"/>
        <w:tabs>
          <w:tab w:val="left" w:pos="4223"/>
          <w:tab w:val="left" w:pos="4703"/>
        </w:tabs>
        <w:spacing w:line="360" w:lineRule="auto"/>
        <w:ind w:left="144" w:right="3698"/>
      </w:pPr>
      <w:r>
        <w:t>法定代表人或其委托代理人：</w:t>
      </w:r>
      <w:r>
        <w:rPr>
          <w:u w:val="single"/>
        </w:rPr>
        <w:t xml:space="preserve"> </w:t>
      </w:r>
      <w:r>
        <w:rPr>
          <w:u w:val="single"/>
        </w:rPr>
        <w:tab/>
      </w:r>
      <w:r>
        <w:t>（签字）</w:t>
      </w:r>
    </w:p>
    <w:p w14:paraId="111108F7">
      <w:pPr>
        <w:pStyle w:val="20"/>
        <w:tabs>
          <w:tab w:val="left" w:pos="3143"/>
          <w:tab w:val="left" w:pos="4350"/>
          <w:tab w:val="left" w:pos="5063"/>
        </w:tabs>
        <w:spacing w:line="360" w:lineRule="auto"/>
        <w:ind w:left="2063" w:right="7"/>
      </w:pPr>
      <w:r>
        <w:rPr>
          <w:u w:val="single"/>
        </w:rPr>
        <w:t xml:space="preserve"> </w:t>
      </w:r>
      <w:r>
        <w:rPr>
          <w:u w:val="single"/>
        </w:rPr>
        <w:tab/>
      </w:r>
      <w:r>
        <w:t>年</w:t>
      </w:r>
      <w:r>
        <w:rPr>
          <w:u w:val="single"/>
        </w:rPr>
        <w:t xml:space="preserve">   </w:t>
      </w:r>
      <w:r>
        <w:t>月</w:t>
      </w:r>
      <w:r>
        <w:rPr>
          <w:u w:val="single"/>
        </w:rPr>
        <w:tab/>
      </w:r>
      <w:r>
        <w:t>日</w:t>
      </w:r>
    </w:p>
    <w:p w14:paraId="29F17465">
      <w:pPr>
        <w:pStyle w:val="20"/>
        <w:tabs>
          <w:tab w:val="left" w:pos="4223"/>
          <w:tab w:val="left" w:pos="4703"/>
        </w:tabs>
        <w:spacing w:line="360" w:lineRule="auto"/>
        <w:ind w:left="144" w:right="3698"/>
      </w:pPr>
    </w:p>
    <w:p w14:paraId="771CD389">
      <w:pPr>
        <w:pStyle w:val="20"/>
        <w:tabs>
          <w:tab w:val="left" w:pos="4223"/>
          <w:tab w:val="left" w:pos="4703"/>
        </w:tabs>
        <w:spacing w:line="360" w:lineRule="auto"/>
        <w:ind w:left="144" w:right="3698"/>
      </w:pPr>
      <w:r>
        <w:t>承包人：</w:t>
      </w:r>
      <w:r>
        <w:rPr>
          <w:u w:val="single"/>
        </w:rPr>
        <w:t xml:space="preserve">                       </w:t>
      </w:r>
      <w:r>
        <w:t xml:space="preserve">（盖单位章） </w:t>
      </w:r>
    </w:p>
    <w:p w14:paraId="50F59401">
      <w:pPr>
        <w:pStyle w:val="20"/>
        <w:tabs>
          <w:tab w:val="left" w:pos="4223"/>
          <w:tab w:val="left" w:pos="4703"/>
        </w:tabs>
        <w:spacing w:line="360" w:lineRule="auto"/>
        <w:ind w:left="144" w:right="3698"/>
      </w:pPr>
      <w:r>
        <w:t>法定代表人或其委托代理人：</w:t>
      </w:r>
      <w:r>
        <w:rPr>
          <w:u w:val="single"/>
        </w:rPr>
        <w:t xml:space="preserve"> </w:t>
      </w:r>
      <w:r>
        <w:rPr>
          <w:u w:val="single"/>
        </w:rPr>
        <w:tab/>
      </w:r>
      <w:r>
        <w:t>（签字）</w:t>
      </w:r>
    </w:p>
    <w:p w14:paraId="6DD26062">
      <w:pPr>
        <w:pStyle w:val="20"/>
        <w:tabs>
          <w:tab w:val="left" w:pos="3143"/>
          <w:tab w:val="left" w:pos="4350"/>
          <w:tab w:val="left" w:pos="5063"/>
        </w:tabs>
        <w:spacing w:line="360" w:lineRule="auto"/>
        <w:ind w:left="2063" w:right="7"/>
      </w:pPr>
      <w:r>
        <w:rPr>
          <w:u w:val="single"/>
        </w:rPr>
        <w:t xml:space="preserve"> </w:t>
      </w:r>
      <w:r>
        <w:rPr>
          <w:u w:val="single"/>
        </w:rPr>
        <w:tab/>
      </w:r>
      <w:r>
        <w:t>年</w:t>
      </w:r>
      <w:r>
        <w:rPr>
          <w:u w:val="single"/>
        </w:rPr>
        <w:t xml:space="preserve">   </w:t>
      </w:r>
      <w:r>
        <w:t>月</w:t>
      </w:r>
      <w:r>
        <w:rPr>
          <w:u w:val="single"/>
        </w:rPr>
        <w:tab/>
      </w:r>
      <w:r>
        <w:t>日</w:t>
      </w:r>
    </w:p>
    <w:p w14:paraId="07CE12F4">
      <w:pPr>
        <w:pStyle w:val="20"/>
        <w:spacing w:line="360" w:lineRule="auto"/>
      </w:pPr>
    </w:p>
    <w:p w14:paraId="1EF3A505">
      <w:pPr>
        <w:pStyle w:val="20"/>
        <w:tabs>
          <w:tab w:val="left" w:pos="4223"/>
          <w:tab w:val="left" w:pos="4703"/>
        </w:tabs>
        <w:spacing w:line="360" w:lineRule="auto"/>
        <w:ind w:left="144" w:right="3698"/>
      </w:pPr>
      <w:r>
        <w:t>经办银行：</w:t>
      </w:r>
      <w:r>
        <w:rPr>
          <w:u w:val="single"/>
        </w:rPr>
        <w:t xml:space="preserve">                      </w:t>
      </w:r>
      <w:r>
        <w:t>（盖单位章） 法定代表人或其委托代理人：</w:t>
      </w:r>
      <w:r>
        <w:rPr>
          <w:u w:val="single"/>
        </w:rPr>
        <w:t xml:space="preserve"> </w:t>
      </w:r>
      <w:r>
        <w:rPr>
          <w:u w:val="single"/>
        </w:rPr>
        <w:tab/>
      </w:r>
      <w:r>
        <w:t>（签字）</w:t>
      </w:r>
    </w:p>
    <w:p w14:paraId="53016344">
      <w:pPr>
        <w:pStyle w:val="20"/>
        <w:tabs>
          <w:tab w:val="left" w:pos="3143"/>
          <w:tab w:val="left" w:pos="4350"/>
          <w:tab w:val="left" w:pos="5063"/>
        </w:tabs>
        <w:spacing w:line="360" w:lineRule="auto"/>
        <w:ind w:left="2063" w:right="7"/>
        <w:sectPr>
          <w:footnotePr>
            <w:numFmt w:val="decimalEnclosedCircleChinese"/>
            <w:numRestart w:val="eachPage"/>
          </w:footnotePr>
          <w:pgSz w:w="11900" w:h="16840"/>
          <w:pgMar w:top="1418" w:right="1134" w:bottom="1418" w:left="1701" w:header="851" w:footer="624" w:gutter="0"/>
          <w:cols w:space="720" w:num="1"/>
          <w:docGrid w:linePitch="312" w:charSpace="0"/>
        </w:sectPr>
      </w:pPr>
      <w:r>
        <w:rPr>
          <w:u w:val="single"/>
        </w:rPr>
        <w:t xml:space="preserve"> </w:t>
      </w:r>
      <w:r>
        <w:rPr>
          <w:u w:val="single"/>
        </w:rPr>
        <w:tab/>
      </w:r>
      <w:r>
        <w:t>年</w:t>
      </w:r>
      <w:r>
        <w:rPr>
          <w:u w:val="single"/>
        </w:rPr>
        <w:t xml:space="preserve">   </w:t>
      </w:r>
      <w:r>
        <w:t>月</w:t>
      </w:r>
      <w:r>
        <w:rPr>
          <w:u w:val="single"/>
        </w:rPr>
        <w:tab/>
      </w:r>
      <w:r>
        <w:t>日</w:t>
      </w:r>
    </w:p>
    <w:p w14:paraId="507DC05C">
      <w:pPr>
        <w:pStyle w:val="20"/>
        <w:spacing w:line="360" w:lineRule="auto"/>
        <w:ind w:right="-6605"/>
        <w:rPr>
          <w:rFonts w:ascii="黑体" w:hAnsi="黑体" w:eastAsia="黑体"/>
        </w:rPr>
      </w:pPr>
      <w:r>
        <w:rPr>
          <w:b/>
          <w:sz w:val="30"/>
          <w:szCs w:val="30"/>
        </w:rPr>
        <w:br w:type="page"/>
      </w:r>
      <w:r>
        <w:rPr>
          <w:rFonts w:hint="eastAsia" w:ascii="黑体" w:hAnsi="黑体" w:eastAsia="黑体"/>
        </w:rPr>
        <w:t>附件</w:t>
      </w:r>
      <w:r>
        <w:rPr>
          <w:rFonts w:hint="eastAsia" w:ascii="黑体" w:hAnsi="黑体" w:eastAsia="黑体"/>
          <w:lang w:val="en-US" w:eastAsia="zh-CN"/>
        </w:rPr>
        <w:t>十</w:t>
      </w:r>
      <w:r>
        <w:rPr>
          <w:rFonts w:ascii="黑体" w:hAnsi="黑体" w:eastAsia="黑体"/>
        </w:rPr>
        <w:t xml:space="preserve"> 环境保护和水土保持合同格式</w:t>
      </w:r>
    </w:p>
    <w:p w14:paraId="0C38145F">
      <w:pPr>
        <w:pStyle w:val="26"/>
        <w:snapToGrid w:val="0"/>
        <w:spacing w:line="360" w:lineRule="auto"/>
        <w:jc w:val="center"/>
        <w:rPr>
          <w:rFonts w:ascii="黑体" w:hAnsi="黑体" w:eastAsia="黑体"/>
          <w:sz w:val="28"/>
          <w:szCs w:val="28"/>
        </w:rPr>
      </w:pPr>
      <w:r>
        <w:rPr>
          <w:rFonts w:hint="eastAsia" w:ascii="黑体" w:hAnsi="黑体" w:eastAsia="黑体"/>
          <w:sz w:val="28"/>
          <w:szCs w:val="28"/>
        </w:rPr>
        <w:t>环境保护和水土保持合同</w:t>
      </w:r>
    </w:p>
    <w:p w14:paraId="5EC1A064">
      <w:pPr>
        <w:snapToGrid w:val="0"/>
        <w:spacing w:line="360" w:lineRule="auto"/>
        <w:rPr>
          <w:rFonts w:ascii="宋体" w:hAnsi="宋体"/>
          <w:szCs w:val="21"/>
        </w:rPr>
      </w:pPr>
    </w:p>
    <w:p w14:paraId="52221D49">
      <w:pPr>
        <w:snapToGrid w:val="0"/>
        <w:spacing w:line="360" w:lineRule="auto"/>
        <w:ind w:firstLine="480"/>
        <w:rPr>
          <w:rFonts w:ascii="宋体" w:hAnsi="宋体"/>
          <w:sz w:val="24"/>
        </w:rPr>
      </w:pPr>
      <w:r>
        <w:rPr>
          <w:rFonts w:hint="eastAsia" w:ascii="宋体" w:hAnsi="宋体"/>
          <w:sz w:val="24"/>
        </w:rPr>
        <w:t>为减少项目实施对环境的影响，尽可能地恢复环境自然植被面，本项目发包人</w:t>
      </w:r>
      <w:r>
        <w:rPr>
          <w:rFonts w:hint="eastAsia" w:ascii="宋体" w:hAnsi="宋体"/>
          <w:sz w:val="24"/>
          <w:u w:val="single"/>
        </w:rPr>
        <w:t>（发包人全称）</w:t>
      </w:r>
      <w:r>
        <w:rPr>
          <w:rFonts w:hint="eastAsia" w:ascii="宋体" w:hAnsi="宋体"/>
          <w:sz w:val="24"/>
        </w:rPr>
        <w:t>（以下简称“甲方”</w:t>
      </w:r>
      <w:r>
        <w:rPr>
          <w:rFonts w:ascii="宋体" w:hAnsi="宋体"/>
          <w:sz w:val="24"/>
        </w:rPr>
        <w:t xml:space="preserve"> </w:t>
      </w:r>
      <w:r>
        <w:rPr>
          <w:rFonts w:hint="eastAsia" w:ascii="宋体" w:hAnsi="宋体"/>
          <w:sz w:val="24"/>
        </w:rPr>
        <w:t>）与承包人</w:t>
      </w:r>
      <w:r>
        <w:rPr>
          <w:rFonts w:hint="eastAsia" w:ascii="宋体" w:hAnsi="宋体"/>
          <w:sz w:val="24"/>
          <w:u w:val="single"/>
        </w:rPr>
        <w:t>（承包人全称）</w:t>
      </w:r>
      <w:r>
        <w:rPr>
          <w:rFonts w:ascii="宋体" w:hAnsi="宋体"/>
          <w:sz w:val="24"/>
        </w:rPr>
        <w:t xml:space="preserve"> （以下简称“</w:t>
      </w:r>
      <w:r>
        <w:rPr>
          <w:rFonts w:hint="eastAsia" w:ascii="宋体" w:hAnsi="宋体"/>
          <w:sz w:val="24"/>
        </w:rPr>
        <w:t>乙方”</w:t>
      </w:r>
      <w:r>
        <w:rPr>
          <w:rFonts w:ascii="宋体" w:hAnsi="宋体"/>
          <w:sz w:val="24"/>
        </w:rPr>
        <w:t xml:space="preserve"> </w:t>
      </w:r>
      <w:r>
        <w:rPr>
          <w:rFonts w:hint="eastAsia" w:ascii="宋体" w:hAnsi="宋体"/>
          <w:sz w:val="24"/>
        </w:rPr>
        <w:t>）特此签订环境保护和水土保持合同。</w:t>
      </w:r>
    </w:p>
    <w:p w14:paraId="25A0E75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1.甲方职责</w:t>
      </w:r>
    </w:p>
    <w:p w14:paraId="4E0511D1">
      <w:pPr>
        <w:snapToGrid w:val="0"/>
        <w:spacing w:line="360" w:lineRule="auto"/>
        <w:ind w:left="480"/>
        <w:rPr>
          <w:rFonts w:ascii="宋体" w:hAnsi="宋体"/>
          <w:sz w:val="24"/>
        </w:rPr>
      </w:pPr>
      <w:r>
        <w:rPr>
          <w:rFonts w:hint="eastAsia" w:ascii="宋体" w:hAnsi="宋体"/>
          <w:sz w:val="24"/>
        </w:rPr>
        <w:t>（</w:t>
      </w:r>
      <w:r>
        <w:rPr>
          <w:rFonts w:ascii="宋体" w:hAnsi="宋体"/>
          <w:sz w:val="24"/>
        </w:rPr>
        <w:t>1）严格遵守国家和地方的有关环境保护和水土保持的法律法规。</w:t>
      </w:r>
    </w:p>
    <w:p w14:paraId="256BE546">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2）按照“预防为主，保护优先”和“管生产必须管环保”的原则开展环境保护和水土保持管理工作，做到生产与环境保护和水土保持工作同时计划、实施、检查、总结和评比。</w:t>
      </w:r>
    </w:p>
    <w:p w14:paraId="231D53E0">
      <w:pPr>
        <w:snapToGrid w:val="0"/>
        <w:spacing w:line="360" w:lineRule="auto"/>
        <w:ind w:firstLine="480"/>
        <w:rPr>
          <w:rFonts w:ascii="宋体" w:hAnsi="宋体"/>
          <w:sz w:val="24"/>
        </w:rPr>
      </w:pPr>
      <w:r>
        <w:rPr>
          <w:rFonts w:hint="eastAsia" w:ascii="宋体" w:hAnsi="宋体"/>
          <w:sz w:val="24"/>
        </w:rPr>
        <w:t>（</w:t>
      </w:r>
      <w:r>
        <w:rPr>
          <w:rFonts w:ascii="宋体" w:hAnsi="宋体"/>
          <w:sz w:val="24"/>
        </w:rPr>
        <w:t>3）重要的环境保护和水土保持设施必须坚持与主体工程“三同时”的原则，即：同时设计、审批，同时施工，同时验收</w:t>
      </w:r>
      <w:r>
        <w:rPr>
          <w:rFonts w:hint="eastAsia" w:ascii="宋体" w:hAnsi="宋体"/>
          <w:sz w:val="24"/>
          <w:lang w:eastAsia="zh-CN"/>
        </w:rPr>
        <w:t>、</w:t>
      </w:r>
      <w:r>
        <w:rPr>
          <w:rFonts w:ascii="宋体" w:hAnsi="宋体"/>
          <w:sz w:val="24"/>
        </w:rPr>
        <w:t>投入使用。</w:t>
      </w:r>
    </w:p>
    <w:p w14:paraId="5ABFC578">
      <w:pPr>
        <w:snapToGrid w:val="0"/>
        <w:spacing w:line="360" w:lineRule="auto"/>
        <w:ind w:firstLine="480"/>
        <w:rPr>
          <w:rFonts w:ascii="宋体" w:hAnsi="宋体"/>
          <w:sz w:val="24"/>
        </w:rPr>
      </w:pPr>
      <w:r>
        <w:rPr>
          <w:rFonts w:hint="eastAsia" w:ascii="宋体" w:hAnsi="宋体"/>
          <w:sz w:val="24"/>
        </w:rPr>
        <w:t>（</w:t>
      </w:r>
      <w:r>
        <w:rPr>
          <w:rFonts w:ascii="宋体" w:hAnsi="宋体"/>
          <w:sz w:val="24"/>
        </w:rPr>
        <w:t>4）组织对乙方的施工现场和施工营地进行环境保护和水土保持工作的检查，监督乙方及时处理各种环境污染、环境破坏的问题。</w:t>
      </w:r>
    </w:p>
    <w:p w14:paraId="543993E6">
      <w:pPr>
        <w:snapToGrid w:val="0"/>
        <w:spacing w:line="360" w:lineRule="auto"/>
        <w:ind w:firstLine="480"/>
        <w:rPr>
          <w:rFonts w:ascii="宋体" w:hAnsi="宋体"/>
          <w:sz w:val="24"/>
        </w:rPr>
      </w:pPr>
      <w:r>
        <w:rPr>
          <w:rFonts w:hint="eastAsia" w:ascii="宋体" w:hAnsi="宋体"/>
          <w:sz w:val="24"/>
        </w:rPr>
        <w:t>（</w:t>
      </w:r>
      <w:r>
        <w:rPr>
          <w:rFonts w:ascii="宋体" w:hAnsi="宋体"/>
          <w:sz w:val="24"/>
        </w:rPr>
        <w:t>5）凡发现乙方在施工现场和施工营地有环境污染和环境破坏的行为，甲方应责令乙方及时整改，若情节严重，甲方应及时上报国家有关环境保护和水土保持机构。</w:t>
      </w:r>
    </w:p>
    <w:p w14:paraId="73CCB5F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2.乙方职责</w:t>
      </w:r>
    </w:p>
    <w:p w14:paraId="652F0A6C">
      <w:pPr>
        <w:snapToGrid w:val="0"/>
        <w:spacing w:line="360" w:lineRule="auto"/>
        <w:ind w:left="480"/>
        <w:rPr>
          <w:rFonts w:ascii="宋体" w:hAnsi="宋体"/>
          <w:sz w:val="24"/>
        </w:rPr>
      </w:pPr>
      <w:r>
        <w:rPr>
          <w:rFonts w:hint="eastAsia" w:ascii="宋体" w:hAnsi="宋体"/>
          <w:sz w:val="24"/>
        </w:rPr>
        <w:t>（</w:t>
      </w:r>
      <w:r>
        <w:rPr>
          <w:rFonts w:ascii="宋体" w:hAnsi="宋体"/>
          <w:sz w:val="24"/>
        </w:rPr>
        <w:t>1）严格遵守国家和地方的有关环境保护和水土保持的法律法规并认真执行。</w:t>
      </w:r>
    </w:p>
    <w:p w14:paraId="174B82EC">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坚持“预防为主，保护优先”“管生产必须管环保”及“谁破坏谁恢复”的原则，加强环境保护和水土保持的宣传教育，增强全员环保意识，建立健全环境保护和水土保持的管理机构和管理制度，配备专职及兼职的环、水保检查人员，有组织</w:t>
      </w:r>
      <w:r>
        <w:rPr>
          <w:rFonts w:hint="eastAsia" w:ascii="宋体" w:hAnsi="宋体"/>
          <w:sz w:val="24"/>
          <w:lang w:eastAsia="zh-CN"/>
        </w:rPr>
        <w:t>、</w:t>
      </w:r>
      <w:r>
        <w:rPr>
          <w:rFonts w:ascii="宋体" w:hAnsi="宋体"/>
          <w:sz w:val="24"/>
        </w:rPr>
        <w:t>有领导地开展环境保护和水土保持工作。各级领导、工程技术人员、生产管理人员和具体操作人员（包括临时雇请的生产作业人员），必须熟悉和遵守本合同有关环境保护和水土保持的各项规定，做到生产与环境保护和水土保持工作同时计划、实施、检查、总结和评比。</w:t>
      </w:r>
    </w:p>
    <w:p w14:paraId="527D5AC1">
      <w:pPr>
        <w:snapToGrid w:val="0"/>
        <w:spacing w:line="360" w:lineRule="auto"/>
        <w:ind w:firstLine="480"/>
        <w:rPr>
          <w:rFonts w:ascii="宋体" w:hAnsi="宋体"/>
          <w:sz w:val="24"/>
        </w:rPr>
      </w:pPr>
      <w:r>
        <w:rPr>
          <w:rFonts w:hint="eastAsia" w:ascii="宋体" w:hAnsi="宋体"/>
          <w:sz w:val="24"/>
        </w:rPr>
        <w:t>（</w:t>
      </w:r>
      <w:r>
        <w:rPr>
          <w:rFonts w:ascii="宋体" w:hAnsi="宋体"/>
          <w:sz w:val="24"/>
        </w:rPr>
        <w:t>3）建立健全环境保护和水土保持责任制。从项目经理到生产工人（包括临时雇请的生产作业人员）的环境保护和水土保持管理系统必须</w:t>
      </w:r>
      <w:r>
        <w:rPr>
          <w:rFonts w:hint="eastAsia" w:ascii="宋体" w:hAnsi="宋体"/>
          <w:sz w:val="24"/>
          <w:lang w:val="en-US" w:eastAsia="zh-CN"/>
        </w:rPr>
        <w:t>做</w:t>
      </w:r>
      <w:r>
        <w:rPr>
          <w:rFonts w:ascii="宋体" w:hAnsi="宋体"/>
          <w:sz w:val="24"/>
        </w:rPr>
        <w:t>到纵向到底，一环不漏；各职能部门、人员的环境保护和水土保持责任制</w:t>
      </w:r>
      <w:r>
        <w:rPr>
          <w:rFonts w:hint="eastAsia" w:ascii="宋体" w:hAnsi="宋体"/>
          <w:sz w:val="24"/>
          <w:lang w:val="en-US" w:eastAsia="zh-CN"/>
        </w:rPr>
        <w:t>做</w:t>
      </w:r>
      <w:r>
        <w:rPr>
          <w:rFonts w:ascii="宋体" w:hAnsi="宋体"/>
          <w:sz w:val="24"/>
        </w:rPr>
        <w:t>到横向到边，人人有责。项目经理是环境保护和水土保持的第一责任人。现场设置的环境保护和水土保持机构，应配备环、水保</w:t>
      </w:r>
      <w:r>
        <w:rPr>
          <w:rFonts w:hint="eastAsia" w:ascii="宋体" w:hAnsi="宋体"/>
          <w:sz w:val="24"/>
        </w:rPr>
        <w:t>专职监督员，专职负责本合同工程环境保护和水土保持的宣传、检查工作，有权发布指令，防止污染环境和破坏环境的事件发生。</w:t>
      </w:r>
    </w:p>
    <w:p w14:paraId="2BFEFA31">
      <w:pPr>
        <w:snapToGrid w:val="0"/>
        <w:spacing w:line="360" w:lineRule="auto"/>
        <w:ind w:firstLine="480" w:firstLineChars="200"/>
        <w:rPr>
          <w:rFonts w:hint="eastAsia" w:ascii="宋体" w:hAnsi="宋体" w:cs="宋体"/>
          <w:sz w:val="24"/>
        </w:rPr>
      </w:pPr>
      <w:r>
        <w:rPr>
          <w:rFonts w:hint="eastAsia" w:ascii="宋体" w:hAnsi="宋体" w:eastAsia="宋体" w:cs="宋体"/>
          <w:sz w:val="24"/>
        </w:rPr>
        <w:t>3.违约责任</w:t>
      </w:r>
    </w:p>
    <w:p w14:paraId="66A384C5">
      <w:pPr>
        <w:snapToGrid w:val="0"/>
        <w:spacing w:line="360" w:lineRule="auto"/>
        <w:ind w:firstLine="480"/>
        <w:rPr>
          <w:rFonts w:ascii="宋体" w:hAnsi="宋体"/>
          <w:sz w:val="24"/>
        </w:rPr>
      </w:pPr>
      <w:r>
        <w:rPr>
          <w:rFonts w:hint="eastAsia" w:ascii="宋体" w:hAnsi="宋体"/>
          <w:sz w:val="24"/>
        </w:rPr>
        <w:t>如因乙方不遵守国家和地方的有关环境保护和水土保持的法律法规，造成环境污染或破坏，甲方有权责令乙方限期进行整改，并视其情节对乙方批评、违约处罚或终止合同：</w:t>
      </w:r>
    </w:p>
    <w:p w14:paraId="4FED8CEC">
      <w:pPr>
        <w:snapToGrid w:val="0"/>
        <w:spacing w:line="360" w:lineRule="auto"/>
        <w:ind w:firstLine="480"/>
        <w:rPr>
          <w:rFonts w:ascii="宋体" w:hAnsi="宋体"/>
          <w:sz w:val="24"/>
        </w:rPr>
      </w:pPr>
      <w:r>
        <w:rPr>
          <w:rFonts w:hint="eastAsia" w:ascii="宋体" w:hAnsi="宋体"/>
          <w:sz w:val="24"/>
        </w:rPr>
        <w:t>（</w:t>
      </w:r>
      <w:r>
        <w:rPr>
          <w:rFonts w:ascii="宋体" w:hAnsi="宋体"/>
          <w:sz w:val="24"/>
        </w:rPr>
        <w:t>1）情节轻微者，甲方可对乙方予以通报批评，并向乙方课以1</w:t>
      </w:r>
      <w:r>
        <w:rPr>
          <w:rFonts w:hint="eastAsia" w:ascii="宋体" w:hAnsi="宋体"/>
          <w:sz w:val="24"/>
          <w:lang w:val="en-US" w:eastAsia="zh-CN"/>
        </w:rPr>
        <w:t>万</w:t>
      </w:r>
      <w:r>
        <w:rPr>
          <w:rFonts w:hint="eastAsia" w:ascii="宋体" w:hAnsi="宋体" w:eastAsia="宋体" w:cs="宋体"/>
          <w:sz w:val="24"/>
        </w:rPr>
        <w:t>～</w:t>
      </w:r>
      <w:r>
        <w:rPr>
          <w:rFonts w:ascii="宋体" w:hAnsi="宋体"/>
          <w:sz w:val="24"/>
        </w:rPr>
        <w:t>10万元违约金；</w:t>
      </w:r>
    </w:p>
    <w:p w14:paraId="2F82EC3A">
      <w:pPr>
        <w:snapToGrid w:val="0"/>
        <w:spacing w:line="360" w:lineRule="auto"/>
        <w:ind w:firstLine="480"/>
        <w:rPr>
          <w:rFonts w:ascii="宋体" w:hAnsi="宋体"/>
          <w:sz w:val="24"/>
        </w:rPr>
      </w:pPr>
      <w:r>
        <w:rPr>
          <w:rFonts w:hint="eastAsia" w:ascii="宋体" w:hAnsi="宋体"/>
          <w:sz w:val="24"/>
        </w:rPr>
        <w:t>（</w:t>
      </w:r>
      <w:r>
        <w:rPr>
          <w:rFonts w:ascii="宋体" w:hAnsi="宋体"/>
          <w:sz w:val="24"/>
        </w:rPr>
        <w:t>2）累计三次因环境问题被有关方面通报批评，或情节严重，甲方可以终止乙方在标段的工程承包合同。</w:t>
      </w:r>
    </w:p>
    <w:p w14:paraId="3327FA33">
      <w:pPr>
        <w:snapToGrid w:val="0"/>
        <w:spacing w:line="360" w:lineRule="auto"/>
        <w:ind w:firstLine="480"/>
        <w:rPr>
          <w:rFonts w:ascii="宋体" w:hAnsi="宋体"/>
          <w:sz w:val="24"/>
        </w:rPr>
      </w:pPr>
      <w:r>
        <w:rPr>
          <w:rFonts w:hint="eastAsia" w:ascii="宋体" w:hAnsi="宋体"/>
          <w:sz w:val="24"/>
        </w:rPr>
        <w:t>本合同正本一式</w:t>
      </w:r>
      <w:r>
        <w:rPr>
          <w:rFonts w:ascii="宋体" w:hAnsi="宋体"/>
          <w:sz w:val="24"/>
          <w:u w:val="single"/>
        </w:rPr>
        <w:t xml:space="preserve">   </w:t>
      </w:r>
      <w:r>
        <w:rPr>
          <w:rFonts w:hint="eastAsia" w:ascii="宋体" w:hAnsi="宋体"/>
          <w:sz w:val="24"/>
        </w:rPr>
        <w:t>份，副本一式</w:t>
      </w:r>
      <w:r>
        <w:rPr>
          <w:rFonts w:ascii="宋体" w:hAnsi="宋体"/>
          <w:sz w:val="24"/>
          <w:u w:val="single"/>
        </w:rPr>
        <w:t xml:space="preserve">  </w:t>
      </w:r>
      <w:r>
        <w:rPr>
          <w:rFonts w:hint="eastAsia" w:ascii="宋体" w:hAnsi="宋体"/>
          <w:sz w:val="24"/>
        </w:rPr>
        <w:t>份，合同双方各执正本</w:t>
      </w:r>
      <w:r>
        <w:rPr>
          <w:rFonts w:ascii="宋体" w:hAnsi="宋体"/>
          <w:sz w:val="24"/>
          <w:u w:val="single"/>
        </w:rPr>
        <w:t xml:space="preserve">  </w:t>
      </w:r>
      <w:r>
        <w:rPr>
          <w:rFonts w:hint="eastAsia" w:ascii="宋体" w:hAnsi="宋体"/>
          <w:sz w:val="24"/>
        </w:rPr>
        <w:t>份，副本</w:t>
      </w:r>
      <w:r>
        <w:rPr>
          <w:rFonts w:ascii="宋体" w:hAnsi="宋体"/>
          <w:sz w:val="24"/>
          <w:u w:val="single"/>
        </w:rPr>
        <w:t xml:space="preserve">  </w:t>
      </w:r>
      <w:r>
        <w:rPr>
          <w:rFonts w:hint="eastAsia" w:ascii="宋体" w:hAnsi="宋体"/>
          <w:sz w:val="24"/>
        </w:rPr>
        <w:t>份。由双方法定代表人或其委托代理人签署与加盖公章后生效，全部工程竣工验收后失效。</w:t>
      </w:r>
    </w:p>
    <w:p w14:paraId="797A9A6C">
      <w:pPr>
        <w:snapToGrid w:val="0"/>
        <w:spacing w:line="360" w:lineRule="auto"/>
        <w:ind w:firstLine="480"/>
        <w:rPr>
          <w:rFonts w:ascii="宋体" w:hAnsi="宋体"/>
          <w:sz w:val="24"/>
        </w:rPr>
      </w:pPr>
    </w:p>
    <w:p w14:paraId="245D1C40">
      <w:pPr>
        <w:pStyle w:val="20"/>
        <w:tabs>
          <w:tab w:val="left" w:pos="2903"/>
          <w:tab w:val="left" w:pos="3721"/>
          <w:tab w:val="left" w:pos="4601"/>
          <w:tab w:val="left" w:pos="7264"/>
          <w:tab w:val="left" w:pos="8177"/>
        </w:tabs>
        <w:spacing w:line="360" w:lineRule="auto"/>
        <w:ind w:left="144" w:right="124"/>
        <w:rPr>
          <w:rFonts w:cs="宋体"/>
        </w:rPr>
      </w:pPr>
    </w:p>
    <w:p w14:paraId="07ACF491">
      <w:pPr>
        <w:pStyle w:val="20"/>
        <w:tabs>
          <w:tab w:val="left" w:pos="2903"/>
          <w:tab w:val="left" w:pos="3721"/>
          <w:tab w:val="left" w:pos="4601"/>
          <w:tab w:val="left" w:pos="7264"/>
          <w:tab w:val="left" w:pos="8177"/>
        </w:tabs>
        <w:spacing w:line="360" w:lineRule="auto"/>
        <w:ind w:left="144" w:right="124"/>
        <w:rPr>
          <w:rFonts w:cs="宋体"/>
        </w:rPr>
      </w:pPr>
    </w:p>
    <w:p w14:paraId="76FDE91D">
      <w:pPr>
        <w:pStyle w:val="20"/>
        <w:tabs>
          <w:tab w:val="left" w:pos="2903"/>
          <w:tab w:val="left" w:pos="3721"/>
          <w:tab w:val="left" w:pos="4845"/>
          <w:tab w:val="left" w:pos="7264"/>
          <w:tab w:val="left" w:pos="8177"/>
        </w:tabs>
        <w:spacing w:line="360" w:lineRule="auto"/>
        <w:ind w:left="144" w:right="124"/>
      </w:pPr>
      <w:r>
        <w:rPr>
          <w:rFonts w:hint="eastAsia" w:cs="宋体"/>
        </w:rPr>
        <w:t>发包人：</w:t>
      </w:r>
      <w:r>
        <w:rPr>
          <w:u w:val="single"/>
        </w:rPr>
        <w:t xml:space="preserve"> </w:t>
      </w:r>
      <w:r>
        <w:rPr>
          <w:u w:val="single"/>
        </w:rPr>
        <w:tab/>
      </w:r>
      <w:r>
        <w:t>（</w:t>
      </w:r>
      <w:r>
        <w:rPr>
          <w:rFonts w:hint="eastAsia" w:cs="宋体"/>
        </w:rPr>
        <w:t>盖单位章</w:t>
      </w:r>
      <w:r>
        <w:t xml:space="preserve">） </w:t>
      </w:r>
      <w:r>
        <w:tab/>
      </w:r>
      <w:r>
        <w:rPr>
          <w:rFonts w:hint="eastAsia" w:cs="宋体"/>
        </w:rPr>
        <w:t>承包人：</w:t>
      </w:r>
      <w:r>
        <w:rPr>
          <w:u w:val="single"/>
        </w:rPr>
        <w:t xml:space="preserve"> </w:t>
      </w:r>
      <w:r>
        <w:rPr>
          <w:u w:val="single"/>
        </w:rPr>
        <w:tab/>
      </w:r>
      <w:r>
        <w:t>（</w:t>
      </w:r>
      <w:r>
        <w:rPr>
          <w:rFonts w:hint="eastAsia" w:cs="宋体"/>
        </w:rPr>
        <w:t>盖单位章</w:t>
      </w:r>
      <w:r>
        <w:t>）</w:t>
      </w:r>
    </w:p>
    <w:p w14:paraId="6A0F6B1E">
      <w:pPr>
        <w:pStyle w:val="20"/>
        <w:tabs>
          <w:tab w:val="left" w:pos="2903"/>
          <w:tab w:val="left" w:pos="3721"/>
          <w:tab w:val="left" w:pos="4601"/>
          <w:tab w:val="left" w:pos="7264"/>
          <w:tab w:val="left" w:pos="8177"/>
        </w:tabs>
        <w:spacing w:line="360" w:lineRule="auto"/>
        <w:ind w:left="144" w:right="124"/>
      </w:pPr>
      <w:r>
        <w:rPr>
          <w:rFonts w:hint="eastAsia" w:cs="宋体"/>
        </w:rPr>
        <w:t>法定代表人或其委托代理人：</w:t>
      </w:r>
      <w:r>
        <w:rPr>
          <w:u w:val="single"/>
        </w:rPr>
        <w:t xml:space="preserve"> </w:t>
      </w:r>
      <w:r>
        <w:rPr>
          <w:u w:val="single"/>
        </w:rPr>
        <w:tab/>
      </w:r>
      <w:r>
        <w:t>（</w:t>
      </w:r>
      <w:r>
        <w:rPr>
          <w:rFonts w:hint="eastAsia" w:cs="宋体"/>
        </w:rPr>
        <w:t>签字</w:t>
      </w:r>
      <w:r>
        <w:t xml:space="preserve">） </w:t>
      </w:r>
      <w:r>
        <w:rPr>
          <w:rFonts w:hint="eastAsia" w:cs="宋体"/>
          <w:spacing w:val="-3"/>
        </w:rPr>
        <w:t>法定代表人或其委托代理人：</w:t>
      </w:r>
      <w:r>
        <w:rPr>
          <w:spacing w:val="-3"/>
          <w:u w:val="single"/>
        </w:rPr>
        <w:t xml:space="preserve"> </w:t>
      </w:r>
      <w:r>
        <w:rPr>
          <w:spacing w:val="-3"/>
          <w:u w:val="single"/>
        </w:rPr>
        <w:tab/>
      </w:r>
      <w:r>
        <w:t>（</w:t>
      </w:r>
      <w:r>
        <w:rPr>
          <w:rFonts w:hint="eastAsia" w:cs="宋体"/>
        </w:rPr>
        <w:t>签字</w:t>
      </w:r>
      <w:r>
        <w:t>）</w:t>
      </w:r>
    </w:p>
    <w:p w14:paraId="50EBDDDF">
      <w:pPr>
        <w:pStyle w:val="20"/>
        <w:tabs>
          <w:tab w:val="left" w:pos="1583"/>
          <w:tab w:val="left" w:pos="2430"/>
          <w:tab w:val="left" w:pos="3270"/>
          <w:tab w:val="left" w:pos="5310"/>
          <w:tab w:val="left" w:pos="6023"/>
          <w:tab w:val="left" w:pos="6750"/>
          <w:tab w:val="left" w:pos="8303"/>
        </w:tabs>
        <w:spacing w:line="360" w:lineRule="auto"/>
        <w:ind w:left="504" w:right="107" w:firstLine="360" w:firstLineChars="150"/>
      </w:pPr>
      <w:r>
        <w:rPr>
          <w:u w:val="single"/>
        </w:rPr>
        <w:tab/>
      </w:r>
      <w:r>
        <w:rPr>
          <w:rFonts w:hint="eastAsia" w:cs="宋体"/>
        </w:rPr>
        <w:t>年</w:t>
      </w:r>
      <w:r>
        <w:rPr>
          <w:u w:val="single"/>
        </w:rPr>
        <w:t xml:space="preserve"> </w:t>
      </w:r>
      <w:r>
        <w:rPr>
          <w:u w:val="single"/>
        </w:rPr>
        <w:tab/>
      </w:r>
      <w:r>
        <w:rPr>
          <w:rFonts w:hint="eastAsia" w:cs="宋体"/>
        </w:rPr>
        <w:t>月</w:t>
      </w:r>
      <w:r>
        <w:rPr>
          <w:u w:val="single"/>
        </w:rPr>
        <w:tab/>
      </w:r>
      <w:r>
        <w:rPr>
          <w:rFonts w:hint="eastAsia" w:cs="宋体"/>
        </w:rPr>
        <w:t>日</w:t>
      </w:r>
      <w:r>
        <w:tab/>
      </w:r>
      <w:r>
        <w:rPr>
          <w:u w:val="single"/>
        </w:rPr>
        <w:t xml:space="preserve"> </w:t>
      </w:r>
      <w:r>
        <w:rPr>
          <w:u w:val="single"/>
        </w:rPr>
        <w:tab/>
      </w:r>
      <w:r>
        <w:rPr>
          <w:rFonts w:hint="eastAsia" w:cs="宋体"/>
        </w:rPr>
        <w:t>年</w:t>
      </w:r>
      <w:r>
        <w:rPr>
          <w:u w:val="single"/>
        </w:rPr>
        <w:t xml:space="preserve"> </w:t>
      </w:r>
      <w:r>
        <w:rPr>
          <w:u w:val="single"/>
        </w:rPr>
        <w:tab/>
      </w:r>
      <w:r>
        <w:rPr>
          <w:rFonts w:hint="eastAsia" w:cs="宋体"/>
        </w:rPr>
        <w:t>月</w:t>
      </w:r>
      <w:r>
        <w:rPr>
          <w:rFonts w:cs="宋体"/>
          <w:u w:val="single"/>
        </w:rPr>
        <w:t xml:space="preserve">    </w:t>
      </w:r>
      <w:r>
        <w:rPr>
          <w:rFonts w:hint="eastAsia" w:cs="宋体"/>
        </w:rPr>
        <w:t>日</w:t>
      </w:r>
    </w:p>
    <w:p w14:paraId="1EF1FC15">
      <w:pPr>
        <w:pStyle w:val="26"/>
        <w:snapToGrid w:val="0"/>
        <w:spacing w:line="360" w:lineRule="exact"/>
        <w:rPr>
          <w:rFonts w:hAnsi="宋体"/>
          <w:b/>
          <w:sz w:val="28"/>
          <w:szCs w:val="28"/>
        </w:rPr>
      </w:pPr>
    </w:p>
    <w:p w14:paraId="1186C915">
      <w:pPr>
        <w:pStyle w:val="26"/>
        <w:snapToGrid w:val="0"/>
        <w:spacing w:line="360" w:lineRule="exact"/>
        <w:rPr>
          <w:rFonts w:hAnsi="宋体"/>
          <w:b/>
          <w:sz w:val="28"/>
          <w:szCs w:val="28"/>
        </w:rPr>
      </w:pPr>
    </w:p>
    <w:p w14:paraId="5D1FCD83">
      <w:pPr>
        <w:pStyle w:val="26"/>
        <w:snapToGrid w:val="0"/>
        <w:spacing w:line="360" w:lineRule="exact"/>
        <w:rPr>
          <w:rFonts w:hAnsi="宋体"/>
          <w:b/>
          <w:sz w:val="28"/>
          <w:szCs w:val="28"/>
        </w:rPr>
      </w:pPr>
    </w:p>
    <w:p w14:paraId="29DC64E5">
      <w:pPr>
        <w:pStyle w:val="26"/>
        <w:snapToGrid w:val="0"/>
        <w:spacing w:line="360" w:lineRule="exact"/>
        <w:rPr>
          <w:rFonts w:hAnsi="宋体"/>
          <w:b/>
          <w:sz w:val="28"/>
          <w:szCs w:val="28"/>
        </w:rPr>
      </w:pPr>
    </w:p>
    <w:p w14:paraId="3F820A3E">
      <w:pPr>
        <w:pStyle w:val="26"/>
        <w:snapToGrid w:val="0"/>
        <w:spacing w:line="360" w:lineRule="exact"/>
        <w:rPr>
          <w:rFonts w:hAnsi="宋体"/>
          <w:b/>
          <w:sz w:val="28"/>
          <w:szCs w:val="28"/>
        </w:rPr>
      </w:pPr>
    </w:p>
    <w:p w14:paraId="68A99E60">
      <w:pPr>
        <w:pStyle w:val="26"/>
        <w:snapToGrid w:val="0"/>
        <w:spacing w:line="360" w:lineRule="exact"/>
        <w:rPr>
          <w:rFonts w:hAnsi="宋体"/>
          <w:b/>
          <w:sz w:val="28"/>
          <w:szCs w:val="28"/>
        </w:rPr>
      </w:pPr>
    </w:p>
    <w:p w14:paraId="2C047B1C">
      <w:pPr>
        <w:pStyle w:val="26"/>
        <w:snapToGrid w:val="0"/>
        <w:spacing w:line="360" w:lineRule="exact"/>
        <w:rPr>
          <w:rFonts w:hAnsi="宋体"/>
          <w:b/>
          <w:sz w:val="28"/>
          <w:szCs w:val="28"/>
        </w:rPr>
      </w:pPr>
    </w:p>
    <w:p w14:paraId="328A74D0">
      <w:pPr>
        <w:pStyle w:val="20"/>
        <w:spacing w:line="360" w:lineRule="auto"/>
        <w:ind w:right="-6605"/>
        <w:rPr>
          <w:rFonts w:ascii="黑体" w:hAnsi="黑体" w:eastAsia="黑体"/>
        </w:rPr>
      </w:pPr>
      <w:r>
        <w:rPr>
          <w:b/>
          <w:sz w:val="30"/>
          <w:szCs w:val="30"/>
        </w:rPr>
        <w:br w:type="page"/>
      </w:r>
      <w:r>
        <w:rPr>
          <w:rFonts w:hint="eastAsia" w:ascii="黑体" w:hAnsi="黑体" w:eastAsia="黑体"/>
        </w:rPr>
        <w:t>附件</w:t>
      </w:r>
      <w:r>
        <w:rPr>
          <w:rFonts w:hint="eastAsia" w:ascii="黑体" w:hAnsi="黑体" w:eastAsia="黑体"/>
          <w:lang w:val="en-US" w:eastAsia="zh-CN"/>
        </w:rPr>
        <w:t>十一</w:t>
      </w:r>
      <w:r>
        <w:rPr>
          <w:rFonts w:ascii="黑体" w:hAnsi="黑体" w:eastAsia="黑体"/>
        </w:rPr>
        <w:t xml:space="preserve"> 农民工管理合同格式</w:t>
      </w:r>
    </w:p>
    <w:p w14:paraId="557D1406">
      <w:pPr>
        <w:pStyle w:val="26"/>
        <w:snapToGrid w:val="0"/>
        <w:spacing w:line="360" w:lineRule="exact"/>
        <w:ind w:firstLine="480" w:firstLineChars="200"/>
        <w:rPr>
          <w:rFonts w:hAnsi="宋体" w:cs="Courier New"/>
          <w:sz w:val="24"/>
        </w:rPr>
      </w:pPr>
      <w:r>
        <w:rPr>
          <w:rFonts w:hint="eastAsia" w:hAnsi="宋体" w:cs="Courier New"/>
          <w:sz w:val="24"/>
        </w:rPr>
        <w:t>本格式仅供参考</w:t>
      </w:r>
      <w:r>
        <w:rPr>
          <w:rFonts w:hAnsi="宋体" w:cs="Courier New"/>
          <w:sz w:val="24"/>
        </w:rPr>
        <w:t>，若</w:t>
      </w:r>
      <w:r>
        <w:rPr>
          <w:rFonts w:hint="eastAsia" w:hAnsi="宋体" w:cs="Courier New"/>
          <w:sz w:val="24"/>
        </w:rPr>
        <w:t>有新的国家相关规定颁布实施，将按上级主管部门的决定采用执行。</w:t>
      </w:r>
    </w:p>
    <w:p w14:paraId="4259D9AA">
      <w:pPr>
        <w:pStyle w:val="26"/>
        <w:snapToGrid w:val="0"/>
        <w:spacing w:line="360" w:lineRule="exact"/>
        <w:jc w:val="center"/>
        <w:rPr>
          <w:rFonts w:ascii="黑体" w:hAnsi="黑体" w:eastAsia="黑体"/>
          <w:sz w:val="28"/>
          <w:szCs w:val="28"/>
        </w:rPr>
      </w:pPr>
      <w:r>
        <w:rPr>
          <w:rFonts w:hint="eastAsia" w:ascii="黑体" w:hAnsi="黑体" w:eastAsia="黑体"/>
          <w:sz w:val="28"/>
          <w:szCs w:val="28"/>
        </w:rPr>
        <w:t>农民工管理合同</w:t>
      </w:r>
    </w:p>
    <w:p w14:paraId="26D57086">
      <w:pPr>
        <w:pStyle w:val="26"/>
        <w:snapToGrid w:val="0"/>
        <w:spacing w:line="360" w:lineRule="exact"/>
        <w:jc w:val="center"/>
        <w:rPr>
          <w:rFonts w:hAnsi="宋体"/>
        </w:rPr>
      </w:pPr>
    </w:p>
    <w:p w14:paraId="72C2E057">
      <w:pPr>
        <w:snapToGrid w:val="0"/>
        <w:spacing w:line="360" w:lineRule="auto"/>
        <w:rPr>
          <w:rFonts w:ascii="宋体" w:hAnsi="宋体"/>
          <w:sz w:val="24"/>
        </w:rPr>
      </w:pPr>
      <w:r>
        <w:rPr>
          <w:rFonts w:ascii="宋体" w:hAnsi="宋体"/>
          <w:szCs w:val="21"/>
        </w:rPr>
        <w:t xml:space="preserve">  </w:t>
      </w:r>
      <w:r>
        <w:rPr>
          <w:rFonts w:ascii="宋体" w:hAnsi="宋体"/>
          <w:sz w:val="24"/>
        </w:rPr>
        <w:t xml:space="preserve"> </w:t>
      </w:r>
      <w:r>
        <w:rPr>
          <w:rFonts w:hint="eastAsia" w:ascii="宋体" w:hAnsi="宋体"/>
          <w:sz w:val="24"/>
        </w:rPr>
        <w:t>为体现“人性化”管理原则，稳定施工队伍，切实加强工程施工过程中的农民工管理，促进项目建设顺利进行，本项目发包人</w:t>
      </w:r>
      <w:r>
        <w:rPr>
          <w:rFonts w:hint="eastAsia" w:ascii="宋体" w:hAnsi="宋体"/>
          <w:sz w:val="24"/>
          <w:u w:val="single"/>
        </w:rPr>
        <w:t>（发包人名称）</w:t>
      </w:r>
      <w:r>
        <w:rPr>
          <w:rFonts w:hint="eastAsia" w:ascii="宋体" w:hAnsi="宋体"/>
          <w:sz w:val="24"/>
        </w:rPr>
        <w:t>（以下简称“甲方”）与承包人</w:t>
      </w:r>
      <w:r>
        <w:rPr>
          <w:rFonts w:hint="eastAsia" w:ascii="宋体" w:hAnsi="宋体"/>
          <w:sz w:val="24"/>
          <w:u w:val="single"/>
        </w:rPr>
        <w:t>（承包人名称）</w:t>
      </w:r>
      <w:r>
        <w:rPr>
          <w:rFonts w:hint="eastAsia" w:ascii="宋体" w:hAnsi="宋体"/>
          <w:sz w:val="24"/>
        </w:rPr>
        <w:t>（以下简称“乙方”）特此签订农民工管理合同。</w:t>
      </w:r>
    </w:p>
    <w:p w14:paraId="2C4E334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1.甲方职责</w:t>
      </w:r>
    </w:p>
    <w:p w14:paraId="0EC95619">
      <w:pPr>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1）严格遵守国家和地方的有关法律法规，认真执行工程承包合同中有关要求，加强对农民工管理的督察工作。</w:t>
      </w:r>
    </w:p>
    <w:p w14:paraId="28D58479">
      <w:pPr>
        <w:snapToGrid w:val="0"/>
        <w:spacing w:line="360" w:lineRule="auto"/>
        <w:ind w:firstLine="480"/>
        <w:rPr>
          <w:rFonts w:ascii="宋体" w:hAnsi="宋体"/>
          <w:sz w:val="24"/>
        </w:rPr>
      </w:pPr>
      <w:r>
        <w:rPr>
          <w:rFonts w:hint="eastAsia" w:ascii="宋体" w:hAnsi="宋体"/>
          <w:sz w:val="24"/>
        </w:rPr>
        <w:t>（</w:t>
      </w:r>
      <w:r>
        <w:rPr>
          <w:rFonts w:ascii="宋体" w:hAnsi="宋体"/>
          <w:sz w:val="24"/>
        </w:rPr>
        <w:t>2）监督乙方与农民工签订劳动合同，并在劳动合同中明确工资支付项目、支付标准、支付形式、支付时间及双方约定的其他工资事项。</w:t>
      </w:r>
    </w:p>
    <w:p w14:paraId="2B5E426F">
      <w:pPr>
        <w:snapToGrid w:val="0"/>
        <w:spacing w:line="360" w:lineRule="auto"/>
        <w:ind w:firstLine="480"/>
        <w:rPr>
          <w:rFonts w:ascii="宋体" w:hAnsi="宋体"/>
          <w:sz w:val="24"/>
        </w:rPr>
      </w:pPr>
      <w:bookmarkStart w:id="843" w:name="_Hlk52797403"/>
      <w:r>
        <w:rPr>
          <w:rFonts w:hint="eastAsia" w:ascii="宋体" w:hAnsi="宋体"/>
          <w:sz w:val="24"/>
        </w:rPr>
        <w:t>（</w:t>
      </w:r>
      <w:r>
        <w:rPr>
          <w:rFonts w:ascii="宋体" w:hAnsi="宋体"/>
          <w:sz w:val="24"/>
        </w:rPr>
        <w:t>3）按照工程承包合同中的有关要求，及时拨付给乙方工程计量支付资金、人工费用</w:t>
      </w:r>
      <w:r>
        <w:rPr>
          <w:rFonts w:hint="eastAsia" w:ascii="宋体" w:hAnsi="宋体"/>
          <w:sz w:val="24"/>
        </w:rPr>
        <w:t>。实行农民工工资支付担保、保证金制度。农民工工资支付担保</w:t>
      </w:r>
      <w:r>
        <w:rPr>
          <w:rFonts w:ascii="宋体" w:hAnsi="宋体"/>
          <w:sz w:val="24"/>
        </w:rPr>
        <w:t>、</w:t>
      </w:r>
      <w:r>
        <w:rPr>
          <w:rFonts w:hint="eastAsia" w:ascii="宋体" w:hAnsi="宋体"/>
          <w:sz w:val="24"/>
        </w:rPr>
        <w:t>保证金扣留及返还具体详见专用合同条款</w:t>
      </w:r>
      <w:bookmarkEnd w:id="843"/>
      <w:r>
        <w:rPr>
          <w:rFonts w:hint="eastAsia" w:ascii="宋体" w:hAnsi="宋体"/>
          <w:sz w:val="24"/>
        </w:rPr>
        <w:t>。</w:t>
      </w:r>
    </w:p>
    <w:p w14:paraId="25FD2B9F">
      <w:pPr>
        <w:snapToGrid w:val="0"/>
        <w:spacing w:line="360" w:lineRule="auto"/>
        <w:ind w:firstLine="480"/>
        <w:rPr>
          <w:rFonts w:ascii="宋体" w:hAnsi="宋体"/>
          <w:sz w:val="24"/>
        </w:rPr>
      </w:pPr>
      <w:r>
        <w:rPr>
          <w:rFonts w:hint="eastAsia" w:ascii="宋体" w:hAnsi="宋体"/>
          <w:sz w:val="24"/>
        </w:rPr>
        <w:t>（</w:t>
      </w:r>
      <w:r>
        <w:rPr>
          <w:rFonts w:ascii="宋体" w:hAnsi="宋体"/>
          <w:sz w:val="24"/>
        </w:rPr>
        <w:t>4）甲方将对乙方农民工工资支付情况实行全面监控和督查督办。在项目建设期间，总监办定期组织对乙方农民工劳动合同、农民工日常管理、农民工工资支付情况进行检查，监督乙方及时发现各项因农民工问题引起的不稳定因素，并合理处理相关事件。</w:t>
      </w:r>
    </w:p>
    <w:p w14:paraId="57CD99AC">
      <w:pPr>
        <w:snapToGrid w:val="0"/>
        <w:spacing w:line="360" w:lineRule="auto"/>
        <w:ind w:firstLine="480"/>
        <w:rPr>
          <w:rFonts w:hint="eastAsia" w:ascii="宋体" w:hAnsi="宋体" w:cs="宋体"/>
          <w:sz w:val="24"/>
        </w:rPr>
      </w:pPr>
      <w:r>
        <w:rPr>
          <w:rFonts w:hint="eastAsia" w:ascii="宋体" w:hAnsi="宋体" w:eastAsia="宋体" w:cs="宋体"/>
          <w:sz w:val="24"/>
        </w:rPr>
        <w:t>2.乙方职责</w:t>
      </w:r>
    </w:p>
    <w:p w14:paraId="1FFF0A47">
      <w:pPr>
        <w:snapToGrid w:val="0"/>
        <w:spacing w:line="360" w:lineRule="auto"/>
        <w:ind w:firstLine="480"/>
        <w:rPr>
          <w:rFonts w:ascii="宋体" w:hAnsi="宋体"/>
          <w:sz w:val="24"/>
        </w:rPr>
      </w:pPr>
      <w:bookmarkStart w:id="844" w:name="_Hlk52797443"/>
      <w:r>
        <w:rPr>
          <w:rFonts w:hint="eastAsia" w:ascii="宋体" w:hAnsi="宋体"/>
          <w:sz w:val="24"/>
        </w:rPr>
        <w:t>（</w:t>
      </w:r>
      <w:r>
        <w:rPr>
          <w:rFonts w:ascii="宋体" w:hAnsi="宋体"/>
          <w:sz w:val="24"/>
        </w:rPr>
        <w:t>1）严格遵守国家和地方的有关法律法规及交通运输部</w:t>
      </w:r>
      <w:r>
        <w:rPr>
          <w:rFonts w:hint="eastAsia" w:ascii="宋体" w:hAnsi="宋体"/>
          <w:sz w:val="24"/>
          <w:lang w:eastAsia="zh-CN"/>
        </w:rPr>
        <w:t>、</w:t>
      </w:r>
      <w:r>
        <w:rPr>
          <w:rFonts w:hint="eastAsia" w:ascii="宋体" w:hAnsi="宋体"/>
          <w:sz w:val="24"/>
          <w:lang w:val="en-US" w:eastAsia="zh-CN"/>
        </w:rPr>
        <w:t>四川省交通运输厅等</w:t>
      </w:r>
      <w:r>
        <w:rPr>
          <w:rFonts w:ascii="宋体" w:hAnsi="宋体"/>
          <w:sz w:val="24"/>
        </w:rPr>
        <w:t>的有关规定，严格贯彻执行《</w:t>
      </w:r>
      <w:r>
        <w:rPr>
          <w:rFonts w:hint="eastAsia" w:ascii="宋体" w:hAnsi="宋体"/>
          <w:sz w:val="24"/>
          <w:lang w:val="en-US" w:eastAsia="zh-CN"/>
        </w:rPr>
        <w:t>中华人民共和国</w:t>
      </w:r>
      <w:r>
        <w:rPr>
          <w:rFonts w:ascii="宋体" w:hAnsi="宋体"/>
          <w:sz w:val="24"/>
        </w:rPr>
        <w:t>劳动法》《工资支付暂行规定》《最低工资规定》、</w:t>
      </w:r>
      <w:r>
        <w:rPr>
          <w:rFonts w:hint="eastAsia" w:ascii="宋体" w:hAnsi="宋体"/>
          <w:sz w:val="24"/>
        </w:rPr>
        <w:t>《保障农民工</w:t>
      </w:r>
      <w:r>
        <w:rPr>
          <w:rFonts w:ascii="宋体" w:hAnsi="宋体"/>
          <w:sz w:val="24"/>
        </w:rPr>
        <w:t>工资</w:t>
      </w:r>
      <w:r>
        <w:rPr>
          <w:rFonts w:hint="eastAsia" w:ascii="宋体" w:hAnsi="宋体"/>
          <w:sz w:val="24"/>
        </w:rPr>
        <w:t>支付条例》</w:t>
      </w:r>
      <w:r>
        <w:rPr>
          <w:rFonts w:ascii="宋体" w:hAnsi="宋体"/>
          <w:sz w:val="24"/>
        </w:rPr>
        <w:t>中华人民共和国国务院令</w:t>
      </w:r>
      <w:r>
        <w:rPr>
          <w:rFonts w:hint="eastAsia" w:ascii="宋体" w:hAnsi="宋体"/>
          <w:sz w:val="24"/>
        </w:rPr>
        <w:t>第</w:t>
      </w:r>
      <w:r>
        <w:rPr>
          <w:rFonts w:ascii="宋体" w:hAnsi="宋体"/>
          <w:sz w:val="24"/>
        </w:rPr>
        <w:t>724</w:t>
      </w:r>
      <w:r>
        <w:rPr>
          <w:rFonts w:hint="eastAsia" w:ascii="宋体" w:hAnsi="宋体"/>
          <w:sz w:val="24"/>
        </w:rPr>
        <w:t>号、</w:t>
      </w:r>
      <w:r>
        <w:rPr>
          <w:rFonts w:hint="eastAsia" w:ascii="宋体" w:hAnsi="宋体" w:cs="宋体"/>
          <w:spacing w:val="-4"/>
          <w:sz w:val="24"/>
        </w:rPr>
        <w:t>《工程建设领域农民工工资保证金规定》（人社部发</w:t>
      </w:r>
      <w:r>
        <w:rPr>
          <w:rFonts w:ascii="宋体" w:hAnsi="宋体" w:cs="宋体"/>
          <w:spacing w:val="-4"/>
          <w:sz w:val="24"/>
        </w:rPr>
        <w:t>〔2021〕65号</w:t>
      </w:r>
      <w:r>
        <w:rPr>
          <w:rFonts w:hint="eastAsia" w:ascii="宋体" w:hAnsi="宋体" w:cs="宋体"/>
          <w:spacing w:val="-4"/>
          <w:sz w:val="24"/>
        </w:rPr>
        <w:t>）</w:t>
      </w:r>
      <w:r>
        <w:rPr>
          <w:rFonts w:hint="eastAsia" w:ascii="宋体" w:hAnsi="宋体"/>
          <w:sz w:val="24"/>
        </w:rPr>
        <w:t>，认真执行工程承包合同中的有关要求</w:t>
      </w:r>
      <w:bookmarkEnd w:id="844"/>
      <w:r>
        <w:rPr>
          <w:rFonts w:hint="eastAsia" w:ascii="宋体" w:hAnsi="宋体"/>
          <w:sz w:val="24"/>
        </w:rPr>
        <w:t>。</w:t>
      </w:r>
    </w:p>
    <w:p w14:paraId="247EA326">
      <w:pPr>
        <w:snapToGrid w:val="0"/>
        <w:spacing w:line="360" w:lineRule="auto"/>
        <w:ind w:firstLine="480"/>
        <w:rPr>
          <w:rFonts w:ascii="宋体" w:hAnsi="宋体"/>
          <w:sz w:val="24"/>
        </w:rPr>
      </w:pPr>
      <w:r>
        <w:rPr>
          <w:rFonts w:hint="eastAsia" w:ascii="宋体" w:hAnsi="宋体"/>
          <w:sz w:val="24"/>
        </w:rPr>
        <w:t>（</w:t>
      </w:r>
      <w:r>
        <w:rPr>
          <w:rFonts w:ascii="宋体" w:hAnsi="宋体"/>
          <w:sz w:val="24"/>
        </w:rPr>
        <w:t>2）所有农民工实行先签合同后进场。承包人自行组织农民工队伍进场务工的，必须按现行国家有关规定签订劳动合同；由劳务合作企业安排适合的农民工进场务工的，由承包人与具备相应资质的劳务合作企业签订劳务合同。相关劳动合同和劳务合同</w:t>
      </w:r>
      <w:r>
        <w:rPr>
          <w:rFonts w:hint="eastAsia" w:ascii="宋体" w:hAnsi="宋体"/>
          <w:sz w:val="24"/>
        </w:rPr>
        <w:t>副本报监理工程师及甲方核备，同时须在地方劳动监察部门报备。</w:t>
      </w:r>
    </w:p>
    <w:p w14:paraId="7B057D36">
      <w:pPr>
        <w:snapToGrid w:val="0"/>
        <w:spacing w:line="360" w:lineRule="auto"/>
        <w:ind w:firstLine="480"/>
        <w:rPr>
          <w:rFonts w:ascii="宋体" w:hAnsi="宋体"/>
          <w:sz w:val="24"/>
        </w:rPr>
      </w:pPr>
      <w:r>
        <w:rPr>
          <w:rFonts w:hint="eastAsia" w:ascii="宋体" w:hAnsi="宋体"/>
          <w:sz w:val="24"/>
        </w:rPr>
        <w:t>（</w:t>
      </w:r>
      <w:r>
        <w:rPr>
          <w:rFonts w:ascii="宋体" w:hAnsi="宋体"/>
          <w:sz w:val="24"/>
        </w:rPr>
        <w:t>3）乙方要建立职工名册、考勤记录和工资发放等管理台账，对专业分包和劳务合作企业用工管理负总责，并将农民工基本信息汇总后报监理人及甲方备案。农民工进场后，乙方和专业分包、劳务合作企业应及时向农民工人员颁发含有姓名、性别、年龄、照片、</w:t>
      </w:r>
      <w:r>
        <w:rPr>
          <w:rFonts w:hint="eastAsia" w:ascii="宋体" w:hAnsi="宋体"/>
          <w:sz w:val="24"/>
        </w:rPr>
        <w:t>家庭住址、身份证号码、工种、进出场时间等信息并加盖乙方项目部和专业分包、劳务合作企业公章的农民工身份证明。</w:t>
      </w:r>
    </w:p>
    <w:p w14:paraId="4A51F1F7">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农民工到项目后，在务工前，乙方必须就项目基本情况、安全管理、农民工管理、质量控制、地方风俗、宗教信仰、相关政策及法律法规等内容，组织每位农民工参加不少于2天的岗前教育和培训，并做好相关文字、声像资料的收集工作。</w:t>
      </w:r>
    </w:p>
    <w:p w14:paraId="02D536BC">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5）乙方劳务分包所聘用的劳务人员和乙方自行聘用的劳务人员工资不得低于国家规定的当地最低工资标准。乙方应负责按照甲方要求为农民工安排食宿，提供各种必</w:t>
      </w:r>
      <w:r>
        <w:rPr>
          <w:rFonts w:hint="eastAsia" w:ascii="宋体" w:hAnsi="宋体"/>
          <w:sz w:val="24"/>
          <w:lang w:val="en-US" w:eastAsia="zh-CN"/>
        </w:rPr>
        <w:t>需</w:t>
      </w:r>
      <w:r>
        <w:rPr>
          <w:rFonts w:ascii="宋体" w:hAnsi="宋体"/>
          <w:sz w:val="24"/>
        </w:rPr>
        <w:t>的生活设施，并应采取合理的卫生防护和安全措施，以保护农民工的健康和安全。对生病的农民工，承包人要妥善给予治疗，并不得安排其带病务工。</w:t>
      </w:r>
    </w:p>
    <w:p w14:paraId="04A8A08B">
      <w:pPr>
        <w:snapToGrid w:val="0"/>
        <w:spacing w:line="360" w:lineRule="auto"/>
        <w:ind w:firstLine="480"/>
        <w:rPr>
          <w:rFonts w:ascii="宋体" w:hAnsi="宋体"/>
          <w:sz w:val="24"/>
        </w:rPr>
      </w:pPr>
      <w:r>
        <w:rPr>
          <w:rFonts w:hint="eastAsia" w:ascii="宋体" w:hAnsi="宋体"/>
          <w:sz w:val="24"/>
        </w:rPr>
        <w:t>（</w:t>
      </w:r>
      <w:r>
        <w:rPr>
          <w:rFonts w:ascii="宋体" w:hAnsi="宋体"/>
          <w:sz w:val="24"/>
        </w:rPr>
        <w:t>6）乙方必须负责农民工的人身安全，并按照国家相关法律法规的规定，提供适宜的劳动保护。在工程实施过程中，乙方必须保证每一位在场的农民工在人身意外伤害</w:t>
      </w:r>
      <w:r>
        <w:rPr>
          <w:rFonts w:hint="eastAsia" w:ascii="宋体" w:hAnsi="宋体"/>
          <w:sz w:val="24"/>
        </w:rPr>
        <w:t>险团体范围内，乙方对施工现场安全负总责，对于乙方或专业分包、劳务合作企业的任何农民工发生的安全事故，均</w:t>
      </w:r>
      <w:r>
        <w:rPr>
          <w:rFonts w:hint="eastAsia"/>
          <w:sz w:val="24"/>
        </w:rPr>
        <w:t>不能免除乙方应负的责任。</w:t>
      </w:r>
    </w:p>
    <w:p w14:paraId="681F33DF">
      <w:pPr>
        <w:snapToGrid w:val="0"/>
        <w:spacing w:line="360" w:lineRule="auto"/>
        <w:ind w:firstLine="480"/>
        <w:rPr>
          <w:rFonts w:ascii="宋体" w:hAnsi="宋体"/>
          <w:sz w:val="24"/>
        </w:rPr>
      </w:pPr>
      <w:bookmarkStart w:id="845" w:name="_Hlk52797527"/>
      <w:r>
        <w:rPr>
          <w:rFonts w:hint="eastAsia" w:ascii="宋体" w:hAnsi="宋体"/>
          <w:sz w:val="24"/>
        </w:rPr>
        <w:t>（</w:t>
      </w:r>
      <w:r>
        <w:rPr>
          <w:rFonts w:ascii="宋体" w:hAnsi="宋体"/>
          <w:sz w:val="24"/>
        </w:rPr>
        <w:t>7）乙方及专业分包、劳务合作企业应当为每一位农民工办理个人工资账户，实行由银行支付工资的管理方式，委托银行将农民工工资按月汇入个人工资账户；临时或短期聘用的农民工工资发放方式由劳务双方约定。</w:t>
      </w:r>
      <w:r>
        <w:rPr>
          <w:rFonts w:hint="eastAsia" w:ascii="Helvetica" w:hAnsi="Helvetica"/>
          <w:spacing w:val="8"/>
          <w:sz w:val="24"/>
        </w:rPr>
        <w:t>开设、使用农民工工资专用账户有关资料应当由承包人妥善保存备查。承包人向农民工支付工资时，应当提供农民工本人的工资清单。</w:t>
      </w:r>
      <w:bookmarkEnd w:id="845"/>
    </w:p>
    <w:p w14:paraId="76692397">
      <w:pPr>
        <w:snapToGrid w:val="0"/>
        <w:spacing w:line="360" w:lineRule="auto"/>
        <w:ind w:firstLine="480"/>
        <w:rPr>
          <w:rFonts w:ascii="宋体" w:hAnsi="宋体"/>
          <w:sz w:val="24"/>
        </w:rPr>
      </w:pPr>
      <w:r>
        <w:rPr>
          <w:rFonts w:hint="eastAsia" w:ascii="宋体" w:hAnsi="宋体"/>
          <w:sz w:val="24"/>
        </w:rPr>
        <w:t>（</w:t>
      </w:r>
      <w:r>
        <w:rPr>
          <w:rFonts w:ascii="宋体" w:hAnsi="宋体"/>
          <w:sz w:val="24"/>
        </w:rPr>
        <w:t>8）乙方在任何时候都应采取各种合理的预防措施，防止其员工发生任何违法、违禁、暴力或妨碍治安的行为。</w:t>
      </w:r>
    </w:p>
    <w:p w14:paraId="6D202A9A">
      <w:pPr>
        <w:snapToGrid w:val="0"/>
        <w:spacing w:line="360" w:lineRule="auto"/>
        <w:ind w:firstLine="480"/>
        <w:rPr>
          <w:rFonts w:ascii="宋体" w:hAnsi="宋体"/>
          <w:sz w:val="24"/>
        </w:rPr>
      </w:pPr>
      <w:bookmarkStart w:id="846" w:name="_Hlk52797556"/>
      <w:r>
        <w:rPr>
          <w:rFonts w:hint="eastAsia" w:ascii="宋体" w:hAnsi="宋体"/>
          <w:sz w:val="24"/>
        </w:rPr>
        <w:t>（</w:t>
      </w:r>
      <w:r>
        <w:rPr>
          <w:rFonts w:ascii="宋体" w:hAnsi="宋体"/>
          <w:sz w:val="24"/>
        </w:rPr>
        <w:t>9）承包人应当在施工现场</w:t>
      </w:r>
      <w:r>
        <w:rPr>
          <w:rFonts w:hint="eastAsia" w:ascii="宋体" w:hAnsi="宋体"/>
          <w:sz w:val="24"/>
        </w:rPr>
        <w:t>实行</w:t>
      </w:r>
      <w:r>
        <w:rPr>
          <w:rFonts w:ascii="宋体" w:hAnsi="宋体"/>
          <w:sz w:val="24"/>
        </w:rPr>
        <w:t>维权信息</w:t>
      </w:r>
      <w:r>
        <w:rPr>
          <w:rFonts w:hint="eastAsia" w:ascii="宋体" w:hAnsi="宋体"/>
          <w:sz w:val="24"/>
        </w:rPr>
        <w:t>公示制度。</w:t>
      </w:r>
      <w:bookmarkEnd w:id="846"/>
    </w:p>
    <w:p w14:paraId="51C6506E">
      <w:pPr>
        <w:snapToGrid w:val="0"/>
        <w:spacing w:line="360" w:lineRule="auto"/>
        <w:ind w:firstLine="480"/>
        <w:rPr>
          <w:rFonts w:ascii="宋体" w:hAnsi="宋体"/>
          <w:sz w:val="24"/>
        </w:rPr>
      </w:pPr>
      <w:r>
        <w:rPr>
          <w:rFonts w:hint="eastAsia" w:ascii="宋体" w:hAnsi="宋体"/>
          <w:sz w:val="24"/>
        </w:rPr>
        <w:t>（</w:t>
      </w:r>
      <w:r>
        <w:rPr>
          <w:rFonts w:ascii="宋体" w:hAnsi="宋体"/>
          <w:sz w:val="24"/>
        </w:rPr>
        <w:t>10）按照“谁承包，谁负责”的原则，乙方应对专业分包和劳务合作企业农民工情况负管理责任和连带清偿责任。</w:t>
      </w:r>
    </w:p>
    <w:p w14:paraId="3B50CF44">
      <w:p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3.违约责任</w:t>
      </w:r>
    </w:p>
    <w:p w14:paraId="426CC623">
      <w:pPr>
        <w:adjustRightInd w:val="0"/>
        <w:snapToGrid w:val="0"/>
        <w:spacing w:line="360" w:lineRule="auto"/>
        <w:ind w:firstLine="480"/>
        <w:rPr>
          <w:rFonts w:ascii="宋体" w:hAnsi="宋体"/>
          <w:sz w:val="24"/>
        </w:rPr>
      </w:pPr>
      <w:r>
        <w:rPr>
          <w:rFonts w:hint="eastAsia" w:ascii="宋体" w:hAnsi="宋体"/>
          <w:sz w:val="24"/>
        </w:rPr>
        <w:t>（</w:t>
      </w:r>
      <w:r>
        <w:rPr>
          <w:rFonts w:ascii="宋体" w:hAnsi="宋体"/>
          <w:sz w:val="24"/>
        </w:rPr>
        <w:t>1）</w:t>
      </w:r>
      <w:r>
        <w:rPr>
          <w:rFonts w:hint="eastAsia" w:ascii="宋体" w:hAnsi="宋体"/>
          <w:sz w:val="24"/>
          <w:lang w:val="en-US" w:eastAsia="zh-CN"/>
        </w:rPr>
        <w:t>甲方</w:t>
      </w:r>
      <w:r>
        <w:rPr>
          <w:rFonts w:ascii="宋体" w:hAnsi="宋体"/>
          <w:sz w:val="24"/>
        </w:rPr>
        <w:t>违约</w:t>
      </w:r>
    </w:p>
    <w:p w14:paraId="3D1A57B8">
      <w:pPr>
        <w:adjustRightInd w:val="0"/>
        <w:snapToGrid w:val="0"/>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lang w:val="en-US" w:eastAsia="zh-CN"/>
        </w:rPr>
        <w:t>甲方未执行</w:t>
      </w:r>
      <w:r>
        <w:rPr>
          <w:rFonts w:hint="eastAsia" w:ascii="宋体" w:hAnsi="宋体"/>
          <w:sz w:val="24"/>
        </w:rPr>
        <w:t>《保障农民工</w:t>
      </w:r>
      <w:r>
        <w:rPr>
          <w:rFonts w:ascii="宋体" w:hAnsi="宋体"/>
          <w:sz w:val="24"/>
        </w:rPr>
        <w:t>工资</w:t>
      </w:r>
      <w:r>
        <w:rPr>
          <w:rFonts w:hint="eastAsia" w:ascii="宋体" w:hAnsi="宋体"/>
          <w:sz w:val="24"/>
        </w:rPr>
        <w:t>支付条例》</w:t>
      </w:r>
      <w:r>
        <w:rPr>
          <w:rFonts w:hint="eastAsia" w:ascii="宋体" w:hAnsi="宋体"/>
          <w:sz w:val="24"/>
          <w:lang w:eastAsia="zh-CN"/>
        </w:rPr>
        <w:t>（</w:t>
      </w:r>
      <w:r>
        <w:rPr>
          <w:rFonts w:hint="eastAsia" w:ascii="宋体" w:hAnsi="宋体"/>
          <w:sz w:val="24"/>
        </w:rPr>
        <w:t>国务院</w:t>
      </w:r>
      <w:r>
        <w:rPr>
          <w:rFonts w:ascii="宋体" w:hAnsi="宋体"/>
          <w:sz w:val="24"/>
        </w:rPr>
        <w:t>令</w:t>
      </w:r>
      <w:r>
        <w:rPr>
          <w:rFonts w:hint="eastAsia" w:ascii="宋体" w:hAnsi="宋体"/>
          <w:sz w:val="24"/>
        </w:rPr>
        <w:t>第</w:t>
      </w:r>
      <w:r>
        <w:rPr>
          <w:rFonts w:ascii="宋体" w:hAnsi="宋体"/>
          <w:sz w:val="24"/>
        </w:rPr>
        <w:t>724</w:t>
      </w:r>
      <w:r>
        <w:rPr>
          <w:rFonts w:hint="eastAsia" w:ascii="宋体" w:hAnsi="宋体"/>
          <w:sz w:val="24"/>
        </w:rPr>
        <w:t>号</w:t>
      </w:r>
      <w:r>
        <w:rPr>
          <w:rFonts w:hint="eastAsia" w:ascii="宋体" w:hAnsi="宋体"/>
          <w:sz w:val="24"/>
          <w:lang w:eastAsia="zh-CN"/>
        </w:rPr>
        <w:t>）</w:t>
      </w:r>
      <w:r>
        <w:rPr>
          <w:rFonts w:hint="eastAsia" w:ascii="宋体" w:hAnsi="宋体"/>
          <w:sz w:val="24"/>
        </w:rPr>
        <w:t>、</w:t>
      </w:r>
      <w:r>
        <w:rPr>
          <w:rFonts w:hint="eastAsia" w:ascii="宋体" w:hAnsi="宋体" w:cs="宋体"/>
          <w:spacing w:val="-4"/>
          <w:sz w:val="24"/>
        </w:rPr>
        <w:t>《工程建设领域农民工工资保证金规定》（人社部发</w:t>
      </w:r>
      <w:r>
        <w:rPr>
          <w:rFonts w:ascii="宋体" w:hAnsi="宋体" w:cs="宋体"/>
          <w:spacing w:val="-4"/>
          <w:sz w:val="24"/>
        </w:rPr>
        <w:t>〔2021〕65号</w:t>
      </w:r>
      <w:r>
        <w:rPr>
          <w:rFonts w:hint="eastAsia" w:ascii="宋体" w:hAnsi="宋体" w:cs="宋体"/>
          <w:spacing w:val="-4"/>
          <w:sz w:val="24"/>
        </w:rPr>
        <w:t>）</w:t>
      </w:r>
      <w:r>
        <w:rPr>
          <w:rFonts w:hint="eastAsia" w:ascii="宋体" w:hAnsi="宋体" w:cs="宋体"/>
          <w:spacing w:val="-4"/>
          <w:sz w:val="24"/>
          <w:lang w:val="en-US" w:eastAsia="zh-CN"/>
        </w:rPr>
        <w:t>等</w:t>
      </w:r>
      <w:r>
        <w:rPr>
          <w:rFonts w:hint="eastAsia" w:ascii="宋体" w:hAnsi="宋体"/>
          <w:sz w:val="24"/>
        </w:rPr>
        <w:t>规定，</w:t>
      </w:r>
      <w:r>
        <w:rPr>
          <w:rFonts w:ascii="宋体" w:hAnsi="宋体"/>
          <w:sz w:val="24"/>
        </w:rPr>
        <w:t>视为违约</w:t>
      </w:r>
      <w:r>
        <w:rPr>
          <w:rFonts w:hint="eastAsia" w:ascii="宋体" w:hAnsi="宋体"/>
          <w:sz w:val="24"/>
          <w:lang w:eastAsia="zh-CN"/>
        </w:rPr>
        <w:t>，</w:t>
      </w:r>
      <w:r>
        <w:rPr>
          <w:rFonts w:ascii="宋体" w:hAnsi="宋体"/>
          <w:sz w:val="24"/>
        </w:rPr>
        <w:t>并按照</w:t>
      </w:r>
      <w:r>
        <w:rPr>
          <w:rFonts w:hint="eastAsia" w:ascii="宋体" w:hAnsi="宋体"/>
          <w:sz w:val="24"/>
          <w:lang w:val="en-US" w:eastAsia="zh-CN"/>
        </w:rPr>
        <w:t>上述文件</w:t>
      </w:r>
      <w:r>
        <w:rPr>
          <w:rFonts w:ascii="宋体" w:hAnsi="宋体"/>
          <w:sz w:val="24"/>
        </w:rPr>
        <w:t>规定追究违约责任</w:t>
      </w:r>
      <w:r>
        <w:rPr>
          <w:rFonts w:hint="eastAsia" w:ascii="宋体" w:hAnsi="宋体"/>
          <w:sz w:val="24"/>
        </w:rPr>
        <w:t>。</w:t>
      </w:r>
    </w:p>
    <w:p w14:paraId="13F0090C">
      <w:pPr>
        <w:pStyle w:val="48"/>
        <w:adjustRightInd w:val="0"/>
        <w:snapToGrid w:val="0"/>
        <w:spacing w:after="0" w:line="360" w:lineRule="auto"/>
        <w:ind w:left="0" w:leftChars="0" w:firstLine="480"/>
        <w:rPr>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ascii="宋体" w:hAnsi="宋体"/>
          <w:sz w:val="24"/>
        </w:rPr>
        <w:t>发包人按照</w:t>
      </w:r>
      <w:r>
        <w:rPr>
          <w:rFonts w:hint="eastAsia" w:ascii="宋体" w:hAnsi="宋体"/>
          <w:sz w:val="24"/>
          <w:lang w:val="en-US" w:eastAsia="zh-CN"/>
        </w:rPr>
        <w:t>现行相关文件规定</w:t>
      </w:r>
      <w:r>
        <w:rPr>
          <w:rFonts w:hint="eastAsia" w:ascii="宋体" w:hAnsi="宋体"/>
          <w:sz w:val="24"/>
        </w:rPr>
        <w:t>，</w:t>
      </w:r>
      <w:r>
        <w:rPr>
          <w:rFonts w:ascii="宋体" w:hAnsi="宋体"/>
          <w:sz w:val="24"/>
        </w:rPr>
        <w:t>将应付工程款中的人工费单独拨付到承包人开设的农民工工资专用账户</w:t>
      </w:r>
      <w:r>
        <w:rPr>
          <w:rFonts w:hint="eastAsia" w:ascii="宋体" w:hAnsi="宋体"/>
          <w:sz w:val="24"/>
          <w:lang w:eastAsia="zh-CN"/>
        </w:rPr>
        <w:t>，</w:t>
      </w:r>
      <w:r>
        <w:rPr>
          <w:rFonts w:hint="eastAsia" w:ascii="宋体" w:hAnsi="宋体"/>
          <w:sz w:val="24"/>
        </w:rPr>
        <w:t>否则</w:t>
      </w:r>
      <w:r>
        <w:rPr>
          <w:rFonts w:ascii="宋体" w:hAnsi="宋体"/>
          <w:sz w:val="24"/>
        </w:rPr>
        <w:t>将按</w:t>
      </w:r>
      <w:r>
        <w:rPr>
          <w:rFonts w:hint="eastAsia" w:ascii="宋体" w:hAnsi="宋体"/>
          <w:sz w:val="24"/>
        </w:rPr>
        <w:t>文件中的</w:t>
      </w:r>
      <w:r>
        <w:rPr>
          <w:rFonts w:ascii="宋体" w:hAnsi="宋体"/>
          <w:sz w:val="24"/>
        </w:rPr>
        <w:t>规定</w:t>
      </w:r>
      <w:r>
        <w:rPr>
          <w:rFonts w:hint="eastAsia" w:ascii="宋体" w:hAnsi="宋体"/>
          <w:sz w:val="24"/>
        </w:rPr>
        <w:t>进行</w:t>
      </w:r>
      <w:r>
        <w:rPr>
          <w:rFonts w:ascii="宋体" w:hAnsi="宋体"/>
          <w:sz w:val="24"/>
        </w:rPr>
        <w:t>违约处理。</w:t>
      </w:r>
    </w:p>
    <w:p w14:paraId="50C2093B">
      <w:pPr>
        <w:numPr>
          <w:ilvl w:val="0"/>
          <w:numId w:val="10"/>
        </w:numPr>
        <w:adjustRightInd w:val="0"/>
        <w:snapToGrid w:val="0"/>
        <w:spacing w:line="360" w:lineRule="auto"/>
        <w:ind w:firstLine="480"/>
        <w:rPr>
          <w:rFonts w:ascii="宋体" w:hAnsi="宋体"/>
          <w:sz w:val="24"/>
        </w:rPr>
      </w:pPr>
      <w:r>
        <w:rPr>
          <w:rFonts w:ascii="宋体" w:hAnsi="宋体"/>
          <w:sz w:val="24"/>
        </w:rPr>
        <w:t>乙方违约</w:t>
      </w:r>
    </w:p>
    <w:p w14:paraId="162D77AD">
      <w:pPr>
        <w:numPr>
          <w:ilvl w:val="-1"/>
          <w:numId w:val="0"/>
        </w:numPr>
        <w:adjustRightInd w:val="0"/>
        <w:snapToGrid w:val="0"/>
        <w:spacing w:line="360" w:lineRule="auto"/>
        <w:ind w:firstLine="480" w:firstLineChars="200"/>
        <w:rPr>
          <w:rFonts w:ascii="宋体" w:hAnsi="宋体"/>
          <w:sz w:val="24"/>
        </w:rPr>
      </w:pPr>
      <w:r>
        <w:rPr>
          <w:rFonts w:hint="eastAsia" w:ascii="宋体" w:hAnsi="宋体"/>
          <w:sz w:val="24"/>
        </w:rPr>
        <w:t>如因乙方不及时支付农民工工资，造成扰民、上访等影响社会稳定事件及合同纠纷，甲方有权责令乙方限期进行整改，并视其情节对乙方批评、违约处罚、停止对乙方进度付款或终止合同：</w:t>
      </w:r>
    </w:p>
    <w:p w14:paraId="27F99799">
      <w:pPr>
        <w:adjustRightInd w:val="0"/>
        <w:snapToGrid w:val="0"/>
        <w:spacing w:line="360" w:lineRule="auto"/>
        <w:ind w:firstLine="484" w:firstLineChars="202"/>
        <w:rPr>
          <w:rFonts w:hint="eastAsia" w:ascii="宋体" w:hAnsi="宋体" w:eastAsia="宋体"/>
          <w:sz w:val="24"/>
          <w:lang w:eastAsia="zh-CN"/>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ascii="宋体" w:hAnsi="宋体"/>
          <w:sz w:val="24"/>
        </w:rPr>
        <w:t>情节轻微者，甲方可对乙方予以通报批评，并向乙方课以1</w:t>
      </w:r>
      <w:r>
        <w:rPr>
          <w:rFonts w:hint="eastAsia" w:ascii="宋体" w:hAnsi="宋体"/>
          <w:sz w:val="24"/>
          <w:lang w:val="en-US" w:eastAsia="zh-CN"/>
        </w:rPr>
        <w:t>万</w:t>
      </w:r>
      <w:r>
        <w:rPr>
          <w:rFonts w:hint="eastAsia" w:ascii="宋体" w:hAnsi="宋体" w:eastAsia="宋体" w:cs="宋体"/>
          <w:sz w:val="24"/>
        </w:rPr>
        <w:t>～</w:t>
      </w:r>
      <w:r>
        <w:rPr>
          <w:rFonts w:ascii="宋体" w:hAnsi="宋体"/>
          <w:sz w:val="24"/>
        </w:rPr>
        <w:t>10万元违约金</w:t>
      </w:r>
      <w:r>
        <w:rPr>
          <w:rFonts w:hint="eastAsia" w:ascii="宋体" w:hAnsi="宋体"/>
          <w:sz w:val="24"/>
          <w:lang w:eastAsia="zh-CN"/>
        </w:rPr>
        <w:t>。</w:t>
      </w:r>
    </w:p>
    <w:p w14:paraId="5392B240">
      <w:pPr>
        <w:adjustRightInd w:val="0"/>
        <w:snapToGrid w:val="0"/>
        <w:spacing w:line="360" w:lineRule="auto"/>
        <w:ind w:firstLine="484" w:firstLineChars="202"/>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ascii="宋体" w:hAnsi="宋体"/>
          <w:sz w:val="24"/>
        </w:rPr>
        <w:t>乙方拖欠专业分包和劳务合作企业劳务工资的，甲方可以</w:t>
      </w:r>
      <w:r>
        <w:rPr>
          <w:rFonts w:hint="eastAsia" w:ascii="宋体" w:hAnsi="宋体"/>
          <w:sz w:val="24"/>
        </w:rPr>
        <w:t>报人社部门</w:t>
      </w:r>
      <w:r>
        <w:rPr>
          <w:rFonts w:ascii="宋体" w:hAnsi="宋体"/>
          <w:sz w:val="24"/>
        </w:rPr>
        <w:t>先行动用农民工工资</w:t>
      </w:r>
      <w:r>
        <w:rPr>
          <w:rFonts w:hint="eastAsia" w:ascii="宋体" w:hAnsi="宋体"/>
          <w:sz w:val="24"/>
        </w:rPr>
        <w:t>保证金</w:t>
      </w:r>
      <w:r>
        <w:rPr>
          <w:rFonts w:ascii="宋体" w:hAnsi="宋体"/>
          <w:sz w:val="24"/>
        </w:rPr>
        <w:t>及应付或到期应付给乙方的任何款项代为支付。甲方保留停止对乙方进度付款的权利，直至乙方妥善处理好上述事件或纠纷为止。</w:t>
      </w:r>
    </w:p>
    <w:p w14:paraId="7D968F1F">
      <w:pPr>
        <w:adjustRightInd w:val="0"/>
        <w:snapToGrid w:val="0"/>
        <w:spacing w:line="360" w:lineRule="auto"/>
        <w:ind w:firstLine="484" w:firstLineChars="202"/>
        <w:rPr>
          <w:rFonts w:ascii="宋体" w:hAnsi="宋体"/>
          <w:sz w:val="24"/>
        </w:rPr>
      </w:pPr>
      <w:r>
        <w:rPr>
          <w:rFonts w:ascii="宋体" w:hAnsi="宋体"/>
          <w:sz w:val="24"/>
        </w:rPr>
        <w:fldChar w:fldCharType="begin"/>
      </w:r>
      <w:r>
        <w:rPr>
          <w:rFonts w:ascii="宋体" w:hAnsi="宋体"/>
          <w:sz w:val="24"/>
        </w:rPr>
        <w:instrText xml:space="preserve"> = 3 \* GB3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ascii="宋体" w:hAnsi="宋体"/>
          <w:sz w:val="24"/>
        </w:rPr>
        <w:t>乙方与</w:t>
      </w:r>
      <w:r>
        <w:rPr>
          <w:rFonts w:hint="default" w:ascii="宋体" w:hAnsi="宋体"/>
          <w:sz w:val="24"/>
          <w:lang w:val="en-US"/>
        </w:rPr>
        <w:t>专业</w:t>
      </w:r>
      <w:r>
        <w:rPr>
          <w:rFonts w:ascii="宋体" w:hAnsi="宋体"/>
          <w:sz w:val="24"/>
        </w:rPr>
        <w:t>分包、劳务合作企业的农民工纠纷，按照劳务双方合同约定处理。如双方未按合同约定达成一致意见，按照当地劳动监察部门的处理意见或劳动仲裁部门仲裁结果或司法机关判决结果执行。</w:t>
      </w:r>
    </w:p>
    <w:p w14:paraId="3F451A74">
      <w:pPr>
        <w:adjustRightInd w:val="0"/>
        <w:snapToGrid w:val="0"/>
        <w:spacing w:line="360" w:lineRule="auto"/>
        <w:ind w:firstLine="484" w:firstLineChars="202"/>
        <w:rPr>
          <w:rFonts w:ascii="宋体" w:hAnsi="宋体"/>
          <w:sz w:val="24"/>
        </w:rPr>
      </w:pPr>
      <w:r>
        <w:rPr>
          <w:rFonts w:ascii="宋体" w:hAnsi="宋体"/>
          <w:sz w:val="24"/>
        </w:rPr>
        <w:fldChar w:fldCharType="begin"/>
      </w:r>
      <w:r>
        <w:rPr>
          <w:rFonts w:ascii="宋体" w:hAnsi="宋体"/>
          <w:sz w:val="24"/>
        </w:rPr>
        <w:instrText xml:space="preserve"> = 4 \* GB3 </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对于乙方恶意拖欠农民工工资</w:t>
      </w:r>
      <w:r>
        <w:rPr>
          <w:rFonts w:hint="eastAsia" w:ascii="宋体" w:hAnsi="宋体"/>
          <w:sz w:val="24"/>
          <w:lang w:eastAsia="zh-CN"/>
        </w:rPr>
        <w:t>，</w:t>
      </w:r>
      <w:r>
        <w:rPr>
          <w:rFonts w:hint="eastAsia" w:ascii="宋体" w:hAnsi="宋体"/>
          <w:sz w:val="24"/>
        </w:rPr>
        <w:t>或未与农民工签订劳务合同</w:t>
      </w:r>
      <w:r>
        <w:rPr>
          <w:rFonts w:hint="eastAsia" w:ascii="宋体" w:hAnsi="宋体"/>
          <w:sz w:val="24"/>
          <w:lang w:eastAsia="zh-CN"/>
        </w:rPr>
        <w:t>，</w:t>
      </w:r>
      <w:r>
        <w:rPr>
          <w:rFonts w:hint="eastAsia" w:ascii="宋体" w:hAnsi="宋体"/>
          <w:sz w:val="24"/>
        </w:rPr>
        <w:t>或未给农民工购买保险等违约行为，</w:t>
      </w:r>
      <w:r>
        <w:rPr>
          <w:rFonts w:hint="eastAsia" w:ascii="宋体" w:hAnsi="宋体" w:cs="Courier New"/>
          <w:sz w:val="24"/>
        </w:rPr>
        <w:t>甲方将上报交通运输主管部门按照四川省交通运输厅</w:t>
      </w:r>
      <w:r>
        <w:rPr>
          <w:rFonts w:hint="eastAsia" w:ascii="宋体" w:hAnsi="宋体"/>
          <w:sz w:val="24"/>
        </w:rPr>
        <w:t>信用管理办法</w:t>
      </w:r>
      <w:r>
        <w:rPr>
          <w:rFonts w:hint="eastAsia" w:ascii="宋体" w:hAnsi="宋体" w:cs="Courier New"/>
          <w:sz w:val="24"/>
        </w:rPr>
        <w:t>进行信用评价。</w:t>
      </w:r>
      <w:r>
        <w:rPr>
          <w:rFonts w:hint="eastAsia" w:ascii="宋体" w:hAnsi="宋体"/>
          <w:sz w:val="24"/>
        </w:rPr>
        <w:t>情节严重者，甲方有权终止合同。</w:t>
      </w:r>
    </w:p>
    <w:p w14:paraId="41907E9E">
      <w:pPr>
        <w:pStyle w:val="48"/>
        <w:adjustRightInd w:val="0"/>
        <w:snapToGrid w:val="0"/>
        <w:spacing w:after="0" w:line="360" w:lineRule="auto"/>
        <w:ind w:left="0" w:leftChars="0" w:firstLine="360" w:firstLineChars="150"/>
        <w:rPr>
          <w:sz w:val="24"/>
        </w:rPr>
      </w:pPr>
      <w:r>
        <w:rPr>
          <w:rFonts w:ascii="宋体" w:hAnsi="宋体"/>
          <w:sz w:val="24"/>
        </w:rPr>
        <w:t xml:space="preserve"> </w:t>
      </w:r>
      <w:r>
        <w:rPr>
          <w:rFonts w:ascii="宋体" w:hAnsi="宋体"/>
          <w:sz w:val="24"/>
        </w:rPr>
        <w:fldChar w:fldCharType="begin"/>
      </w:r>
      <w:r>
        <w:rPr>
          <w:rFonts w:ascii="宋体" w:hAnsi="宋体"/>
          <w:sz w:val="24"/>
        </w:rPr>
        <w:instrText xml:space="preserve"> = 5 \* GB3 </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乙方</w:t>
      </w:r>
      <w:r>
        <w:rPr>
          <w:rFonts w:ascii="宋体" w:hAnsi="宋体"/>
          <w:sz w:val="24"/>
        </w:rPr>
        <w:t>违反</w:t>
      </w:r>
      <w:r>
        <w:rPr>
          <w:rFonts w:hint="eastAsia" w:ascii="宋体" w:hAnsi="宋体"/>
          <w:sz w:val="24"/>
        </w:rPr>
        <w:t>《保障农民工</w:t>
      </w:r>
      <w:r>
        <w:rPr>
          <w:rFonts w:ascii="宋体" w:hAnsi="宋体"/>
          <w:sz w:val="24"/>
        </w:rPr>
        <w:t>工资</w:t>
      </w:r>
      <w:r>
        <w:rPr>
          <w:rFonts w:hint="eastAsia" w:ascii="宋体" w:hAnsi="宋体"/>
          <w:sz w:val="24"/>
        </w:rPr>
        <w:t>支付条例》</w:t>
      </w:r>
      <w:r>
        <w:rPr>
          <w:rFonts w:hint="eastAsia" w:ascii="宋体" w:hAnsi="宋体"/>
          <w:sz w:val="24"/>
          <w:lang w:eastAsia="zh-CN"/>
        </w:rPr>
        <w:t>（</w:t>
      </w:r>
      <w:r>
        <w:rPr>
          <w:rFonts w:hint="eastAsia" w:ascii="宋体" w:hAnsi="宋体"/>
          <w:sz w:val="24"/>
        </w:rPr>
        <w:t>国务院</w:t>
      </w:r>
      <w:r>
        <w:rPr>
          <w:rFonts w:ascii="宋体" w:hAnsi="宋体"/>
          <w:sz w:val="24"/>
        </w:rPr>
        <w:t>令</w:t>
      </w:r>
      <w:r>
        <w:rPr>
          <w:rFonts w:hint="eastAsia" w:ascii="宋体" w:hAnsi="宋体"/>
          <w:sz w:val="24"/>
        </w:rPr>
        <w:t>第</w:t>
      </w:r>
      <w:r>
        <w:rPr>
          <w:rFonts w:ascii="宋体" w:hAnsi="宋体"/>
          <w:sz w:val="24"/>
        </w:rPr>
        <w:t>724</w:t>
      </w:r>
      <w:r>
        <w:rPr>
          <w:rFonts w:hint="eastAsia" w:ascii="宋体" w:hAnsi="宋体"/>
          <w:sz w:val="24"/>
        </w:rPr>
        <w:t>号</w:t>
      </w:r>
      <w:r>
        <w:rPr>
          <w:rFonts w:hint="eastAsia" w:ascii="宋体" w:hAnsi="宋体"/>
          <w:sz w:val="24"/>
          <w:lang w:eastAsia="zh-CN"/>
        </w:rPr>
        <w:t>）</w:t>
      </w:r>
      <w:r>
        <w:rPr>
          <w:rFonts w:hint="eastAsia" w:ascii="宋体" w:hAnsi="宋体"/>
          <w:sz w:val="24"/>
        </w:rPr>
        <w:t>、</w:t>
      </w:r>
      <w:r>
        <w:rPr>
          <w:rFonts w:hint="eastAsia" w:ascii="宋体" w:hAnsi="宋体" w:cs="宋体"/>
          <w:spacing w:val="-4"/>
          <w:sz w:val="24"/>
        </w:rPr>
        <w:t>《工程建设领域农民工工资保证金规定》（人社部发</w:t>
      </w:r>
      <w:r>
        <w:rPr>
          <w:rFonts w:ascii="宋体" w:hAnsi="宋体" w:cs="宋体"/>
          <w:spacing w:val="-4"/>
          <w:sz w:val="24"/>
        </w:rPr>
        <w:t>〔2021〕65号</w:t>
      </w:r>
      <w:r>
        <w:rPr>
          <w:rFonts w:hint="eastAsia" w:ascii="宋体" w:hAnsi="宋体" w:cs="宋体"/>
          <w:spacing w:val="-4"/>
          <w:sz w:val="24"/>
        </w:rPr>
        <w:t>）</w:t>
      </w:r>
      <w:r>
        <w:rPr>
          <w:rFonts w:hint="eastAsia" w:ascii="宋体" w:hAnsi="宋体" w:cs="宋体"/>
          <w:spacing w:val="-4"/>
          <w:sz w:val="24"/>
          <w:lang w:val="en-US" w:eastAsia="zh-CN"/>
        </w:rPr>
        <w:t>等</w:t>
      </w:r>
      <w:r>
        <w:rPr>
          <w:rFonts w:hint="eastAsia" w:ascii="宋体" w:hAnsi="宋体"/>
          <w:sz w:val="24"/>
        </w:rPr>
        <w:t>规定的，</w:t>
      </w:r>
      <w:r>
        <w:rPr>
          <w:rFonts w:ascii="宋体" w:hAnsi="宋体"/>
          <w:sz w:val="24"/>
        </w:rPr>
        <w:t>视为违约</w:t>
      </w:r>
      <w:r>
        <w:rPr>
          <w:rFonts w:hint="eastAsia" w:ascii="宋体" w:hAnsi="宋体"/>
          <w:sz w:val="24"/>
          <w:lang w:eastAsia="zh-CN"/>
        </w:rPr>
        <w:t>，</w:t>
      </w:r>
      <w:r>
        <w:rPr>
          <w:rFonts w:ascii="宋体" w:hAnsi="宋体"/>
          <w:sz w:val="24"/>
        </w:rPr>
        <w:t>并按照</w:t>
      </w:r>
      <w:r>
        <w:rPr>
          <w:rFonts w:hint="eastAsia" w:ascii="宋体" w:hAnsi="宋体"/>
          <w:sz w:val="24"/>
        </w:rPr>
        <w:t>上述文件</w:t>
      </w:r>
      <w:r>
        <w:rPr>
          <w:rFonts w:ascii="宋体" w:hAnsi="宋体"/>
          <w:sz w:val="24"/>
        </w:rPr>
        <w:t>规定追究违约责任</w:t>
      </w:r>
      <w:r>
        <w:rPr>
          <w:rFonts w:hint="eastAsia" w:ascii="宋体" w:hAnsi="宋体"/>
          <w:sz w:val="24"/>
        </w:rPr>
        <w:t>。</w:t>
      </w:r>
    </w:p>
    <w:p w14:paraId="514D8B62">
      <w:pPr>
        <w:snapToGrid w:val="0"/>
        <w:spacing w:line="360" w:lineRule="auto"/>
        <w:rPr>
          <w:rFonts w:ascii="宋体" w:hAnsi="宋体"/>
          <w:sz w:val="24"/>
        </w:rPr>
      </w:pPr>
    </w:p>
    <w:p w14:paraId="7E70C195">
      <w:pPr>
        <w:pStyle w:val="20"/>
        <w:tabs>
          <w:tab w:val="left" w:pos="2903"/>
          <w:tab w:val="left" w:pos="3721"/>
          <w:tab w:val="left" w:pos="4601"/>
          <w:tab w:val="left" w:pos="7264"/>
          <w:tab w:val="left" w:pos="8177"/>
        </w:tabs>
        <w:spacing w:line="360" w:lineRule="auto"/>
        <w:ind w:left="144" w:right="124"/>
        <w:rPr>
          <w:rFonts w:cs="宋体"/>
        </w:rPr>
      </w:pPr>
    </w:p>
    <w:p w14:paraId="45822583">
      <w:pPr>
        <w:pStyle w:val="20"/>
        <w:tabs>
          <w:tab w:val="left" w:pos="2903"/>
          <w:tab w:val="left" w:pos="3721"/>
          <w:tab w:val="left" w:pos="4601"/>
          <w:tab w:val="left" w:pos="7264"/>
          <w:tab w:val="left" w:pos="8177"/>
        </w:tabs>
        <w:spacing w:line="360" w:lineRule="auto"/>
        <w:ind w:left="144" w:right="124"/>
        <w:rPr>
          <w:rFonts w:cs="宋体"/>
        </w:rPr>
      </w:pPr>
    </w:p>
    <w:p w14:paraId="4D325022">
      <w:pPr>
        <w:pStyle w:val="20"/>
        <w:tabs>
          <w:tab w:val="left" w:pos="2903"/>
          <w:tab w:val="left" w:pos="3721"/>
          <w:tab w:val="left" w:pos="4845"/>
          <w:tab w:val="left" w:pos="7620"/>
          <w:tab w:val="left" w:pos="8177"/>
        </w:tabs>
        <w:spacing w:line="360" w:lineRule="auto"/>
        <w:ind w:left="144" w:right="124"/>
      </w:pPr>
      <w:r>
        <w:rPr>
          <w:rFonts w:hint="eastAsia" w:cs="宋体"/>
        </w:rPr>
        <w:t>发包人：</w:t>
      </w:r>
      <w:r>
        <w:rPr>
          <w:u w:val="single"/>
        </w:rPr>
        <w:t xml:space="preserve"> </w:t>
      </w:r>
      <w:r>
        <w:rPr>
          <w:u w:val="single"/>
        </w:rPr>
        <w:tab/>
      </w:r>
      <w:r>
        <w:rPr>
          <w:rFonts w:hint="eastAsia"/>
          <w:u w:val="single"/>
          <w:lang w:val="en-US" w:eastAsia="zh-CN"/>
        </w:rPr>
        <w:t xml:space="preserve">   </w:t>
      </w:r>
      <w:r>
        <w:t>（</w:t>
      </w:r>
      <w:r>
        <w:rPr>
          <w:rFonts w:hint="eastAsia" w:cs="宋体"/>
        </w:rPr>
        <w:t>盖单位章</w:t>
      </w:r>
      <w:r>
        <w:t>）</w:t>
      </w:r>
      <w:r>
        <w:tab/>
      </w:r>
      <w:r>
        <w:rPr>
          <w:rFonts w:hint="eastAsia" w:cs="宋体"/>
        </w:rPr>
        <w:t>承包人：</w:t>
      </w:r>
      <w:r>
        <w:rPr>
          <w:u w:val="single"/>
        </w:rPr>
        <w:t xml:space="preserve"> </w:t>
      </w:r>
      <w:r>
        <w:rPr>
          <w:u w:val="single"/>
        </w:rPr>
        <w:tab/>
      </w:r>
      <w:r>
        <w:rPr>
          <w:rFonts w:hint="eastAsia"/>
          <w:u w:val="single"/>
          <w:lang w:val="en-US" w:eastAsia="zh-CN"/>
        </w:rPr>
        <w:t xml:space="preserve"> </w:t>
      </w:r>
      <w:r>
        <w:t>（</w:t>
      </w:r>
      <w:r>
        <w:rPr>
          <w:rFonts w:hint="eastAsia" w:cs="宋体"/>
        </w:rPr>
        <w:t>盖单位章</w:t>
      </w:r>
      <w:r>
        <w:t>）</w:t>
      </w:r>
    </w:p>
    <w:p w14:paraId="6303CEA3">
      <w:pPr>
        <w:pStyle w:val="20"/>
        <w:tabs>
          <w:tab w:val="left" w:pos="2903"/>
          <w:tab w:val="left" w:pos="3721"/>
          <w:tab w:val="left" w:pos="4601"/>
          <w:tab w:val="left" w:pos="7264"/>
          <w:tab w:val="left" w:pos="8177"/>
        </w:tabs>
        <w:spacing w:line="360" w:lineRule="auto"/>
        <w:ind w:left="144" w:right="124"/>
      </w:pPr>
      <w:r>
        <w:rPr>
          <w:rFonts w:hint="eastAsia" w:cs="宋体"/>
        </w:rPr>
        <w:t>法定代表人或其委托代理人：</w:t>
      </w:r>
      <w:r>
        <w:rPr>
          <w:u w:val="single"/>
        </w:rPr>
        <w:t xml:space="preserve"> </w:t>
      </w:r>
      <w:r>
        <w:rPr>
          <w:u w:val="single"/>
        </w:rPr>
        <w:tab/>
      </w:r>
      <w:r>
        <w:t>（</w:t>
      </w:r>
      <w:r>
        <w:rPr>
          <w:rFonts w:hint="eastAsia" w:cs="宋体"/>
        </w:rPr>
        <w:t>签字</w:t>
      </w:r>
      <w:r>
        <w:t xml:space="preserve">） </w:t>
      </w:r>
      <w:r>
        <w:rPr>
          <w:rFonts w:hint="eastAsia" w:cs="宋体"/>
          <w:spacing w:val="-3"/>
        </w:rPr>
        <w:t>法定代表人或其委托代理人：</w:t>
      </w:r>
      <w:r>
        <w:rPr>
          <w:spacing w:val="-3"/>
          <w:u w:val="single"/>
        </w:rPr>
        <w:t xml:space="preserve"> </w:t>
      </w:r>
      <w:r>
        <w:rPr>
          <w:spacing w:val="-3"/>
          <w:u w:val="single"/>
        </w:rPr>
        <w:tab/>
      </w:r>
      <w:r>
        <w:t>（</w:t>
      </w:r>
      <w:r>
        <w:rPr>
          <w:rFonts w:hint="eastAsia" w:cs="宋体"/>
        </w:rPr>
        <w:t>签字</w:t>
      </w:r>
      <w:r>
        <w:t>）</w:t>
      </w:r>
    </w:p>
    <w:p w14:paraId="2910C20B">
      <w:pPr>
        <w:pStyle w:val="20"/>
        <w:tabs>
          <w:tab w:val="left" w:pos="1583"/>
          <w:tab w:val="left" w:pos="3150"/>
          <w:tab w:val="left" w:pos="4943"/>
          <w:tab w:val="left" w:pos="6023"/>
          <w:tab w:val="left" w:pos="7103"/>
          <w:tab w:val="left" w:pos="8303"/>
        </w:tabs>
        <w:spacing w:line="360" w:lineRule="auto"/>
        <w:ind w:left="504" w:right="107"/>
      </w:pPr>
      <w:r>
        <w:rPr>
          <w:u w:val="single"/>
        </w:rPr>
        <w:t xml:space="preserve"> </w:t>
      </w:r>
      <w:r>
        <w:rPr>
          <w:u w:val="single"/>
        </w:rPr>
        <w:tab/>
      </w:r>
      <w:r>
        <w:rPr>
          <w:rFonts w:hint="eastAsia" w:cs="宋体"/>
        </w:rPr>
        <w:t>年</w:t>
      </w:r>
      <w:r>
        <w:rPr>
          <w:u w:val="single"/>
        </w:rPr>
        <w:t xml:space="preserve">    </w:t>
      </w:r>
      <w:r>
        <w:rPr>
          <w:rFonts w:hint="eastAsia" w:cs="宋体"/>
        </w:rPr>
        <w:t>月</w:t>
      </w:r>
      <w:r>
        <w:rPr>
          <w:u w:val="single"/>
        </w:rPr>
        <w:tab/>
      </w:r>
      <w:r>
        <w:rPr>
          <w:rFonts w:hint="eastAsia" w:cs="宋体"/>
        </w:rPr>
        <w:t>日</w:t>
      </w:r>
      <w:r>
        <w:tab/>
      </w:r>
      <w:r>
        <w:rPr>
          <w:rFonts w:hint="eastAsia"/>
          <w:lang w:val="en-US" w:eastAsia="zh-CN"/>
        </w:rPr>
        <w:t xml:space="preserve">        </w:t>
      </w:r>
      <w:r>
        <w:rPr>
          <w:u w:val="single"/>
        </w:rPr>
        <w:t xml:space="preserve"> </w:t>
      </w:r>
      <w:r>
        <w:rPr>
          <w:rFonts w:hint="eastAsia"/>
          <w:u w:val="single"/>
          <w:lang w:val="en-US" w:eastAsia="zh-CN"/>
        </w:rPr>
        <w:t xml:space="preserve">       </w:t>
      </w:r>
      <w:r>
        <w:rPr>
          <w:rFonts w:hint="eastAsia" w:cs="宋体"/>
        </w:rPr>
        <w:t>年</w:t>
      </w:r>
      <w:r>
        <w:rPr>
          <w:u w:val="single"/>
        </w:rPr>
        <w:t xml:space="preserve">     </w:t>
      </w:r>
      <w:r>
        <w:rPr>
          <w:rFonts w:hint="eastAsia" w:cs="宋体"/>
        </w:rPr>
        <w:t>月</w:t>
      </w:r>
      <w:r>
        <w:rPr>
          <w:rFonts w:cs="宋体"/>
          <w:u w:val="single"/>
        </w:rPr>
        <w:t xml:space="preserve">    </w:t>
      </w:r>
      <w:r>
        <w:rPr>
          <w:rFonts w:hint="eastAsia" w:cs="宋体"/>
        </w:rPr>
        <w:t>日</w:t>
      </w:r>
    </w:p>
    <w:p w14:paraId="606BFC25">
      <w:pPr>
        <w:pStyle w:val="20"/>
        <w:spacing w:line="360" w:lineRule="auto"/>
        <w:rPr>
          <w:sz w:val="21"/>
          <w:szCs w:val="21"/>
        </w:rPr>
      </w:pPr>
      <w:r>
        <w:rPr>
          <w:sz w:val="21"/>
          <w:szCs w:val="21"/>
        </w:rPr>
        <w:t xml:space="preserve"> </w:t>
      </w:r>
    </w:p>
    <w:p w14:paraId="530E85F3">
      <w:pPr>
        <w:spacing w:line="313" w:lineRule="exact"/>
        <w:rPr>
          <w:rFonts w:ascii="宋体" w:hAnsi="宋体"/>
        </w:rPr>
        <w:sectPr>
          <w:footerReference r:id="rId11" w:type="default"/>
          <w:footerReference r:id="rId12" w:type="even"/>
          <w:footnotePr>
            <w:numFmt w:val="decimalEnclosedCircleChinese"/>
            <w:numRestart w:val="eachPage"/>
          </w:footnotePr>
          <w:type w:val="continuous"/>
          <w:pgSz w:w="11900" w:h="16840"/>
          <w:pgMar w:top="1418" w:right="1134" w:bottom="1418" w:left="1701" w:header="851" w:footer="624" w:gutter="0"/>
          <w:cols w:space="720" w:num="1"/>
          <w:docGrid w:linePitch="312" w:charSpace="0"/>
        </w:sectPr>
      </w:pPr>
    </w:p>
    <w:p w14:paraId="3F61EF5B">
      <w:pPr>
        <w:spacing w:line="360" w:lineRule="auto"/>
        <w:rPr>
          <w:rFonts w:ascii="黑体" w:hAnsi="黑体" w:eastAsia="黑体" w:cs="黑体"/>
          <w:bCs/>
          <w:sz w:val="24"/>
        </w:rPr>
      </w:pPr>
      <w:bookmarkStart w:id="847" w:name="_Hlk100756904"/>
      <w:r>
        <w:rPr>
          <w:rFonts w:hint="eastAsia" w:ascii="黑体" w:hAnsi="黑体" w:eastAsia="黑体" w:cs="黑体"/>
          <w:bCs/>
          <w:sz w:val="24"/>
        </w:rPr>
        <w:t>附件十</w:t>
      </w:r>
      <w:r>
        <w:rPr>
          <w:rFonts w:hint="eastAsia" w:ascii="黑体" w:hAnsi="黑体" w:eastAsia="黑体" w:cs="黑体"/>
          <w:bCs/>
          <w:sz w:val="24"/>
          <w:lang w:val="en-US" w:eastAsia="zh-CN"/>
        </w:rPr>
        <w:t>二</w:t>
      </w:r>
      <w:r>
        <w:rPr>
          <w:rFonts w:ascii="黑体" w:hAnsi="黑体" w:eastAsia="黑体" w:cs="黑体"/>
          <w:bCs/>
          <w:sz w:val="24"/>
        </w:rPr>
        <w:t xml:space="preserve"> </w:t>
      </w:r>
      <w:bookmarkStart w:id="848" w:name="_Hlk100746398"/>
      <w:r>
        <w:rPr>
          <w:rFonts w:hint="eastAsia" w:ascii="黑体" w:hAnsi="黑体" w:eastAsia="黑体" w:cs="黑体"/>
          <w:bCs/>
          <w:sz w:val="24"/>
        </w:rPr>
        <w:t>农民工工资保证金存款协议书</w:t>
      </w:r>
      <w:bookmarkEnd w:id="848"/>
      <w:r>
        <w:rPr>
          <w:rFonts w:hint="eastAsia" w:ascii="黑体" w:hAnsi="黑体" w:eastAsia="黑体" w:cs="黑体"/>
          <w:bCs/>
          <w:sz w:val="24"/>
        </w:rPr>
        <w:t>（样本）</w:t>
      </w:r>
    </w:p>
    <w:p w14:paraId="5DD37928">
      <w:pPr>
        <w:spacing w:line="360" w:lineRule="auto"/>
        <w:ind w:firstLine="560" w:firstLineChars="200"/>
        <w:jc w:val="center"/>
        <w:rPr>
          <w:rFonts w:ascii="黑体" w:hAnsi="黑体" w:eastAsia="黑体" w:cs="宋体"/>
          <w:sz w:val="28"/>
          <w:szCs w:val="28"/>
        </w:rPr>
      </w:pPr>
      <w:r>
        <w:rPr>
          <w:rFonts w:hint="eastAsia" w:ascii="黑体" w:hAnsi="黑体" w:eastAsia="黑体" w:cs="宋体"/>
          <w:sz w:val="28"/>
          <w:szCs w:val="28"/>
        </w:rPr>
        <w:t>农民工工资保证金存款协议书</w:t>
      </w:r>
    </w:p>
    <w:p w14:paraId="271A9B6E">
      <w:pPr>
        <w:spacing w:line="360" w:lineRule="auto"/>
        <w:ind w:firstLine="480" w:firstLineChars="200"/>
        <w:rPr>
          <w:rFonts w:ascii="宋体" w:hAnsi="宋体" w:cs="宋体"/>
          <w:sz w:val="24"/>
        </w:rPr>
      </w:pPr>
    </w:p>
    <w:p w14:paraId="63F8BC9F">
      <w:pPr>
        <w:spacing w:line="360" w:lineRule="auto"/>
        <w:ind w:firstLine="480" w:firstLineChars="200"/>
        <w:rPr>
          <w:rFonts w:ascii="宋体" w:hAnsi="宋体" w:cs="宋体"/>
          <w:sz w:val="24"/>
        </w:rPr>
      </w:pPr>
      <w:r>
        <w:rPr>
          <w:rFonts w:hint="eastAsia" w:ascii="宋体" w:hAnsi="宋体" w:cs="宋体"/>
          <w:sz w:val="24"/>
        </w:rPr>
        <w:t>为做好农民工工资保证金监管，根据《保障农民工工资支付条例》和《工程建设领域农民工工资保证金规定》，农民工工资保证金存储企业和银行就农民工工资保证金（以下简称</w:t>
      </w:r>
      <w:r>
        <w:rPr>
          <w:rFonts w:hint="eastAsia" w:ascii="宋体" w:hAnsi="宋体" w:cs="宋体"/>
          <w:sz w:val="24"/>
          <w:lang w:eastAsia="zh-CN"/>
        </w:rPr>
        <w:t>“</w:t>
      </w:r>
      <w:r>
        <w:rPr>
          <w:rFonts w:hint="eastAsia" w:ascii="宋体" w:hAnsi="宋体" w:cs="宋体"/>
          <w:sz w:val="24"/>
        </w:rPr>
        <w:t>工资保证金</w:t>
      </w:r>
      <w:r>
        <w:rPr>
          <w:rFonts w:hint="eastAsia" w:ascii="宋体" w:hAnsi="宋体" w:cs="宋体"/>
          <w:sz w:val="24"/>
          <w:lang w:eastAsia="zh-CN"/>
        </w:rPr>
        <w:t>”</w:t>
      </w:r>
      <w:r>
        <w:rPr>
          <w:rFonts w:hint="eastAsia" w:ascii="宋体" w:hAnsi="宋体" w:cs="宋体"/>
          <w:sz w:val="24"/>
        </w:rPr>
        <w:t>）的管理事项达成以下协议：</w:t>
      </w:r>
    </w:p>
    <w:p w14:paraId="3021765B">
      <w:pPr>
        <w:spacing w:line="360" w:lineRule="auto"/>
        <w:ind w:firstLine="480" w:firstLineChars="200"/>
        <w:rPr>
          <w:rFonts w:ascii="宋体" w:hAnsi="宋体" w:cs="宋体"/>
          <w:sz w:val="24"/>
        </w:rPr>
      </w:pPr>
      <w:r>
        <w:rPr>
          <w:rFonts w:hint="eastAsia" w:ascii="宋体" w:hAnsi="宋体" w:cs="宋体"/>
          <w:sz w:val="24"/>
        </w:rPr>
        <w:t>一、工资保证金存储企业（以下简称</w:t>
      </w:r>
      <w:r>
        <w:rPr>
          <w:rFonts w:hint="eastAsia" w:ascii="宋体" w:hAnsi="宋体" w:cs="宋体"/>
          <w:sz w:val="24"/>
          <w:lang w:eastAsia="zh-CN"/>
        </w:rPr>
        <w:t>“</w:t>
      </w:r>
      <w:r>
        <w:rPr>
          <w:rFonts w:hint="eastAsia" w:ascii="宋体" w:hAnsi="宋体" w:cs="宋体"/>
          <w:sz w:val="24"/>
        </w:rPr>
        <w:t>存储企业</w:t>
      </w:r>
      <w:r>
        <w:rPr>
          <w:rFonts w:hint="eastAsia" w:ascii="宋体" w:hAnsi="宋体" w:cs="宋体"/>
          <w:sz w:val="24"/>
          <w:lang w:eastAsia="zh-CN"/>
        </w:rPr>
        <w:t>”</w:t>
      </w:r>
      <w:r>
        <w:rPr>
          <w:rFonts w:hint="eastAsia" w:ascii="宋体" w:hAnsi="宋体" w:cs="宋体"/>
          <w:sz w:val="24"/>
        </w:rPr>
        <w:t>）依法缴存保障为其承包工程提供劳动的农民工工资报酬权益的保证金，除发生《工程建设领域农民工工资保证金规定》第十九条的情形外，任何单位和个人不得使用工资保证金。</w:t>
      </w:r>
    </w:p>
    <w:p w14:paraId="5AE449AE">
      <w:pPr>
        <w:spacing w:line="360" w:lineRule="auto"/>
        <w:ind w:firstLine="480" w:firstLineChars="200"/>
        <w:rPr>
          <w:rFonts w:ascii="宋体" w:hAnsi="宋体" w:cs="宋体"/>
          <w:sz w:val="24"/>
        </w:rPr>
      </w:pPr>
      <w:r>
        <w:rPr>
          <w:rFonts w:hint="eastAsia" w:ascii="宋体" w:hAnsi="宋体" w:cs="宋体"/>
          <w:sz w:val="24"/>
        </w:rPr>
        <w:t>二、存储企业承诺按照《工程建设领域农民工工资保证金规定》及本地区确定的具体缴存比例存储（补足）工资保证金，银行对存储（补足）是否足额不承担审查义务。</w:t>
      </w:r>
    </w:p>
    <w:p w14:paraId="54F79C54">
      <w:pPr>
        <w:spacing w:line="360" w:lineRule="auto"/>
        <w:ind w:firstLine="480" w:firstLineChars="200"/>
        <w:rPr>
          <w:rFonts w:ascii="宋体" w:hAnsi="宋体" w:cs="宋体"/>
          <w:sz w:val="24"/>
        </w:rPr>
      </w:pPr>
      <w:r>
        <w:rPr>
          <w:rFonts w:hint="eastAsia" w:ascii="宋体" w:hAnsi="宋体" w:cs="宋体"/>
          <w:sz w:val="24"/>
        </w:rPr>
        <w:t>三、银行对存储企业缴存的工资保证金，按照（</w:t>
      </w:r>
      <w:r>
        <w:rPr>
          <w:rFonts w:hint="eastAsia" w:ascii="宋体" w:hAnsi="宋体" w:cs="宋体"/>
          <w:i w:val="0"/>
          <w:iCs w:val="0"/>
          <w:sz w:val="24"/>
          <w:u w:val="single"/>
          <w:lang w:val="en-US" w:eastAsia="zh-CN"/>
        </w:rPr>
        <w:t xml:space="preserve">   </w:t>
      </w:r>
      <w:r>
        <w:rPr>
          <w:rFonts w:ascii="宋体" w:hAnsi="宋体" w:cs="宋体"/>
          <w:i w:val="0"/>
          <w:iCs w:val="0"/>
          <w:sz w:val="24"/>
          <w:u w:val="single"/>
        </w:rPr>
        <w:t xml:space="preserve"> </w:t>
      </w:r>
      <w:r>
        <w:rPr>
          <w:rFonts w:hint="eastAsia" w:ascii="宋体" w:hAnsi="宋体" w:cs="宋体"/>
          <w:sz w:val="24"/>
        </w:rPr>
        <w:t>）年定期、到期自动转存管理。本金和全部利息收入归存储企业所有。</w:t>
      </w:r>
    </w:p>
    <w:p w14:paraId="5643618A">
      <w:pPr>
        <w:spacing w:line="360" w:lineRule="auto"/>
        <w:ind w:firstLine="480" w:firstLineChars="200"/>
        <w:rPr>
          <w:rFonts w:ascii="宋体" w:hAnsi="宋体" w:cs="宋体"/>
          <w:sz w:val="24"/>
        </w:rPr>
      </w:pPr>
      <w:r>
        <w:rPr>
          <w:rFonts w:hint="eastAsia" w:ascii="宋体" w:hAnsi="宋体" w:cs="宋体"/>
          <w:sz w:val="24"/>
        </w:rPr>
        <w:t>四、存储企业不得以缴纳工资保证金的有关凭证设定担保，银行应在出具的工资保证金有关凭证上注明</w:t>
      </w:r>
      <w:r>
        <w:rPr>
          <w:rFonts w:ascii="宋体" w:hAnsi="宋体" w:cs="宋体"/>
          <w:sz w:val="24"/>
        </w:rPr>
        <w:t>“</w:t>
      </w:r>
      <w:r>
        <w:rPr>
          <w:rFonts w:hint="eastAsia" w:ascii="宋体" w:hAnsi="宋体" w:cs="宋体"/>
          <w:sz w:val="24"/>
        </w:rPr>
        <w:t>专用款项不得担保</w:t>
      </w:r>
      <w:r>
        <w:rPr>
          <w:rFonts w:ascii="宋体" w:hAnsi="宋体" w:cs="宋体"/>
          <w:sz w:val="24"/>
        </w:rPr>
        <w:t>”</w:t>
      </w:r>
      <w:r>
        <w:rPr>
          <w:rFonts w:hint="eastAsia" w:ascii="宋体" w:hAnsi="宋体" w:cs="宋体"/>
          <w:sz w:val="24"/>
        </w:rPr>
        <w:t>字样。</w:t>
      </w:r>
    </w:p>
    <w:p w14:paraId="29B0E8A6">
      <w:pPr>
        <w:spacing w:line="360" w:lineRule="auto"/>
        <w:ind w:firstLine="480" w:firstLineChars="200"/>
        <w:rPr>
          <w:rFonts w:ascii="宋体" w:hAnsi="宋体" w:cs="宋体"/>
          <w:sz w:val="24"/>
        </w:rPr>
      </w:pPr>
      <w:r>
        <w:rPr>
          <w:rFonts w:hint="eastAsia" w:ascii="宋体" w:hAnsi="宋体" w:cs="宋体"/>
          <w:sz w:val="24"/>
        </w:rPr>
        <w:t>五、工资保证金使用按照如下方式执行：</w:t>
      </w:r>
    </w:p>
    <w:p w14:paraId="2BDEC279">
      <w:pPr>
        <w:spacing w:line="360" w:lineRule="auto"/>
        <w:ind w:firstLine="480" w:firstLineChars="200"/>
        <w:rPr>
          <w:rFonts w:ascii="宋体" w:hAnsi="宋体" w:cs="宋体"/>
          <w:sz w:val="24"/>
        </w:rPr>
      </w:pPr>
      <w:r>
        <w:rPr>
          <w:rFonts w:hint="eastAsia" w:ascii="宋体" w:hAnsi="宋体" w:cs="宋体"/>
          <w:sz w:val="24"/>
        </w:rPr>
        <w:t>发生《工程建设领域农民工工资保证金规定》第十九条情形需要使用工资保证金，工程项目所在地的监管工资保证金的人力资源社会保障行政部门（以下简称</w:t>
      </w:r>
      <w:r>
        <w:rPr>
          <w:rFonts w:hint="eastAsia" w:ascii="宋体" w:hAnsi="宋体" w:cs="宋体"/>
          <w:sz w:val="24"/>
          <w:lang w:eastAsia="zh-CN"/>
        </w:rPr>
        <w:t>“</w:t>
      </w:r>
      <w:r>
        <w:rPr>
          <w:rFonts w:hint="eastAsia" w:ascii="宋体" w:hAnsi="宋体" w:cs="宋体"/>
          <w:sz w:val="24"/>
        </w:rPr>
        <w:t>人力资源社会保障部门</w:t>
      </w:r>
      <w:r>
        <w:rPr>
          <w:rFonts w:hint="eastAsia" w:ascii="宋体" w:hAnsi="宋体" w:cs="宋体"/>
          <w:sz w:val="24"/>
          <w:lang w:eastAsia="zh-CN"/>
        </w:rPr>
        <w:t>”</w:t>
      </w:r>
      <w:r>
        <w:rPr>
          <w:rFonts w:hint="eastAsia" w:ascii="宋体" w:hAnsi="宋体" w:cs="宋体"/>
          <w:sz w:val="24"/>
        </w:rPr>
        <w:t>）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14:paraId="3FF32BC4">
      <w:pPr>
        <w:spacing w:line="360" w:lineRule="auto"/>
        <w:ind w:firstLine="480" w:firstLineChars="200"/>
        <w:rPr>
          <w:rFonts w:ascii="宋体" w:hAnsi="宋体" w:cs="宋体"/>
          <w:sz w:val="24"/>
        </w:rPr>
      </w:pPr>
      <w:r>
        <w:rPr>
          <w:rFonts w:hint="eastAsia" w:ascii="宋体" w:hAnsi="宋体" w:cs="宋体"/>
          <w:sz w:val="24"/>
        </w:rPr>
        <w:t>非以上规定的情形而出现工资保证金减少，银行应承担补足责任，但因有权机关依法查封、冻结、划拨的除外。</w:t>
      </w:r>
    </w:p>
    <w:p w14:paraId="4DE9488E">
      <w:pPr>
        <w:spacing w:line="360" w:lineRule="auto"/>
        <w:ind w:firstLine="480" w:firstLineChars="200"/>
        <w:rPr>
          <w:rFonts w:ascii="宋体" w:hAnsi="宋体" w:cs="宋体"/>
          <w:sz w:val="24"/>
        </w:rPr>
      </w:pPr>
      <w:r>
        <w:rPr>
          <w:rFonts w:hint="eastAsia" w:ascii="宋体" w:hAnsi="宋体" w:cs="宋体"/>
          <w:sz w:val="24"/>
        </w:rPr>
        <w:t>对超出存储企业实际缴存的工资保证金数额的，银行不承担任何支付义务。</w:t>
      </w:r>
    </w:p>
    <w:p w14:paraId="5956C510">
      <w:pPr>
        <w:spacing w:line="360" w:lineRule="auto"/>
        <w:ind w:firstLine="480" w:firstLineChars="200"/>
        <w:rPr>
          <w:rFonts w:ascii="宋体" w:hAnsi="宋体" w:cs="宋体"/>
          <w:sz w:val="24"/>
        </w:rPr>
      </w:pPr>
      <w:r>
        <w:rPr>
          <w:rFonts w:hint="eastAsia" w:ascii="宋体" w:hAnsi="宋体" w:cs="宋体"/>
          <w:sz w:val="24"/>
        </w:rPr>
        <w:t>六、工资保证金使用后</w:t>
      </w:r>
      <w:r>
        <w:rPr>
          <w:rFonts w:ascii="宋体" w:hAnsi="宋体" w:cs="宋体"/>
          <w:sz w:val="24"/>
        </w:rPr>
        <w:t>3</w:t>
      </w:r>
      <w:r>
        <w:rPr>
          <w:rFonts w:hint="eastAsia" w:ascii="宋体" w:hAnsi="宋体" w:cs="宋体"/>
          <w:sz w:val="24"/>
        </w:rPr>
        <w:t>个工作日内，银行应将工资保证金使用的有关情况通知存储企业和人力资源社会保障部门。</w:t>
      </w:r>
    </w:p>
    <w:p w14:paraId="231D5C25">
      <w:pPr>
        <w:spacing w:line="360" w:lineRule="auto"/>
        <w:ind w:firstLine="480" w:firstLineChars="200"/>
        <w:rPr>
          <w:rFonts w:ascii="宋体" w:hAnsi="宋体" w:cs="宋体"/>
          <w:sz w:val="24"/>
        </w:rPr>
      </w:pPr>
      <w:r>
        <w:rPr>
          <w:rFonts w:hint="eastAsia" w:ascii="宋体" w:hAnsi="宋体" w:cs="宋体"/>
          <w:sz w:val="24"/>
        </w:rPr>
        <w:t>七、银行应每季度出具工资保证金存款对账单一式两份，分别发送给存储企业和人力资源社会保障部门。</w:t>
      </w:r>
    </w:p>
    <w:p w14:paraId="1B4C6557">
      <w:pPr>
        <w:spacing w:line="360" w:lineRule="auto"/>
        <w:ind w:firstLine="480" w:firstLineChars="200"/>
        <w:rPr>
          <w:rFonts w:ascii="宋体" w:hAnsi="宋体" w:cs="宋体"/>
          <w:sz w:val="24"/>
        </w:rPr>
      </w:pPr>
      <w:r>
        <w:rPr>
          <w:rFonts w:hint="eastAsia" w:ascii="宋体" w:hAnsi="宋体" w:cs="宋体"/>
          <w:sz w:val="24"/>
        </w:rPr>
        <w:t>八、本协议一式两份，存储企业和银行各存一份，复印件送人力资源社会保障部门备案。</w:t>
      </w:r>
    </w:p>
    <w:p w14:paraId="3099D740">
      <w:pPr>
        <w:spacing w:line="360" w:lineRule="auto"/>
        <w:ind w:firstLine="480" w:firstLineChars="200"/>
        <w:rPr>
          <w:rFonts w:hint="eastAsia" w:ascii="宋体" w:hAnsi="宋体" w:cs="宋体"/>
          <w:sz w:val="24"/>
        </w:rPr>
      </w:pPr>
    </w:p>
    <w:p w14:paraId="0BA5286F">
      <w:pPr>
        <w:spacing w:line="360" w:lineRule="auto"/>
        <w:ind w:firstLine="480" w:firstLineChars="200"/>
        <w:rPr>
          <w:rFonts w:ascii="宋体" w:hAnsi="宋体" w:cs="宋体"/>
          <w:sz w:val="24"/>
        </w:rPr>
      </w:pPr>
      <w:r>
        <w:rPr>
          <w:rFonts w:hint="eastAsia" w:ascii="宋体" w:hAnsi="宋体" w:cs="宋体"/>
          <w:sz w:val="24"/>
        </w:rPr>
        <w:t>附注一：工程项目基本信息（项目名称、项目所在地、施工合同期限、施工合同造价、存储比例等）</w:t>
      </w:r>
    </w:p>
    <w:p w14:paraId="557C2857">
      <w:pPr>
        <w:spacing w:line="360" w:lineRule="auto"/>
        <w:ind w:firstLine="480" w:firstLineChars="200"/>
        <w:rPr>
          <w:rFonts w:ascii="宋体" w:hAnsi="宋体" w:cs="宋体"/>
          <w:sz w:val="24"/>
        </w:rPr>
      </w:pPr>
    </w:p>
    <w:p w14:paraId="626B3A21">
      <w:pPr>
        <w:spacing w:line="360" w:lineRule="auto"/>
        <w:ind w:firstLine="480" w:firstLineChars="200"/>
        <w:rPr>
          <w:rFonts w:ascii="宋体" w:hAnsi="宋体" w:cs="宋体"/>
          <w:sz w:val="24"/>
        </w:rPr>
      </w:pPr>
      <w:r>
        <w:rPr>
          <w:rFonts w:hint="eastAsia" w:ascii="宋体" w:hAnsi="宋体" w:cs="宋体"/>
          <w:sz w:val="24"/>
        </w:rPr>
        <w:t>附注二：存款金额</w:t>
      </w:r>
    </w:p>
    <w:p w14:paraId="4398265A">
      <w:pPr>
        <w:spacing w:line="360" w:lineRule="auto"/>
        <w:ind w:firstLine="480" w:firstLineChars="200"/>
        <w:rPr>
          <w:rFonts w:ascii="宋体" w:hAnsi="宋体" w:cs="宋体"/>
          <w:sz w:val="24"/>
        </w:rPr>
      </w:pPr>
      <w:r>
        <w:rPr>
          <w:rFonts w:hint="eastAsia" w:ascii="宋体" w:hAnsi="宋体" w:cs="宋体"/>
          <w:sz w:val="24"/>
        </w:rPr>
        <w:t>存款金额：</w:t>
      </w:r>
      <w:r>
        <w:rPr>
          <w:rFonts w:hint="eastAsia" w:ascii="宋体" w:hAnsi="宋体" w:cs="宋体"/>
          <w:sz w:val="24"/>
          <w:u w:val="single"/>
        </w:rPr>
        <w:t>　　</w:t>
      </w:r>
      <w:r>
        <w:rPr>
          <w:rFonts w:hint="eastAsia" w:ascii="宋体" w:hAnsi="宋体" w:cs="宋体"/>
          <w:sz w:val="24"/>
        </w:rPr>
        <w:t>佰</w:t>
      </w:r>
      <w:r>
        <w:rPr>
          <w:rFonts w:hint="eastAsia" w:ascii="宋体" w:hAnsi="宋体" w:cs="宋体"/>
          <w:sz w:val="24"/>
          <w:u w:val="single"/>
        </w:rPr>
        <w:t>　</w:t>
      </w:r>
      <w:r>
        <w:rPr>
          <w:rFonts w:hint="eastAsia" w:ascii="宋体" w:hAnsi="宋体" w:cs="宋体"/>
          <w:sz w:val="24"/>
        </w:rPr>
        <w:t>拾</w:t>
      </w:r>
      <w:r>
        <w:rPr>
          <w:rFonts w:hint="eastAsia" w:ascii="宋体" w:hAnsi="宋体" w:cs="宋体"/>
          <w:sz w:val="24"/>
          <w:u w:val="single"/>
        </w:rPr>
        <w:t>　</w:t>
      </w:r>
      <w:r>
        <w:rPr>
          <w:rFonts w:hint="eastAsia" w:ascii="宋体" w:hAnsi="宋体" w:cs="宋体"/>
          <w:sz w:val="24"/>
        </w:rPr>
        <w:t>万</w:t>
      </w:r>
      <w:r>
        <w:rPr>
          <w:rFonts w:hint="eastAsia" w:ascii="宋体" w:hAnsi="宋体" w:cs="宋体"/>
          <w:sz w:val="24"/>
          <w:u w:val="single"/>
        </w:rPr>
        <w:t>　</w:t>
      </w:r>
      <w:r>
        <w:rPr>
          <w:rFonts w:hint="eastAsia" w:ascii="宋体" w:hAnsi="宋体" w:cs="宋体"/>
          <w:sz w:val="24"/>
        </w:rPr>
        <w:t>千</w:t>
      </w:r>
      <w:r>
        <w:rPr>
          <w:rFonts w:hint="eastAsia" w:ascii="宋体" w:hAnsi="宋体" w:cs="宋体"/>
          <w:sz w:val="24"/>
          <w:u w:val="single"/>
        </w:rPr>
        <w:t>　</w:t>
      </w:r>
      <w:r>
        <w:rPr>
          <w:rFonts w:hint="eastAsia" w:ascii="宋体" w:hAnsi="宋体" w:cs="宋体"/>
          <w:sz w:val="24"/>
        </w:rPr>
        <w:t>佰</w:t>
      </w:r>
      <w:r>
        <w:rPr>
          <w:rFonts w:hint="eastAsia" w:ascii="宋体" w:hAnsi="宋体" w:cs="宋体"/>
          <w:sz w:val="24"/>
          <w:u w:val="single"/>
        </w:rPr>
        <w:t>　</w:t>
      </w:r>
      <w:r>
        <w:rPr>
          <w:rFonts w:hint="eastAsia" w:ascii="宋体" w:hAnsi="宋体" w:cs="宋体"/>
          <w:sz w:val="24"/>
        </w:rPr>
        <w:t>拾</w:t>
      </w:r>
      <w:r>
        <w:rPr>
          <w:rFonts w:hint="eastAsia" w:ascii="宋体" w:hAnsi="宋体" w:cs="宋体"/>
          <w:sz w:val="24"/>
          <w:u w:val="single"/>
        </w:rPr>
        <w:t>　</w:t>
      </w:r>
      <w:r>
        <w:rPr>
          <w:rFonts w:hint="eastAsia" w:ascii="宋体" w:hAnsi="宋体" w:cs="宋体"/>
          <w:sz w:val="24"/>
        </w:rPr>
        <w:t>元</w:t>
      </w:r>
      <w:r>
        <w:rPr>
          <w:rFonts w:hint="eastAsia" w:ascii="宋体" w:hAnsi="宋体" w:cs="宋体"/>
          <w:sz w:val="24"/>
          <w:u w:val="single"/>
        </w:rPr>
        <w:t>　</w:t>
      </w:r>
      <w:r>
        <w:rPr>
          <w:rFonts w:hint="eastAsia" w:ascii="宋体" w:hAnsi="宋体" w:cs="宋体"/>
          <w:sz w:val="24"/>
        </w:rPr>
        <w:t>角</w:t>
      </w:r>
      <w:r>
        <w:rPr>
          <w:rFonts w:hint="eastAsia" w:ascii="宋体" w:hAnsi="宋体" w:cs="宋体"/>
          <w:sz w:val="24"/>
          <w:u w:val="single"/>
        </w:rPr>
        <w:t>　</w:t>
      </w:r>
      <w:r>
        <w:rPr>
          <w:rFonts w:hint="eastAsia" w:ascii="宋体" w:hAnsi="宋体" w:cs="宋体"/>
          <w:sz w:val="24"/>
        </w:rPr>
        <w:t>分</w:t>
      </w:r>
    </w:p>
    <w:p w14:paraId="6E13E22D">
      <w:pPr>
        <w:spacing w:line="360" w:lineRule="auto"/>
        <w:ind w:firstLine="480" w:firstLineChars="200"/>
        <w:rPr>
          <w:rFonts w:ascii="宋体" w:hAnsi="宋体" w:cs="宋体"/>
          <w:sz w:val="24"/>
        </w:rPr>
      </w:pPr>
      <w:r>
        <w:rPr>
          <w:rFonts w:hint="eastAsia" w:ascii="宋体" w:hAnsi="宋体" w:cs="宋体"/>
          <w:sz w:val="24"/>
        </w:rPr>
        <w:t>　　小写：</w:t>
      </w:r>
      <w:r>
        <w:rPr>
          <w:rFonts w:ascii="宋体" w:hAnsi="宋体" w:cs="宋体"/>
          <w:sz w:val="24"/>
          <w:u w:val="single"/>
        </w:rPr>
        <w:t xml:space="preserve">        </w:t>
      </w:r>
      <w:r>
        <w:rPr>
          <w:rFonts w:hint="eastAsia" w:ascii="宋体" w:hAnsi="宋体" w:cs="宋体"/>
          <w:sz w:val="24"/>
        </w:rPr>
        <w:t xml:space="preserve"> </w:t>
      </w:r>
    </w:p>
    <w:p w14:paraId="38162A33">
      <w:pPr>
        <w:spacing w:line="360" w:lineRule="auto"/>
        <w:ind w:firstLine="480" w:firstLineChars="200"/>
        <w:rPr>
          <w:rFonts w:ascii="宋体" w:hAnsi="宋体" w:cs="宋体"/>
          <w:sz w:val="24"/>
        </w:rPr>
      </w:pPr>
    </w:p>
    <w:p w14:paraId="7A41C968">
      <w:pPr>
        <w:spacing w:line="360" w:lineRule="auto"/>
        <w:ind w:firstLine="480" w:firstLineChars="200"/>
        <w:rPr>
          <w:rFonts w:ascii="宋体" w:hAnsi="宋体" w:cs="宋体"/>
          <w:sz w:val="24"/>
        </w:rPr>
      </w:pPr>
      <w:r>
        <w:rPr>
          <w:rFonts w:hint="eastAsia" w:ascii="宋体" w:hAnsi="宋体" w:cs="宋体"/>
          <w:sz w:val="24"/>
        </w:rPr>
        <w:t>附注三：人力资源社会保障部门、存储企业和开户银行基本信息</w:t>
      </w:r>
    </w:p>
    <w:p w14:paraId="6B6C3FD2">
      <w:pPr>
        <w:spacing w:line="360" w:lineRule="auto"/>
        <w:ind w:firstLine="0" w:firstLineChars="0"/>
        <w:rPr>
          <w:rFonts w:hint="eastAsia" w:ascii="宋体" w:hAnsi="宋体" w:cs="宋体"/>
          <w:sz w:val="24"/>
          <w:lang w:val="en-US" w:eastAsia="zh-CN"/>
        </w:rPr>
      </w:pPr>
      <w:r>
        <w:rPr>
          <w:rFonts w:hint="eastAsia" w:ascii="宋体" w:hAnsi="宋体" w:cs="宋体"/>
          <w:sz w:val="24"/>
        </w:rPr>
        <w:t>　</w:t>
      </w:r>
      <w:r>
        <w:rPr>
          <w:rFonts w:hint="eastAsia" w:ascii="宋体" w:hAnsi="宋体" w:cs="宋体"/>
          <w:sz w:val="24"/>
          <w:lang w:val="en-US" w:eastAsia="zh-CN"/>
        </w:rPr>
        <w:t xml:space="preserve">  </w:t>
      </w:r>
    </w:p>
    <w:p w14:paraId="7BD090A5">
      <w:pPr>
        <w:spacing w:line="360" w:lineRule="auto"/>
        <w:ind w:firstLine="480" w:firstLineChars="200"/>
        <w:rPr>
          <w:rFonts w:ascii="宋体" w:hAnsi="宋体" w:cs="宋体"/>
          <w:sz w:val="24"/>
          <w:u w:val="single"/>
        </w:rPr>
      </w:pPr>
      <w:r>
        <w:rPr>
          <w:rFonts w:hint="eastAsia" w:ascii="宋体" w:hAnsi="宋体" w:cs="宋体"/>
          <w:sz w:val="24"/>
        </w:rPr>
        <w:t>人力资源社会保障部门：</w:t>
      </w:r>
      <w:r>
        <w:rPr>
          <w:rFonts w:ascii="宋体" w:hAnsi="宋体" w:cs="宋体"/>
          <w:sz w:val="24"/>
          <w:u w:val="single"/>
        </w:rPr>
        <w:t xml:space="preserve">          </w:t>
      </w:r>
    </w:p>
    <w:p w14:paraId="30B54003">
      <w:pPr>
        <w:spacing w:line="360" w:lineRule="auto"/>
        <w:ind w:firstLine="480" w:firstLineChars="200"/>
        <w:rPr>
          <w:rFonts w:ascii="宋体" w:hAnsi="宋体" w:cs="宋体"/>
          <w:sz w:val="24"/>
        </w:rPr>
      </w:pPr>
      <w:r>
        <w:rPr>
          <w:rFonts w:hint="eastAsia" w:ascii="宋体" w:hAnsi="宋体" w:cs="宋体"/>
          <w:sz w:val="24"/>
        </w:rPr>
        <w:t>通信地址及邮编：</w:t>
      </w:r>
      <w:r>
        <w:rPr>
          <w:rFonts w:ascii="宋体" w:hAnsi="宋体" w:cs="宋体"/>
          <w:sz w:val="24"/>
          <w:u w:val="single"/>
        </w:rPr>
        <w:t xml:space="preserve">            </w:t>
      </w:r>
    </w:p>
    <w:p w14:paraId="76C41162">
      <w:pPr>
        <w:spacing w:line="360" w:lineRule="auto"/>
        <w:ind w:firstLine="480" w:firstLineChars="200"/>
        <w:rPr>
          <w:rFonts w:ascii="宋体" w:hAnsi="宋体" w:cs="宋体"/>
          <w:sz w:val="24"/>
        </w:rPr>
      </w:pPr>
      <w:r>
        <w:rPr>
          <w:rFonts w:hint="eastAsia" w:ascii="宋体" w:hAnsi="宋体" w:cs="宋体"/>
          <w:sz w:val="24"/>
        </w:rPr>
        <w:t>联系人：</w:t>
      </w:r>
      <w:r>
        <w:rPr>
          <w:rFonts w:ascii="宋体" w:hAnsi="宋体" w:cs="宋体"/>
          <w:sz w:val="24"/>
          <w:u w:val="single"/>
        </w:rPr>
        <w:t xml:space="preserve">                    </w:t>
      </w:r>
    </w:p>
    <w:p w14:paraId="341C51A5">
      <w:pPr>
        <w:spacing w:line="360" w:lineRule="auto"/>
        <w:ind w:firstLine="480" w:firstLineChars="200"/>
        <w:rPr>
          <w:rFonts w:ascii="宋体" w:hAnsi="宋体" w:cs="宋体"/>
          <w:sz w:val="24"/>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ascii="宋体" w:hAnsi="宋体" w:cs="宋体"/>
          <w:sz w:val="24"/>
          <w:u w:val="single"/>
        </w:rPr>
        <w:t xml:space="preserve">                      </w:t>
      </w:r>
    </w:p>
    <w:p w14:paraId="70EFA84B">
      <w:pPr>
        <w:spacing w:line="360" w:lineRule="auto"/>
        <w:ind w:firstLine="480" w:firstLineChars="200"/>
        <w:rPr>
          <w:rFonts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w:t>
      </w:r>
      <w:r>
        <w:rPr>
          <w:rFonts w:hint="eastAsia" w:ascii="宋体" w:hAnsi="宋体" w:cs="宋体"/>
          <w:sz w:val="24"/>
          <w:u w:val="single"/>
        </w:rPr>
        <w:t xml:space="preserve">                      </w:t>
      </w:r>
    </w:p>
    <w:p w14:paraId="04722A72">
      <w:pPr>
        <w:spacing w:line="360" w:lineRule="auto"/>
        <w:ind w:firstLine="480" w:firstLineChars="200"/>
        <w:rPr>
          <w:rFonts w:ascii="宋体" w:hAnsi="宋体" w:cs="宋体"/>
          <w:sz w:val="24"/>
        </w:rPr>
      </w:pPr>
    </w:p>
    <w:p w14:paraId="2411A594">
      <w:pPr>
        <w:spacing w:line="360" w:lineRule="auto"/>
        <w:ind w:firstLine="480" w:firstLineChars="200"/>
        <w:rPr>
          <w:rFonts w:ascii="宋体" w:hAnsi="宋体" w:cs="宋体"/>
          <w:sz w:val="24"/>
        </w:rPr>
      </w:pPr>
      <w:r>
        <w:rPr>
          <w:rFonts w:hint="eastAsia" w:ascii="宋体" w:hAnsi="宋体" w:cs="宋体"/>
          <w:sz w:val="24"/>
        </w:rPr>
        <w:t>存储企业：</w:t>
      </w:r>
      <w:r>
        <w:rPr>
          <w:rFonts w:hint="eastAsia" w:ascii="宋体" w:hAnsi="宋体" w:cs="宋体"/>
          <w:sz w:val="24"/>
          <w:u w:val="single"/>
        </w:rPr>
        <w:t xml:space="preserve">                      </w:t>
      </w:r>
    </w:p>
    <w:p w14:paraId="7BBE06AC">
      <w:pPr>
        <w:spacing w:line="360" w:lineRule="auto"/>
        <w:ind w:firstLine="480" w:firstLineChars="200"/>
        <w:rPr>
          <w:rFonts w:ascii="宋体" w:hAnsi="宋体" w:cs="宋体"/>
          <w:sz w:val="24"/>
        </w:rPr>
      </w:pPr>
      <w:r>
        <w:rPr>
          <w:rFonts w:hint="eastAsia" w:ascii="宋体" w:hAnsi="宋体" w:cs="宋体"/>
          <w:sz w:val="24"/>
        </w:rPr>
        <w:t>统一社会信用代码：</w:t>
      </w:r>
      <w:r>
        <w:rPr>
          <w:rFonts w:hint="eastAsia" w:ascii="宋体" w:hAnsi="宋体" w:cs="宋体"/>
          <w:sz w:val="24"/>
          <w:u w:val="single"/>
        </w:rPr>
        <w:t xml:space="preserve">                      </w:t>
      </w:r>
    </w:p>
    <w:p w14:paraId="4536B650">
      <w:pPr>
        <w:spacing w:line="360" w:lineRule="auto"/>
        <w:ind w:firstLine="480" w:firstLineChars="200"/>
        <w:rPr>
          <w:rFonts w:ascii="宋体" w:hAnsi="宋体" w:cs="宋体"/>
          <w:sz w:val="24"/>
        </w:rPr>
      </w:pPr>
      <w:r>
        <w:rPr>
          <w:rFonts w:hint="eastAsia" w:ascii="宋体" w:hAnsi="宋体" w:cs="宋体"/>
          <w:sz w:val="24"/>
        </w:rPr>
        <w:t>通信地址及邮编：</w:t>
      </w:r>
      <w:r>
        <w:rPr>
          <w:rFonts w:hint="eastAsia" w:ascii="宋体" w:hAnsi="宋体" w:cs="宋体"/>
          <w:sz w:val="24"/>
          <w:u w:val="single"/>
        </w:rPr>
        <w:t xml:space="preserve">                      </w:t>
      </w:r>
    </w:p>
    <w:p w14:paraId="2B61AB7C">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p>
    <w:p w14:paraId="2FF9CE9B">
      <w:pPr>
        <w:spacing w:line="360" w:lineRule="auto"/>
        <w:ind w:firstLine="480" w:firstLineChars="200"/>
        <w:rPr>
          <w:rFonts w:ascii="宋体" w:hAnsi="宋体" w:cs="宋体"/>
          <w:sz w:val="24"/>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u w:val="single"/>
        </w:rPr>
        <w:t xml:space="preserve">                      </w:t>
      </w:r>
    </w:p>
    <w:p w14:paraId="6682EDBC">
      <w:pPr>
        <w:spacing w:line="360" w:lineRule="auto"/>
        <w:ind w:firstLine="480" w:firstLineChars="200"/>
        <w:rPr>
          <w:rFonts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w:t>
      </w:r>
      <w:r>
        <w:rPr>
          <w:rFonts w:hint="eastAsia" w:ascii="宋体" w:hAnsi="宋体" w:cs="宋体"/>
          <w:sz w:val="24"/>
          <w:u w:val="single"/>
        </w:rPr>
        <w:t xml:space="preserve">                      </w:t>
      </w:r>
    </w:p>
    <w:p w14:paraId="3A02EF93">
      <w:pPr>
        <w:spacing w:line="360" w:lineRule="auto"/>
        <w:ind w:firstLine="480" w:firstLineChars="200"/>
        <w:rPr>
          <w:rFonts w:ascii="宋体" w:hAnsi="宋体" w:cs="宋体"/>
          <w:sz w:val="24"/>
        </w:rPr>
      </w:pPr>
    </w:p>
    <w:p w14:paraId="6851C0AA">
      <w:pPr>
        <w:spacing w:line="360" w:lineRule="auto"/>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14:paraId="08F38937">
      <w:pPr>
        <w:spacing w:line="360" w:lineRule="auto"/>
        <w:ind w:firstLine="480" w:firstLineChars="200"/>
        <w:rPr>
          <w:rFonts w:ascii="宋体" w:hAnsi="宋体" w:cs="宋体"/>
          <w:sz w:val="24"/>
        </w:rPr>
      </w:pPr>
      <w:r>
        <w:rPr>
          <w:rFonts w:hint="eastAsia" w:ascii="宋体" w:hAnsi="宋体" w:cs="宋体"/>
          <w:sz w:val="24"/>
        </w:rPr>
        <w:t>通信地址及邮编：</w:t>
      </w:r>
      <w:r>
        <w:rPr>
          <w:rFonts w:hint="eastAsia" w:ascii="宋体" w:hAnsi="宋体" w:cs="宋体"/>
          <w:sz w:val="24"/>
          <w:u w:val="single"/>
        </w:rPr>
        <w:t xml:space="preserve">                      </w:t>
      </w:r>
    </w:p>
    <w:p w14:paraId="2EA27654">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p>
    <w:p w14:paraId="1E41C33B">
      <w:pPr>
        <w:spacing w:line="360" w:lineRule="auto"/>
        <w:ind w:firstLine="480" w:firstLineChars="200"/>
        <w:rPr>
          <w:rFonts w:ascii="宋体" w:hAnsi="宋体" w:cs="宋体"/>
          <w:sz w:val="24"/>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u w:val="single"/>
        </w:rPr>
        <w:t xml:space="preserve">                      </w:t>
      </w:r>
    </w:p>
    <w:p w14:paraId="087A1069">
      <w:pPr>
        <w:spacing w:line="360" w:lineRule="auto"/>
        <w:ind w:firstLine="480" w:firstLineChars="200"/>
        <w:rPr>
          <w:rFonts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w:t>
      </w:r>
      <w:r>
        <w:rPr>
          <w:rFonts w:hint="eastAsia" w:ascii="宋体" w:hAnsi="宋体" w:cs="宋体"/>
          <w:sz w:val="24"/>
          <w:u w:val="single"/>
        </w:rPr>
        <w:t xml:space="preserve">                      </w:t>
      </w:r>
    </w:p>
    <w:p w14:paraId="6183452A">
      <w:pPr>
        <w:spacing w:line="360" w:lineRule="auto"/>
        <w:ind w:firstLine="480" w:firstLineChars="200"/>
        <w:rPr>
          <w:rFonts w:ascii="宋体" w:hAnsi="宋体" w:cs="宋体"/>
          <w:sz w:val="24"/>
        </w:rPr>
      </w:pPr>
    </w:p>
    <w:p w14:paraId="4AA36647">
      <w:pPr>
        <w:spacing w:line="360" w:lineRule="auto"/>
        <w:ind w:firstLine="480" w:firstLineChars="200"/>
        <w:rPr>
          <w:rFonts w:ascii="宋体" w:hAnsi="宋体" w:cs="宋体"/>
          <w:sz w:val="24"/>
          <w:u w:val="single"/>
        </w:rPr>
      </w:pPr>
      <w:r>
        <w:rPr>
          <w:rFonts w:hint="eastAsia" w:ascii="宋体" w:hAnsi="宋体" w:cs="宋体"/>
          <w:sz w:val="24"/>
        </w:rPr>
        <w:t>存储企业：</w:t>
      </w:r>
      <w:r>
        <w:rPr>
          <w:rFonts w:ascii="宋体" w:hAnsi="宋体" w:cs="宋体"/>
          <w:sz w:val="24"/>
          <w:u w:val="single"/>
        </w:rPr>
        <w:t xml:space="preserve"> </w:t>
      </w:r>
      <w:r>
        <w:rPr>
          <w:rFonts w:hint="eastAsia" w:ascii="宋体" w:hAnsi="宋体" w:cs="宋体"/>
          <w:sz w:val="24"/>
          <w:u w:val="single"/>
        </w:rPr>
        <w:t>（盖章）</w:t>
      </w:r>
      <w:r>
        <w:rPr>
          <w:rFonts w:ascii="宋体" w:hAnsi="宋体" w:cs="宋体"/>
          <w:sz w:val="24"/>
          <w:u w:val="single"/>
        </w:rPr>
        <w:t xml:space="preserve"> </w:t>
      </w:r>
      <w:r>
        <w:rPr>
          <w:rFonts w:hint="eastAsia" w:ascii="宋体" w:hAnsi="宋体" w:cs="宋体"/>
          <w:sz w:val="24"/>
        </w:rPr>
        <w:t>　　　　　</w:t>
      </w:r>
      <w:r>
        <w:rPr>
          <w:rFonts w:ascii="宋体" w:hAnsi="宋体" w:cs="宋体"/>
          <w:sz w:val="24"/>
        </w:rPr>
        <w:t xml:space="preserve">    </w:t>
      </w:r>
      <w:r>
        <w:rPr>
          <w:rFonts w:hint="eastAsia" w:ascii="宋体" w:hAnsi="宋体" w:cs="宋体"/>
          <w:sz w:val="24"/>
        </w:rPr>
        <w:t>开户银行：</w:t>
      </w:r>
      <w:r>
        <w:rPr>
          <w:rFonts w:hint="eastAsia" w:ascii="宋体" w:hAnsi="宋体" w:cs="宋体"/>
          <w:sz w:val="24"/>
          <w:u w:val="single"/>
        </w:rPr>
        <w:t>（盖章）</w:t>
      </w:r>
    </w:p>
    <w:p w14:paraId="642964C3">
      <w:pPr>
        <w:spacing w:line="360" w:lineRule="auto"/>
        <w:ind w:firstLine="480" w:firstLineChars="200"/>
        <w:rPr>
          <w:rFonts w:ascii="宋体" w:hAnsi="宋体" w:cs="宋体"/>
          <w:sz w:val="24"/>
        </w:rPr>
      </w:pPr>
      <w:r>
        <w:rPr>
          <w:rFonts w:hint="eastAsia" w:ascii="宋体" w:hAnsi="宋体" w:cs="宋体"/>
          <w:sz w:val="24"/>
        </w:rPr>
        <w:t>　　　　　　　　　　　</w:t>
      </w:r>
    </w:p>
    <w:p w14:paraId="1F1E89D8">
      <w:pPr>
        <w:spacing w:line="360" w:lineRule="auto"/>
        <w:ind w:firstLine="480" w:firstLineChars="200"/>
        <w:rPr>
          <w:rFonts w:ascii="宋体" w:hAnsi="宋体" w:cs="宋体"/>
          <w:sz w:val="24"/>
        </w:rPr>
      </w:pPr>
      <w:r>
        <w:rPr>
          <w:rFonts w:hint="eastAsia" w:ascii="宋体" w:hAnsi="宋体" w:cs="宋体"/>
          <w:sz w:val="24"/>
        </w:rPr>
        <w:t>法定代表人或授权代表人：</w:t>
      </w:r>
      <w:r>
        <w:rPr>
          <w:rFonts w:hint="eastAsia" w:ascii="宋体" w:hAnsi="宋体" w:cs="宋体"/>
          <w:sz w:val="24"/>
          <w:u w:val="single"/>
        </w:rPr>
        <w:t>（签字）</w:t>
      </w:r>
      <w:r>
        <w:rPr>
          <w:rFonts w:hint="eastAsia" w:ascii="宋体" w:hAnsi="宋体" w:cs="宋体"/>
          <w:sz w:val="24"/>
        </w:rPr>
        <w:t>　法定代表人或授权代表人：</w:t>
      </w:r>
      <w:r>
        <w:rPr>
          <w:rFonts w:hint="eastAsia" w:ascii="宋体" w:hAnsi="宋体" w:cs="宋体"/>
          <w:sz w:val="24"/>
          <w:u w:val="single"/>
        </w:rPr>
        <w:t>（签字）</w:t>
      </w:r>
    </w:p>
    <w:p w14:paraId="6E5C6626">
      <w:pPr>
        <w:spacing w:line="360" w:lineRule="auto"/>
        <w:ind w:firstLine="480" w:firstLineChars="200"/>
        <w:rPr>
          <w:rFonts w:ascii="宋体" w:hAnsi="宋体" w:cs="宋体"/>
          <w:sz w:val="24"/>
        </w:rPr>
      </w:pPr>
      <w:r>
        <w:rPr>
          <w:rFonts w:hint="eastAsia" w:ascii="宋体" w:hAnsi="宋体" w:cs="宋体"/>
          <w:sz w:val="24"/>
        </w:rPr>
        <w:t>　　　　　　　　　　　　</w:t>
      </w:r>
    </w:p>
    <w:p w14:paraId="3BC8856A">
      <w:pPr>
        <w:spacing w:line="360" w:lineRule="auto"/>
        <w:ind w:firstLine="480" w:firstLineChars="200"/>
        <w:rPr>
          <w:rFonts w:ascii="宋体" w:hAnsi="宋体" w:cs="宋体"/>
          <w:sz w:val="24"/>
        </w:rPr>
      </w:pPr>
      <w:r>
        <w:rPr>
          <w:rFonts w:hint="eastAsia" w:ascii="宋体" w:hAnsi="宋体" w:cs="宋体"/>
          <w:sz w:val="24"/>
        </w:rPr>
        <w:t>签字时间：</w:t>
      </w:r>
      <w:r>
        <w:rPr>
          <w:rFonts w:hint="eastAsia" w:ascii="宋体" w:hAnsi="宋体" w:cs="宋体"/>
          <w:sz w:val="24"/>
          <w:u w:val="single"/>
        </w:rPr>
        <w:t xml:space="preserve">                  </w:t>
      </w:r>
      <w:r>
        <w:rPr>
          <w:rFonts w:hint="eastAsia" w:ascii="宋体" w:hAnsi="宋体" w:cs="宋体"/>
          <w:sz w:val="24"/>
        </w:rPr>
        <w:t>　　　</w:t>
      </w:r>
      <w:r>
        <w:rPr>
          <w:rFonts w:ascii="宋体" w:hAnsi="宋体" w:cs="宋体"/>
          <w:sz w:val="24"/>
        </w:rPr>
        <w:t xml:space="preserve"> </w:t>
      </w:r>
      <w:r>
        <w:rPr>
          <w:rFonts w:hint="eastAsia" w:ascii="宋体" w:hAnsi="宋体" w:cs="宋体"/>
          <w:sz w:val="24"/>
        </w:rPr>
        <w:t>签字时间：</w:t>
      </w:r>
      <w:r>
        <w:rPr>
          <w:rFonts w:hint="eastAsia" w:ascii="宋体" w:hAnsi="宋体" w:cs="宋体"/>
          <w:sz w:val="24"/>
          <w:u w:val="single"/>
        </w:rPr>
        <w:t xml:space="preserve">                  </w:t>
      </w:r>
    </w:p>
    <w:p w14:paraId="08B46202">
      <w:pPr>
        <w:spacing w:line="360" w:lineRule="auto"/>
        <w:ind w:firstLine="480" w:firstLineChars="200"/>
        <w:rPr>
          <w:rFonts w:ascii="宋体" w:hAnsi="宋体" w:cs="宋体"/>
          <w:sz w:val="24"/>
        </w:rPr>
      </w:pPr>
    </w:p>
    <w:p w14:paraId="0EC19BD7">
      <w:pPr>
        <w:spacing w:line="360" w:lineRule="auto"/>
        <w:ind w:firstLine="480" w:firstLineChars="200"/>
        <w:rPr>
          <w:rFonts w:ascii="宋体" w:hAnsi="宋体" w:cs="宋体"/>
          <w:sz w:val="24"/>
        </w:rPr>
      </w:pPr>
    </w:p>
    <w:p w14:paraId="5B766FE3">
      <w:pPr>
        <w:spacing w:line="360" w:lineRule="auto"/>
        <w:ind w:firstLine="480" w:firstLineChars="200"/>
        <w:rPr>
          <w:rFonts w:ascii="宋体" w:hAnsi="宋体" w:cs="宋体"/>
          <w:sz w:val="24"/>
        </w:rPr>
      </w:pPr>
    </w:p>
    <w:p w14:paraId="3466D622">
      <w:pPr>
        <w:spacing w:line="360" w:lineRule="auto"/>
        <w:ind w:firstLine="480" w:firstLineChars="200"/>
        <w:rPr>
          <w:rFonts w:ascii="宋体" w:hAnsi="宋体" w:cs="宋体"/>
          <w:sz w:val="24"/>
        </w:rPr>
      </w:pPr>
    </w:p>
    <w:p w14:paraId="478624B2">
      <w:pPr>
        <w:spacing w:line="360" w:lineRule="auto"/>
        <w:ind w:firstLine="480" w:firstLineChars="200"/>
        <w:rPr>
          <w:rFonts w:ascii="宋体" w:hAnsi="宋体" w:cs="宋体"/>
          <w:sz w:val="24"/>
        </w:rPr>
      </w:pPr>
    </w:p>
    <w:p w14:paraId="0CF14A6E">
      <w:pPr>
        <w:spacing w:line="360" w:lineRule="auto"/>
        <w:ind w:firstLine="480" w:firstLineChars="200"/>
        <w:rPr>
          <w:rFonts w:ascii="宋体" w:hAnsi="宋体" w:cs="宋体"/>
          <w:sz w:val="24"/>
        </w:rPr>
      </w:pPr>
    </w:p>
    <w:p w14:paraId="1380D01F">
      <w:pPr>
        <w:spacing w:line="360" w:lineRule="auto"/>
        <w:ind w:firstLine="0" w:firstLineChars="0"/>
        <w:rPr>
          <w:rFonts w:ascii="宋体" w:hAnsi="宋体" w:cs="宋体"/>
          <w:sz w:val="21"/>
          <w:szCs w:val="21"/>
        </w:rPr>
      </w:pPr>
      <w:r>
        <w:rPr>
          <w:rFonts w:hint="eastAsia" w:ascii="宋体" w:hAnsi="宋体" w:cs="宋体"/>
          <w:sz w:val="21"/>
          <w:szCs w:val="21"/>
        </w:rPr>
        <w:t>注：样本仅供参考，各地可根据《</w:t>
      </w:r>
      <w:r>
        <w:rPr>
          <w:rFonts w:hint="eastAsia" w:ascii="宋体" w:hAnsi="宋体" w:cs="宋体"/>
          <w:sz w:val="21"/>
          <w:szCs w:val="21"/>
          <w:lang w:val="en-US" w:eastAsia="zh-CN"/>
        </w:rPr>
        <w:t>工程建设领域农民工工资保证金规定</w:t>
      </w:r>
      <w:r>
        <w:rPr>
          <w:rFonts w:hint="eastAsia" w:ascii="宋体" w:hAnsi="宋体" w:cs="宋体"/>
          <w:sz w:val="21"/>
          <w:szCs w:val="21"/>
        </w:rPr>
        <w:t>》并结合银行监管和业务管理要求修订使用。</w:t>
      </w:r>
    </w:p>
    <w:p w14:paraId="62C8927E">
      <w:pPr>
        <w:spacing w:line="360" w:lineRule="auto"/>
        <w:ind w:firstLine="480" w:firstLineChars="200"/>
        <w:rPr>
          <w:rFonts w:ascii="宋体" w:hAnsi="宋体" w:cs="宋体"/>
          <w:sz w:val="24"/>
        </w:rPr>
      </w:pPr>
    </w:p>
    <w:p w14:paraId="409535A2">
      <w:pPr>
        <w:spacing w:line="560" w:lineRule="exact"/>
        <w:rPr>
          <w:rFonts w:ascii="黑体" w:hAnsi="黑体" w:eastAsia="黑体" w:cs="黑体"/>
          <w:bCs/>
          <w:sz w:val="24"/>
        </w:rPr>
      </w:pPr>
    </w:p>
    <w:p w14:paraId="64416BAA">
      <w:pPr>
        <w:rPr>
          <w:rFonts w:ascii="黑体" w:hAnsi="黑体" w:eastAsia="黑体" w:cs="黑体"/>
          <w:bCs/>
          <w:sz w:val="24"/>
        </w:rPr>
      </w:pPr>
      <w:r>
        <w:rPr>
          <w:rFonts w:hint="eastAsia" w:ascii="黑体" w:hAnsi="黑体" w:eastAsia="黑体" w:cs="黑体"/>
          <w:bCs/>
          <w:sz w:val="24"/>
        </w:rPr>
        <w:br w:type="page"/>
      </w:r>
    </w:p>
    <w:p w14:paraId="09844E42">
      <w:pPr>
        <w:spacing w:line="360" w:lineRule="auto"/>
        <w:rPr>
          <w:rFonts w:ascii="黑体" w:hAnsi="黑体" w:eastAsia="黑体" w:cs="黑体"/>
          <w:bCs/>
          <w:sz w:val="24"/>
        </w:rPr>
      </w:pPr>
      <w:r>
        <w:rPr>
          <w:rFonts w:hint="eastAsia" w:ascii="黑体" w:hAnsi="黑体" w:eastAsia="黑体" w:cs="黑体"/>
          <w:bCs/>
          <w:sz w:val="24"/>
        </w:rPr>
        <w:t>附件十</w:t>
      </w:r>
      <w:r>
        <w:rPr>
          <w:rFonts w:hint="eastAsia" w:ascii="黑体" w:hAnsi="黑体" w:eastAsia="黑体" w:cs="黑体"/>
          <w:bCs/>
          <w:sz w:val="24"/>
          <w:lang w:val="en-US" w:eastAsia="zh-CN"/>
        </w:rPr>
        <w:t>三</w:t>
      </w:r>
      <w:r>
        <w:rPr>
          <w:rFonts w:ascii="黑体" w:hAnsi="黑体" w:eastAsia="黑体" w:cs="黑体"/>
          <w:bCs/>
          <w:sz w:val="24"/>
        </w:rPr>
        <w:t xml:space="preserve"> </w:t>
      </w:r>
      <w:r>
        <w:rPr>
          <w:rFonts w:hint="eastAsia" w:ascii="黑体" w:hAnsi="黑体" w:eastAsia="黑体" w:cs="黑体"/>
          <w:bCs/>
          <w:sz w:val="24"/>
        </w:rPr>
        <w:t>农民工工资保证金银行保函（样本）</w:t>
      </w:r>
    </w:p>
    <w:p w14:paraId="41E6B775">
      <w:pPr>
        <w:pStyle w:val="37"/>
        <w:rPr>
          <w:rFonts w:eastAsia="仿宋_GB2312"/>
          <w:sz w:val="32"/>
          <w:szCs w:val="32"/>
        </w:rPr>
      </w:pPr>
    </w:p>
    <w:p w14:paraId="735C8E77">
      <w:pPr>
        <w:spacing w:line="360" w:lineRule="auto"/>
        <w:ind w:firstLine="0" w:firstLineChars="0"/>
        <w:jc w:val="center"/>
        <w:rPr>
          <w:rFonts w:ascii="黑体" w:hAnsi="黑体" w:eastAsia="黑体" w:cs="宋体"/>
          <w:sz w:val="28"/>
          <w:szCs w:val="28"/>
        </w:rPr>
      </w:pPr>
      <w:bookmarkStart w:id="849" w:name="_Hlk100746884"/>
      <w:r>
        <w:rPr>
          <w:rFonts w:hint="eastAsia" w:ascii="黑体" w:hAnsi="黑体" w:eastAsia="黑体" w:cs="宋体"/>
          <w:sz w:val="28"/>
          <w:szCs w:val="28"/>
        </w:rPr>
        <w:t>农民工工资保证金银行保函</w:t>
      </w:r>
    </w:p>
    <w:bookmarkEnd w:id="849"/>
    <w:p w14:paraId="2BE9A61A">
      <w:pPr>
        <w:spacing w:line="540" w:lineRule="exact"/>
        <w:ind w:right="1280"/>
        <w:jc w:val="right"/>
        <w:rPr>
          <w:rFonts w:ascii="宋体" w:hAnsi="宋体"/>
          <w:kern w:val="0"/>
          <w:sz w:val="24"/>
        </w:rPr>
      </w:pPr>
      <w:r>
        <w:rPr>
          <w:rFonts w:hint="eastAsia" w:ascii="宋体" w:hAnsi="宋体"/>
          <w:kern w:val="0"/>
          <w:sz w:val="24"/>
        </w:rPr>
        <w:t>编</w:t>
      </w:r>
      <w:r>
        <w:rPr>
          <w:rFonts w:ascii="宋体" w:hAnsi="宋体"/>
          <w:kern w:val="0"/>
          <w:sz w:val="24"/>
        </w:rPr>
        <w:t xml:space="preserve">    </w:t>
      </w:r>
      <w:r>
        <w:rPr>
          <w:rFonts w:hint="eastAsia" w:ascii="宋体" w:hAnsi="宋体"/>
          <w:kern w:val="0"/>
          <w:sz w:val="24"/>
        </w:rPr>
        <w:t>号：</w:t>
      </w:r>
    </w:p>
    <w:p w14:paraId="6A41ACBB">
      <w:pPr>
        <w:spacing w:line="540" w:lineRule="exact"/>
        <w:ind w:right="1280"/>
        <w:jc w:val="right"/>
        <w:rPr>
          <w:rFonts w:ascii="宋体" w:hAnsi="宋体"/>
          <w:kern w:val="0"/>
          <w:sz w:val="24"/>
        </w:rPr>
      </w:pPr>
      <w:r>
        <w:rPr>
          <w:rFonts w:hint="eastAsia" w:ascii="宋体" w:hAnsi="宋体"/>
          <w:kern w:val="0"/>
          <w:sz w:val="24"/>
        </w:rPr>
        <w:t>开立日期：</w:t>
      </w:r>
    </w:p>
    <w:p w14:paraId="72E98F6C">
      <w:pPr>
        <w:pStyle w:val="37"/>
        <w:spacing w:line="360" w:lineRule="auto"/>
        <w:rPr>
          <w:rFonts w:ascii="宋体" w:hAnsi="宋体" w:cs="黑体"/>
          <w:sz w:val="24"/>
          <w:szCs w:val="24"/>
        </w:rPr>
      </w:pPr>
    </w:p>
    <w:p w14:paraId="55CE946C">
      <w:pPr>
        <w:spacing w:line="360" w:lineRule="auto"/>
        <w:rPr>
          <w:rFonts w:ascii="宋体" w:hAnsi="宋体"/>
          <w:kern w:val="0"/>
          <w:sz w:val="24"/>
        </w:rPr>
      </w:pPr>
      <w:r>
        <w:rPr>
          <w:rFonts w:ascii="宋体" w:hAnsi="宋体"/>
          <w:kern w:val="0"/>
          <w:sz w:val="24"/>
        </w:rPr>
        <w:t>__________________</w:t>
      </w:r>
      <w:r>
        <w:rPr>
          <w:rFonts w:hint="eastAsia" w:ascii="宋体" w:hAnsi="宋体"/>
          <w:kern w:val="0"/>
          <w:sz w:val="24"/>
        </w:rPr>
        <w:t>局：</w:t>
      </w:r>
    </w:p>
    <w:p w14:paraId="222861F8">
      <w:pPr>
        <w:spacing w:line="360" w:lineRule="auto"/>
        <w:ind w:firstLine="480" w:firstLineChars="200"/>
        <w:rPr>
          <w:rFonts w:hint="eastAsia" w:ascii="宋体" w:hAnsi="宋体"/>
          <w:kern w:val="0"/>
          <w:sz w:val="24"/>
        </w:rPr>
      </w:pPr>
    </w:p>
    <w:p w14:paraId="43AF6AE4">
      <w:pPr>
        <w:spacing w:line="360" w:lineRule="auto"/>
        <w:ind w:firstLine="480" w:firstLineChars="200"/>
        <w:rPr>
          <w:rFonts w:ascii="宋体" w:hAnsi="宋体"/>
          <w:kern w:val="0"/>
          <w:sz w:val="24"/>
        </w:rPr>
      </w:pPr>
      <w:r>
        <w:rPr>
          <w:rFonts w:hint="eastAsia" w:ascii="宋体" w:hAnsi="宋体"/>
          <w:kern w:val="0"/>
          <w:sz w:val="24"/>
        </w:rPr>
        <w:t>根据《保障农民工工资支付条例》和《工程建设领域农民工工资保证金规定》，</w:t>
      </w:r>
      <w:r>
        <w:rPr>
          <w:rFonts w:ascii="宋体" w:hAnsi="宋体"/>
          <w:kern w:val="0"/>
          <w:sz w:val="24"/>
        </w:rPr>
        <w:t>_____________</w:t>
      </w:r>
      <w:r>
        <w:rPr>
          <w:rFonts w:hint="eastAsia" w:ascii="宋体" w:hAnsi="宋体"/>
          <w:kern w:val="0"/>
          <w:sz w:val="24"/>
        </w:rPr>
        <w:t>企业（以下简称</w:t>
      </w:r>
      <w:r>
        <w:rPr>
          <w:rFonts w:hint="eastAsia" w:ascii="宋体" w:hAnsi="宋体"/>
          <w:kern w:val="0"/>
          <w:sz w:val="24"/>
          <w:lang w:eastAsia="zh-CN"/>
        </w:rPr>
        <w:t>“</w:t>
      </w:r>
      <w:r>
        <w:rPr>
          <w:rFonts w:hint="eastAsia" w:ascii="宋体" w:hAnsi="宋体"/>
          <w:kern w:val="0"/>
          <w:sz w:val="24"/>
        </w:rPr>
        <w:t>存储企业</w:t>
      </w:r>
      <w:r>
        <w:rPr>
          <w:rFonts w:hint="eastAsia" w:ascii="宋体" w:hAnsi="宋体"/>
          <w:kern w:val="0"/>
          <w:sz w:val="24"/>
          <w:lang w:eastAsia="zh-CN"/>
        </w:rPr>
        <w:t>”</w:t>
      </w:r>
      <w:r>
        <w:rPr>
          <w:rFonts w:hint="eastAsia" w:ascii="宋体" w:hAnsi="宋体"/>
          <w:kern w:val="0"/>
          <w:sz w:val="24"/>
        </w:rPr>
        <w:t>，统一社会信用代码：</w:t>
      </w:r>
      <w:r>
        <w:rPr>
          <w:rFonts w:ascii="宋体" w:hAnsi="宋体"/>
          <w:kern w:val="0"/>
          <w:sz w:val="24"/>
        </w:rPr>
        <w:t>_____________</w:t>
      </w:r>
      <w:r>
        <w:rPr>
          <w:rFonts w:hint="eastAsia" w:ascii="宋体" w:hAnsi="宋体"/>
          <w:kern w:val="0"/>
          <w:sz w:val="24"/>
        </w:rPr>
        <w:t>）需依法存储</w:t>
      </w:r>
      <w:r>
        <w:rPr>
          <w:rFonts w:ascii="宋体" w:hAnsi="宋体"/>
          <w:kern w:val="0"/>
          <w:sz w:val="24"/>
        </w:rPr>
        <w:t>________________</w:t>
      </w:r>
      <w:r>
        <w:rPr>
          <w:rFonts w:hint="eastAsia" w:ascii="宋体" w:hAnsi="宋体"/>
          <w:kern w:val="0"/>
          <w:sz w:val="24"/>
        </w:rPr>
        <w:t>（金额大写：</w:t>
      </w:r>
      <w:r>
        <w:rPr>
          <w:rFonts w:ascii="宋体" w:hAnsi="宋体"/>
          <w:kern w:val="0"/>
          <w:sz w:val="24"/>
        </w:rPr>
        <w:t>__________</w:t>
      </w:r>
      <w:r>
        <w:rPr>
          <w:rFonts w:hint="eastAsia" w:ascii="宋体" w:hAnsi="宋体"/>
          <w:kern w:val="0"/>
          <w:sz w:val="24"/>
        </w:rPr>
        <w:t>）的农民工工资保证金。应存储企业申请，我行（担保银行名称、地址）兹开立以贵局为受益人，金额不超过</w:t>
      </w:r>
      <w:r>
        <w:rPr>
          <w:rFonts w:ascii="宋体" w:hAnsi="宋体"/>
          <w:kern w:val="0"/>
          <w:sz w:val="24"/>
        </w:rPr>
        <w:t>___________</w:t>
      </w:r>
      <w:r>
        <w:rPr>
          <w:rFonts w:hint="eastAsia" w:ascii="宋体" w:hAnsi="宋体"/>
          <w:kern w:val="0"/>
          <w:sz w:val="24"/>
        </w:rPr>
        <w:t>（金额大写：</w:t>
      </w:r>
      <w:r>
        <w:rPr>
          <w:rFonts w:ascii="宋体" w:hAnsi="宋体"/>
          <w:kern w:val="0"/>
          <w:sz w:val="24"/>
        </w:rPr>
        <w:t>___________</w:t>
      </w:r>
      <w:r>
        <w:rPr>
          <w:rFonts w:hint="eastAsia" w:ascii="宋体" w:hAnsi="宋体"/>
          <w:kern w:val="0"/>
          <w:sz w:val="24"/>
        </w:rPr>
        <w:t>）的不可撤销见索即付保函，保证存储企业支付所承包工程项目</w:t>
      </w:r>
      <w:r>
        <w:rPr>
          <w:rFonts w:ascii="宋体" w:hAnsi="宋体"/>
          <w:kern w:val="0"/>
          <w:sz w:val="24"/>
        </w:rPr>
        <w:t>_______________</w:t>
      </w:r>
      <w:r>
        <w:rPr>
          <w:rFonts w:hint="eastAsia" w:ascii="宋体" w:hAnsi="宋体"/>
          <w:kern w:val="0"/>
          <w:sz w:val="24"/>
        </w:rPr>
        <w:t>发生的拖欠农民工工资款项。</w:t>
      </w:r>
    </w:p>
    <w:p w14:paraId="2E38B4F0">
      <w:pPr>
        <w:spacing w:line="360" w:lineRule="auto"/>
        <w:ind w:firstLine="480" w:firstLineChars="200"/>
        <w:rPr>
          <w:rFonts w:ascii="宋体" w:hAnsi="宋体"/>
          <w:kern w:val="0"/>
          <w:sz w:val="24"/>
        </w:rPr>
      </w:pPr>
      <w:r>
        <w:rPr>
          <w:rFonts w:hint="eastAsia" w:ascii="宋体" w:hAnsi="宋体"/>
          <w:kern w:val="0"/>
          <w:sz w:val="24"/>
        </w:rPr>
        <w:t>我行保证在收到贵局出具的《农民工工资保证金支付通知书》及本保函正本原件</w:t>
      </w:r>
      <w:r>
        <w:rPr>
          <w:rFonts w:ascii="宋体" w:hAnsi="宋体"/>
          <w:kern w:val="0"/>
          <w:sz w:val="24"/>
        </w:rPr>
        <w:t>5</w:t>
      </w:r>
      <w:r>
        <w:rPr>
          <w:rFonts w:hint="eastAsia" w:ascii="宋体" w:hAnsi="宋体"/>
          <w:kern w:val="0"/>
          <w:sz w:val="24"/>
        </w:rPr>
        <w:t>个工作日内，在上述担保金额范围内，根据《农民工工资保证金支付通知书》向贵局承担担保责任。</w:t>
      </w:r>
    </w:p>
    <w:p w14:paraId="43AD6BAE">
      <w:pPr>
        <w:spacing w:line="360" w:lineRule="auto"/>
        <w:ind w:left="2" w:firstLine="477" w:firstLineChars="199"/>
        <w:rPr>
          <w:rFonts w:ascii="宋体" w:hAnsi="宋体"/>
          <w:kern w:val="0"/>
          <w:sz w:val="24"/>
        </w:rPr>
      </w:pPr>
      <w:r>
        <w:rPr>
          <w:rFonts w:hint="eastAsia" w:ascii="宋体" w:hAnsi="宋体"/>
          <w:kern w:val="0"/>
          <w:sz w:val="24"/>
        </w:rPr>
        <w:t>本保函有效期自</w:t>
      </w:r>
      <w:r>
        <w:rPr>
          <w:rFonts w:ascii="宋体" w:hAnsi="宋体"/>
          <w:kern w:val="0"/>
          <w:sz w:val="24"/>
        </w:rPr>
        <w:t>______</w:t>
      </w:r>
      <w:r>
        <w:rPr>
          <w:rFonts w:hint="eastAsia" w:ascii="宋体" w:hAnsi="宋体"/>
          <w:kern w:val="0"/>
          <w:sz w:val="24"/>
        </w:rPr>
        <w:t>年</w:t>
      </w:r>
      <w:r>
        <w:rPr>
          <w:rFonts w:ascii="宋体" w:hAnsi="宋体"/>
          <w:kern w:val="0"/>
          <w:sz w:val="24"/>
        </w:rPr>
        <w:t>_____</w:t>
      </w:r>
      <w:r>
        <w:rPr>
          <w:rFonts w:hint="eastAsia" w:ascii="宋体" w:hAnsi="宋体"/>
          <w:kern w:val="0"/>
          <w:sz w:val="24"/>
        </w:rPr>
        <w:t>月</w:t>
      </w:r>
      <w:r>
        <w:rPr>
          <w:rFonts w:ascii="宋体" w:hAnsi="宋体"/>
          <w:kern w:val="0"/>
          <w:sz w:val="24"/>
        </w:rPr>
        <w:t>_____</w:t>
      </w:r>
      <w:r>
        <w:rPr>
          <w:rFonts w:hint="eastAsia" w:ascii="宋体" w:hAnsi="宋体"/>
          <w:kern w:val="0"/>
          <w:sz w:val="24"/>
        </w:rPr>
        <w:t>日起至</w:t>
      </w:r>
      <w:r>
        <w:rPr>
          <w:rFonts w:ascii="宋体" w:hAnsi="宋体"/>
          <w:kern w:val="0"/>
          <w:sz w:val="24"/>
        </w:rPr>
        <w:t>_______</w:t>
      </w:r>
      <w:r>
        <w:rPr>
          <w:rFonts w:hint="eastAsia" w:ascii="宋体" w:hAnsi="宋体"/>
          <w:kern w:val="0"/>
          <w:sz w:val="24"/>
        </w:rPr>
        <w:t>年</w:t>
      </w:r>
      <w:r>
        <w:rPr>
          <w:rFonts w:ascii="宋体" w:hAnsi="宋体"/>
          <w:kern w:val="0"/>
          <w:sz w:val="24"/>
        </w:rPr>
        <w:t>_____</w:t>
      </w:r>
      <w:r>
        <w:rPr>
          <w:rFonts w:hint="eastAsia" w:ascii="宋体" w:hAnsi="宋体"/>
          <w:kern w:val="0"/>
          <w:sz w:val="24"/>
        </w:rPr>
        <w:t>月</w:t>
      </w:r>
      <w:r>
        <w:rPr>
          <w:rFonts w:ascii="宋体" w:hAnsi="宋体"/>
          <w:kern w:val="0"/>
          <w:sz w:val="24"/>
        </w:rPr>
        <w:t>_____</w:t>
      </w:r>
      <w:r>
        <w:rPr>
          <w:rFonts w:hint="eastAsia" w:ascii="宋体" w:hAnsi="宋体"/>
          <w:kern w:val="0"/>
          <w:sz w:val="24"/>
        </w:rPr>
        <w:t>日止。本保函超过有效期、担保义务履行完毕或开立新保函，本保函即行失效，无论本保函是否退回我行注销。</w:t>
      </w:r>
    </w:p>
    <w:p w14:paraId="459050A1">
      <w:pPr>
        <w:tabs>
          <w:tab w:val="left" w:pos="5970"/>
        </w:tabs>
        <w:spacing w:line="360" w:lineRule="auto"/>
        <w:ind w:firstLine="480" w:firstLineChars="200"/>
        <w:rPr>
          <w:rFonts w:ascii="宋体" w:hAnsi="宋体"/>
          <w:kern w:val="0"/>
          <w:sz w:val="24"/>
        </w:rPr>
      </w:pPr>
    </w:p>
    <w:p w14:paraId="0B5F8C0F">
      <w:pPr>
        <w:tabs>
          <w:tab w:val="left" w:pos="5970"/>
        </w:tabs>
        <w:spacing w:line="360" w:lineRule="auto"/>
        <w:ind w:firstLine="480" w:firstLineChars="200"/>
        <w:rPr>
          <w:rFonts w:ascii="宋体" w:hAnsi="宋体"/>
          <w:kern w:val="0"/>
          <w:sz w:val="24"/>
        </w:rPr>
      </w:pPr>
    </w:p>
    <w:p w14:paraId="50DBC8B3">
      <w:pPr>
        <w:tabs>
          <w:tab w:val="left" w:pos="5970"/>
        </w:tabs>
        <w:spacing w:line="360" w:lineRule="auto"/>
        <w:ind w:firstLine="480" w:firstLineChars="200"/>
        <w:rPr>
          <w:rFonts w:ascii="宋体" w:hAnsi="宋体"/>
          <w:kern w:val="0"/>
          <w:sz w:val="24"/>
        </w:rPr>
      </w:pPr>
      <w:r>
        <w:rPr>
          <w:rFonts w:hint="eastAsia" w:ascii="宋体" w:hAnsi="宋体"/>
          <w:kern w:val="0"/>
          <w:sz w:val="24"/>
        </w:rPr>
        <w:t xml:space="preserve">开户银行： </w:t>
      </w:r>
      <w:r>
        <w:rPr>
          <w:rFonts w:hint="eastAsia" w:ascii="宋体" w:hAnsi="宋体" w:cs="宋体"/>
          <w:sz w:val="24"/>
          <w:u w:val="single"/>
        </w:rPr>
        <w:t xml:space="preserve">                     </w:t>
      </w:r>
      <w:r>
        <w:rPr>
          <w:rFonts w:hint="eastAsia" w:ascii="宋体" w:hAnsi="宋体"/>
          <w:kern w:val="0"/>
          <w:sz w:val="24"/>
        </w:rPr>
        <w:t>（盖章）</w:t>
      </w:r>
    </w:p>
    <w:p w14:paraId="5E6EBF7E">
      <w:pPr>
        <w:tabs>
          <w:tab w:val="left" w:pos="5970"/>
        </w:tabs>
        <w:spacing w:line="360" w:lineRule="auto"/>
        <w:ind w:firstLine="480" w:firstLineChars="200"/>
        <w:rPr>
          <w:rFonts w:ascii="宋体" w:hAnsi="宋体"/>
          <w:kern w:val="0"/>
          <w:sz w:val="24"/>
        </w:rPr>
      </w:pPr>
      <w:r>
        <w:rPr>
          <w:rFonts w:hint="eastAsia" w:ascii="宋体" w:hAnsi="宋体"/>
          <w:kern w:val="0"/>
          <w:sz w:val="24"/>
        </w:rPr>
        <w:t>地</w:t>
      </w:r>
      <w:r>
        <w:rPr>
          <w:rFonts w:hint="eastAsia" w:ascii="宋体" w:hAnsi="宋体"/>
          <w:kern w:val="0"/>
          <w:sz w:val="24"/>
          <w:lang w:val="en-US" w:eastAsia="zh-CN"/>
        </w:rPr>
        <w:t xml:space="preserve">    </w:t>
      </w:r>
      <w:r>
        <w:rPr>
          <w:rFonts w:hint="eastAsia" w:ascii="宋体" w:hAnsi="宋体"/>
          <w:kern w:val="0"/>
          <w:sz w:val="24"/>
        </w:rPr>
        <w:t>址：</w:t>
      </w:r>
      <w:r>
        <w:rPr>
          <w:rFonts w:hint="eastAsia" w:ascii="宋体" w:hAnsi="宋体" w:cs="宋体"/>
          <w:sz w:val="24"/>
          <w:u w:val="single"/>
        </w:rPr>
        <w:t xml:space="preserve">                      </w:t>
      </w:r>
    </w:p>
    <w:p w14:paraId="698AB91E">
      <w:pPr>
        <w:tabs>
          <w:tab w:val="left" w:pos="5970"/>
        </w:tabs>
        <w:spacing w:line="360" w:lineRule="auto"/>
        <w:ind w:firstLine="480" w:firstLineChars="200"/>
        <w:rPr>
          <w:rFonts w:ascii="宋体" w:hAnsi="宋体"/>
          <w:kern w:val="0"/>
          <w:sz w:val="24"/>
        </w:rPr>
      </w:pPr>
      <w:r>
        <w:rPr>
          <w:rFonts w:hint="eastAsia" w:ascii="宋体" w:hAnsi="宋体"/>
          <w:kern w:val="0"/>
          <w:sz w:val="24"/>
        </w:rPr>
        <w:t>签字时间：</w:t>
      </w:r>
      <w:r>
        <w:rPr>
          <w:rFonts w:hint="eastAsia" w:ascii="宋体" w:hAnsi="宋体" w:cs="宋体"/>
          <w:sz w:val="24"/>
          <w:u w:val="single"/>
        </w:rPr>
        <w:t xml:space="preserve">                      </w:t>
      </w:r>
    </w:p>
    <w:p w14:paraId="308D30F0">
      <w:pPr>
        <w:rPr>
          <w:rFonts w:eastAsia="华文中宋"/>
        </w:rPr>
      </w:pPr>
    </w:p>
    <w:p w14:paraId="1147FF35">
      <w:pPr>
        <w:rPr>
          <w:rFonts w:hint="eastAsia" w:ascii="宋体" w:hAnsi="宋体"/>
          <w:kern w:val="0"/>
          <w:sz w:val="24"/>
        </w:rPr>
      </w:pPr>
    </w:p>
    <w:p w14:paraId="630F3320">
      <w:pPr>
        <w:rPr>
          <w:rFonts w:ascii="宋体" w:hAnsi="宋体"/>
          <w:kern w:val="0"/>
          <w:sz w:val="21"/>
          <w:szCs w:val="21"/>
        </w:rPr>
      </w:pPr>
      <w:r>
        <w:rPr>
          <w:rFonts w:hint="eastAsia" w:ascii="宋体" w:hAnsi="宋体"/>
          <w:kern w:val="0"/>
          <w:sz w:val="21"/>
          <w:szCs w:val="21"/>
        </w:rPr>
        <w:t>注：样本仅供参考，各地可根据《</w:t>
      </w:r>
      <w:r>
        <w:rPr>
          <w:rFonts w:hint="eastAsia" w:ascii="宋体" w:hAnsi="宋体"/>
          <w:kern w:val="0"/>
          <w:sz w:val="21"/>
          <w:szCs w:val="21"/>
          <w:lang w:val="en-US" w:eastAsia="zh-CN"/>
        </w:rPr>
        <w:t>工程建设领域农民工工资保证金</w:t>
      </w:r>
      <w:r>
        <w:rPr>
          <w:rFonts w:hint="eastAsia" w:ascii="宋体" w:hAnsi="宋体"/>
          <w:kern w:val="0"/>
          <w:sz w:val="21"/>
          <w:szCs w:val="21"/>
        </w:rPr>
        <w:t>规定》并结合银行监管和业务管理要求修订使用。</w:t>
      </w:r>
    </w:p>
    <w:bookmarkEnd w:id="847"/>
    <w:p w14:paraId="6939AB42">
      <w:pPr>
        <w:spacing w:line="360" w:lineRule="auto"/>
        <w:ind w:firstLine="480" w:firstLineChars="200"/>
        <w:rPr>
          <w:rFonts w:ascii="宋体" w:hAnsi="宋体" w:cs="宋体"/>
          <w:sz w:val="24"/>
        </w:rPr>
      </w:pPr>
    </w:p>
    <w:p w14:paraId="35421285">
      <w:pPr>
        <w:pStyle w:val="20"/>
        <w:rPr>
          <w:sz w:val="20"/>
        </w:rPr>
      </w:pPr>
    </w:p>
    <w:p w14:paraId="7CFC0BAB">
      <w:pPr>
        <w:pStyle w:val="20"/>
        <w:rPr>
          <w:sz w:val="20"/>
        </w:rPr>
        <w:sectPr>
          <w:footerReference r:id="rId13" w:type="even"/>
          <w:footnotePr>
            <w:numFmt w:val="decimalEnclosedCircleChinese"/>
            <w:numRestart w:val="eachPage"/>
          </w:footnotePr>
          <w:pgSz w:w="11907" w:h="16840"/>
          <w:pgMar w:top="1418" w:right="1418" w:bottom="1418" w:left="1701" w:header="851" w:footer="624" w:gutter="0"/>
          <w:cols w:space="720" w:num="1"/>
          <w:docGrid w:linePitch="312" w:charSpace="0"/>
        </w:sectPr>
      </w:pPr>
    </w:p>
    <w:p w14:paraId="34E12A87">
      <w:pPr>
        <w:outlineLvl w:val="2"/>
        <w:rPr>
          <w:rStyle w:val="350"/>
          <w:b w:val="0"/>
          <w:bCs w:val="0"/>
          <w:sz w:val="24"/>
          <w:szCs w:val="24"/>
        </w:rPr>
      </w:pPr>
      <w:r>
        <w:rPr>
          <w:rStyle w:val="350"/>
          <w:b w:val="0"/>
          <w:bCs w:val="0"/>
          <w:sz w:val="24"/>
          <w:szCs w:val="24"/>
        </w:rPr>
        <w:t>附件十四 房屋建筑工程质量保修书格式</w:t>
      </w:r>
      <w:r>
        <w:rPr>
          <w:rStyle w:val="350"/>
          <w:rFonts w:hint="eastAsia"/>
          <w:b w:val="0"/>
          <w:bCs w:val="0"/>
          <w:sz w:val="24"/>
          <w:szCs w:val="24"/>
        </w:rPr>
        <w:t>（</w:t>
      </w:r>
      <w:r>
        <w:rPr>
          <w:rStyle w:val="350"/>
          <w:rFonts w:hint="eastAsia"/>
          <w:sz w:val="24"/>
          <w:szCs w:val="24"/>
        </w:rPr>
        <w:t>适用于房建工程施工招标</w:t>
      </w:r>
      <w:r>
        <w:rPr>
          <w:rStyle w:val="350"/>
          <w:rFonts w:hint="eastAsia"/>
          <w:b w:val="0"/>
          <w:bCs w:val="0"/>
          <w:sz w:val="24"/>
          <w:szCs w:val="24"/>
        </w:rPr>
        <w:t>）</w:t>
      </w:r>
    </w:p>
    <w:p w14:paraId="15C5DAEB">
      <w:pPr>
        <w:spacing w:before="198" w:line="360" w:lineRule="auto"/>
        <w:ind w:left="144"/>
        <w:jc w:val="center"/>
        <w:rPr>
          <w:rFonts w:ascii="黑体" w:hAnsi="黑体" w:eastAsia="黑体"/>
          <w:sz w:val="28"/>
          <w:szCs w:val="28"/>
        </w:rPr>
      </w:pPr>
      <w:r>
        <w:rPr>
          <w:rFonts w:hint="eastAsia" w:hAnsi="宋体" w:cs="Courier New"/>
          <w:sz w:val="24"/>
        </w:rPr>
        <w:t xml:space="preserve"> </w:t>
      </w:r>
      <w:r>
        <w:rPr>
          <w:rFonts w:hint="eastAsia" w:ascii="黑体" w:hAnsi="黑体" w:eastAsia="黑体"/>
          <w:sz w:val="28"/>
          <w:szCs w:val="28"/>
        </w:rPr>
        <w:t>房屋建筑工程质量保修书</w:t>
      </w:r>
    </w:p>
    <w:p w14:paraId="7347A1B9">
      <w:pPr>
        <w:spacing w:line="440" w:lineRule="exact"/>
        <w:jc w:val="center"/>
        <w:rPr>
          <w:rFonts w:ascii="宋体" w:hAnsi="宋体"/>
          <w:sz w:val="24"/>
        </w:rPr>
      </w:pPr>
    </w:p>
    <w:p w14:paraId="7FC0C2BA">
      <w:pPr>
        <w:spacing w:line="360" w:lineRule="auto"/>
        <w:rPr>
          <w:rFonts w:ascii="宋体" w:hAnsi="宋体"/>
          <w:sz w:val="24"/>
          <w:u w:val="single"/>
        </w:rPr>
      </w:pPr>
      <w:r>
        <w:rPr>
          <w:rFonts w:hint="eastAsia" w:ascii="宋体" w:hAnsi="宋体"/>
          <w:sz w:val="24"/>
        </w:rPr>
        <w:t>发包人（全称）：</w:t>
      </w:r>
      <w:r>
        <w:rPr>
          <w:rFonts w:hint="eastAsia" w:ascii="宋体" w:hAnsi="宋体"/>
          <w:sz w:val="24"/>
          <w:u w:val="single"/>
        </w:rPr>
        <w:t xml:space="preserve">                     </w:t>
      </w:r>
    </w:p>
    <w:p w14:paraId="114D4E21">
      <w:pPr>
        <w:spacing w:line="360" w:lineRule="auto"/>
        <w:rPr>
          <w:rFonts w:ascii="宋体" w:hAnsi="宋体"/>
          <w:sz w:val="24"/>
          <w:u w:val="single"/>
        </w:rPr>
      </w:pPr>
      <w:r>
        <w:rPr>
          <w:rFonts w:hint="eastAsia" w:ascii="宋体" w:hAnsi="宋体"/>
          <w:sz w:val="24"/>
        </w:rPr>
        <w:t>承包人（全称）：</w:t>
      </w:r>
      <w:r>
        <w:rPr>
          <w:rFonts w:hint="eastAsia" w:ascii="宋体" w:hAnsi="宋体"/>
          <w:sz w:val="24"/>
          <w:u w:val="single"/>
        </w:rPr>
        <w:t xml:space="preserve">                     </w:t>
      </w:r>
    </w:p>
    <w:p w14:paraId="0DD43DEB">
      <w:pPr>
        <w:spacing w:line="360" w:lineRule="auto"/>
        <w:rPr>
          <w:rFonts w:ascii="宋体" w:hAnsi="宋体"/>
          <w:sz w:val="24"/>
          <w:u w:val="single"/>
        </w:rPr>
      </w:pPr>
    </w:p>
    <w:p w14:paraId="1D7F2E56">
      <w:pPr>
        <w:spacing w:line="360" w:lineRule="auto"/>
        <w:ind w:firstLine="480" w:firstLineChars="200"/>
        <w:rPr>
          <w:rFonts w:ascii="宋体" w:hAnsi="宋体"/>
          <w:sz w:val="24"/>
        </w:rPr>
      </w:pPr>
      <w:r>
        <w:rPr>
          <w:rFonts w:hint="eastAsia" w:ascii="宋体" w:hAnsi="宋体"/>
          <w:sz w:val="24"/>
        </w:rPr>
        <w:t>发包人、承包人根据《中华人民共和国建筑法》《建筑工程质量管理条件》和《房屋建筑工程质量保修办法》，经协商一致，对</w:t>
      </w:r>
      <w:r>
        <w:rPr>
          <w:rFonts w:hint="eastAsia" w:ascii="宋体" w:hAnsi="宋体"/>
          <w:sz w:val="24"/>
          <w:u w:val="single"/>
        </w:rPr>
        <w:t xml:space="preserve">       </w:t>
      </w:r>
      <w:r>
        <w:rPr>
          <w:rFonts w:hint="eastAsia" w:ascii="宋体" w:hAnsi="宋体"/>
          <w:sz w:val="24"/>
        </w:rPr>
        <w:t>（工程名称）签订工程质量保修书。</w:t>
      </w:r>
    </w:p>
    <w:p w14:paraId="38A5D3C1">
      <w:pPr>
        <w:numPr>
          <w:ilvl w:val="255"/>
          <w:numId w:val="0"/>
        </w:numPr>
        <w:adjustRightInd w:val="0"/>
        <w:snapToGrid w:val="0"/>
        <w:spacing w:line="360" w:lineRule="auto"/>
        <w:ind w:firstLine="480"/>
        <w:rPr>
          <w:rFonts w:ascii="宋体" w:hAnsi="宋体" w:cs="宋体"/>
          <w:sz w:val="24"/>
        </w:rPr>
      </w:pPr>
      <w:r>
        <w:rPr>
          <w:rFonts w:hint="eastAsia" w:ascii="宋体" w:hAnsi="宋体" w:cs="宋体"/>
          <w:sz w:val="24"/>
        </w:rPr>
        <w:t>1.工程质量保修范围和内容</w:t>
      </w:r>
    </w:p>
    <w:p w14:paraId="4B9AE9E9">
      <w:pPr>
        <w:spacing w:line="360" w:lineRule="auto"/>
        <w:ind w:firstLine="480" w:firstLineChars="200"/>
        <w:rPr>
          <w:rFonts w:ascii="宋体" w:hAnsi="宋体"/>
          <w:sz w:val="24"/>
        </w:rPr>
      </w:pPr>
      <w:r>
        <w:rPr>
          <w:rFonts w:hint="eastAsia" w:ascii="宋体" w:hAnsi="宋体"/>
          <w:sz w:val="24"/>
        </w:rPr>
        <w:t>承包人在质量保修期内，按照有关法律、法规、规章规定和双方约定，承担本工程质量保修责任。</w:t>
      </w:r>
    </w:p>
    <w:p w14:paraId="7B18A2D7">
      <w:pPr>
        <w:spacing w:line="360" w:lineRule="auto"/>
        <w:ind w:firstLine="480" w:firstLineChars="200"/>
        <w:rPr>
          <w:rFonts w:ascii="宋体" w:hAnsi="宋体"/>
          <w:sz w:val="24"/>
        </w:rPr>
      </w:pPr>
      <w:r>
        <w:rPr>
          <w:rFonts w:hint="eastAsia" w:ascii="宋体" w:hAnsi="宋体"/>
          <w:sz w:val="24"/>
        </w:rPr>
        <w:t>质量保修范围包括地基基础工程、主体结构工程，屋面防水工程、有防水要求的卫生间、房间和外墙面的防渗漏，供热与冷系统，电气管线、给排水管道、设备安装和装修工程，以及双方约定的其他项目。具体保修的内容，双方约定如下：</w:t>
      </w:r>
    </w:p>
    <w:p w14:paraId="43F919C4">
      <w:pPr>
        <w:spacing w:line="360" w:lineRule="auto"/>
        <w:rPr>
          <w:rFonts w:ascii="宋体" w:hAnsi="宋体"/>
          <w:sz w:val="24"/>
          <w:u w:val="single"/>
        </w:rPr>
      </w:pPr>
      <w:r>
        <w:rPr>
          <w:rFonts w:hint="eastAsia" w:ascii="宋体" w:hAnsi="宋体"/>
          <w:sz w:val="24"/>
          <w:u w:val="single"/>
        </w:rPr>
        <w:t xml:space="preserve">                                                                                    </w:t>
      </w:r>
    </w:p>
    <w:p w14:paraId="5E94BE74">
      <w:pPr>
        <w:spacing w:line="360" w:lineRule="auto"/>
        <w:rPr>
          <w:rFonts w:ascii="宋体" w:hAnsi="宋体"/>
          <w:sz w:val="24"/>
          <w:u w:val="single"/>
        </w:rPr>
      </w:pPr>
      <w:r>
        <w:rPr>
          <w:rFonts w:hint="eastAsia" w:ascii="宋体" w:hAnsi="宋体"/>
          <w:sz w:val="24"/>
          <w:u w:val="single"/>
        </w:rPr>
        <w:t xml:space="preserve">                                                                                     </w:t>
      </w:r>
    </w:p>
    <w:p w14:paraId="19E58BCF">
      <w:pPr>
        <w:spacing w:line="360" w:lineRule="auto"/>
        <w:rPr>
          <w:rFonts w:ascii="宋体" w:hAnsi="宋体"/>
          <w:sz w:val="24"/>
        </w:rPr>
      </w:pPr>
      <w:r>
        <w:rPr>
          <w:rFonts w:hint="eastAsia" w:ascii="宋体" w:hAnsi="宋体"/>
          <w:sz w:val="24"/>
          <w:u w:val="single"/>
        </w:rPr>
        <w:t xml:space="preserve">                                                                                      </w:t>
      </w:r>
    </w:p>
    <w:p w14:paraId="33D3F9C7">
      <w:pPr>
        <w:adjustRightInd w:val="0"/>
        <w:snapToGrid w:val="0"/>
        <w:spacing w:line="360" w:lineRule="auto"/>
        <w:ind w:firstLine="480"/>
        <w:rPr>
          <w:rFonts w:ascii="宋体" w:hAnsi="宋体" w:cs="宋体"/>
          <w:sz w:val="24"/>
        </w:rPr>
      </w:pPr>
      <w:r>
        <w:rPr>
          <w:rFonts w:hint="eastAsia" w:ascii="宋体" w:hAnsi="宋体" w:cs="宋体"/>
          <w:sz w:val="24"/>
        </w:rPr>
        <w:t>2．质量保修期</w:t>
      </w:r>
    </w:p>
    <w:p w14:paraId="5837C7B6">
      <w:pPr>
        <w:spacing w:line="360" w:lineRule="auto"/>
        <w:ind w:firstLine="480" w:firstLineChars="200"/>
        <w:rPr>
          <w:rFonts w:ascii="宋体" w:hAnsi="宋体"/>
          <w:sz w:val="24"/>
        </w:rPr>
      </w:pPr>
      <w:r>
        <w:rPr>
          <w:rFonts w:hint="eastAsia" w:ascii="宋体" w:hAnsi="宋体"/>
          <w:sz w:val="24"/>
        </w:rPr>
        <w:t>2.1 双方根据《建设工程质量管理条例》及有关规定，约定本工程的质量保修如下：</w:t>
      </w:r>
    </w:p>
    <w:p w14:paraId="66F32A5E">
      <w:pPr>
        <w:spacing w:line="360" w:lineRule="auto"/>
        <w:ind w:firstLine="480" w:firstLineChars="200"/>
        <w:rPr>
          <w:rFonts w:ascii="宋体" w:hAnsi="宋体"/>
          <w:sz w:val="24"/>
        </w:rPr>
      </w:pPr>
      <w:r>
        <w:rPr>
          <w:rFonts w:hint="eastAsia" w:ascii="宋体" w:hAnsi="宋体"/>
          <w:sz w:val="24"/>
        </w:rPr>
        <w:t>（1）地基基础工程和主体结构工程为设计文件规定的该工程合理使用年限；</w:t>
      </w:r>
    </w:p>
    <w:p w14:paraId="1D4E85DB">
      <w:pPr>
        <w:spacing w:line="360" w:lineRule="auto"/>
        <w:ind w:firstLine="480" w:firstLineChars="200"/>
        <w:rPr>
          <w:rFonts w:ascii="宋体" w:hAnsi="宋体"/>
          <w:sz w:val="24"/>
        </w:rPr>
      </w:pPr>
      <w:r>
        <w:rPr>
          <w:rFonts w:hint="eastAsia" w:ascii="宋体" w:hAnsi="宋体"/>
          <w:sz w:val="24"/>
        </w:rPr>
        <w:t>（2）屋面防水工程、有防水要求的卫生间、房间和外墙面的防渗漏为</w:t>
      </w:r>
      <w:r>
        <w:rPr>
          <w:rFonts w:hint="eastAsia" w:ascii="宋体" w:hAnsi="宋体"/>
          <w:sz w:val="24"/>
          <w:u w:val="single"/>
        </w:rPr>
        <w:t xml:space="preserve">   </w:t>
      </w:r>
      <w:r>
        <w:rPr>
          <w:rFonts w:hint="eastAsia" w:ascii="宋体" w:hAnsi="宋体"/>
          <w:sz w:val="24"/>
        </w:rPr>
        <w:t>年；</w:t>
      </w:r>
    </w:p>
    <w:p w14:paraId="1112AAF3">
      <w:pPr>
        <w:spacing w:line="360" w:lineRule="auto"/>
        <w:ind w:firstLine="480" w:firstLineChars="200"/>
        <w:rPr>
          <w:rFonts w:ascii="宋体" w:hAnsi="宋体"/>
          <w:sz w:val="24"/>
        </w:rPr>
      </w:pPr>
      <w:r>
        <w:rPr>
          <w:rFonts w:hint="eastAsia" w:ascii="宋体" w:hAnsi="宋体"/>
          <w:sz w:val="24"/>
        </w:rPr>
        <w:t>（3）装修工程为</w:t>
      </w:r>
      <w:r>
        <w:rPr>
          <w:rFonts w:hint="eastAsia" w:ascii="宋体" w:hAnsi="宋体"/>
          <w:sz w:val="24"/>
          <w:u w:val="single"/>
        </w:rPr>
        <w:t xml:space="preserve">   </w:t>
      </w:r>
      <w:r>
        <w:rPr>
          <w:rFonts w:hint="eastAsia" w:ascii="宋体" w:hAnsi="宋体"/>
          <w:sz w:val="24"/>
        </w:rPr>
        <w:t>年；</w:t>
      </w:r>
    </w:p>
    <w:p w14:paraId="331AB45B">
      <w:pPr>
        <w:spacing w:line="360" w:lineRule="auto"/>
        <w:ind w:firstLine="480" w:firstLineChars="200"/>
        <w:rPr>
          <w:rFonts w:ascii="宋体" w:hAnsi="宋体"/>
          <w:sz w:val="24"/>
        </w:rPr>
      </w:pPr>
      <w:r>
        <w:rPr>
          <w:rFonts w:hint="eastAsia" w:ascii="宋体" w:hAnsi="宋体"/>
          <w:sz w:val="24"/>
        </w:rPr>
        <w:t>（4）电气管线、给排水管道、设备安装工程为</w:t>
      </w:r>
      <w:r>
        <w:rPr>
          <w:rFonts w:hint="eastAsia" w:ascii="宋体" w:hAnsi="宋体"/>
          <w:sz w:val="24"/>
          <w:u w:val="single"/>
        </w:rPr>
        <w:t xml:space="preserve">   </w:t>
      </w:r>
      <w:r>
        <w:rPr>
          <w:rFonts w:hint="eastAsia" w:ascii="宋体" w:hAnsi="宋体"/>
          <w:sz w:val="24"/>
        </w:rPr>
        <w:t>年；</w:t>
      </w:r>
    </w:p>
    <w:p w14:paraId="358DEB2E">
      <w:pPr>
        <w:spacing w:line="360" w:lineRule="auto"/>
        <w:ind w:firstLine="480" w:firstLineChars="200"/>
        <w:rPr>
          <w:rFonts w:ascii="宋体" w:hAnsi="宋体"/>
          <w:sz w:val="24"/>
        </w:rPr>
      </w:pPr>
      <w:r>
        <w:rPr>
          <w:rFonts w:hint="eastAsia" w:ascii="宋体" w:hAnsi="宋体"/>
          <w:sz w:val="24"/>
        </w:rPr>
        <w:t>（5）供热与供冷系统为</w:t>
      </w:r>
      <w:r>
        <w:rPr>
          <w:rFonts w:hint="eastAsia" w:ascii="宋体" w:hAnsi="宋体"/>
          <w:sz w:val="24"/>
          <w:u w:val="single"/>
        </w:rPr>
        <w:t xml:space="preserve">   </w:t>
      </w:r>
      <w:r>
        <w:rPr>
          <w:rFonts w:hint="eastAsia" w:ascii="宋体" w:hAnsi="宋体"/>
          <w:sz w:val="24"/>
        </w:rPr>
        <w:t>个采暖期、供冷期；</w:t>
      </w:r>
    </w:p>
    <w:p w14:paraId="22708CA1">
      <w:pPr>
        <w:spacing w:line="360" w:lineRule="auto"/>
        <w:ind w:firstLine="480" w:firstLineChars="200"/>
        <w:rPr>
          <w:rFonts w:ascii="宋体" w:hAnsi="宋体"/>
          <w:sz w:val="24"/>
        </w:rPr>
      </w:pPr>
      <w:r>
        <w:rPr>
          <w:rFonts w:hint="eastAsia" w:ascii="宋体" w:hAnsi="宋体"/>
          <w:sz w:val="24"/>
        </w:rPr>
        <w:t>（6）给排水设施、道路等配套工程为</w:t>
      </w:r>
      <w:r>
        <w:rPr>
          <w:rFonts w:hint="eastAsia" w:ascii="宋体" w:hAnsi="宋体"/>
          <w:sz w:val="24"/>
          <w:u w:val="single"/>
        </w:rPr>
        <w:t xml:space="preserve">   </w:t>
      </w:r>
      <w:r>
        <w:rPr>
          <w:rFonts w:hint="eastAsia" w:ascii="宋体" w:hAnsi="宋体"/>
          <w:sz w:val="24"/>
        </w:rPr>
        <w:t>年；</w:t>
      </w:r>
    </w:p>
    <w:p w14:paraId="53FA0AB8">
      <w:pPr>
        <w:spacing w:line="360" w:lineRule="auto"/>
        <w:ind w:firstLine="480" w:firstLineChars="200"/>
        <w:rPr>
          <w:rFonts w:ascii="宋体" w:hAnsi="宋体"/>
          <w:sz w:val="24"/>
        </w:rPr>
      </w:pPr>
      <w:r>
        <w:rPr>
          <w:rFonts w:hint="eastAsia" w:ascii="宋体" w:hAnsi="宋体"/>
          <w:sz w:val="24"/>
        </w:rPr>
        <w:t>（7）其他项目保修期限约定如下：</w:t>
      </w:r>
    </w:p>
    <w:p w14:paraId="01BD6D85">
      <w:pPr>
        <w:spacing w:line="360" w:lineRule="auto"/>
        <w:rPr>
          <w:rFonts w:ascii="宋体" w:hAnsi="宋体"/>
          <w:sz w:val="24"/>
          <w:u w:val="single"/>
        </w:rPr>
      </w:pPr>
      <w:r>
        <w:rPr>
          <w:rFonts w:hint="eastAsia" w:ascii="宋体" w:hAnsi="宋体"/>
          <w:sz w:val="24"/>
          <w:u w:val="single"/>
        </w:rPr>
        <w:t xml:space="preserve">                                                                                      </w:t>
      </w:r>
    </w:p>
    <w:p w14:paraId="0FF9AB88">
      <w:pPr>
        <w:spacing w:line="360" w:lineRule="auto"/>
        <w:rPr>
          <w:rFonts w:ascii="宋体" w:hAnsi="宋体"/>
          <w:sz w:val="24"/>
          <w:u w:val="single"/>
        </w:rPr>
      </w:pPr>
      <w:r>
        <w:rPr>
          <w:rFonts w:hint="eastAsia" w:ascii="宋体" w:hAnsi="宋体"/>
          <w:sz w:val="24"/>
          <w:u w:val="single"/>
        </w:rPr>
        <w:t xml:space="preserve">                                                                                       </w:t>
      </w:r>
    </w:p>
    <w:p w14:paraId="4D3F7080">
      <w:pPr>
        <w:spacing w:line="360" w:lineRule="auto"/>
        <w:rPr>
          <w:rFonts w:ascii="宋体" w:hAnsi="宋体"/>
          <w:sz w:val="24"/>
        </w:rPr>
      </w:pPr>
      <w:r>
        <w:rPr>
          <w:rFonts w:hint="eastAsia" w:ascii="宋体" w:hAnsi="宋体"/>
          <w:sz w:val="24"/>
          <w:u w:val="single"/>
        </w:rPr>
        <w:t xml:space="preserve">                                                                                       </w:t>
      </w:r>
    </w:p>
    <w:p w14:paraId="64A21AE3">
      <w:pPr>
        <w:spacing w:line="360" w:lineRule="auto"/>
        <w:ind w:firstLine="480" w:firstLineChars="200"/>
        <w:rPr>
          <w:rFonts w:ascii="宋体" w:hAnsi="宋体"/>
          <w:sz w:val="24"/>
        </w:rPr>
      </w:pPr>
      <w:r>
        <w:rPr>
          <w:rFonts w:hint="eastAsia" w:ascii="宋体" w:hAnsi="宋体"/>
          <w:sz w:val="24"/>
        </w:rPr>
        <w:t>2.2  质量保修期自工程交工验收合格之日起计算。</w:t>
      </w:r>
    </w:p>
    <w:p w14:paraId="4BABC2B0">
      <w:pPr>
        <w:adjustRightInd w:val="0"/>
        <w:snapToGrid w:val="0"/>
        <w:spacing w:line="360" w:lineRule="auto"/>
        <w:ind w:firstLine="480"/>
        <w:rPr>
          <w:rFonts w:ascii="宋体" w:hAnsi="宋体" w:cs="宋体"/>
          <w:sz w:val="24"/>
        </w:rPr>
      </w:pPr>
      <w:r>
        <w:rPr>
          <w:rFonts w:hint="eastAsia" w:ascii="宋体" w:hAnsi="宋体" w:cs="宋体"/>
          <w:sz w:val="24"/>
        </w:rPr>
        <w:t>3．质量保修责任</w:t>
      </w:r>
    </w:p>
    <w:p w14:paraId="57490D73">
      <w:pPr>
        <w:spacing w:line="360" w:lineRule="auto"/>
        <w:ind w:firstLine="480" w:firstLineChars="200"/>
        <w:rPr>
          <w:rFonts w:ascii="宋体" w:hAnsi="宋体"/>
          <w:sz w:val="24"/>
        </w:rPr>
      </w:pPr>
      <w:r>
        <w:rPr>
          <w:rFonts w:hint="eastAsia" w:ascii="宋体" w:hAnsi="宋体"/>
          <w:sz w:val="24"/>
        </w:rPr>
        <w:t>3.1  属于保修范围、内容的项目，承包人应当在接到保修通知之日起7天内派人保修。承包人不在约定期限内派人保修的，业主可以委托他人修理。</w:t>
      </w:r>
    </w:p>
    <w:p w14:paraId="4286A927">
      <w:pPr>
        <w:spacing w:line="360" w:lineRule="auto"/>
        <w:ind w:firstLine="480" w:firstLineChars="200"/>
        <w:rPr>
          <w:rFonts w:ascii="宋体" w:hAnsi="宋体"/>
          <w:sz w:val="24"/>
        </w:rPr>
      </w:pPr>
      <w:r>
        <w:rPr>
          <w:rFonts w:hint="eastAsia" w:ascii="宋体" w:hAnsi="宋体"/>
          <w:sz w:val="24"/>
        </w:rPr>
        <w:t>3.2  发生紧急抢修事故的，承包人在接到事故通知后，应当立即到达事故现场抢修。</w:t>
      </w:r>
    </w:p>
    <w:p w14:paraId="0BE27DB0">
      <w:pPr>
        <w:spacing w:line="360" w:lineRule="auto"/>
        <w:ind w:firstLine="480" w:firstLineChars="200"/>
        <w:rPr>
          <w:rFonts w:ascii="宋体" w:hAnsi="宋体"/>
          <w:sz w:val="24"/>
        </w:rPr>
      </w:pPr>
      <w:r>
        <w:rPr>
          <w:rFonts w:hint="eastAsia" w:ascii="宋体" w:hAnsi="宋体"/>
          <w:sz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90FB98C">
      <w:pPr>
        <w:spacing w:line="360" w:lineRule="auto"/>
        <w:ind w:firstLine="480" w:firstLineChars="200"/>
        <w:rPr>
          <w:rFonts w:ascii="宋体" w:hAnsi="宋体"/>
          <w:sz w:val="24"/>
        </w:rPr>
      </w:pPr>
      <w:r>
        <w:rPr>
          <w:rFonts w:hint="eastAsia" w:ascii="宋体" w:hAnsi="宋体"/>
          <w:sz w:val="24"/>
        </w:rPr>
        <w:t>3.4  质量保修完成后，由业主组织验收。</w:t>
      </w:r>
    </w:p>
    <w:p w14:paraId="198E82DC">
      <w:pPr>
        <w:spacing w:line="360" w:lineRule="auto"/>
        <w:ind w:firstLine="480" w:firstLineChars="200"/>
        <w:rPr>
          <w:rFonts w:ascii="宋体" w:hAnsi="宋体" w:cs="宋体"/>
          <w:sz w:val="24"/>
        </w:rPr>
      </w:pPr>
      <w:r>
        <w:rPr>
          <w:rFonts w:hint="eastAsia" w:ascii="宋体" w:hAnsi="宋体" w:cs="宋体"/>
          <w:sz w:val="24"/>
        </w:rPr>
        <w:t>4．保修费用</w:t>
      </w:r>
    </w:p>
    <w:p w14:paraId="2389EE1A">
      <w:pPr>
        <w:numPr>
          <w:ilvl w:val="1"/>
          <w:numId w:val="11"/>
        </w:numPr>
        <w:spacing w:line="360" w:lineRule="auto"/>
        <w:rPr>
          <w:rFonts w:ascii="宋体" w:hAnsi="宋体"/>
          <w:sz w:val="24"/>
        </w:rPr>
      </w:pPr>
      <w:r>
        <w:rPr>
          <w:rFonts w:hint="eastAsia" w:ascii="宋体" w:hAnsi="宋体"/>
          <w:sz w:val="24"/>
        </w:rPr>
        <w:t>保修费用由造成质量缺陷的责任方承担。</w:t>
      </w:r>
    </w:p>
    <w:p w14:paraId="704CDEB3">
      <w:pPr>
        <w:spacing w:line="360" w:lineRule="auto"/>
        <w:ind w:firstLine="480" w:firstLineChars="200"/>
        <w:rPr>
          <w:rFonts w:ascii="宋体" w:hAnsi="宋体" w:cs="宋体"/>
          <w:sz w:val="24"/>
        </w:rPr>
      </w:pPr>
      <w:r>
        <w:rPr>
          <w:rFonts w:hint="eastAsia" w:ascii="宋体" w:hAnsi="宋体" w:cs="宋体"/>
          <w:sz w:val="24"/>
        </w:rPr>
        <w:t>5．其他</w:t>
      </w:r>
    </w:p>
    <w:p w14:paraId="0B3D8EA7">
      <w:pPr>
        <w:spacing w:line="360" w:lineRule="auto"/>
        <w:ind w:firstLine="480" w:firstLineChars="200"/>
        <w:rPr>
          <w:rFonts w:ascii="宋体" w:hAnsi="宋体"/>
          <w:sz w:val="24"/>
          <w:u w:val="single"/>
        </w:rPr>
      </w:pPr>
      <w:r>
        <w:rPr>
          <w:rFonts w:hint="eastAsia" w:ascii="宋体" w:hAnsi="宋体"/>
          <w:sz w:val="24"/>
        </w:rPr>
        <w:t>5.1  双方约定的其他工程质量保修事项：</w:t>
      </w:r>
      <w:r>
        <w:rPr>
          <w:rFonts w:hint="eastAsia" w:ascii="宋体" w:hAnsi="宋体"/>
          <w:sz w:val="24"/>
          <w:u w:val="single"/>
        </w:rPr>
        <w:t xml:space="preserve">                                                                     </w:t>
      </w:r>
    </w:p>
    <w:p w14:paraId="68D80042">
      <w:pPr>
        <w:spacing w:line="360" w:lineRule="auto"/>
        <w:rPr>
          <w:rFonts w:ascii="宋体" w:hAnsi="宋体"/>
          <w:sz w:val="24"/>
          <w:u w:val="single"/>
        </w:rPr>
      </w:pPr>
      <w:r>
        <w:rPr>
          <w:rFonts w:hint="eastAsia" w:ascii="宋体" w:hAnsi="宋体"/>
          <w:sz w:val="24"/>
          <w:u w:val="single"/>
        </w:rPr>
        <w:t xml:space="preserve">                                                                                        </w:t>
      </w:r>
    </w:p>
    <w:p w14:paraId="72C79A14">
      <w:pPr>
        <w:spacing w:line="360" w:lineRule="auto"/>
        <w:rPr>
          <w:rFonts w:ascii="宋体" w:hAnsi="宋体"/>
          <w:sz w:val="24"/>
          <w:u w:val="single"/>
        </w:rPr>
      </w:pPr>
      <w:r>
        <w:rPr>
          <w:rFonts w:hint="eastAsia" w:ascii="宋体" w:hAnsi="宋体"/>
          <w:sz w:val="24"/>
          <w:u w:val="single"/>
        </w:rPr>
        <w:t xml:space="preserve">                                                                                        </w:t>
      </w:r>
    </w:p>
    <w:p w14:paraId="5BFCF754">
      <w:pPr>
        <w:spacing w:line="360" w:lineRule="auto"/>
        <w:ind w:firstLine="480" w:firstLineChars="200"/>
        <w:rPr>
          <w:rFonts w:ascii="宋体" w:hAnsi="宋体"/>
          <w:sz w:val="24"/>
        </w:rPr>
      </w:pPr>
      <w:r>
        <w:rPr>
          <w:rFonts w:hint="eastAsia" w:ascii="宋体" w:hAnsi="宋体"/>
          <w:sz w:val="24"/>
        </w:rPr>
        <w:t>5.2  本工程质量保修书，由施工合同业主、承包人双方在缺陷责任终止证书颁发之前共同签署，作为施工合同附件，其有效期限至质量保修期满。</w:t>
      </w:r>
    </w:p>
    <w:p w14:paraId="6C0152F2">
      <w:pPr>
        <w:spacing w:line="360" w:lineRule="auto"/>
        <w:rPr>
          <w:rFonts w:ascii="宋体" w:hAnsi="宋体"/>
          <w:sz w:val="24"/>
        </w:rPr>
      </w:pPr>
    </w:p>
    <w:p w14:paraId="3C8C712A">
      <w:pPr>
        <w:spacing w:line="360" w:lineRule="auto"/>
        <w:ind w:firstLine="480"/>
        <w:rPr>
          <w:rFonts w:ascii="宋体" w:hAnsi="宋体"/>
          <w:sz w:val="24"/>
        </w:rPr>
      </w:pPr>
      <w:r>
        <w:rPr>
          <w:rFonts w:hint="eastAsia" w:ascii="宋体" w:hAnsi="宋体"/>
          <w:sz w:val="24"/>
        </w:rPr>
        <w:t>发包人（盖单位章）：</w:t>
      </w:r>
      <w:r>
        <w:rPr>
          <w:rFonts w:hint="eastAsia" w:ascii="宋体" w:hAnsi="宋体"/>
          <w:sz w:val="24"/>
          <w:u w:val="single"/>
        </w:rPr>
        <w:t xml:space="preserve">              </w:t>
      </w:r>
      <w:r>
        <w:rPr>
          <w:rFonts w:hint="eastAsia" w:ascii="宋体" w:hAnsi="宋体"/>
          <w:sz w:val="24"/>
        </w:rPr>
        <w:t xml:space="preserve">        承包人（盖单位章）：</w:t>
      </w:r>
      <w:r>
        <w:rPr>
          <w:rFonts w:hint="eastAsia" w:ascii="宋体" w:hAnsi="宋体"/>
          <w:sz w:val="24"/>
          <w:u w:val="single"/>
        </w:rPr>
        <w:t xml:space="preserve">          </w:t>
      </w:r>
    </w:p>
    <w:p w14:paraId="7104F64E">
      <w:pPr>
        <w:spacing w:line="360" w:lineRule="auto"/>
        <w:ind w:firstLine="480"/>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rPr>
        <w:t xml:space="preserve"> </w:t>
      </w:r>
    </w:p>
    <w:p w14:paraId="2DA1685E">
      <w:pPr>
        <w:pStyle w:val="20"/>
        <w:ind w:firstLine="1920" w:firstLineChars="800"/>
        <w:rPr>
          <w:sz w:val="20"/>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779FACE">
      <w:pPr>
        <w:pStyle w:val="20"/>
        <w:rPr>
          <w:sz w:val="20"/>
        </w:rPr>
      </w:pPr>
    </w:p>
    <w:p w14:paraId="7492B477">
      <w:pPr>
        <w:pStyle w:val="20"/>
        <w:rPr>
          <w:sz w:val="20"/>
        </w:rPr>
      </w:pPr>
    </w:p>
    <w:p w14:paraId="54691980">
      <w:pPr>
        <w:pStyle w:val="20"/>
        <w:rPr>
          <w:sz w:val="20"/>
        </w:rPr>
      </w:pPr>
    </w:p>
    <w:p w14:paraId="6B4ADE4C">
      <w:pPr>
        <w:pStyle w:val="20"/>
        <w:rPr>
          <w:sz w:val="20"/>
        </w:rPr>
      </w:pPr>
      <w:r>
        <w:rPr>
          <w:sz w:val="20"/>
        </w:rPr>
        <w:br w:type="page"/>
      </w:r>
    </w:p>
    <w:p w14:paraId="3943AB29">
      <w:pPr>
        <w:spacing w:line="360" w:lineRule="auto"/>
        <w:outlineLvl w:val="2"/>
        <w:rPr>
          <w:rStyle w:val="350"/>
          <w:b w:val="0"/>
          <w:bCs w:val="0"/>
          <w:sz w:val="24"/>
          <w:szCs w:val="24"/>
        </w:rPr>
      </w:pPr>
      <w:r>
        <w:rPr>
          <w:rStyle w:val="350"/>
          <w:b w:val="0"/>
          <w:bCs w:val="0"/>
          <w:sz w:val="24"/>
          <w:szCs w:val="24"/>
        </w:rPr>
        <w:t>附</w:t>
      </w:r>
      <w:r>
        <w:rPr>
          <w:rStyle w:val="350"/>
          <w:rFonts w:hint="eastAsia" w:eastAsia="黑体"/>
          <w:b w:val="0"/>
          <w:bCs w:val="0"/>
          <w:sz w:val="24"/>
          <w:szCs w:val="24"/>
          <w:lang w:val="en-US" w:eastAsia="zh-CN"/>
        </w:rPr>
        <w:t>件</w:t>
      </w:r>
      <w:r>
        <w:rPr>
          <w:rStyle w:val="350"/>
          <w:b w:val="0"/>
          <w:bCs w:val="0"/>
          <w:sz w:val="24"/>
          <w:szCs w:val="24"/>
        </w:rPr>
        <w:t>十五 拟用于本项目关键机电设备品牌及主要技术性能指标表</w:t>
      </w:r>
    </w:p>
    <w:p w14:paraId="338619A3">
      <w:pPr>
        <w:jc w:val="center"/>
        <w:rPr>
          <w:rFonts w:ascii="宋体" w:hAnsi="宋体" w:eastAsia="黑体"/>
          <w:b/>
          <w:bCs/>
          <w:kern w:val="0"/>
          <w:szCs w:val="21"/>
        </w:rPr>
      </w:pPr>
    </w:p>
    <w:tbl>
      <w:tblPr>
        <w:tblStyle w:val="50"/>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68"/>
        <w:gridCol w:w="5615"/>
      </w:tblGrid>
      <w:tr w14:paraId="38E7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960" w:type="dxa"/>
            <w:vMerge w:val="restart"/>
            <w:vAlign w:val="center"/>
          </w:tcPr>
          <w:p w14:paraId="68951FBF">
            <w:pPr>
              <w:jc w:val="center"/>
              <w:rPr>
                <w:rFonts w:ascii="宋体" w:hAnsi="宋体"/>
                <w:szCs w:val="21"/>
              </w:rPr>
            </w:pPr>
            <w:r>
              <w:rPr>
                <w:rFonts w:hint="eastAsia" w:ascii="宋体" w:hAnsi="宋体"/>
                <w:szCs w:val="21"/>
              </w:rPr>
              <w:t>序号</w:t>
            </w:r>
          </w:p>
        </w:tc>
        <w:tc>
          <w:tcPr>
            <w:tcW w:w="2068" w:type="dxa"/>
            <w:vMerge w:val="restart"/>
            <w:vAlign w:val="center"/>
          </w:tcPr>
          <w:p w14:paraId="01612817">
            <w:pPr>
              <w:jc w:val="center"/>
              <w:rPr>
                <w:rFonts w:ascii="宋体" w:hAnsi="宋体"/>
                <w:szCs w:val="21"/>
              </w:rPr>
            </w:pPr>
            <w:r>
              <w:rPr>
                <w:rFonts w:hint="eastAsia" w:ascii="宋体" w:hAnsi="宋体"/>
                <w:szCs w:val="21"/>
              </w:rPr>
              <w:t>设备</w:t>
            </w:r>
            <w:r>
              <w:rPr>
                <w:rFonts w:ascii="宋体" w:hAnsi="宋体"/>
                <w:szCs w:val="21"/>
              </w:rPr>
              <w:t>名称</w:t>
            </w:r>
          </w:p>
        </w:tc>
        <w:tc>
          <w:tcPr>
            <w:tcW w:w="5615" w:type="dxa"/>
            <w:vMerge w:val="restart"/>
            <w:vAlign w:val="center"/>
          </w:tcPr>
          <w:p w14:paraId="7625CFA2">
            <w:pPr>
              <w:jc w:val="center"/>
              <w:rPr>
                <w:rFonts w:ascii="宋体" w:hAnsi="宋体"/>
                <w:szCs w:val="21"/>
              </w:rPr>
            </w:pPr>
            <w:r>
              <w:rPr>
                <w:rFonts w:hint="eastAsia" w:ascii="宋体" w:hAnsi="宋体"/>
                <w:szCs w:val="21"/>
              </w:rPr>
              <w:t>主要技术性能指标最低要求</w:t>
            </w:r>
          </w:p>
        </w:tc>
      </w:tr>
      <w:tr w14:paraId="0963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vMerge w:val="continue"/>
            <w:vAlign w:val="center"/>
          </w:tcPr>
          <w:p w14:paraId="3B10A22F">
            <w:pPr>
              <w:spacing w:line="400" w:lineRule="exact"/>
              <w:jc w:val="center"/>
              <w:rPr>
                <w:rFonts w:ascii="宋体" w:hAnsi="宋体"/>
                <w:szCs w:val="21"/>
              </w:rPr>
            </w:pPr>
          </w:p>
        </w:tc>
        <w:tc>
          <w:tcPr>
            <w:tcW w:w="2068" w:type="dxa"/>
            <w:vMerge w:val="continue"/>
            <w:vAlign w:val="center"/>
          </w:tcPr>
          <w:p w14:paraId="59FD50BB">
            <w:pPr>
              <w:spacing w:line="400" w:lineRule="exact"/>
              <w:jc w:val="center"/>
              <w:rPr>
                <w:rFonts w:ascii="宋体" w:hAnsi="宋体"/>
                <w:szCs w:val="21"/>
              </w:rPr>
            </w:pPr>
          </w:p>
        </w:tc>
        <w:tc>
          <w:tcPr>
            <w:tcW w:w="5615" w:type="dxa"/>
            <w:vMerge w:val="continue"/>
            <w:vAlign w:val="center"/>
          </w:tcPr>
          <w:p w14:paraId="0B374C6C">
            <w:pPr>
              <w:spacing w:line="400" w:lineRule="exact"/>
              <w:jc w:val="center"/>
              <w:rPr>
                <w:rFonts w:ascii="宋体" w:hAnsi="宋体"/>
                <w:szCs w:val="21"/>
              </w:rPr>
            </w:pPr>
          </w:p>
        </w:tc>
      </w:tr>
      <w:tr w14:paraId="3690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Align w:val="center"/>
          </w:tcPr>
          <w:p w14:paraId="5989C713">
            <w:pPr>
              <w:spacing w:line="400" w:lineRule="exact"/>
              <w:jc w:val="center"/>
              <w:rPr>
                <w:rFonts w:ascii="宋体" w:hAnsi="宋体"/>
                <w:szCs w:val="21"/>
              </w:rPr>
            </w:pPr>
            <w:r>
              <w:rPr>
                <w:rFonts w:ascii="宋体" w:hAnsi="宋体"/>
                <w:szCs w:val="21"/>
              </w:rPr>
              <w:t>一</w:t>
            </w:r>
          </w:p>
        </w:tc>
        <w:tc>
          <w:tcPr>
            <w:tcW w:w="7683" w:type="dxa"/>
            <w:gridSpan w:val="2"/>
            <w:vAlign w:val="center"/>
          </w:tcPr>
          <w:p w14:paraId="7361F6B1">
            <w:pPr>
              <w:spacing w:line="400" w:lineRule="exact"/>
              <w:rPr>
                <w:rFonts w:ascii="宋体" w:hAnsi="宋体"/>
                <w:szCs w:val="21"/>
              </w:rPr>
            </w:pPr>
            <w:r>
              <w:rPr>
                <w:rFonts w:ascii="Arial" w:hAnsi="Arial" w:cs="Arial"/>
                <w:szCs w:val="21"/>
              </w:rPr>
              <w:t>××</w:t>
            </w:r>
            <w:r>
              <w:rPr>
                <w:rFonts w:ascii="宋体" w:hAnsi="宋体"/>
                <w:szCs w:val="21"/>
              </w:rPr>
              <w:t>系统</w:t>
            </w:r>
          </w:p>
        </w:tc>
      </w:tr>
      <w:tr w14:paraId="0B06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34E88E34">
            <w:pPr>
              <w:spacing w:line="400" w:lineRule="exact"/>
              <w:jc w:val="center"/>
              <w:rPr>
                <w:rFonts w:ascii="宋体" w:hAnsi="宋体"/>
                <w:szCs w:val="21"/>
              </w:rPr>
            </w:pPr>
            <w:r>
              <w:rPr>
                <w:rFonts w:hAnsi="宋体"/>
              </w:rPr>
              <w:t>1</w:t>
            </w:r>
          </w:p>
        </w:tc>
        <w:tc>
          <w:tcPr>
            <w:tcW w:w="2068" w:type="dxa"/>
            <w:vMerge w:val="restart"/>
            <w:vAlign w:val="center"/>
          </w:tcPr>
          <w:p w14:paraId="3DC32A80">
            <w:pPr>
              <w:spacing w:line="400" w:lineRule="exact"/>
              <w:jc w:val="center"/>
              <w:rPr>
                <w:rFonts w:ascii="宋体" w:hAnsi="宋体"/>
                <w:szCs w:val="21"/>
              </w:rPr>
            </w:pPr>
            <w:r>
              <w:rPr>
                <w:rFonts w:ascii="Arial" w:hAnsi="Arial" w:cs="Arial"/>
                <w:szCs w:val="21"/>
              </w:rPr>
              <w:t>××</w:t>
            </w:r>
            <w:r>
              <w:rPr>
                <w:rFonts w:hAnsi="宋体"/>
              </w:rPr>
              <w:t>设备</w:t>
            </w:r>
          </w:p>
        </w:tc>
        <w:tc>
          <w:tcPr>
            <w:tcW w:w="5615" w:type="dxa"/>
            <w:vAlign w:val="center"/>
          </w:tcPr>
          <w:p w14:paraId="79931E79">
            <w:pPr>
              <w:spacing w:line="400" w:lineRule="exact"/>
              <w:rPr>
                <w:rFonts w:ascii="宋体" w:hAnsi="宋体"/>
                <w:szCs w:val="21"/>
              </w:rPr>
            </w:pPr>
            <w:r>
              <w:rPr>
                <w:rFonts w:hint="eastAsia" w:ascii="宋体" w:hAnsi="宋体"/>
                <w:szCs w:val="21"/>
              </w:rPr>
              <w:t>（</w:t>
            </w:r>
            <w:r>
              <w:rPr>
                <w:rFonts w:ascii="宋体" w:hAnsi="宋体"/>
                <w:szCs w:val="21"/>
              </w:rPr>
              <w:t>1</w:t>
            </w:r>
            <w:r>
              <w:rPr>
                <w:rFonts w:hAnsi="宋体"/>
              </w:rPr>
              <w:t>）</w:t>
            </w:r>
            <w:r>
              <w:rPr>
                <w:rFonts w:ascii="Arial" w:hAnsi="Arial" w:cs="Arial"/>
                <w:szCs w:val="21"/>
              </w:rPr>
              <w:t>××</w:t>
            </w:r>
            <w:r>
              <w:rPr>
                <w:rFonts w:hAnsi="宋体"/>
              </w:rPr>
              <w:t xml:space="preserve">指标  </w:t>
            </w:r>
          </w:p>
        </w:tc>
      </w:tr>
      <w:tr w14:paraId="5FBE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084D60F1">
            <w:pPr>
              <w:spacing w:line="400" w:lineRule="exact"/>
              <w:jc w:val="center"/>
              <w:rPr>
                <w:rFonts w:ascii="宋体" w:hAnsi="宋体"/>
                <w:szCs w:val="21"/>
              </w:rPr>
            </w:pPr>
          </w:p>
        </w:tc>
        <w:tc>
          <w:tcPr>
            <w:tcW w:w="2068" w:type="dxa"/>
            <w:vMerge w:val="continue"/>
            <w:vAlign w:val="center"/>
          </w:tcPr>
          <w:p w14:paraId="563C3DF1">
            <w:pPr>
              <w:spacing w:line="400" w:lineRule="exact"/>
              <w:jc w:val="center"/>
              <w:rPr>
                <w:rFonts w:ascii="宋体" w:hAnsi="宋体"/>
                <w:szCs w:val="21"/>
              </w:rPr>
            </w:pPr>
          </w:p>
        </w:tc>
        <w:tc>
          <w:tcPr>
            <w:tcW w:w="5615" w:type="dxa"/>
            <w:vAlign w:val="center"/>
          </w:tcPr>
          <w:p w14:paraId="4EF6C410">
            <w:pPr>
              <w:spacing w:line="400" w:lineRule="exact"/>
              <w:rPr>
                <w:rFonts w:ascii="宋体" w:hAnsi="宋体"/>
                <w:szCs w:val="21"/>
              </w:rPr>
            </w:pPr>
            <w:r>
              <w:rPr>
                <w:rFonts w:hint="eastAsia" w:hAnsi="宋体"/>
              </w:rPr>
              <w:t>（</w:t>
            </w:r>
            <w:r>
              <w:rPr>
                <w:rFonts w:hAnsi="宋体"/>
              </w:rPr>
              <w:t>2</w:t>
            </w:r>
            <w:r>
              <w:rPr>
                <w:rFonts w:hint="eastAsia" w:hAnsi="宋体"/>
              </w:rPr>
              <w:t>）</w:t>
            </w:r>
          </w:p>
        </w:tc>
      </w:tr>
      <w:tr w14:paraId="1612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243EB24D">
            <w:pPr>
              <w:spacing w:line="400" w:lineRule="exact"/>
              <w:jc w:val="center"/>
              <w:rPr>
                <w:rFonts w:ascii="宋体" w:hAnsi="宋体"/>
                <w:szCs w:val="21"/>
              </w:rPr>
            </w:pPr>
          </w:p>
        </w:tc>
        <w:tc>
          <w:tcPr>
            <w:tcW w:w="2068" w:type="dxa"/>
            <w:vMerge w:val="continue"/>
            <w:vAlign w:val="center"/>
          </w:tcPr>
          <w:p w14:paraId="41CD05D8">
            <w:pPr>
              <w:spacing w:line="400" w:lineRule="exact"/>
              <w:jc w:val="center"/>
              <w:rPr>
                <w:rFonts w:ascii="宋体" w:hAnsi="宋体"/>
                <w:szCs w:val="21"/>
              </w:rPr>
            </w:pPr>
          </w:p>
        </w:tc>
        <w:tc>
          <w:tcPr>
            <w:tcW w:w="5615" w:type="dxa"/>
            <w:vAlign w:val="center"/>
          </w:tcPr>
          <w:p w14:paraId="6D597F70">
            <w:pPr>
              <w:spacing w:line="400" w:lineRule="exact"/>
              <w:rPr>
                <w:rFonts w:ascii="宋体" w:hAnsi="宋体"/>
                <w:szCs w:val="21"/>
              </w:rPr>
            </w:pPr>
            <w:r>
              <w:rPr>
                <w:rFonts w:hint="eastAsia" w:hAnsi="宋体"/>
              </w:rPr>
              <w:t>…</w:t>
            </w:r>
          </w:p>
        </w:tc>
      </w:tr>
      <w:tr w14:paraId="4452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68336E3C">
            <w:pPr>
              <w:spacing w:line="400" w:lineRule="exact"/>
              <w:jc w:val="center"/>
              <w:rPr>
                <w:rFonts w:ascii="宋体" w:hAnsi="宋体"/>
                <w:szCs w:val="21"/>
              </w:rPr>
            </w:pPr>
          </w:p>
        </w:tc>
        <w:tc>
          <w:tcPr>
            <w:tcW w:w="2068" w:type="dxa"/>
            <w:vMerge w:val="continue"/>
            <w:vAlign w:val="center"/>
          </w:tcPr>
          <w:p w14:paraId="58357270">
            <w:pPr>
              <w:spacing w:line="400" w:lineRule="exact"/>
              <w:jc w:val="center"/>
              <w:rPr>
                <w:rFonts w:ascii="宋体" w:hAnsi="宋体"/>
                <w:szCs w:val="21"/>
              </w:rPr>
            </w:pPr>
          </w:p>
        </w:tc>
        <w:tc>
          <w:tcPr>
            <w:tcW w:w="5615" w:type="dxa"/>
            <w:vAlign w:val="center"/>
          </w:tcPr>
          <w:p w14:paraId="11313979">
            <w:pPr>
              <w:spacing w:line="400" w:lineRule="exact"/>
              <w:rPr>
                <w:rFonts w:ascii="宋体" w:hAnsi="宋体"/>
                <w:szCs w:val="21"/>
              </w:rPr>
            </w:pPr>
            <w:r>
              <w:rPr>
                <w:rFonts w:hint="eastAsia" w:hAnsi="宋体"/>
              </w:rPr>
              <w:t>…</w:t>
            </w:r>
          </w:p>
        </w:tc>
      </w:tr>
      <w:tr w14:paraId="46BC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restart"/>
            <w:vAlign w:val="center"/>
          </w:tcPr>
          <w:p w14:paraId="38454C23">
            <w:pPr>
              <w:spacing w:line="400" w:lineRule="exact"/>
              <w:jc w:val="center"/>
              <w:rPr>
                <w:rFonts w:ascii="宋体" w:hAnsi="宋体"/>
                <w:szCs w:val="21"/>
              </w:rPr>
            </w:pPr>
            <w:r>
              <w:rPr>
                <w:rFonts w:hAnsi="宋体"/>
              </w:rPr>
              <w:t>2</w:t>
            </w:r>
          </w:p>
        </w:tc>
        <w:tc>
          <w:tcPr>
            <w:tcW w:w="2068" w:type="dxa"/>
            <w:vMerge w:val="restart"/>
            <w:vAlign w:val="center"/>
          </w:tcPr>
          <w:p w14:paraId="4C69AE24">
            <w:pPr>
              <w:spacing w:line="400" w:lineRule="exact"/>
              <w:jc w:val="center"/>
              <w:rPr>
                <w:rFonts w:ascii="宋体" w:hAnsi="宋体"/>
                <w:szCs w:val="21"/>
              </w:rPr>
            </w:pPr>
            <w:r>
              <w:rPr>
                <w:rFonts w:ascii="Arial" w:hAnsi="Arial" w:cs="Arial"/>
                <w:szCs w:val="21"/>
              </w:rPr>
              <w:t>××</w:t>
            </w:r>
            <w:r>
              <w:rPr>
                <w:rFonts w:hAnsi="宋体"/>
              </w:rPr>
              <w:t>设备</w:t>
            </w:r>
          </w:p>
        </w:tc>
        <w:tc>
          <w:tcPr>
            <w:tcW w:w="5615" w:type="dxa"/>
            <w:vAlign w:val="center"/>
          </w:tcPr>
          <w:p w14:paraId="2B44CB2E">
            <w:pPr>
              <w:spacing w:line="400" w:lineRule="exact"/>
              <w:rPr>
                <w:rFonts w:ascii="宋体" w:hAnsi="宋体"/>
                <w:szCs w:val="21"/>
              </w:rPr>
            </w:pPr>
            <w:r>
              <w:rPr>
                <w:rFonts w:hint="eastAsia" w:hAnsi="宋体"/>
              </w:rPr>
              <w:t>（</w:t>
            </w:r>
            <w:r>
              <w:rPr>
                <w:rFonts w:hAnsi="宋体"/>
              </w:rPr>
              <w:t>1</w:t>
            </w:r>
            <w:r>
              <w:rPr>
                <w:rFonts w:hint="eastAsia" w:hAnsi="宋体"/>
              </w:rPr>
              <w:t>）</w:t>
            </w:r>
          </w:p>
        </w:tc>
      </w:tr>
      <w:tr w14:paraId="07C9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 w:type="dxa"/>
            <w:vMerge w:val="continue"/>
            <w:vAlign w:val="center"/>
          </w:tcPr>
          <w:p w14:paraId="4046CB9E">
            <w:pPr>
              <w:spacing w:line="400" w:lineRule="exact"/>
              <w:jc w:val="center"/>
              <w:rPr>
                <w:rFonts w:ascii="宋体" w:hAnsi="宋体"/>
                <w:szCs w:val="21"/>
              </w:rPr>
            </w:pPr>
          </w:p>
        </w:tc>
        <w:tc>
          <w:tcPr>
            <w:tcW w:w="2068" w:type="dxa"/>
            <w:vMerge w:val="continue"/>
            <w:vAlign w:val="center"/>
          </w:tcPr>
          <w:p w14:paraId="320F6278">
            <w:pPr>
              <w:spacing w:line="400" w:lineRule="exact"/>
              <w:jc w:val="center"/>
              <w:rPr>
                <w:rFonts w:ascii="宋体" w:hAnsi="宋体"/>
                <w:szCs w:val="21"/>
              </w:rPr>
            </w:pPr>
          </w:p>
        </w:tc>
        <w:tc>
          <w:tcPr>
            <w:tcW w:w="5615" w:type="dxa"/>
            <w:vAlign w:val="center"/>
          </w:tcPr>
          <w:p w14:paraId="6EF1C4D8">
            <w:pPr>
              <w:spacing w:line="400" w:lineRule="exact"/>
              <w:rPr>
                <w:rFonts w:ascii="宋体" w:hAnsi="宋体"/>
                <w:szCs w:val="21"/>
              </w:rPr>
            </w:pPr>
            <w:r>
              <w:rPr>
                <w:rFonts w:hint="eastAsia" w:hAnsi="宋体"/>
              </w:rPr>
              <w:t>（</w:t>
            </w:r>
            <w:r>
              <w:rPr>
                <w:rFonts w:hAnsi="宋体"/>
              </w:rPr>
              <w:t>2</w:t>
            </w:r>
            <w:r>
              <w:rPr>
                <w:rFonts w:hint="eastAsia" w:hAnsi="宋体"/>
              </w:rPr>
              <w:t>）</w:t>
            </w:r>
          </w:p>
        </w:tc>
      </w:tr>
      <w:tr w14:paraId="6FA8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5040BCF8">
            <w:pPr>
              <w:spacing w:line="400" w:lineRule="exact"/>
              <w:jc w:val="center"/>
              <w:rPr>
                <w:rFonts w:ascii="宋体" w:hAnsi="宋体"/>
                <w:szCs w:val="21"/>
              </w:rPr>
            </w:pPr>
          </w:p>
        </w:tc>
        <w:tc>
          <w:tcPr>
            <w:tcW w:w="2068" w:type="dxa"/>
            <w:vMerge w:val="continue"/>
            <w:vAlign w:val="center"/>
          </w:tcPr>
          <w:p w14:paraId="66EBEE1E">
            <w:pPr>
              <w:spacing w:line="400" w:lineRule="exact"/>
              <w:jc w:val="center"/>
              <w:rPr>
                <w:rFonts w:ascii="宋体" w:hAnsi="宋体"/>
                <w:szCs w:val="21"/>
              </w:rPr>
            </w:pPr>
          </w:p>
        </w:tc>
        <w:tc>
          <w:tcPr>
            <w:tcW w:w="5615" w:type="dxa"/>
            <w:vAlign w:val="center"/>
          </w:tcPr>
          <w:p w14:paraId="7D9DDB41">
            <w:pPr>
              <w:spacing w:line="400" w:lineRule="exact"/>
              <w:rPr>
                <w:rFonts w:ascii="宋体" w:hAnsi="宋体"/>
                <w:szCs w:val="21"/>
              </w:rPr>
            </w:pPr>
            <w:r>
              <w:rPr>
                <w:rFonts w:hint="eastAsia" w:hAnsi="宋体"/>
              </w:rPr>
              <w:t>…</w:t>
            </w:r>
          </w:p>
        </w:tc>
      </w:tr>
      <w:tr w14:paraId="5DF0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10BC82F8">
            <w:pPr>
              <w:spacing w:line="400" w:lineRule="exact"/>
              <w:jc w:val="center"/>
              <w:rPr>
                <w:rFonts w:ascii="宋体" w:hAnsi="宋体"/>
                <w:szCs w:val="21"/>
              </w:rPr>
            </w:pPr>
          </w:p>
        </w:tc>
        <w:tc>
          <w:tcPr>
            <w:tcW w:w="2068" w:type="dxa"/>
            <w:vMerge w:val="continue"/>
            <w:vAlign w:val="center"/>
          </w:tcPr>
          <w:p w14:paraId="383151A5">
            <w:pPr>
              <w:spacing w:line="400" w:lineRule="exact"/>
              <w:jc w:val="center"/>
              <w:rPr>
                <w:rFonts w:ascii="宋体" w:hAnsi="宋体"/>
                <w:szCs w:val="21"/>
              </w:rPr>
            </w:pPr>
          </w:p>
        </w:tc>
        <w:tc>
          <w:tcPr>
            <w:tcW w:w="5615" w:type="dxa"/>
            <w:vAlign w:val="center"/>
          </w:tcPr>
          <w:p w14:paraId="3F709C47">
            <w:pPr>
              <w:spacing w:line="400" w:lineRule="exact"/>
              <w:rPr>
                <w:rFonts w:hAnsi="宋体"/>
              </w:rPr>
            </w:pPr>
            <w:r>
              <w:rPr>
                <w:rFonts w:hint="eastAsia" w:hAnsi="宋体"/>
              </w:rPr>
              <w:t>…</w:t>
            </w:r>
          </w:p>
        </w:tc>
      </w:tr>
      <w:tr w14:paraId="75A8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2675A76F">
            <w:pPr>
              <w:spacing w:line="400" w:lineRule="exact"/>
              <w:jc w:val="center"/>
              <w:rPr>
                <w:rFonts w:ascii="宋体" w:hAnsi="宋体"/>
                <w:szCs w:val="21"/>
              </w:rPr>
            </w:pPr>
            <w:r>
              <w:rPr>
                <w:rFonts w:hint="eastAsia" w:hAnsi="宋体"/>
              </w:rPr>
              <w:t>…</w:t>
            </w:r>
          </w:p>
        </w:tc>
        <w:tc>
          <w:tcPr>
            <w:tcW w:w="2068" w:type="dxa"/>
            <w:vAlign w:val="center"/>
          </w:tcPr>
          <w:p w14:paraId="38EF63DC">
            <w:pPr>
              <w:spacing w:line="400" w:lineRule="exact"/>
              <w:jc w:val="center"/>
              <w:rPr>
                <w:rFonts w:ascii="宋体" w:hAnsi="宋体"/>
                <w:szCs w:val="21"/>
              </w:rPr>
            </w:pPr>
            <w:r>
              <w:rPr>
                <w:rFonts w:hint="eastAsia" w:hAnsi="宋体"/>
              </w:rPr>
              <w:t>…</w:t>
            </w:r>
          </w:p>
        </w:tc>
        <w:tc>
          <w:tcPr>
            <w:tcW w:w="5615" w:type="dxa"/>
            <w:vAlign w:val="center"/>
          </w:tcPr>
          <w:p w14:paraId="56AB27C8">
            <w:pPr>
              <w:spacing w:line="400" w:lineRule="exact"/>
              <w:rPr>
                <w:rFonts w:hAnsi="宋体"/>
              </w:rPr>
            </w:pPr>
            <w:r>
              <w:rPr>
                <w:rFonts w:hint="eastAsia" w:hAnsi="宋体"/>
              </w:rPr>
              <w:t>…</w:t>
            </w:r>
          </w:p>
        </w:tc>
      </w:tr>
      <w:tr w14:paraId="22A1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645315D4">
            <w:pPr>
              <w:spacing w:line="400" w:lineRule="exact"/>
              <w:jc w:val="center"/>
              <w:rPr>
                <w:rFonts w:ascii="宋体" w:hAnsi="宋体"/>
                <w:szCs w:val="21"/>
              </w:rPr>
            </w:pPr>
            <w:r>
              <w:rPr>
                <w:rFonts w:hint="eastAsia" w:hAnsi="宋体"/>
              </w:rPr>
              <w:t>…</w:t>
            </w:r>
          </w:p>
        </w:tc>
        <w:tc>
          <w:tcPr>
            <w:tcW w:w="2068" w:type="dxa"/>
            <w:vAlign w:val="center"/>
          </w:tcPr>
          <w:p w14:paraId="5BA0DAE4">
            <w:pPr>
              <w:spacing w:line="400" w:lineRule="exact"/>
              <w:jc w:val="center"/>
              <w:rPr>
                <w:rFonts w:ascii="宋体" w:hAnsi="宋体"/>
                <w:szCs w:val="21"/>
              </w:rPr>
            </w:pPr>
            <w:r>
              <w:rPr>
                <w:rFonts w:hint="eastAsia" w:hAnsi="宋体"/>
              </w:rPr>
              <w:t>…</w:t>
            </w:r>
          </w:p>
        </w:tc>
        <w:tc>
          <w:tcPr>
            <w:tcW w:w="5615" w:type="dxa"/>
            <w:vAlign w:val="center"/>
          </w:tcPr>
          <w:p w14:paraId="0B59F231">
            <w:pPr>
              <w:spacing w:line="400" w:lineRule="exact"/>
              <w:rPr>
                <w:rFonts w:hAnsi="宋体"/>
              </w:rPr>
            </w:pPr>
            <w:r>
              <w:rPr>
                <w:rFonts w:hint="eastAsia" w:hAnsi="宋体"/>
              </w:rPr>
              <w:t>…</w:t>
            </w:r>
          </w:p>
        </w:tc>
      </w:tr>
      <w:tr w14:paraId="2668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59B895DE">
            <w:pPr>
              <w:spacing w:line="400" w:lineRule="exact"/>
              <w:jc w:val="center"/>
              <w:rPr>
                <w:rFonts w:ascii="宋体" w:hAnsi="宋体"/>
                <w:szCs w:val="21"/>
              </w:rPr>
            </w:pPr>
            <w:r>
              <w:rPr>
                <w:rFonts w:ascii="宋体" w:hAnsi="宋体"/>
                <w:szCs w:val="21"/>
              </w:rPr>
              <w:t>二</w:t>
            </w:r>
          </w:p>
        </w:tc>
        <w:tc>
          <w:tcPr>
            <w:tcW w:w="7683" w:type="dxa"/>
            <w:gridSpan w:val="2"/>
            <w:vAlign w:val="center"/>
          </w:tcPr>
          <w:p w14:paraId="68759E3B">
            <w:pPr>
              <w:spacing w:line="400" w:lineRule="exact"/>
              <w:rPr>
                <w:rFonts w:hAnsi="宋体"/>
              </w:rPr>
            </w:pPr>
            <w:r>
              <w:rPr>
                <w:rFonts w:ascii="Arial" w:hAnsi="Arial" w:cs="Arial"/>
                <w:szCs w:val="21"/>
              </w:rPr>
              <w:t>××</w:t>
            </w:r>
            <w:r>
              <w:rPr>
                <w:rFonts w:ascii="宋体" w:hAnsi="宋体"/>
                <w:szCs w:val="21"/>
              </w:rPr>
              <w:t>系统</w:t>
            </w:r>
          </w:p>
        </w:tc>
      </w:tr>
      <w:tr w14:paraId="44BF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57D0FC47">
            <w:pPr>
              <w:spacing w:line="400" w:lineRule="exact"/>
              <w:jc w:val="center"/>
              <w:rPr>
                <w:rFonts w:ascii="宋体" w:hAnsi="宋体"/>
                <w:szCs w:val="21"/>
              </w:rPr>
            </w:pPr>
            <w:r>
              <w:rPr>
                <w:rFonts w:hAnsi="宋体"/>
              </w:rPr>
              <w:t>1</w:t>
            </w:r>
          </w:p>
        </w:tc>
        <w:tc>
          <w:tcPr>
            <w:tcW w:w="2068" w:type="dxa"/>
            <w:vMerge w:val="restart"/>
            <w:vAlign w:val="center"/>
          </w:tcPr>
          <w:p w14:paraId="2A7688B2">
            <w:pPr>
              <w:spacing w:line="400" w:lineRule="exact"/>
              <w:jc w:val="center"/>
              <w:rPr>
                <w:rFonts w:ascii="宋体" w:hAnsi="宋体"/>
                <w:szCs w:val="21"/>
              </w:rPr>
            </w:pPr>
            <w:r>
              <w:rPr>
                <w:rFonts w:ascii="Arial" w:hAnsi="Arial" w:cs="Arial"/>
                <w:szCs w:val="21"/>
              </w:rPr>
              <w:t>××</w:t>
            </w:r>
            <w:r>
              <w:rPr>
                <w:rFonts w:hAnsi="宋体"/>
              </w:rPr>
              <w:t>设备</w:t>
            </w:r>
          </w:p>
        </w:tc>
        <w:tc>
          <w:tcPr>
            <w:tcW w:w="5615" w:type="dxa"/>
            <w:vAlign w:val="center"/>
          </w:tcPr>
          <w:p w14:paraId="3B6B74B4">
            <w:pPr>
              <w:spacing w:line="400" w:lineRule="exact"/>
              <w:rPr>
                <w:rFonts w:hAnsi="宋体"/>
              </w:rPr>
            </w:pPr>
            <w:r>
              <w:rPr>
                <w:rFonts w:hint="eastAsia" w:ascii="宋体" w:hAnsi="宋体"/>
                <w:szCs w:val="21"/>
              </w:rPr>
              <w:t>（</w:t>
            </w:r>
            <w:r>
              <w:rPr>
                <w:rFonts w:ascii="宋体" w:hAnsi="宋体"/>
                <w:szCs w:val="21"/>
              </w:rPr>
              <w:t>1</w:t>
            </w:r>
            <w:r>
              <w:rPr>
                <w:rFonts w:hAnsi="宋体"/>
              </w:rPr>
              <w:t xml:space="preserve">）   </w:t>
            </w:r>
          </w:p>
        </w:tc>
      </w:tr>
      <w:tr w14:paraId="6650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960" w:type="dxa"/>
            <w:vMerge w:val="continue"/>
            <w:vAlign w:val="center"/>
          </w:tcPr>
          <w:p w14:paraId="012B1CD2">
            <w:pPr>
              <w:spacing w:line="400" w:lineRule="exact"/>
              <w:jc w:val="center"/>
              <w:rPr>
                <w:rFonts w:ascii="宋体" w:hAnsi="宋体"/>
                <w:szCs w:val="21"/>
              </w:rPr>
            </w:pPr>
          </w:p>
        </w:tc>
        <w:tc>
          <w:tcPr>
            <w:tcW w:w="2068" w:type="dxa"/>
            <w:vMerge w:val="continue"/>
            <w:vAlign w:val="center"/>
          </w:tcPr>
          <w:p w14:paraId="1A380148">
            <w:pPr>
              <w:spacing w:line="400" w:lineRule="exact"/>
              <w:jc w:val="center"/>
              <w:rPr>
                <w:rFonts w:ascii="宋体" w:hAnsi="宋体"/>
                <w:szCs w:val="21"/>
              </w:rPr>
            </w:pPr>
          </w:p>
        </w:tc>
        <w:tc>
          <w:tcPr>
            <w:tcW w:w="5615" w:type="dxa"/>
            <w:vAlign w:val="center"/>
          </w:tcPr>
          <w:p w14:paraId="7BBFF1B9">
            <w:pPr>
              <w:spacing w:line="400" w:lineRule="exact"/>
              <w:rPr>
                <w:rFonts w:hAnsi="宋体"/>
              </w:rPr>
            </w:pPr>
            <w:r>
              <w:rPr>
                <w:rFonts w:hint="eastAsia" w:hAnsi="宋体"/>
              </w:rPr>
              <w:t>（</w:t>
            </w:r>
            <w:r>
              <w:rPr>
                <w:rFonts w:hAnsi="宋体"/>
              </w:rPr>
              <w:t>2</w:t>
            </w:r>
            <w:r>
              <w:rPr>
                <w:rFonts w:hint="eastAsia" w:hAnsi="宋体"/>
              </w:rPr>
              <w:t>）</w:t>
            </w:r>
          </w:p>
        </w:tc>
      </w:tr>
      <w:tr w14:paraId="180E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05D58275">
            <w:pPr>
              <w:spacing w:line="400" w:lineRule="exact"/>
              <w:jc w:val="center"/>
              <w:rPr>
                <w:rFonts w:ascii="宋体" w:hAnsi="宋体"/>
                <w:szCs w:val="21"/>
              </w:rPr>
            </w:pPr>
          </w:p>
        </w:tc>
        <w:tc>
          <w:tcPr>
            <w:tcW w:w="2068" w:type="dxa"/>
            <w:vMerge w:val="continue"/>
            <w:vAlign w:val="center"/>
          </w:tcPr>
          <w:p w14:paraId="226B776A">
            <w:pPr>
              <w:spacing w:line="400" w:lineRule="exact"/>
              <w:jc w:val="center"/>
              <w:rPr>
                <w:rFonts w:ascii="宋体" w:hAnsi="宋体"/>
                <w:szCs w:val="21"/>
              </w:rPr>
            </w:pPr>
          </w:p>
        </w:tc>
        <w:tc>
          <w:tcPr>
            <w:tcW w:w="5615" w:type="dxa"/>
            <w:vAlign w:val="center"/>
          </w:tcPr>
          <w:p w14:paraId="5B617DBF">
            <w:pPr>
              <w:spacing w:line="400" w:lineRule="exact"/>
              <w:rPr>
                <w:rFonts w:hAnsi="宋体"/>
              </w:rPr>
            </w:pPr>
            <w:r>
              <w:rPr>
                <w:rFonts w:hint="eastAsia" w:hAnsi="宋体"/>
              </w:rPr>
              <w:t>…</w:t>
            </w:r>
          </w:p>
        </w:tc>
      </w:tr>
      <w:tr w14:paraId="215D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4D0376A2">
            <w:pPr>
              <w:spacing w:line="400" w:lineRule="exact"/>
              <w:jc w:val="center"/>
              <w:rPr>
                <w:rFonts w:ascii="宋体" w:hAnsi="宋体"/>
                <w:szCs w:val="21"/>
              </w:rPr>
            </w:pPr>
          </w:p>
        </w:tc>
        <w:tc>
          <w:tcPr>
            <w:tcW w:w="2068" w:type="dxa"/>
            <w:vMerge w:val="continue"/>
            <w:vAlign w:val="center"/>
          </w:tcPr>
          <w:p w14:paraId="20CC5B12">
            <w:pPr>
              <w:spacing w:line="400" w:lineRule="exact"/>
              <w:jc w:val="center"/>
              <w:rPr>
                <w:rFonts w:ascii="宋体" w:hAnsi="宋体"/>
                <w:szCs w:val="21"/>
              </w:rPr>
            </w:pPr>
          </w:p>
        </w:tc>
        <w:tc>
          <w:tcPr>
            <w:tcW w:w="5615" w:type="dxa"/>
            <w:vAlign w:val="center"/>
          </w:tcPr>
          <w:p w14:paraId="165402F6">
            <w:pPr>
              <w:spacing w:line="400" w:lineRule="exact"/>
              <w:rPr>
                <w:rFonts w:hAnsi="宋体"/>
              </w:rPr>
            </w:pPr>
            <w:r>
              <w:rPr>
                <w:rFonts w:hint="eastAsia" w:hAnsi="宋体"/>
              </w:rPr>
              <w:t>…</w:t>
            </w:r>
          </w:p>
        </w:tc>
      </w:tr>
      <w:tr w14:paraId="14F0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14:paraId="191AA64B">
            <w:pPr>
              <w:spacing w:line="400" w:lineRule="exact"/>
              <w:jc w:val="center"/>
              <w:rPr>
                <w:rFonts w:ascii="宋体" w:hAnsi="宋体"/>
                <w:szCs w:val="21"/>
              </w:rPr>
            </w:pPr>
            <w:r>
              <w:rPr>
                <w:rFonts w:hAnsi="宋体"/>
              </w:rPr>
              <w:t>2</w:t>
            </w:r>
          </w:p>
        </w:tc>
        <w:tc>
          <w:tcPr>
            <w:tcW w:w="2068" w:type="dxa"/>
            <w:vMerge w:val="restart"/>
            <w:vAlign w:val="center"/>
          </w:tcPr>
          <w:p w14:paraId="24D1F31E">
            <w:pPr>
              <w:spacing w:line="400" w:lineRule="exact"/>
              <w:jc w:val="center"/>
              <w:rPr>
                <w:rFonts w:ascii="宋体" w:hAnsi="宋体"/>
                <w:szCs w:val="21"/>
              </w:rPr>
            </w:pPr>
            <w:r>
              <w:rPr>
                <w:rFonts w:ascii="Arial" w:hAnsi="Arial" w:cs="Arial"/>
                <w:szCs w:val="21"/>
              </w:rPr>
              <w:t>××</w:t>
            </w:r>
            <w:r>
              <w:rPr>
                <w:rFonts w:hAnsi="宋体"/>
              </w:rPr>
              <w:t>设备</w:t>
            </w:r>
          </w:p>
        </w:tc>
        <w:tc>
          <w:tcPr>
            <w:tcW w:w="5615" w:type="dxa"/>
            <w:vAlign w:val="center"/>
          </w:tcPr>
          <w:p w14:paraId="554BDCB3">
            <w:pPr>
              <w:spacing w:line="400" w:lineRule="exact"/>
              <w:rPr>
                <w:rFonts w:hAnsi="宋体"/>
              </w:rPr>
            </w:pPr>
            <w:r>
              <w:rPr>
                <w:rFonts w:hint="eastAsia" w:hAnsi="宋体"/>
              </w:rPr>
              <w:t>（</w:t>
            </w:r>
            <w:r>
              <w:rPr>
                <w:rFonts w:hAnsi="宋体"/>
              </w:rPr>
              <w:t>1</w:t>
            </w:r>
            <w:r>
              <w:rPr>
                <w:rFonts w:hint="eastAsia" w:hAnsi="宋体"/>
              </w:rPr>
              <w:t>）</w:t>
            </w:r>
          </w:p>
        </w:tc>
      </w:tr>
      <w:tr w14:paraId="15B3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2CAEFDC7">
            <w:pPr>
              <w:spacing w:line="400" w:lineRule="exact"/>
              <w:jc w:val="center"/>
              <w:rPr>
                <w:rFonts w:ascii="宋体" w:hAnsi="宋体"/>
                <w:szCs w:val="21"/>
              </w:rPr>
            </w:pPr>
          </w:p>
        </w:tc>
        <w:tc>
          <w:tcPr>
            <w:tcW w:w="2068" w:type="dxa"/>
            <w:vMerge w:val="continue"/>
            <w:vAlign w:val="center"/>
          </w:tcPr>
          <w:p w14:paraId="3A8A540A">
            <w:pPr>
              <w:spacing w:line="400" w:lineRule="exact"/>
              <w:jc w:val="center"/>
              <w:rPr>
                <w:rFonts w:ascii="宋体" w:hAnsi="宋体"/>
                <w:szCs w:val="21"/>
              </w:rPr>
            </w:pPr>
          </w:p>
        </w:tc>
        <w:tc>
          <w:tcPr>
            <w:tcW w:w="5615" w:type="dxa"/>
            <w:vAlign w:val="center"/>
          </w:tcPr>
          <w:p w14:paraId="29C02A5E">
            <w:pPr>
              <w:spacing w:line="400" w:lineRule="exact"/>
              <w:rPr>
                <w:rFonts w:hAnsi="宋体"/>
              </w:rPr>
            </w:pPr>
            <w:r>
              <w:rPr>
                <w:rFonts w:hint="eastAsia" w:hAnsi="宋体"/>
              </w:rPr>
              <w:t>（</w:t>
            </w:r>
            <w:r>
              <w:rPr>
                <w:rFonts w:hAnsi="宋体"/>
              </w:rPr>
              <w:t>2</w:t>
            </w:r>
            <w:r>
              <w:rPr>
                <w:rFonts w:hint="eastAsia" w:hAnsi="宋体"/>
              </w:rPr>
              <w:t>）</w:t>
            </w:r>
          </w:p>
        </w:tc>
      </w:tr>
      <w:tr w14:paraId="7A80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continue"/>
            <w:vAlign w:val="center"/>
          </w:tcPr>
          <w:p w14:paraId="5702ABD3">
            <w:pPr>
              <w:spacing w:line="400" w:lineRule="exact"/>
              <w:jc w:val="center"/>
              <w:rPr>
                <w:rFonts w:ascii="宋体" w:hAnsi="宋体"/>
                <w:szCs w:val="21"/>
              </w:rPr>
            </w:pPr>
          </w:p>
        </w:tc>
        <w:tc>
          <w:tcPr>
            <w:tcW w:w="2068" w:type="dxa"/>
            <w:vMerge w:val="continue"/>
            <w:vAlign w:val="center"/>
          </w:tcPr>
          <w:p w14:paraId="41CF15B7">
            <w:pPr>
              <w:spacing w:line="400" w:lineRule="exact"/>
              <w:jc w:val="center"/>
              <w:rPr>
                <w:rFonts w:ascii="宋体" w:hAnsi="宋体"/>
                <w:szCs w:val="21"/>
              </w:rPr>
            </w:pPr>
          </w:p>
        </w:tc>
        <w:tc>
          <w:tcPr>
            <w:tcW w:w="5615" w:type="dxa"/>
            <w:vAlign w:val="center"/>
          </w:tcPr>
          <w:p w14:paraId="7089FF35">
            <w:pPr>
              <w:spacing w:line="400" w:lineRule="exact"/>
              <w:rPr>
                <w:rFonts w:hAnsi="宋体"/>
              </w:rPr>
            </w:pPr>
            <w:r>
              <w:rPr>
                <w:rFonts w:hint="eastAsia" w:hAnsi="宋体"/>
              </w:rPr>
              <w:t>…</w:t>
            </w:r>
          </w:p>
        </w:tc>
      </w:tr>
      <w:tr w14:paraId="28EE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960" w:type="dxa"/>
            <w:vMerge w:val="continue"/>
            <w:vAlign w:val="center"/>
          </w:tcPr>
          <w:p w14:paraId="65424089">
            <w:pPr>
              <w:spacing w:line="400" w:lineRule="exact"/>
              <w:jc w:val="center"/>
              <w:rPr>
                <w:rFonts w:ascii="宋体" w:hAnsi="宋体"/>
                <w:szCs w:val="21"/>
              </w:rPr>
            </w:pPr>
          </w:p>
        </w:tc>
        <w:tc>
          <w:tcPr>
            <w:tcW w:w="2068" w:type="dxa"/>
            <w:vMerge w:val="continue"/>
            <w:vAlign w:val="center"/>
          </w:tcPr>
          <w:p w14:paraId="1F7DDBAC">
            <w:pPr>
              <w:spacing w:line="400" w:lineRule="exact"/>
              <w:jc w:val="center"/>
              <w:rPr>
                <w:rFonts w:ascii="宋体" w:hAnsi="宋体"/>
                <w:szCs w:val="21"/>
              </w:rPr>
            </w:pPr>
          </w:p>
        </w:tc>
        <w:tc>
          <w:tcPr>
            <w:tcW w:w="5615" w:type="dxa"/>
            <w:vAlign w:val="center"/>
          </w:tcPr>
          <w:p w14:paraId="2DF26894">
            <w:pPr>
              <w:spacing w:line="400" w:lineRule="exact"/>
              <w:rPr>
                <w:rFonts w:hAnsi="宋体"/>
              </w:rPr>
            </w:pPr>
            <w:r>
              <w:rPr>
                <w:rFonts w:hint="eastAsia" w:hAnsi="宋体"/>
              </w:rPr>
              <w:t>…</w:t>
            </w:r>
          </w:p>
        </w:tc>
      </w:tr>
      <w:tr w14:paraId="154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Align w:val="center"/>
          </w:tcPr>
          <w:p w14:paraId="171DDB2D">
            <w:pPr>
              <w:spacing w:line="400" w:lineRule="exact"/>
              <w:jc w:val="center"/>
              <w:rPr>
                <w:rFonts w:ascii="宋体" w:hAnsi="宋体"/>
                <w:szCs w:val="21"/>
              </w:rPr>
            </w:pPr>
            <w:r>
              <w:rPr>
                <w:rFonts w:hint="eastAsia" w:hAnsi="宋体"/>
              </w:rPr>
              <w:t>…</w:t>
            </w:r>
          </w:p>
        </w:tc>
        <w:tc>
          <w:tcPr>
            <w:tcW w:w="2068" w:type="dxa"/>
            <w:vAlign w:val="center"/>
          </w:tcPr>
          <w:p w14:paraId="1CA0928A">
            <w:pPr>
              <w:spacing w:line="400" w:lineRule="exact"/>
              <w:jc w:val="center"/>
              <w:rPr>
                <w:rFonts w:ascii="宋体" w:hAnsi="宋体"/>
                <w:szCs w:val="21"/>
              </w:rPr>
            </w:pPr>
            <w:r>
              <w:rPr>
                <w:rFonts w:hint="eastAsia" w:hAnsi="宋体"/>
              </w:rPr>
              <w:t>…</w:t>
            </w:r>
          </w:p>
        </w:tc>
        <w:tc>
          <w:tcPr>
            <w:tcW w:w="5615" w:type="dxa"/>
            <w:vAlign w:val="center"/>
          </w:tcPr>
          <w:p w14:paraId="52223A9B">
            <w:pPr>
              <w:spacing w:line="400" w:lineRule="exact"/>
              <w:rPr>
                <w:rFonts w:hAnsi="宋体"/>
              </w:rPr>
            </w:pPr>
            <w:r>
              <w:rPr>
                <w:rFonts w:hint="eastAsia" w:hAnsi="宋体"/>
              </w:rPr>
              <w:t>…</w:t>
            </w:r>
          </w:p>
        </w:tc>
      </w:tr>
    </w:tbl>
    <w:p w14:paraId="149F03E1">
      <w:pPr>
        <w:pStyle w:val="26"/>
        <w:jc w:val="left"/>
        <w:rPr>
          <w:rFonts w:hAnsi="宋体"/>
        </w:rPr>
      </w:pPr>
    </w:p>
    <w:p w14:paraId="047F8A8F">
      <w:pPr>
        <w:ind w:left="0" w:firstLine="0" w:firstLineChars="0"/>
        <w:rPr>
          <w:rFonts w:asciiTheme="minorEastAsia" w:hAnsiTheme="minorEastAsia" w:eastAsiaTheme="minorEastAsia"/>
        </w:rPr>
      </w:pPr>
      <w:r>
        <w:rPr>
          <w:rFonts w:ascii="宋体" w:hAnsi="宋体"/>
          <w:szCs w:val="21"/>
        </w:rPr>
        <w:t>注</w:t>
      </w:r>
      <w:r>
        <w:rPr>
          <w:rFonts w:hint="eastAsia" w:ascii="宋体" w:hAnsi="宋体"/>
          <w:szCs w:val="21"/>
        </w:rPr>
        <w:t>：1.</w:t>
      </w:r>
      <w:r>
        <w:rPr>
          <w:rFonts w:hint="eastAsia" w:asciiTheme="minorEastAsia" w:hAnsiTheme="minorEastAsia" w:eastAsiaTheme="minorEastAsia"/>
        </w:rPr>
        <w:t>如本表“主要</w:t>
      </w:r>
      <w:r>
        <w:rPr>
          <w:rFonts w:hint="eastAsia" w:asciiTheme="minorEastAsia" w:hAnsiTheme="minorEastAsia" w:eastAsiaTheme="minorEastAsia"/>
          <w:szCs w:val="21"/>
        </w:rPr>
        <w:t>技术</w:t>
      </w:r>
      <w:r>
        <w:rPr>
          <w:rFonts w:hint="eastAsia" w:asciiTheme="minorEastAsia" w:hAnsiTheme="minorEastAsia" w:eastAsiaTheme="minorEastAsia"/>
        </w:rPr>
        <w:t>性能指标</w:t>
      </w:r>
      <w:r>
        <w:rPr>
          <w:rFonts w:hint="eastAsia" w:asciiTheme="minorEastAsia" w:hAnsiTheme="minorEastAsia" w:eastAsiaTheme="minorEastAsia"/>
          <w:szCs w:val="21"/>
        </w:rPr>
        <w:t>最低</w:t>
      </w:r>
      <w:r>
        <w:rPr>
          <w:rFonts w:hint="eastAsia" w:asciiTheme="minorEastAsia" w:hAnsiTheme="minorEastAsia" w:eastAsiaTheme="minorEastAsia"/>
        </w:rPr>
        <w:t>要求”与技术规范不一致，以本表中主要性能指标要求为准。</w:t>
      </w:r>
    </w:p>
    <w:p w14:paraId="5B693010">
      <w:pPr>
        <w:pStyle w:val="37"/>
        <w:ind w:left="0" w:leftChars="0" w:firstLine="420" w:firstLineChars="200"/>
        <w:jc w:val="both"/>
        <w:rPr>
          <w:rFonts w:asciiTheme="minorEastAsia" w:hAnsiTheme="minorEastAsia" w:eastAsiaTheme="minorEastAsia"/>
        </w:rPr>
      </w:pPr>
      <w:r>
        <w:rPr>
          <w:rFonts w:hint="eastAsia" w:asciiTheme="minorEastAsia" w:hAnsiTheme="minorEastAsia" w:eastAsiaTheme="minorEastAsia"/>
          <w:sz w:val="21"/>
          <w:szCs w:val="21"/>
        </w:rPr>
        <w:t>2.标范围包含机电工程时，招标人根据项目施工图设计及技术规范要求，可对关键机电工程设备提出具体技术指标要求。</w:t>
      </w:r>
    </w:p>
    <w:p w14:paraId="4E999BDB">
      <w:pPr>
        <w:pStyle w:val="37"/>
        <w:ind w:left="0" w:leftChars="0" w:firstLine="420" w:firstLineChars="200"/>
        <w:rPr>
          <w:rFonts w:asciiTheme="minorEastAsia" w:hAnsiTheme="minorEastAsia" w:eastAsiaTheme="minorEastAsia"/>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招标人对关键机电设备的技术指标要求，从三大系统（通信、监控、收费），或者隧道机电（监控、通风、供配电、照明、消防、其他）等方面分系统描述。例如“通信系统”、“监控系统”、“隧道监控系统”、…。</w:t>
      </w:r>
    </w:p>
    <w:p w14:paraId="12026666">
      <w:pPr>
        <w:pStyle w:val="37"/>
        <w:ind w:left="0" w:leftChars="0" w:firstLine="420" w:firstLineChars="200"/>
        <w:rPr>
          <w:rFonts w:asciiTheme="minorEastAsia" w:hAnsiTheme="minorEastAsia" w:eastAsiaTheme="minorEastAsia"/>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招标人对关键机电设备技术指标要求，此栏列明需要提出要求的具体“设备名称”，例如“高清智能球机”“高清车辆识别一体机”……。</w:t>
      </w:r>
    </w:p>
    <w:p w14:paraId="481CEC64">
      <w:pPr>
        <w:pStyle w:val="37"/>
        <w:ind w:left="0" w:leftChars="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5.逐一列出各项技术指标，主要技术性能指标可为具体的参数或是功能性的要求或是使用业绩要求。</w:t>
      </w:r>
    </w:p>
    <w:p w14:paraId="48E5DB4D">
      <w:pPr>
        <w:pStyle w:val="20"/>
        <w:rPr>
          <w:sz w:val="20"/>
        </w:rPr>
        <w:sectPr>
          <w:footnotePr>
            <w:numFmt w:val="decimalEnclosedCircleChinese"/>
            <w:numRestart w:val="eachPage"/>
          </w:footnotePr>
          <w:pgSz w:w="11907" w:h="16840"/>
          <w:pgMar w:top="1418" w:right="1418" w:bottom="1418" w:left="1701" w:header="851" w:footer="624" w:gutter="0"/>
          <w:cols w:space="720" w:num="1"/>
          <w:docGrid w:linePitch="312" w:charSpace="0"/>
        </w:sectPr>
      </w:pPr>
    </w:p>
    <w:p w14:paraId="61EF5EF4">
      <w:pPr>
        <w:pStyle w:val="20"/>
        <w:rPr>
          <w:sz w:val="20"/>
        </w:rPr>
      </w:pPr>
    </w:p>
    <w:p w14:paraId="24AE9676">
      <w:pPr>
        <w:pStyle w:val="20"/>
        <w:rPr>
          <w:sz w:val="20"/>
        </w:rPr>
      </w:pPr>
    </w:p>
    <w:p w14:paraId="224F8E9F">
      <w:pPr>
        <w:pStyle w:val="20"/>
        <w:rPr>
          <w:sz w:val="20"/>
        </w:rPr>
      </w:pPr>
    </w:p>
    <w:p w14:paraId="68018562">
      <w:pPr>
        <w:pStyle w:val="20"/>
        <w:rPr>
          <w:sz w:val="20"/>
        </w:rPr>
      </w:pPr>
    </w:p>
    <w:p w14:paraId="3B41137B">
      <w:pPr>
        <w:pStyle w:val="20"/>
        <w:rPr>
          <w:sz w:val="20"/>
        </w:rPr>
      </w:pPr>
    </w:p>
    <w:p w14:paraId="0EE59324">
      <w:pPr>
        <w:pStyle w:val="20"/>
        <w:rPr>
          <w:sz w:val="20"/>
        </w:rPr>
      </w:pPr>
    </w:p>
    <w:p w14:paraId="326FA96C">
      <w:pPr>
        <w:pStyle w:val="20"/>
        <w:rPr>
          <w:sz w:val="20"/>
        </w:rPr>
      </w:pPr>
    </w:p>
    <w:p w14:paraId="4D156A88">
      <w:pPr>
        <w:pStyle w:val="20"/>
        <w:rPr>
          <w:sz w:val="20"/>
        </w:rPr>
      </w:pPr>
    </w:p>
    <w:p w14:paraId="6529B10D">
      <w:pPr>
        <w:pStyle w:val="20"/>
        <w:rPr>
          <w:sz w:val="20"/>
        </w:rPr>
      </w:pPr>
    </w:p>
    <w:p w14:paraId="2FD0EB0C">
      <w:pPr>
        <w:pStyle w:val="20"/>
        <w:rPr>
          <w:sz w:val="20"/>
        </w:rPr>
      </w:pPr>
    </w:p>
    <w:p w14:paraId="278E235F">
      <w:pPr>
        <w:pStyle w:val="20"/>
        <w:rPr>
          <w:sz w:val="20"/>
        </w:rPr>
      </w:pPr>
    </w:p>
    <w:p w14:paraId="4FF63420">
      <w:pPr>
        <w:pStyle w:val="20"/>
        <w:rPr>
          <w:sz w:val="20"/>
        </w:rPr>
      </w:pPr>
    </w:p>
    <w:p w14:paraId="195955BC">
      <w:pPr>
        <w:pStyle w:val="20"/>
        <w:rPr>
          <w:sz w:val="20"/>
        </w:rPr>
      </w:pPr>
    </w:p>
    <w:p w14:paraId="49F7408D">
      <w:pPr>
        <w:pStyle w:val="20"/>
        <w:rPr>
          <w:sz w:val="20"/>
        </w:rPr>
      </w:pPr>
    </w:p>
    <w:p w14:paraId="74E2B0D2">
      <w:pPr>
        <w:pStyle w:val="20"/>
        <w:rPr>
          <w:sz w:val="20"/>
        </w:rPr>
      </w:pPr>
    </w:p>
    <w:p w14:paraId="00FE67B6">
      <w:pPr>
        <w:pStyle w:val="20"/>
        <w:rPr>
          <w:sz w:val="20"/>
        </w:rPr>
      </w:pPr>
    </w:p>
    <w:p w14:paraId="2A5AE4CE">
      <w:pPr>
        <w:pStyle w:val="20"/>
        <w:rPr>
          <w:sz w:val="20"/>
        </w:rPr>
      </w:pPr>
    </w:p>
    <w:p w14:paraId="194DA2CD">
      <w:pPr>
        <w:pStyle w:val="20"/>
        <w:rPr>
          <w:sz w:val="20"/>
        </w:rPr>
      </w:pPr>
    </w:p>
    <w:p w14:paraId="6641CCD3">
      <w:pPr>
        <w:pStyle w:val="20"/>
        <w:rPr>
          <w:sz w:val="20"/>
        </w:rPr>
      </w:pPr>
    </w:p>
    <w:p w14:paraId="453F38A4">
      <w:pPr>
        <w:pStyle w:val="20"/>
        <w:rPr>
          <w:sz w:val="20"/>
        </w:rPr>
      </w:pPr>
    </w:p>
    <w:p w14:paraId="04C3CDDE">
      <w:pPr>
        <w:pStyle w:val="20"/>
        <w:rPr>
          <w:sz w:val="20"/>
        </w:rPr>
      </w:pPr>
    </w:p>
    <w:p w14:paraId="79928D0C">
      <w:pPr>
        <w:pStyle w:val="2"/>
        <w:spacing w:before="120" w:after="120" w:line="480" w:lineRule="auto"/>
        <w:jc w:val="center"/>
        <w:rPr>
          <w:rStyle w:val="175"/>
          <w:b w:val="0"/>
          <w:bCs w:val="0"/>
          <w:sz w:val="48"/>
          <w:szCs w:val="48"/>
        </w:rPr>
      </w:pPr>
      <w:bookmarkStart w:id="850" w:name="_Toc53685806"/>
      <w:r>
        <w:rPr>
          <w:rStyle w:val="175"/>
          <w:rFonts w:hint="eastAsia"/>
          <w:b w:val="0"/>
          <w:bCs w:val="0"/>
          <w:szCs w:val="52"/>
        </w:rPr>
        <w:t>第五章</w:t>
      </w:r>
      <w:r>
        <w:rPr>
          <w:rStyle w:val="175"/>
          <w:b w:val="0"/>
          <w:bCs w:val="0"/>
          <w:szCs w:val="52"/>
        </w:rPr>
        <w:t xml:space="preserve">  </w:t>
      </w:r>
      <w:r>
        <w:rPr>
          <w:rStyle w:val="175"/>
          <w:rFonts w:hint="eastAsia"/>
          <w:b w:val="0"/>
          <w:bCs w:val="0"/>
          <w:szCs w:val="52"/>
        </w:rPr>
        <w:t>价格清单</w:t>
      </w:r>
      <w:bookmarkEnd w:id="850"/>
    </w:p>
    <w:p w14:paraId="0C57541D">
      <w:pPr>
        <w:pStyle w:val="20"/>
        <w:spacing w:before="10"/>
        <w:rPr>
          <w:sz w:val="20"/>
        </w:rPr>
      </w:pPr>
    </w:p>
    <w:p w14:paraId="34250CB5">
      <w:pPr>
        <w:rPr>
          <w:rFonts w:hint="eastAsia" w:ascii="宋体" w:hAnsi="宋体" w:eastAsia="宋体" w:cs="宋体"/>
          <w:lang w:val="en-US" w:eastAsia="zh-CN"/>
        </w:rPr>
      </w:pPr>
      <w:r>
        <w:rPr>
          <w:rFonts w:hint="eastAsia" w:ascii="宋体" w:hAnsi="宋体" w:eastAsia="宋体" w:cs="宋体"/>
          <w:lang w:val="en-US" w:eastAsia="zh-CN"/>
        </w:rPr>
        <w:t>注：</w:t>
      </w:r>
      <w:r>
        <w:rPr>
          <w:rFonts w:hint="eastAsia" w:ascii="宋体" w:hAnsi="宋体" w:eastAsia="宋体" w:cs="宋体"/>
        </w:rPr>
        <w:t>本章节内容招标人参照中华人民共和国交通运输部《公路工程标准勘察设计招标文件》（2018年版）、《公路工程标准施工招标文件》（2018年版），根据项目特点和实际情况进行编制。</w:t>
      </w:r>
    </w:p>
    <w:p w14:paraId="5840F75C">
      <w:pPr>
        <w:tabs>
          <w:tab w:val="left" w:pos="3921"/>
          <w:tab w:val="left" w:pos="5440"/>
        </w:tabs>
        <w:spacing w:line="860" w:lineRule="exact"/>
        <w:ind w:left="2401"/>
        <w:rPr>
          <w:rFonts w:ascii="宋体" w:hAnsi="宋体"/>
          <w:sz w:val="76"/>
        </w:rPr>
      </w:pPr>
    </w:p>
    <w:p w14:paraId="00094273">
      <w:pPr>
        <w:tabs>
          <w:tab w:val="left" w:pos="3921"/>
          <w:tab w:val="left" w:pos="5440"/>
        </w:tabs>
        <w:spacing w:line="860" w:lineRule="exact"/>
        <w:ind w:left="2401"/>
        <w:rPr>
          <w:rFonts w:ascii="宋体" w:hAnsi="宋体"/>
          <w:sz w:val="76"/>
        </w:rPr>
      </w:pPr>
    </w:p>
    <w:p w14:paraId="59FBC93C">
      <w:pPr>
        <w:tabs>
          <w:tab w:val="left" w:pos="3921"/>
          <w:tab w:val="left" w:pos="5440"/>
        </w:tabs>
        <w:spacing w:line="860" w:lineRule="exact"/>
        <w:ind w:left="2401"/>
        <w:rPr>
          <w:rFonts w:ascii="宋体" w:hAnsi="宋体"/>
          <w:sz w:val="76"/>
        </w:rPr>
      </w:pPr>
    </w:p>
    <w:p w14:paraId="60EF3645">
      <w:pPr>
        <w:tabs>
          <w:tab w:val="left" w:pos="3921"/>
          <w:tab w:val="left" w:pos="5440"/>
        </w:tabs>
        <w:spacing w:line="860" w:lineRule="exact"/>
        <w:ind w:left="2401"/>
        <w:rPr>
          <w:rFonts w:ascii="宋体" w:hAnsi="宋体"/>
          <w:sz w:val="76"/>
        </w:rPr>
      </w:pPr>
    </w:p>
    <w:p w14:paraId="0EBC5316">
      <w:pPr>
        <w:tabs>
          <w:tab w:val="left" w:pos="3921"/>
          <w:tab w:val="left" w:pos="5440"/>
        </w:tabs>
        <w:spacing w:line="860" w:lineRule="exact"/>
        <w:ind w:left="2401"/>
        <w:rPr>
          <w:rFonts w:ascii="宋体" w:hAnsi="宋体"/>
          <w:sz w:val="76"/>
        </w:rPr>
      </w:pPr>
    </w:p>
    <w:p w14:paraId="5A9F47D6">
      <w:pPr>
        <w:pStyle w:val="20"/>
        <w:kinsoku w:val="0"/>
        <w:overflowPunct w:val="0"/>
        <w:spacing w:before="47"/>
        <w:rPr>
          <w:spacing w:val="-1"/>
          <w:sz w:val="18"/>
          <w:szCs w:val="18"/>
        </w:rPr>
        <w:sectPr>
          <w:footnotePr>
            <w:numFmt w:val="decimalEnclosedCircleChinese"/>
            <w:numRestart w:val="eachPage"/>
          </w:footnotePr>
          <w:pgSz w:w="11907" w:h="16840"/>
          <w:pgMar w:top="1418" w:right="1418" w:bottom="1418" w:left="1701" w:header="851" w:footer="624" w:gutter="0"/>
          <w:cols w:space="720" w:num="1"/>
          <w:docGrid w:linePitch="312" w:charSpace="0"/>
        </w:sectPr>
      </w:pPr>
      <w:bookmarkStart w:id="851" w:name="bookmark280"/>
      <w:bookmarkEnd w:id="851"/>
      <w:bookmarkStart w:id="852" w:name="bookmark282"/>
      <w:bookmarkEnd w:id="852"/>
      <w:bookmarkStart w:id="853" w:name="bookmark281"/>
      <w:bookmarkEnd w:id="853"/>
      <w:bookmarkStart w:id="854" w:name="bookmark279"/>
      <w:bookmarkEnd w:id="854"/>
      <w:bookmarkStart w:id="855" w:name="bookmark278"/>
      <w:bookmarkEnd w:id="855"/>
    </w:p>
    <w:p w14:paraId="708A86BF">
      <w:pPr>
        <w:pStyle w:val="20"/>
        <w:kinsoku w:val="0"/>
        <w:overflowPunct w:val="0"/>
        <w:spacing w:before="9"/>
        <w:rPr>
          <w:rFonts w:cs="黑体"/>
          <w:sz w:val="2"/>
          <w:szCs w:val="2"/>
        </w:rPr>
      </w:pPr>
    </w:p>
    <w:p w14:paraId="2417CB77">
      <w:pPr>
        <w:tabs>
          <w:tab w:val="left" w:pos="3921"/>
          <w:tab w:val="left" w:pos="5440"/>
        </w:tabs>
        <w:spacing w:line="860" w:lineRule="exact"/>
        <w:jc w:val="center"/>
        <w:rPr>
          <w:rFonts w:ascii="黑体" w:hAnsi="黑体" w:eastAsia="黑体" w:cs="宋体"/>
          <w:bCs/>
          <w:kern w:val="0"/>
          <w:sz w:val="36"/>
          <w:szCs w:val="36"/>
        </w:rPr>
      </w:pPr>
      <w:r>
        <w:rPr>
          <w:rFonts w:ascii="黑体" w:hAnsi="黑体" w:eastAsia="黑体" w:cs="宋体"/>
          <w:bCs/>
          <w:kern w:val="0"/>
          <w:sz w:val="36"/>
          <w:szCs w:val="36"/>
        </w:rPr>
        <w:t>第五章  价格清单</w:t>
      </w:r>
    </w:p>
    <w:p w14:paraId="3C841DD4">
      <w:pPr>
        <w:tabs>
          <w:tab w:val="left" w:pos="3921"/>
          <w:tab w:val="left" w:pos="5440"/>
        </w:tabs>
        <w:spacing w:line="360" w:lineRule="auto"/>
        <w:rPr>
          <w:rFonts w:ascii="黑体" w:hAnsi="黑体" w:eastAsia="黑体" w:cs="宋体"/>
          <w:bCs/>
          <w:kern w:val="0"/>
          <w:sz w:val="30"/>
          <w:szCs w:val="30"/>
        </w:rPr>
      </w:pPr>
    </w:p>
    <w:p w14:paraId="11D39A2C">
      <w:pPr>
        <w:tabs>
          <w:tab w:val="left" w:pos="3921"/>
          <w:tab w:val="left" w:pos="5440"/>
        </w:tabs>
        <w:spacing w:line="360" w:lineRule="auto"/>
        <w:rPr>
          <w:rFonts w:ascii="黑体" w:hAnsi="黑体" w:eastAsia="黑体" w:cs="宋体"/>
          <w:bCs/>
          <w:kern w:val="0"/>
          <w:sz w:val="30"/>
          <w:szCs w:val="30"/>
        </w:rPr>
      </w:pPr>
      <w:r>
        <w:rPr>
          <w:rFonts w:hint="eastAsia" w:ascii="黑体" w:hAnsi="黑体" w:eastAsia="黑体" w:cs="宋体"/>
          <w:bCs/>
          <w:kern w:val="0"/>
          <w:sz w:val="30"/>
          <w:szCs w:val="30"/>
        </w:rPr>
        <w:t>一、价格清单说明</w:t>
      </w:r>
    </w:p>
    <w:p w14:paraId="011E1C1B">
      <w:pPr>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（一）清单</w:t>
      </w:r>
      <w:r>
        <w:rPr>
          <w:rFonts w:asciiTheme="minorEastAsia" w:hAnsiTheme="minorEastAsia" w:eastAsiaTheme="minorEastAsia"/>
          <w:sz w:val="24"/>
        </w:rPr>
        <w:t>说明</w:t>
      </w:r>
    </w:p>
    <w:p w14:paraId="6AD70BF7">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本清单根据招标文件中包括的有合同约束力的初步设计图纸以及合同条款的约定编制。计量单位采用中华人民共和国法定计量单位。</w:t>
      </w:r>
    </w:p>
    <w:p w14:paraId="768E3021">
      <w:pPr>
        <w:spacing w:line="360" w:lineRule="auto"/>
        <w:ind w:firstLine="410" w:firstLineChars="171"/>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本清单应与招标文件中投标人须知、专用合同条款、通用合同条款、发包人要求等一起阅读理解。</w:t>
      </w:r>
    </w:p>
    <w:p w14:paraId="0D37743B">
      <w:pPr>
        <w:spacing w:line="360" w:lineRule="auto"/>
        <w:ind w:firstLine="410" w:firstLineChars="171"/>
        <w:rPr>
          <w:rFonts w:ascii="宋体" w:hAnsi="宋体" w:cs="宋体"/>
          <w:sz w:val="24"/>
        </w:rPr>
      </w:pPr>
      <w:r>
        <w:rPr>
          <w:rFonts w:hint="eastAsia" w:ascii="宋体" w:hAnsi="宋体" w:cs="宋体"/>
          <w:sz w:val="24"/>
        </w:rPr>
        <w:t>1.3本清单由“价格清单汇总表”、“1.勘察工作”清单、“2.设计工作”清单、“3.施工”清单四部分组成。“价格清单”为通用表格，投标人应根据本招标项目工作内容，按照表格格式详细填写，以免遗漏或有误。</w:t>
      </w:r>
    </w:p>
    <w:p w14:paraId="4C0C5D24">
      <w:pPr>
        <w:spacing w:line="360" w:lineRule="auto"/>
        <w:ind w:firstLine="410" w:firstLineChars="171"/>
        <w:rPr>
          <w:rFonts w:ascii="宋体" w:hAnsi="宋体" w:cs="宋体"/>
          <w:sz w:val="24"/>
        </w:rPr>
      </w:pPr>
      <w:r>
        <w:rPr>
          <w:rFonts w:hint="eastAsia" w:ascii="宋体" w:hAnsi="宋体" w:cs="宋体"/>
          <w:sz w:val="24"/>
        </w:rPr>
        <w:t>1.4本清单中所列各项目数量的变动，不会降低或影响合同条款的效力，也不免除（联合体）承包人按规定进行设计、施工和缺陷责任期修复缺陷的责任。</w:t>
      </w:r>
    </w:p>
    <w:p w14:paraId="58B1FFD5">
      <w:pPr>
        <w:spacing w:line="360" w:lineRule="auto"/>
        <w:ind w:firstLine="410" w:firstLineChars="171"/>
        <w:rPr>
          <w:rFonts w:ascii="宋体" w:hAnsi="宋体" w:cs="宋体"/>
          <w:sz w:val="24"/>
        </w:rPr>
      </w:pPr>
      <w:r>
        <w:rPr>
          <w:rFonts w:hint="eastAsia" w:ascii="宋体" w:hAnsi="宋体" w:cs="宋体"/>
          <w:sz w:val="24"/>
        </w:rPr>
        <w:t>1.5 对作业和材料的一般说明或规定，未重复写入清单内，在给出清单各项目工程项目报价前，应参阅本说明中的有关内容。</w:t>
      </w:r>
    </w:p>
    <w:p w14:paraId="2B342E63">
      <w:pPr>
        <w:spacing w:line="360" w:lineRule="auto"/>
        <w:ind w:firstLine="410" w:firstLineChars="171"/>
        <w:rPr>
          <w:rFonts w:ascii="宋体" w:hAnsi="宋体" w:cs="宋体"/>
          <w:sz w:val="24"/>
        </w:rPr>
      </w:pPr>
      <w:r>
        <w:rPr>
          <w:rFonts w:hint="eastAsia" w:ascii="宋体" w:hAnsi="宋体" w:cs="宋体"/>
          <w:sz w:val="24"/>
        </w:rPr>
        <w:t>1.6勘察工作清单说明</w:t>
      </w:r>
    </w:p>
    <w:p w14:paraId="74F4552A">
      <w:pPr>
        <w:spacing w:line="360" w:lineRule="auto"/>
        <w:ind w:firstLine="410" w:firstLineChars="171"/>
        <w:rPr>
          <w:rFonts w:ascii="宋体" w:hAnsi="宋体" w:cs="宋体"/>
          <w:sz w:val="24"/>
        </w:rPr>
      </w:pPr>
      <w:r>
        <w:rPr>
          <w:rFonts w:hint="eastAsia" w:ascii="宋体" w:hAnsi="宋体" w:cs="宋体"/>
          <w:sz w:val="24"/>
        </w:rPr>
        <w:t>（1）</w:t>
      </w:r>
    </w:p>
    <w:p w14:paraId="6072D18D">
      <w:pPr>
        <w:spacing w:line="360" w:lineRule="auto"/>
        <w:ind w:firstLine="410" w:firstLineChars="171"/>
        <w:rPr>
          <w:rFonts w:ascii="宋体" w:hAnsi="宋体" w:cs="宋体"/>
          <w:sz w:val="24"/>
        </w:rPr>
      </w:pPr>
      <w:r>
        <w:rPr>
          <w:rFonts w:hint="eastAsia" w:ascii="宋体" w:hAnsi="宋体" w:cs="宋体"/>
          <w:sz w:val="24"/>
        </w:rPr>
        <w:t>（2）</w:t>
      </w:r>
    </w:p>
    <w:p w14:paraId="161448A4">
      <w:pPr>
        <w:spacing w:line="360" w:lineRule="auto"/>
        <w:ind w:firstLine="410" w:firstLineChars="171"/>
        <w:rPr>
          <w:rFonts w:ascii="宋体" w:hAnsi="宋体" w:cs="宋体"/>
          <w:sz w:val="24"/>
        </w:rPr>
      </w:pPr>
      <w:r>
        <w:rPr>
          <w:rFonts w:hint="eastAsia" w:ascii="宋体" w:hAnsi="宋体" w:cs="宋体"/>
          <w:sz w:val="24"/>
        </w:rPr>
        <w:t>1.7设计工作清单说明</w:t>
      </w:r>
    </w:p>
    <w:p w14:paraId="5AEF11F5">
      <w:pPr>
        <w:spacing w:line="360" w:lineRule="auto"/>
        <w:ind w:firstLine="410" w:firstLineChars="171"/>
        <w:rPr>
          <w:rFonts w:ascii="宋体" w:hAnsi="宋体" w:cs="宋体"/>
          <w:sz w:val="24"/>
        </w:rPr>
      </w:pPr>
      <w:r>
        <w:rPr>
          <w:rFonts w:hint="eastAsia" w:ascii="宋体" w:hAnsi="宋体" w:cs="宋体"/>
          <w:sz w:val="24"/>
        </w:rPr>
        <w:t>（1）</w:t>
      </w:r>
    </w:p>
    <w:p w14:paraId="08A9C085">
      <w:pPr>
        <w:spacing w:line="360" w:lineRule="auto"/>
        <w:ind w:firstLine="410" w:firstLineChars="171"/>
        <w:rPr>
          <w:rFonts w:ascii="宋体" w:hAnsi="宋体" w:cs="宋体"/>
          <w:sz w:val="24"/>
        </w:rPr>
      </w:pPr>
      <w:r>
        <w:rPr>
          <w:rFonts w:hint="eastAsia" w:ascii="宋体" w:hAnsi="宋体" w:cs="宋体"/>
          <w:sz w:val="24"/>
        </w:rPr>
        <w:t>（2）</w:t>
      </w:r>
    </w:p>
    <w:p w14:paraId="3331EB71">
      <w:pPr>
        <w:spacing w:line="360" w:lineRule="auto"/>
        <w:ind w:firstLine="410" w:firstLineChars="171"/>
        <w:rPr>
          <w:rFonts w:ascii="宋体" w:hAnsi="宋体" w:cs="宋体"/>
          <w:sz w:val="24"/>
        </w:rPr>
      </w:pPr>
      <w:r>
        <w:rPr>
          <w:rFonts w:hint="eastAsia" w:ascii="宋体" w:hAnsi="宋体" w:cs="宋体"/>
          <w:sz w:val="24"/>
        </w:rPr>
        <w:t>1.8施工清单说明</w:t>
      </w:r>
    </w:p>
    <w:p w14:paraId="631E5276">
      <w:pPr>
        <w:spacing w:line="360" w:lineRule="auto"/>
        <w:ind w:firstLine="410" w:firstLineChars="171"/>
        <w:rPr>
          <w:rFonts w:ascii="宋体" w:hAnsi="宋体" w:cs="宋体"/>
          <w:sz w:val="24"/>
        </w:rPr>
      </w:pPr>
      <w:r>
        <w:rPr>
          <w:rFonts w:hint="eastAsia" w:ascii="宋体" w:hAnsi="宋体" w:cs="宋体"/>
          <w:sz w:val="24"/>
        </w:rPr>
        <w:t>（1）</w:t>
      </w:r>
    </w:p>
    <w:p w14:paraId="06FA2CE1">
      <w:pPr>
        <w:spacing w:line="360" w:lineRule="auto"/>
        <w:ind w:firstLine="410" w:firstLineChars="171"/>
        <w:rPr>
          <w:rFonts w:ascii="宋体" w:hAnsi="宋体" w:cs="宋体"/>
          <w:sz w:val="24"/>
        </w:rPr>
      </w:pPr>
      <w:r>
        <w:rPr>
          <w:rFonts w:hint="eastAsia" w:ascii="宋体" w:hAnsi="宋体" w:cs="宋体"/>
          <w:sz w:val="24"/>
        </w:rPr>
        <w:t>（2）</w:t>
      </w:r>
    </w:p>
    <w:p w14:paraId="037BD456">
      <w:pPr>
        <w:spacing w:line="360" w:lineRule="auto"/>
        <w:ind w:firstLine="410" w:firstLineChars="171"/>
        <w:rPr>
          <w:rFonts w:ascii="宋体" w:hAnsi="宋体" w:cs="宋体"/>
          <w:sz w:val="24"/>
        </w:rPr>
      </w:pPr>
      <w:r>
        <w:rPr>
          <w:rFonts w:hint="eastAsia" w:ascii="宋体" w:hAnsi="宋体" w:cs="宋体"/>
          <w:sz w:val="24"/>
        </w:rPr>
        <w:t>（二）投标报价说明</w:t>
      </w:r>
    </w:p>
    <w:p w14:paraId="00DBF07C">
      <w:pPr>
        <w:spacing w:line="360" w:lineRule="auto"/>
        <w:ind w:firstLine="410" w:firstLineChars="171"/>
        <w:rPr>
          <w:rFonts w:ascii="宋体" w:hAnsi="宋体" w:cs="宋体"/>
          <w:sz w:val="24"/>
        </w:rPr>
      </w:pPr>
      <w:r>
        <w:rPr>
          <w:rFonts w:hint="eastAsia" w:ascii="宋体" w:hAnsi="宋体" w:cs="宋体"/>
          <w:sz w:val="24"/>
        </w:rPr>
        <w:t>2.1 价格清单中的每一子目须填入单价或价格，且只允许有一个报价。</w:t>
      </w:r>
    </w:p>
    <w:p w14:paraId="1AFE64C5">
      <w:pPr>
        <w:spacing w:line="360" w:lineRule="auto"/>
        <w:ind w:firstLine="410" w:firstLineChars="171"/>
        <w:rPr>
          <w:rFonts w:ascii="宋体" w:hAnsi="宋体" w:cs="宋体"/>
          <w:sz w:val="24"/>
        </w:rPr>
      </w:pPr>
      <w:r>
        <w:rPr>
          <w:rFonts w:hint="eastAsia" w:ascii="宋体" w:hAnsi="宋体" w:cs="宋体"/>
          <w:sz w:val="24"/>
        </w:rPr>
        <w:t>2.2除非合同另有规定，价格清单中有标价的单价和总额价均已包括了为实施和完成合同工程所需的劳务、材料、机械、质检（自检）、安装、缺陷修复、管理、保险、税费、利润等费用，以及合同明示或暗示的所有责任、义务和一般风险。</w:t>
      </w:r>
    </w:p>
    <w:p w14:paraId="15D98A3F">
      <w:pPr>
        <w:spacing w:line="360" w:lineRule="auto"/>
        <w:ind w:firstLine="410" w:firstLineChars="171"/>
        <w:rPr>
          <w:rFonts w:ascii="宋体" w:hAnsi="宋体" w:cs="宋体"/>
          <w:sz w:val="24"/>
        </w:rPr>
      </w:pPr>
      <w:r>
        <w:rPr>
          <w:rFonts w:hint="eastAsia" w:ascii="宋体" w:hAnsi="宋体" w:cs="宋体"/>
          <w:sz w:val="24"/>
        </w:rPr>
        <w:t>2.3价格清单中投标人没有填入单价或价格的子目，其费用视为已分摊在价格清单中其他相关子目的单价或价格之中。凡清单项目中未包含的但在勘察设计、施工中又必须完成的工作内容，均被认为已包含在清单各项目报价中，发包人不另行支付。承包人必须按监理人指令完成价格清单中未填入单价或价格的子目，但不能得到结算与支付。</w:t>
      </w:r>
    </w:p>
    <w:p w14:paraId="5E325351">
      <w:pPr>
        <w:spacing w:line="360" w:lineRule="auto"/>
        <w:ind w:firstLine="410" w:firstLineChars="171"/>
        <w:rPr>
          <w:rFonts w:ascii="宋体" w:hAnsi="宋体" w:cs="宋体"/>
          <w:sz w:val="24"/>
        </w:rPr>
      </w:pPr>
      <w:r>
        <w:rPr>
          <w:rFonts w:hint="eastAsia" w:ascii="宋体" w:hAnsi="宋体" w:cs="宋体"/>
          <w:sz w:val="24"/>
        </w:rPr>
        <w:t xml:space="preserve">2.4符合合同条款规定的全部费用应认为已被计入有标价的价格清单所列各子目之中，未列子目不予计量的工作，其费用应视为已分摊在本合同工程的有关子目的单价或总额价之中。 </w:t>
      </w:r>
    </w:p>
    <w:p w14:paraId="165A0C8E">
      <w:pPr>
        <w:spacing w:line="360" w:lineRule="auto"/>
        <w:ind w:firstLine="410" w:firstLineChars="171"/>
        <w:rPr>
          <w:rFonts w:ascii="宋体" w:hAnsi="宋体" w:cs="宋体"/>
          <w:sz w:val="24"/>
        </w:rPr>
      </w:pPr>
      <w:r>
        <w:rPr>
          <w:rFonts w:hint="eastAsia" w:ascii="宋体" w:hAnsi="宋体" w:cs="宋体"/>
          <w:sz w:val="24"/>
        </w:rPr>
        <w:t xml:space="preserve">2.5工程量清单中各项金额均以人民币（元）结算。 </w:t>
      </w:r>
    </w:p>
    <w:p w14:paraId="54B4F970">
      <w:pPr>
        <w:spacing w:line="360" w:lineRule="auto"/>
        <w:ind w:firstLine="410" w:firstLineChars="171"/>
        <w:rPr>
          <w:rFonts w:ascii="宋体" w:hAnsi="宋体" w:cs="宋体"/>
          <w:sz w:val="24"/>
        </w:rPr>
      </w:pPr>
      <w:r>
        <w:rPr>
          <w:rFonts w:hint="eastAsia" w:ascii="宋体" w:hAnsi="宋体" w:cs="宋体"/>
          <w:sz w:val="24"/>
        </w:rPr>
        <w:t>2.6 暂列金额（不含计日工总额）的数量及拟用子目的说明：</w:t>
      </w:r>
      <w:r>
        <w:rPr>
          <w:rFonts w:hint="eastAsia" w:ascii="宋体" w:hAnsi="宋体" w:cs="宋体"/>
          <w:sz w:val="24"/>
          <w:u w:val="single"/>
        </w:rPr>
        <w:t xml:space="preserve">              </w:t>
      </w:r>
      <w:r>
        <w:rPr>
          <w:rFonts w:hint="eastAsia" w:ascii="宋体" w:hAnsi="宋体" w:cs="宋体"/>
          <w:sz w:val="24"/>
        </w:rPr>
        <w:t xml:space="preserve"> 。 </w:t>
      </w:r>
    </w:p>
    <w:p w14:paraId="0F3F7B11">
      <w:pPr>
        <w:spacing w:line="360" w:lineRule="auto"/>
        <w:ind w:firstLine="410" w:firstLineChars="171"/>
        <w:rPr>
          <w:rFonts w:ascii="宋体" w:hAnsi="宋体" w:cs="宋体"/>
          <w:sz w:val="24"/>
        </w:rPr>
      </w:pPr>
      <w:r>
        <w:rPr>
          <w:rFonts w:hint="eastAsia" w:ascii="宋体" w:hAnsi="宋体" w:cs="宋体"/>
          <w:sz w:val="24"/>
        </w:rPr>
        <w:t>2.7 暂估价的数量及拟用子目的说明：</w:t>
      </w:r>
      <w:r>
        <w:rPr>
          <w:rFonts w:hint="eastAsia" w:ascii="宋体" w:hAnsi="宋体" w:cs="宋体"/>
          <w:sz w:val="24"/>
          <w:u w:val="single"/>
        </w:rPr>
        <w:t xml:space="preserve">                       </w:t>
      </w:r>
      <w:r>
        <w:rPr>
          <w:rFonts w:hint="eastAsia" w:ascii="宋体" w:hAnsi="宋体" w:cs="宋体"/>
          <w:sz w:val="24"/>
        </w:rPr>
        <w:t xml:space="preserve"> 。 </w:t>
      </w:r>
    </w:p>
    <w:p w14:paraId="15C9567C">
      <w:pPr>
        <w:spacing w:line="360" w:lineRule="auto"/>
        <w:ind w:firstLine="410" w:firstLineChars="171"/>
        <w:rPr>
          <w:sz w:val="24"/>
        </w:rPr>
      </w:pPr>
      <w:r>
        <w:rPr>
          <w:sz w:val="24"/>
        </w:rPr>
        <w:br w:type="page"/>
      </w:r>
    </w:p>
    <w:p w14:paraId="186F2F79">
      <w:pPr>
        <w:tabs>
          <w:tab w:val="left" w:pos="3921"/>
          <w:tab w:val="left" w:pos="5440"/>
        </w:tabs>
        <w:spacing w:line="360" w:lineRule="auto"/>
        <w:rPr>
          <w:rFonts w:ascii="黑体" w:hAnsi="黑体" w:eastAsia="黑体" w:cs="宋体"/>
          <w:bCs/>
          <w:kern w:val="0"/>
          <w:sz w:val="30"/>
          <w:szCs w:val="30"/>
        </w:rPr>
      </w:pPr>
      <w:r>
        <w:rPr>
          <w:rFonts w:ascii="黑体" w:hAnsi="黑体" w:eastAsia="黑体" w:cs="宋体"/>
          <w:bCs/>
          <w:kern w:val="0"/>
          <w:sz w:val="30"/>
          <w:szCs w:val="30"/>
        </w:rPr>
        <w:t>二</w:t>
      </w:r>
      <w:r>
        <w:rPr>
          <w:rFonts w:hint="eastAsia" w:ascii="黑体" w:hAnsi="黑体" w:eastAsia="黑体" w:cs="宋体"/>
          <w:bCs/>
          <w:kern w:val="0"/>
          <w:sz w:val="30"/>
          <w:szCs w:val="30"/>
        </w:rPr>
        <w:t>、</w:t>
      </w:r>
      <w:r>
        <w:rPr>
          <w:rFonts w:ascii="黑体" w:hAnsi="黑体" w:eastAsia="黑体" w:cs="宋体"/>
          <w:bCs/>
          <w:kern w:val="0"/>
          <w:sz w:val="30"/>
          <w:szCs w:val="30"/>
        </w:rPr>
        <w:t>价格清单</w:t>
      </w:r>
    </w:p>
    <w:p w14:paraId="6DDB3439">
      <w:pPr>
        <w:spacing w:line="360" w:lineRule="auto"/>
        <w:ind w:firstLine="410" w:firstLineChars="171"/>
        <w:rPr>
          <w:sz w:val="24"/>
        </w:rPr>
      </w:pPr>
    </w:p>
    <w:p w14:paraId="35A9D5C9">
      <w:pPr>
        <w:tabs>
          <w:tab w:val="left" w:pos="3921"/>
          <w:tab w:val="left" w:pos="5440"/>
        </w:tabs>
        <w:spacing w:line="360" w:lineRule="auto"/>
        <w:rPr>
          <w:rFonts w:ascii="黑体" w:hAnsi="黑体" w:eastAsia="黑体" w:cs="宋体"/>
          <w:bCs/>
          <w:kern w:val="0"/>
          <w:sz w:val="24"/>
        </w:rPr>
      </w:pPr>
      <w:r>
        <w:rPr>
          <w:rFonts w:ascii="黑体" w:hAnsi="黑体" w:eastAsia="黑体" w:cs="宋体"/>
          <w:bCs/>
          <w:kern w:val="0"/>
          <w:sz w:val="24"/>
        </w:rPr>
        <w:t>2.1勘察</w:t>
      </w:r>
      <w:r>
        <w:rPr>
          <w:rFonts w:hint="eastAsia" w:ascii="黑体" w:hAnsi="黑体" w:eastAsia="黑体" w:cs="宋体"/>
          <w:bCs/>
          <w:kern w:val="0"/>
          <w:sz w:val="24"/>
        </w:rPr>
        <w:t>清单</w:t>
      </w:r>
    </w:p>
    <w:p w14:paraId="0D51B0BF">
      <w:pPr>
        <w:tabs>
          <w:tab w:val="left" w:pos="3921"/>
          <w:tab w:val="left" w:pos="5440"/>
        </w:tabs>
        <w:spacing w:line="360" w:lineRule="auto"/>
        <w:ind w:firstLine="480" w:firstLineChars="200"/>
        <w:rPr>
          <w:rFonts w:cs="宋体" w:asciiTheme="minorEastAsia" w:hAnsiTheme="minorEastAsia" w:eastAsiaTheme="minorEastAsia"/>
          <w:bCs/>
          <w:kern w:val="0"/>
          <w:sz w:val="24"/>
        </w:rPr>
      </w:pPr>
      <w:bookmarkStart w:id="856" w:name="_Hlk100323993"/>
      <w:r>
        <w:rPr>
          <w:rFonts w:hint="eastAsia" w:cs="宋体" w:asciiTheme="minorEastAsia" w:hAnsiTheme="minorEastAsia" w:eastAsiaTheme="minorEastAsia"/>
          <w:bCs/>
          <w:kern w:val="0"/>
          <w:sz w:val="24"/>
        </w:rPr>
        <w:t>格式参见《公路工程标准勘察设计招标文件》（2</w:t>
      </w:r>
      <w:r>
        <w:rPr>
          <w:rFonts w:cs="宋体" w:asciiTheme="minorEastAsia" w:hAnsiTheme="minorEastAsia" w:eastAsiaTheme="minorEastAsia"/>
          <w:bCs/>
          <w:kern w:val="0"/>
          <w:sz w:val="24"/>
        </w:rPr>
        <w:t>018</w:t>
      </w:r>
      <w:r>
        <w:rPr>
          <w:rFonts w:hint="eastAsia" w:cs="宋体" w:asciiTheme="minorEastAsia" w:hAnsiTheme="minorEastAsia" w:eastAsiaTheme="minorEastAsia"/>
          <w:bCs/>
          <w:kern w:val="0"/>
          <w:sz w:val="24"/>
        </w:rPr>
        <w:t>年版）第六章“投标文件格式”第二个信封。</w:t>
      </w:r>
    </w:p>
    <w:bookmarkEnd w:id="856"/>
    <w:p w14:paraId="7B43A7E9">
      <w:pPr>
        <w:tabs>
          <w:tab w:val="left" w:pos="3921"/>
          <w:tab w:val="left" w:pos="5440"/>
        </w:tabs>
        <w:spacing w:line="360" w:lineRule="auto"/>
        <w:rPr>
          <w:rFonts w:cs="宋体" w:asciiTheme="minorEastAsia" w:hAnsiTheme="minorEastAsia" w:eastAsiaTheme="minorEastAsia"/>
          <w:bCs/>
          <w:kern w:val="0"/>
          <w:sz w:val="24"/>
        </w:rPr>
      </w:pPr>
    </w:p>
    <w:p w14:paraId="50B3864B">
      <w:pPr>
        <w:tabs>
          <w:tab w:val="left" w:pos="3921"/>
          <w:tab w:val="left" w:pos="5440"/>
        </w:tabs>
        <w:spacing w:line="360" w:lineRule="auto"/>
        <w:rPr>
          <w:rFonts w:ascii="黑体" w:hAnsi="黑体" w:eastAsia="黑体" w:cs="宋体"/>
          <w:bCs/>
          <w:kern w:val="0"/>
          <w:sz w:val="24"/>
        </w:rPr>
      </w:pPr>
      <w:r>
        <w:rPr>
          <w:rFonts w:hint="eastAsia" w:ascii="黑体" w:hAnsi="黑体" w:eastAsia="黑体" w:cs="宋体"/>
          <w:bCs/>
          <w:kern w:val="0"/>
          <w:sz w:val="24"/>
        </w:rPr>
        <w:t>2</w:t>
      </w:r>
      <w:r>
        <w:rPr>
          <w:rFonts w:ascii="黑体" w:hAnsi="黑体" w:eastAsia="黑体" w:cs="宋体"/>
          <w:bCs/>
          <w:kern w:val="0"/>
          <w:sz w:val="24"/>
        </w:rPr>
        <w:t>.2</w:t>
      </w:r>
      <w:r>
        <w:rPr>
          <w:rFonts w:hint="eastAsia" w:ascii="黑体" w:hAnsi="黑体" w:eastAsia="黑体" w:cs="宋体"/>
          <w:bCs/>
          <w:kern w:val="0"/>
          <w:sz w:val="24"/>
        </w:rPr>
        <w:t>设计清单</w:t>
      </w:r>
    </w:p>
    <w:p w14:paraId="4CD26A2E">
      <w:pPr>
        <w:tabs>
          <w:tab w:val="left" w:pos="3921"/>
          <w:tab w:val="left" w:pos="5440"/>
        </w:tabs>
        <w:spacing w:line="360" w:lineRule="auto"/>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格式参见《公路工程标准勘察设计招标文件》（2</w:t>
      </w:r>
      <w:r>
        <w:rPr>
          <w:rFonts w:cs="宋体" w:asciiTheme="minorEastAsia" w:hAnsiTheme="minorEastAsia" w:eastAsiaTheme="minorEastAsia"/>
          <w:bCs/>
          <w:kern w:val="0"/>
          <w:sz w:val="24"/>
        </w:rPr>
        <w:t>018</w:t>
      </w:r>
      <w:r>
        <w:rPr>
          <w:rFonts w:hint="eastAsia" w:cs="宋体" w:asciiTheme="minorEastAsia" w:hAnsiTheme="minorEastAsia" w:eastAsiaTheme="minorEastAsia"/>
          <w:bCs/>
          <w:kern w:val="0"/>
          <w:sz w:val="24"/>
        </w:rPr>
        <w:t>年版）第六章“投标文件格式”第二个信封。</w:t>
      </w:r>
    </w:p>
    <w:p w14:paraId="6801D643">
      <w:pPr>
        <w:tabs>
          <w:tab w:val="left" w:pos="3921"/>
          <w:tab w:val="left" w:pos="5440"/>
        </w:tabs>
        <w:spacing w:line="360" w:lineRule="auto"/>
        <w:rPr>
          <w:rFonts w:ascii="黑体" w:hAnsi="黑体" w:eastAsia="黑体" w:cs="宋体"/>
          <w:bCs/>
          <w:kern w:val="0"/>
          <w:sz w:val="24"/>
        </w:rPr>
      </w:pPr>
    </w:p>
    <w:p w14:paraId="6D2F0B48">
      <w:pPr>
        <w:tabs>
          <w:tab w:val="left" w:pos="3921"/>
          <w:tab w:val="left" w:pos="5440"/>
        </w:tabs>
        <w:spacing w:line="360" w:lineRule="auto"/>
        <w:rPr>
          <w:rFonts w:ascii="黑体" w:hAnsi="黑体" w:eastAsia="黑体" w:cs="宋体"/>
          <w:bCs/>
          <w:kern w:val="0"/>
          <w:sz w:val="24"/>
        </w:rPr>
      </w:pPr>
      <w:r>
        <w:rPr>
          <w:rFonts w:hint="eastAsia" w:ascii="黑体" w:hAnsi="黑体" w:eastAsia="黑体" w:cs="宋体"/>
          <w:bCs/>
          <w:kern w:val="0"/>
          <w:sz w:val="24"/>
        </w:rPr>
        <w:t>2</w:t>
      </w:r>
      <w:r>
        <w:rPr>
          <w:rFonts w:ascii="黑体" w:hAnsi="黑体" w:eastAsia="黑体" w:cs="宋体"/>
          <w:bCs/>
          <w:kern w:val="0"/>
          <w:sz w:val="24"/>
        </w:rPr>
        <w:t>.3</w:t>
      </w:r>
      <w:r>
        <w:rPr>
          <w:rFonts w:hint="eastAsia" w:ascii="黑体" w:hAnsi="黑体" w:eastAsia="黑体" w:cs="宋体"/>
          <w:bCs/>
          <w:kern w:val="0"/>
          <w:sz w:val="24"/>
        </w:rPr>
        <w:t>施工清单</w:t>
      </w:r>
    </w:p>
    <w:p w14:paraId="0FF8FB2A">
      <w:pPr>
        <w:tabs>
          <w:tab w:val="left" w:pos="3921"/>
          <w:tab w:val="left" w:pos="5440"/>
        </w:tabs>
        <w:spacing w:line="360" w:lineRule="auto"/>
        <w:ind w:firstLine="480" w:firstLineChars="200"/>
        <w:rPr>
          <w:rFonts w:cs="宋体" w:asciiTheme="minorEastAsia" w:hAnsiTheme="minorEastAsia" w:eastAsiaTheme="minorEastAsia"/>
          <w:bCs/>
          <w:kern w:val="0"/>
          <w:sz w:val="24"/>
        </w:rPr>
      </w:pPr>
      <w:bookmarkStart w:id="857" w:name="_Hlk100324056"/>
      <w:r>
        <w:rPr>
          <w:rFonts w:hint="eastAsia" w:cs="宋体" w:asciiTheme="minorEastAsia" w:hAnsiTheme="minorEastAsia" w:eastAsiaTheme="minorEastAsia"/>
          <w:bCs/>
          <w:kern w:val="0"/>
          <w:sz w:val="24"/>
        </w:rPr>
        <w:t>格式参见</w:t>
      </w:r>
      <w:bookmarkStart w:id="858" w:name="_Hlk100772972"/>
      <w:r>
        <w:rPr>
          <w:rFonts w:hint="eastAsia" w:cs="宋体" w:asciiTheme="minorEastAsia" w:hAnsiTheme="minorEastAsia" w:eastAsiaTheme="minorEastAsia"/>
          <w:bCs/>
          <w:kern w:val="0"/>
          <w:sz w:val="24"/>
        </w:rPr>
        <w:t>《公路工程标准施工招标文件》（2</w:t>
      </w:r>
      <w:r>
        <w:rPr>
          <w:rFonts w:cs="宋体" w:asciiTheme="minorEastAsia" w:hAnsiTheme="minorEastAsia" w:eastAsiaTheme="minorEastAsia"/>
          <w:bCs/>
          <w:kern w:val="0"/>
          <w:sz w:val="24"/>
        </w:rPr>
        <w:t>018</w:t>
      </w:r>
      <w:r>
        <w:rPr>
          <w:rFonts w:hint="eastAsia" w:cs="宋体" w:asciiTheme="minorEastAsia" w:hAnsiTheme="minorEastAsia" w:eastAsiaTheme="minorEastAsia"/>
          <w:bCs/>
          <w:kern w:val="0"/>
          <w:sz w:val="24"/>
        </w:rPr>
        <w:t>年版）第五章“工程量清单”</w:t>
      </w:r>
      <w:bookmarkEnd w:id="858"/>
      <w:r>
        <w:rPr>
          <w:rFonts w:hint="eastAsia" w:cs="宋体" w:asciiTheme="minorEastAsia" w:hAnsiTheme="minorEastAsia" w:eastAsiaTheme="minorEastAsia"/>
          <w:bCs/>
          <w:kern w:val="0"/>
          <w:sz w:val="24"/>
        </w:rPr>
        <w:t>。</w:t>
      </w:r>
    </w:p>
    <w:p w14:paraId="4012A40B">
      <w:pPr>
        <w:tabs>
          <w:tab w:val="left" w:pos="3921"/>
          <w:tab w:val="left" w:pos="5440"/>
        </w:tabs>
        <w:spacing w:line="360" w:lineRule="auto"/>
        <w:ind w:firstLine="480" w:firstLineChars="200"/>
        <w:rPr>
          <w:rFonts w:cs="宋体" w:asciiTheme="minorEastAsia" w:hAnsiTheme="minorEastAsia" w:eastAsiaTheme="minorEastAsia"/>
          <w:bCs/>
          <w:kern w:val="0"/>
          <w:sz w:val="24"/>
        </w:rPr>
      </w:pPr>
    </w:p>
    <w:bookmarkEnd w:id="857"/>
    <w:p w14:paraId="6760217C">
      <w:pPr>
        <w:tabs>
          <w:tab w:val="left" w:pos="3921"/>
          <w:tab w:val="left" w:pos="5440"/>
        </w:tabs>
        <w:spacing w:line="360" w:lineRule="auto"/>
        <w:rPr>
          <w:rFonts w:ascii="黑体" w:hAnsi="黑体" w:eastAsia="黑体" w:cs="宋体"/>
          <w:bCs/>
          <w:kern w:val="0"/>
          <w:sz w:val="24"/>
        </w:rPr>
      </w:pPr>
      <w:r>
        <w:rPr>
          <w:rFonts w:hint="eastAsia" w:ascii="黑体" w:hAnsi="黑体" w:eastAsia="黑体" w:cs="宋体"/>
          <w:bCs/>
          <w:kern w:val="0"/>
          <w:sz w:val="24"/>
        </w:rPr>
        <w:t>2</w:t>
      </w:r>
      <w:r>
        <w:rPr>
          <w:rFonts w:ascii="黑体" w:hAnsi="黑体" w:eastAsia="黑体" w:cs="宋体"/>
          <w:bCs/>
          <w:kern w:val="0"/>
          <w:sz w:val="24"/>
        </w:rPr>
        <w:t>.4</w:t>
      </w:r>
      <w:r>
        <w:rPr>
          <w:rFonts w:hint="eastAsia" w:ascii="黑体" w:hAnsi="黑体" w:eastAsia="黑体" w:cs="宋体"/>
          <w:bCs/>
          <w:kern w:val="0"/>
          <w:sz w:val="24"/>
        </w:rPr>
        <w:t>计日工表</w:t>
      </w:r>
    </w:p>
    <w:p w14:paraId="73F767D4">
      <w:pPr>
        <w:tabs>
          <w:tab w:val="left" w:pos="3921"/>
          <w:tab w:val="left" w:pos="5440"/>
        </w:tabs>
        <w:spacing w:line="360" w:lineRule="auto"/>
        <w:ind w:firstLine="480" w:firstLineChars="200"/>
        <w:rPr>
          <w:rFonts w:cs="宋体" w:asciiTheme="minorEastAsia" w:hAnsiTheme="minorEastAsia" w:eastAsiaTheme="minorEastAsia"/>
          <w:bCs/>
          <w:kern w:val="0"/>
          <w:sz w:val="24"/>
        </w:rPr>
      </w:pPr>
      <w:bookmarkStart w:id="859" w:name="_Hlk100324125"/>
      <w:r>
        <w:rPr>
          <w:rFonts w:hint="eastAsia" w:cs="宋体" w:asciiTheme="minorEastAsia" w:hAnsiTheme="minorEastAsia" w:eastAsiaTheme="minorEastAsia"/>
          <w:bCs/>
          <w:kern w:val="0"/>
          <w:sz w:val="24"/>
        </w:rPr>
        <w:t>格式参见《公路工程标准施工招标文件》（2</w:t>
      </w:r>
      <w:r>
        <w:rPr>
          <w:rFonts w:cs="宋体" w:asciiTheme="minorEastAsia" w:hAnsiTheme="minorEastAsia" w:eastAsiaTheme="minorEastAsia"/>
          <w:bCs/>
          <w:kern w:val="0"/>
          <w:sz w:val="24"/>
        </w:rPr>
        <w:t>018</w:t>
      </w:r>
      <w:r>
        <w:rPr>
          <w:rFonts w:hint="eastAsia" w:cs="宋体" w:asciiTheme="minorEastAsia" w:hAnsiTheme="minorEastAsia" w:eastAsiaTheme="minorEastAsia"/>
          <w:bCs/>
          <w:kern w:val="0"/>
          <w:sz w:val="24"/>
        </w:rPr>
        <w:t>年版）第五章“工程量清单”。</w:t>
      </w:r>
    </w:p>
    <w:bookmarkEnd w:id="859"/>
    <w:p w14:paraId="476F3A0C">
      <w:pPr>
        <w:tabs>
          <w:tab w:val="left" w:pos="3921"/>
          <w:tab w:val="left" w:pos="5440"/>
        </w:tabs>
        <w:spacing w:line="360" w:lineRule="auto"/>
        <w:rPr>
          <w:rFonts w:ascii="黑体" w:hAnsi="黑体" w:eastAsia="黑体" w:cs="宋体"/>
          <w:bCs/>
          <w:kern w:val="0"/>
          <w:sz w:val="24"/>
        </w:rPr>
      </w:pPr>
    </w:p>
    <w:p w14:paraId="016D404E">
      <w:pPr>
        <w:tabs>
          <w:tab w:val="left" w:pos="3921"/>
          <w:tab w:val="left" w:pos="5440"/>
        </w:tabs>
        <w:spacing w:line="360" w:lineRule="auto"/>
        <w:rPr>
          <w:rFonts w:ascii="黑体" w:hAnsi="黑体" w:eastAsia="黑体" w:cs="宋体"/>
          <w:bCs/>
          <w:kern w:val="0"/>
          <w:sz w:val="24"/>
        </w:rPr>
      </w:pPr>
      <w:r>
        <w:rPr>
          <w:rFonts w:hint="eastAsia" w:ascii="黑体" w:hAnsi="黑体" w:eastAsia="黑体" w:cs="宋体"/>
          <w:bCs/>
          <w:kern w:val="0"/>
          <w:sz w:val="24"/>
        </w:rPr>
        <w:t>2</w:t>
      </w:r>
      <w:r>
        <w:rPr>
          <w:rFonts w:ascii="黑体" w:hAnsi="黑体" w:eastAsia="黑体" w:cs="宋体"/>
          <w:bCs/>
          <w:kern w:val="0"/>
          <w:sz w:val="24"/>
        </w:rPr>
        <w:t>.5</w:t>
      </w:r>
      <w:r>
        <w:rPr>
          <w:rFonts w:hint="eastAsia" w:ascii="黑体" w:hAnsi="黑体" w:eastAsia="黑体" w:cs="宋体"/>
          <w:bCs/>
          <w:kern w:val="0"/>
          <w:sz w:val="24"/>
        </w:rPr>
        <w:t>暂</w:t>
      </w:r>
      <w:r>
        <w:rPr>
          <w:rFonts w:ascii="黑体" w:hAnsi="黑体" w:eastAsia="黑体" w:cs="宋体"/>
          <w:bCs/>
          <w:kern w:val="0"/>
          <w:sz w:val="24"/>
        </w:rPr>
        <w:t>估价表</w:t>
      </w:r>
    </w:p>
    <w:p w14:paraId="58966C17">
      <w:pPr>
        <w:tabs>
          <w:tab w:val="left" w:pos="3921"/>
          <w:tab w:val="left" w:pos="5440"/>
        </w:tabs>
        <w:spacing w:line="360" w:lineRule="auto"/>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格式参见《公路工程标准施工招标文件》（2</w:t>
      </w:r>
      <w:r>
        <w:rPr>
          <w:rFonts w:cs="宋体" w:asciiTheme="minorEastAsia" w:hAnsiTheme="minorEastAsia" w:eastAsiaTheme="minorEastAsia"/>
          <w:bCs/>
          <w:kern w:val="0"/>
          <w:sz w:val="24"/>
        </w:rPr>
        <w:t>018</w:t>
      </w:r>
      <w:r>
        <w:rPr>
          <w:rFonts w:hint="eastAsia" w:cs="宋体" w:asciiTheme="minorEastAsia" w:hAnsiTheme="minorEastAsia" w:eastAsiaTheme="minorEastAsia"/>
          <w:bCs/>
          <w:kern w:val="0"/>
          <w:sz w:val="24"/>
        </w:rPr>
        <w:t>年版）第五章“工程量清单”。</w:t>
      </w:r>
    </w:p>
    <w:p w14:paraId="37CBC982">
      <w:pPr>
        <w:tabs>
          <w:tab w:val="left" w:pos="3921"/>
          <w:tab w:val="left" w:pos="5440"/>
        </w:tabs>
        <w:spacing w:line="360" w:lineRule="auto"/>
        <w:rPr>
          <w:rFonts w:cs="宋体" w:asciiTheme="minorEastAsia" w:hAnsiTheme="minorEastAsia" w:eastAsiaTheme="minorEastAsia"/>
          <w:bCs/>
          <w:kern w:val="0"/>
          <w:sz w:val="24"/>
        </w:rPr>
      </w:pPr>
    </w:p>
    <w:p w14:paraId="6059FF5F">
      <w:pPr>
        <w:tabs>
          <w:tab w:val="left" w:pos="312"/>
          <w:tab w:val="left" w:pos="3921"/>
          <w:tab w:val="left" w:pos="5440"/>
        </w:tabs>
        <w:spacing w:line="360" w:lineRule="auto"/>
        <w:rPr>
          <w:rFonts w:ascii="黑体" w:hAnsi="黑体" w:eastAsia="黑体" w:cs="宋体"/>
          <w:bCs/>
          <w:kern w:val="0"/>
          <w:sz w:val="24"/>
        </w:rPr>
      </w:pPr>
    </w:p>
    <w:p w14:paraId="3C83DA5C">
      <w:pPr>
        <w:tabs>
          <w:tab w:val="left" w:pos="312"/>
          <w:tab w:val="left" w:pos="3921"/>
          <w:tab w:val="left" w:pos="5440"/>
        </w:tabs>
        <w:spacing w:line="360" w:lineRule="auto"/>
        <w:rPr>
          <w:rFonts w:ascii="黑体" w:hAnsi="黑体" w:eastAsia="黑体" w:cs="宋体"/>
          <w:bCs/>
          <w:kern w:val="0"/>
          <w:sz w:val="24"/>
        </w:rPr>
      </w:pPr>
    </w:p>
    <w:p w14:paraId="544D1CD2">
      <w:pPr>
        <w:tabs>
          <w:tab w:val="left" w:pos="312"/>
          <w:tab w:val="left" w:pos="3921"/>
          <w:tab w:val="left" w:pos="5440"/>
        </w:tabs>
        <w:spacing w:line="360" w:lineRule="auto"/>
        <w:rPr>
          <w:rFonts w:ascii="黑体" w:hAnsi="黑体" w:eastAsia="黑体" w:cs="宋体"/>
          <w:bCs/>
          <w:kern w:val="0"/>
          <w:sz w:val="24"/>
        </w:rPr>
      </w:pPr>
    </w:p>
    <w:p w14:paraId="161E2BE4">
      <w:pPr>
        <w:tabs>
          <w:tab w:val="left" w:pos="312"/>
          <w:tab w:val="left" w:pos="3921"/>
          <w:tab w:val="left" w:pos="5440"/>
        </w:tabs>
        <w:spacing w:line="360" w:lineRule="auto"/>
        <w:rPr>
          <w:rFonts w:ascii="黑体" w:hAnsi="黑体" w:eastAsia="黑体" w:cs="宋体"/>
          <w:bCs/>
          <w:kern w:val="0"/>
          <w:sz w:val="24"/>
        </w:rPr>
      </w:pPr>
    </w:p>
    <w:p w14:paraId="6922A966">
      <w:pPr>
        <w:rPr>
          <w:rFonts w:ascii="黑体" w:hAnsi="黑体" w:eastAsia="黑体" w:cs="宋体"/>
          <w:bCs/>
          <w:kern w:val="0"/>
          <w:sz w:val="24"/>
        </w:rPr>
      </w:pPr>
      <w:r>
        <w:rPr>
          <w:rFonts w:ascii="黑体" w:hAnsi="黑体" w:eastAsia="黑体" w:cs="宋体"/>
          <w:bCs/>
          <w:kern w:val="0"/>
          <w:sz w:val="24"/>
        </w:rPr>
        <w:br w:type="page"/>
      </w:r>
    </w:p>
    <w:p w14:paraId="6F0DF332">
      <w:pPr>
        <w:tabs>
          <w:tab w:val="left" w:pos="312"/>
          <w:tab w:val="left" w:pos="3921"/>
          <w:tab w:val="left" w:pos="5440"/>
        </w:tabs>
        <w:spacing w:line="360" w:lineRule="auto"/>
        <w:rPr>
          <w:rFonts w:ascii="黑体" w:hAnsi="黑体" w:eastAsia="黑体" w:cs="宋体"/>
          <w:bCs/>
          <w:kern w:val="0"/>
          <w:sz w:val="24"/>
        </w:rPr>
      </w:pPr>
      <w:r>
        <w:rPr>
          <w:rFonts w:ascii="黑体" w:hAnsi="黑体" w:eastAsia="黑体" w:cs="宋体"/>
          <w:bCs/>
          <w:kern w:val="0"/>
          <w:sz w:val="24"/>
        </w:rPr>
        <w:t xml:space="preserve">2.6 </w:t>
      </w:r>
      <w:r>
        <w:rPr>
          <w:rFonts w:hint="eastAsia" w:ascii="黑体" w:hAnsi="黑体" w:eastAsia="黑体" w:cs="宋体"/>
          <w:bCs/>
          <w:kern w:val="0"/>
          <w:sz w:val="24"/>
        </w:rPr>
        <w:t>投标报价汇总表</w:t>
      </w:r>
    </w:p>
    <w:p w14:paraId="4F00543E"/>
    <w:p w14:paraId="6CD08372">
      <w:pPr>
        <w:tabs>
          <w:tab w:val="left" w:pos="3921"/>
          <w:tab w:val="left" w:pos="5440"/>
        </w:tabs>
        <w:spacing w:line="360" w:lineRule="auto"/>
        <w:rPr>
          <w:rFonts w:cs="宋体" w:asciiTheme="minorEastAsia" w:hAnsiTheme="minorEastAsia" w:eastAsiaTheme="minorEastAsia"/>
          <w:bCs/>
          <w:kern w:val="0"/>
          <w:sz w:val="24"/>
        </w:rPr>
      </w:pPr>
      <w:r>
        <w:rPr>
          <w:rFonts w:cs="宋体" w:asciiTheme="minorEastAsia" w:hAnsiTheme="minorEastAsia" w:eastAsiaTheme="minorEastAsia"/>
          <w:bCs/>
          <w:kern w:val="0"/>
          <w:sz w:val="24"/>
        </w:rPr>
        <w:t>第</w:t>
      </w:r>
      <w:r>
        <w:rPr>
          <w:rFonts w:hint="eastAsia" w:cs="宋体" w:asciiTheme="minorEastAsia" w:hAnsiTheme="minorEastAsia" w:eastAsiaTheme="minorEastAsia"/>
          <w:bCs/>
          <w:kern w:val="0"/>
          <w:sz w:val="24"/>
          <w:u w:val="single"/>
        </w:rPr>
        <w:t xml:space="preserve"> </w:t>
      </w:r>
      <w:r>
        <w:rPr>
          <w:rFonts w:cs="宋体" w:asciiTheme="minorEastAsia" w:hAnsiTheme="minorEastAsia" w:eastAsiaTheme="minorEastAsia"/>
          <w:bCs/>
          <w:kern w:val="0"/>
          <w:sz w:val="24"/>
          <w:u w:val="single"/>
        </w:rPr>
        <w:t xml:space="preserve">   </w:t>
      </w:r>
      <w:r>
        <w:rPr>
          <w:rFonts w:cs="宋体" w:asciiTheme="minorEastAsia" w:hAnsiTheme="minorEastAsia" w:eastAsiaTheme="minorEastAsia"/>
          <w:bCs/>
          <w:kern w:val="0"/>
          <w:sz w:val="24"/>
        </w:rPr>
        <w:t>标段</w:t>
      </w:r>
      <w:r>
        <w:rPr>
          <w:rFonts w:hint="eastAsia" w:cs="宋体" w:asciiTheme="minorEastAsia" w:hAnsiTheme="minorEastAsia" w:eastAsiaTheme="minorEastAsia"/>
          <w:bCs/>
          <w:kern w:val="0"/>
          <w:sz w:val="24"/>
        </w:rPr>
        <w:t xml:space="preserve"> </w:t>
      </w:r>
      <w:r>
        <w:rPr>
          <w:rFonts w:cs="宋体" w:asciiTheme="minorEastAsia" w:hAnsiTheme="minorEastAsia" w:eastAsiaTheme="minorEastAsia"/>
          <w:bCs/>
          <w:kern w:val="0"/>
          <w:sz w:val="24"/>
        </w:rPr>
        <w:t xml:space="preserve">                                           单位</w:t>
      </w:r>
      <w:r>
        <w:rPr>
          <w:rFonts w:hint="eastAsia" w:cs="宋体" w:asciiTheme="minorEastAsia" w:hAnsiTheme="minorEastAsia" w:eastAsiaTheme="minorEastAsia"/>
          <w:bCs/>
          <w:kern w:val="0"/>
          <w:sz w:val="24"/>
        </w:rPr>
        <w:t>：</w:t>
      </w:r>
      <w:r>
        <w:rPr>
          <w:rFonts w:cs="宋体" w:asciiTheme="minorEastAsia" w:hAnsiTheme="minorEastAsia" w:eastAsiaTheme="minorEastAsia"/>
          <w:bCs/>
          <w:kern w:val="0"/>
          <w:sz w:val="24"/>
        </w:rPr>
        <w:t>人民币元</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3761"/>
        <w:gridCol w:w="2127"/>
        <w:gridCol w:w="1997"/>
      </w:tblGrid>
      <w:tr w14:paraId="0718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 w:type="dxa"/>
            <w:vAlign w:val="center"/>
          </w:tcPr>
          <w:p w14:paraId="1AD7C1ED">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序号</w:t>
            </w:r>
          </w:p>
        </w:tc>
        <w:tc>
          <w:tcPr>
            <w:tcW w:w="3761" w:type="dxa"/>
            <w:vAlign w:val="center"/>
          </w:tcPr>
          <w:p w14:paraId="5A02D902">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项目名称</w:t>
            </w:r>
          </w:p>
        </w:tc>
        <w:tc>
          <w:tcPr>
            <w:tcW w:w="2127" w:type="dxa"/>
            <w:vAlign w:val="center"/>
          </w:tcPr>
          <w:p w14:paraId="757EB285">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金额</w:t>
            </w:r>
          </w:p>
        </w:tc>
        <w:tc>
          <w:tcPr>
            <w:tcW w:w="1997" w:type="dxa"/>
            <w:vAlign w:val="center"/>
          </w:tcPr>
          <w:p w14:paraId="0698EEEC">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备注</w:t>
            </w:r>
          </w:p>
        </w:tc>
      </w:tr>
      <w:tr w14:paraId="5409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 w:type="dxa"/>
            <w:vAlign w:val="center"/>
          </w:tcPr>
          <w:p w14:paraId="2AFCF080">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p>
        </w:tc>
        <w:tc>
          <w:tcPr>
            <w:tcW w:w="3761" w:type="dxa"/>
            <w:vAlign w:val="center"/>
          </w:tcPr>
          <w:p w14:paraId="14869EBD">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勘察</w:t>
            </w:r>
          </w:p>
        </w:tc>
        <w:tc>
          <w:tcPr>
            <w:tcW w:w="2127" w:type="dxa"/>
            <w:vAlign w:val="center"/>
          </w:tcPr>
          <w:p w14:paraId="6C56D213">
            <w:pPr>
              <w:tabs>
                <w:tab w:val="left" w:pos="3921"/>
                <w:tab w:val="left" w:pos="5440"/>
              </w:tabs>
              <w:spacing w:line="400" w:lineRule="exact"/>
              <w:jc w:val="center"/>
              <w:rPr>
                <w:rFonts w:cs="宋体" w:asciiTheme="minorEastAsia" w:hAnsiTheme="minorEastAsia" w:eastAsiaTheme="minorEastAsia"/>
                <w:bCs/>
                <w:kern w:val="0"/>
                <w:szCs w:val="21"/>
              </w:rPr>
            </w:pPr>
          </w:p>
        </w:tc>
        <w:tc>
          <w:tcPr>
            <w:tcW w:w="1997" w:type="dxa"/>
            <w:vAlign w:val="center"/>
          </w:tcPr>
          <w:p w14:paraId="27B7A10B">
            <w:pPr>
              <w:tabs>
                <w:tab w:val="left" w:pos="3921"/>
                <w:tab w:val="left" w:pos="5440"/>
              </w:tabs>
              <w:spacing w:line="400" w:lineRule="exact"/>
              <w:jc w:val="center"/>
              <w:rPr>
                <w:rFonts w:cs="宋体" w:asciiTheme="minorEastAsia" w:hAnsiTheme="minorEastAsia" w:eastAsiaTheme="minorEastAsia"/>
                <w:bCs/>
                <w:kern w:val="0"/>
                <w:szCs w:val="21"/>
              </w:rPr>
            </w:pPr>
          </w:p>
        </w:tc>
      </w:tr>
      <w:tr w14:paraId="2EC0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 w:type="dxa"/>
            <w:vAlign w:val="center"/>
          </w:tcPr>
          <w:p w14:paraId="0222999B">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w:t>
            </w:r>
          </w:p>
        </w:tc>
        <w:tc>
          <w:tcPr>
            <w:tcW w:w="3761" w:type="dxa"/>
            <w:vAlign w:val="center"/>
          </w:tcPr>
          <w:p w14:paraId="02ED8A69">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设计</w:t>
            </w:r>
          </w:p>
        </w:tc>
        <w:tc>
          <w:tcPr>
            <w:tcW w:w="2127" w:type="dxa"/>
            <w:vAlign w:val="center"/>
          </w:tcPr>
          <w:p w14:paraId="7663C94D">
            <w:pPr>
              <w:tabs>
                <w:tab w:val="left" w:pos="3921"/>
                <w:tab w:val="left" w:pos="5440"/>
              </w:tabs>
              <w:spacing w:line="400" w:lineRule="exact"/>
              <w:jc w:val="center"/>
              <w:rPr>
                <w:rFonts w:cs="宋体" w:asciiTheme="minorEastAsia" w:hAnsiTheme="minorEastAsia" w:eastAsiaTheme="minorEastAsia"/>
                <w:bCs/>
                <w:kern w:val="0"/>
                <w:szCs w:val="21"/>
              </w:rPr>
            </w:pPr>
          </w:p>
        </w:tc>
        <w:tc>
          <w:tcPr>
            <w:tcW w:w="1997" w:type="dxa"/>
            <w:vAlign w:val="center"/>
          </w:tcPr>
          <w:p w14:paraId="28CC048D">
            <w:pPr>
              <w:tabs>
                <w:tab w:val="left" w:pos="3921"/>
                <w:tab w:val="left" w:pos="5440"/>
              </w:tabs>
              <w:spacing w:line="400" w:lineRule="exact"/>
              <w:jc w:val="center"/>
              <w:rPr>
                <w:rFonts w:cs="宋体" w:asciiTheme="minorEastAsia" w:hAnsiTheme="minorEastAsia" w:eastAsiaTheme="minorEastAsia"/>
                <w:bCs/>
                <w:kern w:val="0"/>
                <w:szCs w:val="21"/>
              </w:rPr>
            </w:pPr>
          </w:p>
        </w:tc>
      </w:tr>
      <w:tr w14:paraId="07BE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 w:type="dxa"/>
            <w:vAlign w:val="center"/>
          </w:tcPr>
          <w:p w14:paraId="79BFE9BA">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w:t>
            </w:r>
          </w:p>
        </w:tc>
        <w:tc>
          <w:tcPr>
            <w:tcW w:w="3761" w:type="dxa"/>
            <w:vAlign w:val="center"/>
          </w:tcPr>
          <w:p w14:paraId="30FE92C4">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施工</w:t>
            </w:r>
          </w:p>
        </w:tc>
        <w:tc>
          <w:tcPr>
            <w:tcW w:w="2127" w:type="dxa"/>
            <w:vAlign w:val="center"/>
          </w:tcPr>
          <w:p w14:paraId="3F569438">
            <w:pPr>
              <w:tabs>
                <w:tab w:val="left" w:pos="3921"/>
                <w:tab w:val="left" w:pos="5440"/>
              </w:tabs>
              <w:spacing w:line="400" w:lineRule="exact"/>
              <w:jc w:val="center"/>
              <w:rPr>
                <w:rFonts w:cs="宋体" w:asciiTheme="minorEastAsia" w:hAnsiTheme="minorEastAsia" w:eastAsiaTheme="minorEastAsia"/>
                <w:bCs/>
                <w:kern w:val="0"/>
                <w:szCs w:val="21"/>
              </w:rPr>
            </w:pPr>
          </w:p>
        </w:tc>
        <w:tc>
          <w:tcPr>
            <w:tcW w:w="1997" w:type="dxa"/>
            <w:vAlign w:val="center"/>
          </w:tcPr>
          <w:p w14:paraId="03F8F925">
            <w:pPr>
              <w:tabs>
                <w:tab w:val="left" w:pos="3921"/>
                <w:tab w:val="left" w:pos="5440"/>
              </w:tabs>
              <w:spacing w:line="400" w:lineRule="exact"/>
              <w:jc w:val="center"/>
              <w:rPr>
                <w:rFonts w:cs="宋体" w:asciiTheme="minorEastAsia" w:hAnsiTheme="minorEastAsia" w:eastAsiaTheme="minorEastAsia"/>
                <w:bCs/>
                <w:kern w:val="0"/>
                <w:szCs w:val="21"/>
              </w:rPr>
            </w:pPr>
          </w:p>
        </w:tc>
      </w:tr>
      <w:tr w14:paraId="4DB4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 w:type="dxa"/>
            <w:vAlign w:val="center"/>
          </w:tcPr>
          <w:p w14:paraId="596C1A76">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w:t>
            </w:r>
          </w:p>
        </w:tc>
        <w:tc>
          <w:tcPr>
            <w:tcW w:w="3761" w:type="dxa"/>
            <w:vAlign w:val="center"/>
          </w:tcPr>
          <w:p w14:paraId="1D72A2E7">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清单合计（1</w:t>
            </w:r>
            <w:r>
              <w:rPr>
                <w:rFonts w:cs="宋体" w:asciiTheme="minorEastAsia" w:hAnsiTheme="minorEastAsia" w:eastAsiaTheme="minorEastAsia"/>
                <w:bCs/>
                <w:kern w:val="0"/>
                <w:szCs w:val="21"/>
              </w:rPr>
              <w:t>+2+3</w:t>
            </w:r>
            <w:r>
              <w:rPr>
                <w:rFonts w:hint="eastAsia" w:cs="宋体" w:asciiTheme="minorEastAsia" w:hAnsiTheme="minorEastAsia" w:eastAsiaTheme="minorEastAsia"/>
                <w:bCs/>
                <w:kern w:val="0"/>
                <w:szCs w:val="21"/>
              </w:rPr>
              <w:t>）</w:t>
            </w:r>
          </w:p>
        </w:tc>
        <w:tc>
          <w:tcPr>
            <w:tcW w:w="2127" w:type="dxa"/>
            <w:vAlign w:val="center"/>
          </w:tcPr>
          <w:p w14:paraId="78F1983F">
            <w:pPr>
              <w:tabs>
                <w:tab w:val="left" w:pos="3921"/>
                <w:tab w:val="left" w:pos="5440"/>
              </w:tabs>
              <w:spacing w:line="400" w:lineRule="exact"/>
              <w:jc w:val="center"/>
              <w:rPr>
                <w:rFonts w:cs="宋体" w:asciiTheme="minorEastAsia" w:hAnsiTheme="minorEastAsia" w:eastAsiaTheme="minorEastAsia"/>
                <w:bCs/>
                <w:kern w:val="0"/>
                <w:szCs w:val="21"/>
              </w:rPr>
            </w:pPr>
          </w:p>
        </w:tc>
        <w:tc>
          <w:tcPr>
            <w:tcW w:w="1997" w:type="dxa"/>
            <w:vAlign w:val="center"/>
          </w:tcPr>
          <w:p w14:paraId="59158817">
            <w:pPr>
              <w:tabs>
                <w:tab w:val="left" w:pos="3921"/>
                <w:tab w:val="left" w:pos="5440"/>
              </w:tabs>
              <w:spacing w:line="400" w:lineRule="exact"/>
              <w:jc w:val="center"/>
              <w:rPr>
                <w:rFonts w:cs="宋体" w:asciiTheme="minorEastAsia" w:hAnsiTheme="minorEastAsia" w:eastAsiaTheme="minorEastAsia"/>
                <w:bCs/>
                <w:kern w:val="0"/>
                <w:szCs w:val="21"/>
              </w:rPr>
            </w:pPr>
          </w:p>
        </w:tc>
      </w:tr>
      <w:tr w14:paraId="3E90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 w:type="dxa"/>
            <w:vAlign w:val="center"/>
          </w:tcPr>
          <w:p w14:paraId="57DC4C95">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w:t>
            </w:r>
          </w:p>
        </w:tc>
        <w:tc>
          <w:tcPr>
            <w:tcW w:w="3761" w:type="dxa"/>
            <w:vAlign w:val="center"/>
          </w:tcPr>
          <w:p w14:paraId="3BE9632F">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包含在价格清单中的暂估价合计</w:t>
            </w:r>
          </w:p>
        </w:tc>
        <w:tc>
          <w:tcPr>
            <w:tcW w:w="2127" w:type="dxa"/>
            <w:vAlign w:val="center"/>
          </w:tcPr>
          <w:p w14:paraId="01CD95BE">
            <w:pPr>
              <w:tabs>
                <w:tab w:val="left" w:pos="3921"/>
                <w:tab w:val="left" w:pos="5440"/>
              </w:tabs>
              <w:spacing w:line="400" w:lineRule="exact"/>
              <w:jc w:val="center"/>
              <w:rPr>
                <w:rFonts w:cs="宋体" w:asciiTheme="minorEastAsia" w:hAnsiTheme="minorEastAsia" w:eastAsiaTheme="minorEastAsia"/>
                <w:bCs/>
                <w:kern w:val="0"/>
                <w:szCs w:val="21"/>
              </w:rPr>
            </w:pPr>
          </w:p>
        </w:tc>
        <w:tc>
          <w:tcPr>
            <w:tcW w:w="1997" w:type="dxa"/>
            <w:vAlign w:val="center"/>
          </w:tcPr>
          <w:p w14:paraId="0F72219F">
            <w:pPr>
              <w:tabs>
                <w:tab w:val="left" w:pos="3921"/>
                <w:tab w:val="left" w:pos="5440"/>
              </w:tabs>
              <w:spacing w:line="400" w:lineRule="exact"/>
              <w:jc w:val="center"/>
              <w:rPr>
                <w:rFonts w:cs="宋体" w:asciiTheme="minorEastAsia" w:hAnsiTheme="minorEastAsia" w:eastAsiaTheme="minorEastAsia"/>
                <w:bCs/>
                <w:kern w:val="0"/>
                <w:szCs w:val="21"/>
              </w:rPr>
            </w:pPr>
          </w:p>
        </w:tc>
      </w:tr>
      <w:tr w14:paraId="5A83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 w:type="dxa"/>
            <w:vAlign w:val="center"/>
          </w:tcPr>
          <w:p w14:paraId="22A6E1A7">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w:t>
            </w:r>
          </w:p>
        </w:tc>
        <w:tc>
          <w:tcPr>
            <w:tcW w:w="3761" w:type="dxa"/>
            <w:vAlign w:val="center"/>
          </w:tcPr>
          <w:p w14:paraId="788BB6DC">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清单合计-暂估价合计（即4</w:t>
            </w:r>
            <w:r>
              <w:rPr>
                <w:rFonts w:cs="宋体" w:asciiTheme="minorEastAsia" w:hAnsiTheme="minorEastAsia" w:eastAsiaTheme="minorEastAsia"/>
                <w:bCs/>
                <w:kern w:val="0"/>
                <w:szCs w:val="21"/>
              </w:rPr>
              <w:t>-5</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6</w:t>
            </w:r>
            <w:r>
              <w:rPr>
                <w:rFonts w:hint="eastAsia" w:cs="宋体" w:asciiTheme="minorEastAsia" w:hAnsiTheme="minorEastAsia" w:eastAsiaTheme="minorEastAsia"/>
                <w:bCs/>
                <w:kern w:val="0"/>
                <w:szCs w:val="21"/>
              </w:rPr>
              <w:t>）</w:t>
            </w:r>
          </w:p>
        </w:tc>
        <w:tc>
          <w:tcPr>
            <w:tcW w:w="2127" w:type="dxa"/>
            <w:vAlign w:val="center"/>
          </w:tcPr>
          <w:p w14:paraId="4C0281FB">
            <w:pPr>
              <w:tabs>
                <w:tab w:val="left" w:pos="3921"/>
                <w:tab w:val="left" w:pos="5440"/>
              </w:tabs>
              <w:spacing w:line="400" w:lineRule="exact"/>
              <w:jc w:val="center"/>
              <w:rPr>
                <w:rFonts w:cs="宋体" w:asciiTheme="minorEastAsia" w:hAnsiTheme="minorEastAsia" w:eastAsiaTheme="minorEastAsia"/>
                <w:bCs/>
                <w:kern w:val="0"/>
                <w:szCs w:val="21"/>
              </w:rPr>
            </w:pPr>
          </w:p>
        </w:tc>
        <w:tc>
          <w:tcPr>
            <w:tcW w:w="1997" w:type="dxa"/>
            <w:vAlign w:val="center"/>
          </w:tcPr>
          <w:p w14:paraId="7BDB3DF6">
            <w:pPr>
              <w:tabs>
                <w:tab w:val="left" w:pos="3921"/>
                <w:tab w:val="left" w:pos="5440"/>
              </w:tabs>
              <w:spacing w:line="400" w:lineRule="exact"/>
              <w:jc w:val="center"/>
              <w:rPr>
                <w:rFonts w:cs="宋体" w:asciiTheme="minorEastAsia" w:hAnsiTheme="minorEastAsia" w:eastAsiaTheme="minorEastAsia"/>
                <w:bCs/>
                <w:kern w:val="0"/>
                <w:szCs w:val="21"/>
              </w:rPr>
            </w:pPr>
          </w:p>
        </w:tc>
      </w:tr>
      <w:tr w14:paraId="5D0D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 w:type="dxa"/>
            <w:vAlign w:val="center"/>
          </w:tcPr>
          <w:p w14:paraId="59C0CCC6">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w:t>
            </w:r>
          </w:p>
        </w:tc>
        <w:tc>
          <w:tcPr>
            <w:tcW w:w="3761" w:type="dxa"/>
            <w:vAlign w:val="center"/>
          </w:tcPr>
          <w:p w14:paraId="0AF1CBB8">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计日工合计</w:t>
            </w:r>
          </w:p>
        </w:tc>
        <w:tc>
          <w:tcPr>
            <w:tcW w:w="2127" w:type="dxa"/>
            <w:vAlign w:val="center"/>
          </w:tcPr>
          <w:p w14:paraId="4BC00AFD">
            <w:pPr>
              <w:tabs>
                <w:tab w:val="left" w:pos="3921"/>
                <w:tab w:val="left" w:pos="5440"/>
              </w:tabs>
              <w:spacing w:line="400" w:lineRule="exact"/>
              <w:jc w:val="center"/>
              <w:rPr>
                <w:rFonts w:cs="宋体" w:asciiTheme="minorEastAsia" w:hAnsiTheme="minorEastAsia" w:eastAsiaTheme="minorEastAsia"/>
                <w:bCs/>
                <w:kern w:val="0"/>
                <w:szCs w:val="21"/>
              </w:rPr>
            </w:pPr>
          </w:p>
        </w:tc>
        <w:tc>
          <w:tcPr>
            <w:tcW w:w="1997" w:type="dxa"/>
            <w:vAlign w:val="center"/>
          </w:tcPr>
          <w:p w14:paraId="4920172B">
            <w:pPr>
              <w:tabs>
                <w:tab w:val="left" w:pos="3921"/>
                <w:tab w:val="left" w:pos="5440"/>
              </w:tabs>
              <w:spacing w:line="400" w:lineRule="exact"/>
              <w:jc w:val="center"/>
              <w:rPr>
                <w:rFonts w:cs="宋体" w:asciiTheme="minorEastAsia" w:hAnsiTheme="minorEastAsia" w:eastAsiaTheme="minorEastAsia"/>
                <w:bCs/>
                <w:kern w:val="0"/>
                <w:szCs w:val="21"/>
              </w:rPr>
            </w:pPr>
          </w:p>
        </w:tc>
      </w:tr>
      <w:tr w14:paraId="55FB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1" w:type="dxa"/>
            <w:vAlign w:val="center"/>
          </w:tcPr>
          <w:p w14:paraId="3C81F728">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w:t>
            </w:r>
          </w:p>
        </w:tc>
        <w:tc>
          <w:tcPr>
            <w:tcW w:w="3761" w:type="dxa"/>
            <w:vAlign w:val="center"/>
          </w:tcPr>
          <w:p w14:paraId="18AC3C34">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暂列金额</w:t>
            </w:r>
          </w:p>
        </w:tc>
        <w:tc>
          <w:tcPr>
            <w:tcW w:w="2127" w:type="dxa"/>
            <w:vAlign w:val="center"/>
          </w:tcPr>
          <w:p w14:paraId="444EA69B">
            <w:pPr>
              <w:tabs>
                <w:tab w:val="left" w:pos="3921"/>
                <w:tab w:val="left" w:pos="5440"/>
              </w:tabs>
              <w:spacing w:line="400" w:lineRule="exact"/>
              <w:jc w:val="center"/>
              <w:rPr>
                <w:rFonts w:cs="宋体" w:asciiTheme="minorEastAsia" w:hAnsiTheme="minorEastAsia" w:eastAsiaTheme="minorEastAsia"/>
                <w:bCs/>
                <w:kern w:val="0"/>
                <w:szCs w:val="21"/>
              </w:rPr>
            </w:pPr>
          </w:p>
        </w:tc>
        <w:tc>
          <w:tcPr>
            <w:tcW w:w="1997" w:type="dxa"/>
            <w:vAlign w:val="center"/>
          </w:tcPr>
          <w:p w14:paraId="283928CB">
            <w:pPr>
              <w:tabs>
                <w:tab w:val="left" w:pos="3921"/>
                <w:tab w:val="left" w:pos="5440"/>
              </w:tabs>
              <w:spacing w:line="400" w:lineRule="exact"/>
              <w:jc w:val="center"/>
              <w:rPr>
                <w:rFonts w:cs="宋体" w:asciiTheme="minorEastAsia" w:hAnsiTheme="minorEastAsia" w:eastAsiaTheme="minorEastAsia"/>
                <w:bCs/>
                <w:kern w:val="0"/>
                <w:szCs w:val="21"/>
              </w:rPr>
            </w:pPr>
          </w:p>
        </w:tc>
      </w:tr>
      <w:tr w14:paraId="26C8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jc w:val="center"/>
        </w:trPr>
        <w:tc>
          <w:tcPr>
            <w:tcW w:w="971" w:type="dxa"/>
            <w:vAlign w:val="center"/>
          </w:tcPr>
          <w:p w14:paraId="36394321">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w:t>
            </w:r>
          </w:p>
        </w:tc>
        <w:tc>
          <w:tcPr>
            <w:tcW w:w="3761" w:type="dxa"/>
            <w:vAlign w:val="center"/>
          </w:tcPr>
          <w:p w14:paraId="4F8B31FA">
            <w:pPr>
              <w:tabs>
                <w:tab w:val="left" w:pos="3921"/>
                <w:tab w:val="left" w:pos="5440"/>
              </w:tabs>
              <w:spacing w:line="400" w:lineRule="exac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投标报价（即</w:t>
            </w:r>
            <w:r>
              <w:rPr>
                <w:rFonts w:cs="宋体" w:asciiTheme="minorEastAsia" w:hAnsiTheme="minorEastAsia" w:eastAsiaTheme="minorEastAsia"/>
                <w:bCs/>
                <w:kern w:val="0"/>
                <w:szCs w:val="21"/>
              </w:rPr>
              <w:t>4+7+8</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9</w:t>
            </w:r>
            <w:r>
              <w:rPr>
                <w:rFonts w:hint="eastAsia" w:cs="宋体" w:asciiTheme="minorEastAsia" w:hAnsiTheme="minorEastAsia" w:eastAsiaTheme="minorEastAsia"/>
                <w:bCs/>
                <w:kern w:val="0"/>
                <w:szCs w:val="21"/>
              </w:rPr>
              <w:t>）</w:t>
            </w:r>
          </w:p>
        </w:tc>
        <w:tc>
          <w:tcPr>
            <w:tcW w:w="2127" w:type="dxa"/>
            <w:vAlign w:val="center"/>
          </w:tcPr>
          <w:p w14:paraId="30A62EAE">
            <w:pPr>
              <w:tabs>
                <w:tab w:val="left" w:pos="3921"/>
                <w:tab w:val="left" w:pos="5440"/>
              </w:tabs>
              <w:spacing w:line="400" w:lineRule="exact"/>
              <w:jc w:val="center"/>
              <w:rPr>
                <w:rFonts w:cs="宋体" w:asciiTheme="minorEastAsia" w:hAnsiTheme="minorEastAsia" w:eastAsiaTheme="minorEastAsia"/>
                <w:bCs/>
                <w:kern w:val="0"/>
                <w:szCs w:val="21"/>
              </w:rPr>
            </w:pPr>
          </w:p>
        </w:tc>
        <w:tc>
          <w:tcPr>
            <w:tcW w:w="1997" w:type="dxa"/>
            <w:vAlign w:val="center"/>
          </w:tcPr>
          <w:p w14:paraId="5FFFA0C5">
            <w:pPr>
              <w:tabs>
                <w:tab w:val="left" w:pos="3921"/>
                <w:tab w:val="left" w:pos="5440"/>
              </w:tabs>
              <w:spacing w:line="400" w:lineRule="exact"/>
              <w:jc w:val="center"/>
              <w:rPr>
                <w:rFonts w:cs="宋体" w:asciiTheme="minorEastAsia" w:hAnsiTheme="minorEastAsia" w:eastAsiaTheme="minorEastAsia"/>
                <w:bCs/>
                <w:kern w:val="0"/>
                <w:szCs w:val="21"/>
              </w:rPr>
            </w:pPr>
          </w:p>
        </w:tc>
      </w:tr>
    </w:tbl>
    <w:p w14:paraId="41445F5A"/>
    <w:p w14:paraId="7A88905A"/>
    <w:p w14:paraId="41AB80A9"/>
    <w:p w14:paraId="3E5B7209"/>
    <w:p w14:paraId="4088C9E9">
      <w:r>
        <w:br w:type="page"/>
      </w:r>
    </w:p>
    <w:p w14:paraId="0368136D"/>
    <w:p w14:paraId="1074DA35">
      <w:pPr>
        <w:tabs>
          <w:tab w:val="left" w:pos="3921"/>
          <w:tab w:val="left" w:pos="5440"/>
        </w:tabs>
        <w:spacing w:line="860" w:lineRule="exact"/>
        <w:rPr>
          <w:rFonts w:ascii="宋体" w:hAnsi="宋体"/>
          <w:sz w:val="76"/>
        </w:rPr>
      </w:pPr>
    </w:p>
    <w:p w14:paraId="370CB980">
      <w:pPr>
        <w:tabs>
          <w:tab w:val="left" w:pos="3921"/>
          <w:tab w:val="left" w:pos="5440"/>
        </w:tabs>
        <w:spacing w:line="860" w:lineRule="exact"/>
        <w:rPr>
          <w:rFonts w:ascii="宋体" w:hAnsi="宋体"/>
          <w:sz w:val="76"/>
        </w:rPr>
      </w:pPr>
    </w:p>
    <w:p w14:paraId="5B881B68">
      <w:pPr>
        <w:tabs>
          <w:tab w:val="left" w:pos="3921"/>
          <w:tab w:val="left" w:pos="5440"/>
        </w:tabs>
        <w:spacing w:line="860" w:lineRule="exact"/>
        <w:rPr>
          <w:rFonts w:ascii="宋体" w:hAnsi="宋体"/>
          <w:sz w:val="76"/>
        </w:rPr>
      </w:pPr>
    </w:p>
    <w:p w14:paraId="559E010C">
      <w:pPr>
        <w:tabs>
          <w:tab w:val="left" w:pos="3921"/>
          <w:tab w:val="left" w:pos="5440"/>
        </w:tabs>
        <w:spacing w:line="860" w:lineRule="exact"/>
        <w:rPr>
          <w:rFonts w:ascii="宋体" w:hAnsi="宋体"/>
          <w:sz w:val="76"/>
        </w:rPr>
      </w:pPr>
    </w:p>
    <w:p w14:paraId="19417D0E">
      <w:pPr>
        <w:pStyle w:val="2"/>
        <w:spacing w:before="120" w:after="120" w:line="640" w:lineRule="exact"/>
        <w:jc w:val="center"/>
        <w:rPr>
          <w:rStyle w:val="175"/>
          <w:b/>
          <w:bCs w:val="0"/>
          <w:sz w:val="76"/>
          <w:szCs w:val="76"/>
        </w:rPr>
      </w:pPr>
      <w:bookmarkStart w:id="860" w:name="_Toc27060729"/>
      <w:bookmarkStart w:id="861" w:name="_Toc53685807"/>
      <w:r>
        <w:rPr>
          <w:rStyle w:val="175"/>
          <w:rFonts w:hint="eastAsia"/>
          <w:b/>
          <w:bCs w:val="0"/>
          <w:sz w:val="76"/>
          <w:szCs w:val="76"/>
        </w:rPr>
        <w:t>第</w:t>
      </w:r>
      <w:r>
        <w:rPr>
          <w:rStyle w:val="175"/>
          <w:b/>
          <w:bCs w:val="0"/>
          <w:sz w:val="76"/>
          <w:szCs w:val="76"/>
        </w:rPr>
        <w:t xml:space="preserve"> </w:t>
      </w:r>
      <w:r>
        <w:rPr>
          <w:rStyle w:val="175"/>
          <w:rFonts w:hint="eastAsia"/>
          <w:b/>
          <w:bCs w:val="0"/>
          <w:sz w:val="76"/>
          <w:szCs w:val="76"/>
        </w:rPr>
        <w:t>二</w:t>
      </w:r>
      <w:r>
        <w:rPr>
          <w:rStyle w:val="175"/>
          <w:b/>
          <w:bCs w:val="0"/>
          <w:sz w:val="76"/>
          <w:szCs w:val="76"/>
        </w:rPr>
        <w:t xml:space="preserve"> </w:t>
      </w:r>
      <w:r>
        <w:rPr>
          <w:rStyle w:val="175"/>
          <w:rFonts w:hint="eastAsia"/>
          <w:b/>
          <w:bCs w:val="0"/>
          <w:sz w:val="76"/>
          <w:szCs w:val="76"/>
        </w:rPr>
        <w:t>卷</w:t>
      </w:r>
      <w:bookmarkEnd w:id="860"/>
      <w:bookmarkEnd w:id="861"/>
    </w:p>
    <w:p w14:paraId="01D031AA">
      <w:pPr>
        <w:tabs>
          <w:tab w:val="left" w:pos="3921"/>
          <w:tab w:val="left" w:pos="5440"/>
        </w:tabs>
        <w:spacing w:line="860" w:lineRule="exact"/>
        <w:ind w:left="2401"/>
        <w:rPr>
          <w:rFonts w:ascii="宋体" w:hAnsi="宋体"/>
          <w:sz w:val="76"/>
        </w:rPr>
      </w:pPr>
    </w:p>
    <w:p w14:paraId="49C029A6">
      <w:pPr>
        <w:pStyle w:val="2"/>
        <w:spacing w:before="120" w:after="120" w:line="480" w:lineRule="auto"/>
        <w:jc w:val="center"/>
        <w:rPr>
          <w:rStyle w:val="175"/>
          <w:b w:val="0"/>
          <w:bCs w:val="0"/>
          <w:szCs w:val="52"/>
        </w:rPr>
      </w:pPr>
      <w:bookmarkStart w:id="862" w:name="_Toc53685808"/>
      <w:r>
        <w:rPr>
          <w:rStyle w:val="175"/>
          <w:rFonts w:hint="eastAsia"/>
          <w:b w:val="0"/>
          <w:bCs w:val="0"/>
          <w:szCs w:val="52"/>
        </w:rPr>
        <w:t>第六章</w:t>
      </w:r>
      <w:r>
        <w:rPr>
          <w:rStyle w:val="175"/>
          <w:b w:val="0"/>
          <w:bCs w:val="0"/>
          <w:szCs w:val="52"/>
        </w:rPr>
        <w:t xml:space="preserve">  </w:t>
      </w:r>
      <w:r>
        <w:rPr>
          <w:rStyle w:val="175"/>
          <w:rFonts w:hint="eastAsia"/>
          <w:b w:val="0"/>
          <w:bCs w:val="0"/>
          <w:szCs w:val="52"/>
        </w:rPr>
        <w:t>发包人要求</w:t>
      </w:r>
      <w:bookmarkEnd w:id="862"/>
    </w:p>
    <w:p w14:paraId="2EE685D9"/>
    <w:p w14:paraId="1BC65B02">
      <w:pPr>
        <w:tabs>
          <w:tab w:val="left" w:pos="3921"/>
          <w:tab w:val="left" w:pos="5440"/>
        </w:tabs>
        <w:spacing w:line="860" w:lineRule="exact"/>
        <w:ind w:left="2401"/>
        <w:rPr>
          <w:rFonts w:ascii="宋体" w:hAnsi="宋体"/>
          <w:sz w:val="76"/>
        </w:rPr>
      </w:pPr>
    </w:p>
    <w:p w14:paraId="46458E84">
      <w:pPr>
        <w:tabs>
          <w:tab w:val="left" w:pos="3921"/>
          <w:tab w:val="left" w:pos="5440"/>
        </w:tabs>
        <w:spacing w:line="860" w:lineRule="exact"/>
        <w:ind w:left="2401"/>
        <w:rPr>
          <w:rFonts w:ascii="宋体" w:hAnsi="宋体"/>
          <w:sz w:val="76"/>
        </w:rPr>
      </w:pPr>
    </w:p>
    <w:p w14:paraId="37B125DB">
      <w:pPr>
        <w:tabs>
          <w:tab w:val="left" w:pos="3921"/>
          <w:tab w:val="left" w:pos="5440"/>
        </w:tabs>
        <w:spacing w:line="860" w:lineRule="exact"/>
        <w:ind w:left="2401"/>
        <w:rPr>
          <w:rFonts w:ascii="宋体" w:hAnsi="宋体"/>
          <w:sz w:val="76"/>
        </w:rPr>
      </w:pPr>
    </w:p>
    <w:p w14:paraId="7C76FFAF">
      <w:pPr>
        <w:tabs>
          <w:tab w:val="left" w:pos="3921"/>
          <w:tab w:val="left" w:pos="5440"/>
        </w:tabs>
        <w:spacing w:line="860" w:lineRule="exact"/>
        <w:ind w:left="2401"/>
        <w:rPr>
          <w:rFonts w:ascii="宋体" w:hAnsi="宋体"/>
          <w:sz w:val="76"/>
        </w:rPr>
      </w:pPr>
    </w:p>
    <w:p w14:paraId="0EE2B94F">
      <w:pPr>
        <w:tabs>
          <w:tab w:val="left" w:pos="3921"/>
          <w:tab w:val="left" w:pos="5440"/>
        </w:tabs>
        <w:spacing w:line="860" w:lineRule="exact"/>
        <w:ind w:left="2401"/>
        <w:rPr>
          <w:rFonts w:ascii="宋体" w:hAnsi="宋体"/>
          <w:sz w:val="76"/>
        </w:rPr>
      </w:pPr>
    </w:p>
    <w:p w14:paraId="40050992">
      <w:pPr>
        <w:tabs>
          <w:tab w:val="left" w:pos="3921"/>
          <w:tab w:val="left" w:pos="5440"/>
        </w:tabs>
        <w:spacing w:line="860" w:lineRule="exact"/>
        <w:ind w:left="2401"/>
        <w:rPr>
          <w:rFonts w:ascii="宋体" w:hAnsi="宋体"/>
          <w:sz w:val="76"/>
        </w:rPr>
      </w:pPr>
    </w:p>
    <w:p w14:paraId="5B2FED40">
      <w:pPr>
        <w:spacing w:line="400" w:lineRule="exact"/>
        <w:jc w:val="center"/>
        <w:rPr>
          <w:b/>
          <w:sz w:val="32"/>
          <w:szCs w:val="32"/>
        </w:rPr>
      </w:pPr>
    </w:p>
    <w:p w14:paraId="530B28B5">
      <w:pPr>
        <w:pStyle w:val="3"/>
        <w:spacing w:before="0" w:beforeLines="0" w:after="0" w:afterLines="0" w:line="360" w:lineRule="auto"/>
        <w:jc w:val="center"/>
        <w:rPr>
          <w:rFonts w:ascii="黑体" w:hAnsi="黑体" w:cs="宋体"/>
          <w:b w:val="0"/>
          <w:sz w:val="36"/>
          <w:szCs w:val="36"/>
        </w:rPr>
      </w:pPr>
      <w:r>
        <w:rPr>
          <w:rFonts w:hint="eastAsia" w:ascii="黑体" w:hAnsi="黑体" w:cs="宋体"/>
          <w:b w:val="0"/>
          <w:sz w:val="36"/>
          <w:szCs w:val="36"/>
        </w:rPr>
        <w:t>第六章</w:t>
      </w:r>
      <w:r>
        <w:rPr>
          <w:rFonts w:ascii="黑体" w:hAnsi="黑体" w:cs="宋体"/>
          <w:b w:val="0"/>
          <w:sz w:val="36"/>
          <w:szCs w:val="36"/>
        </w:rPr>
        <w:t xml:space="preserve"> </w:t>
      </w:r>
      <w:r>
        <w:rPr>
          <w:rFonts w:hint="eastAsia" w:ascii="黑体" w:hAnsi="黑体" w:cs="宋体"/>
          <w:b w:val="0"/>
          <w:sz w:val="36"/>
          <w:szCs w:val="36"/>
        </w:rPr>
        <w:t>发包人要求</w:t>
      </w:r>
    </w:p>
    <w:p w14:paraId="7462A191">
      <w:pPr>
        <w:spacing w:line="400" w:lineRule="exact"/>
      </w:pPr>
    </w:p>
    <w:p w14:paraId="3C1CD6B5">
      <w:pPr>
        <w:spacing w:line="360" w:lineRule="auto"/>
        <w:ind w:firstLine="410" w:firstLineChars="171"/>
        <w:rPr>
          <w:sz w:val="24"/>
        </w:rPr>
      </w:pPr>
      <w:r>
        <w:rPr>
          <w:rFonts w:hint="eastAsia"/>
          <w:sz w:val="24"/>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1FD540FB">
      <w:pPr>
        <w:spacing w:line="360" w:lineRule="auto"/>
        <w:ind w:firstLine="410" w:firstLineChars="171"/>
        <w:rPr>
          <w:sz w:val="24"/>
        </w:rPr>
      </w:pPr>
      <w:r>
        <w:rPr>
          <w:rFonts w:hint="eastAsia"/>
          <w:sz w:val="24"/>
        </w:rPr>
        <w:t>发包人要求通常包括但不限于以下内容：</w:t>
      </w:r>
    </w:p>
    <w:p w14:paraId="1B8430AF">
      <w:pPr>
        <w:spacing w:line="360" w:lineRule="auto"/>
        <w:ind w:firstLine="410" w:firstLineChars="171"/>
        <w:rPr>
          <w:rFonts w:ascii="黑体" w:eastAsia="黑体"/>
          <w:sz w:val="24"/>
        </w:rPr>
      </w:pPr>
      <w:r>
        <w:rPr>
          <w:rFonts w:hint="eastAsia" w:ascii="黑体" w:eastAsia="黑体"/>
          <w:sz w:val="24"/>
        </w:rPr>
        <w:t>一、工程范围</w:t>
      </w:r>
    </w:p>
    <w:p w14:paraId="4C4BA26A">
      <w:pPr>
        <w:spacing w:line="360" w:lineRule="auto"/>
        <w:ind w:firstLine="720" w:firstLineChars="300"/>
        <w:rPr>
          <w:sz w:val="24"/>
        </w:rPr>
      </w:pPr>
      <w:r>
        <w:rPr>
          <w:rFonts w:hint="eastAsia"/>
          <w:sz w:val="24"/>
        </w:rPr>
        <w:t>（一）概述</w:t>
      </w:r>
    </w:p>
    <w:p w14:paraId="3D285C2F">
      <w:pPr>
        <w:spacing w:line="360" w:lineRule="auto"/>
        <w:ind w:firstLine="720" w:firstLineChars="300"/>
        <w:rPr>
          <w:sz w:val="24"/>
        </w:rPr>
      </w:pPr>
      <w:r>
        <w:rPr>
          <w:rFonts w:hint="eastAsia"/>
          <w:sz w:val="24"/>
        </w:rPr>
        <w:t>（二）包括的工作</w:t>
      </w:r>
    </w:p>
    <w:p w14:paraId="37BC2BC0">
      <w:pPr>
        <w:spacing w:line="360" w:lineRule="auto"/>
        <w:ind w:firstLine="1128" w:firstLineChars="470"/>
        <w:rPr>
          <w:rFonts w:ascii="宋体" w:hAnsi="宋体" w:cs="宋体"/>
          <w:sz w:val="24"/>
        </w:rPr>
      </w:pPr>
      <w:r>
        <w:rPr>
          <w:rFonts w:hint="eastAsia" w:ascii="宋体" w:hAnsi="宋体" w:cs="宋体"/>
          <w:sz w:val="24"/>
        </w:rPr>
        <w:t>1. 永久工程的设计、采购、施工范围。</w:t>
      </w:r>
    </w:p>
    <w:p w14:paraId="45051A11">
      <w:pPr>
        <w:spacing w:line="360" w:lineRule="auto"/>
        <w:ind w:firstLine="1128" w:firstLineChars="470"/>
        <w:rPr>
          <w:rFonts w:ascii="宋体" w:hAnsi="宋体" w:cs="宋体"/>
          <w:sz w:val="24"/>
        </w:rPr>
      </w:pPr>
      <w:r>
        <w:rPr>
          <w:rFonts w:hint="eastAsia" w:ascii="宋体" w:hAnsi="宋体" w:cs="宋体"/>
          <w:sz w:val="24"/>
        </w:rPr>
        <w:t>2. 临时工程的设计与施工范围。</w:t>
      </w:r>
    </w:p>
    <w:p w14:paraId="74AD00D9">
      <w:pPr>
        <w:spacing w:line="360" w:lineRule="auto"/>
        <w:ind w:firstLine="1128" w:firstLineChars="470"/>
        <w:rPr>
          <w:rFonts w:ascii="宋体" w:hAnsi="宋体" w:cs="宋体"/>
          <w:sz w:val="24"/>
        </w:rPr>
      </w:pPr>
      <w:r>
        <w:rPr>
          <w:rFonts w:hint="eastAsia" w:ascii="宋体" w:hAnsi="宋体" w:cs="宋体"/>
          <w:sz w:val="24"/>
        </w:rPr>
        <w:t>3. 竣工验收工作范围。</w:t>
      </w:r>
    </w:p>
    <w:p w14:paraId="16CA8A3A">
      <w:pPr>
        <w:spacing w:line="360" w:lineRule="auto"/>
        <w:ind w:firstLine="1128" w:firstLineChars="470"/>
        <w:rPr>
          <w:rFonts w:ascii="宋体" w:hAnsi="宋体" w:cs="宋体"/>
          <w:sz w:val="24"/>
        </w:rPr>
      </w:pPr>
      <w:r>
        <w:rPr>
          <w:rFonts w:hint="eastAsia" w:ascii="宋体" w:hAnsi="宋体" w:cs="宋体"/>
          <w:sz w:val="24"/>
        </w:rPr>
        <w:t>4. 技术服务工作范围。</w:t>
      </w:r>
    </w:p>
    <w:p w14:paraId="2A085F99">
      <w:pPr>
        <w:spacing w:line="360" w:lineRule="auto"/>
        <w:ind w:firstLine="1128" w:firstLineChars="470"/>
        <w:rPr>
          <w:rFonts w:ascii="宋体" w:hAnsi="宋体" w:cs="宋体"/>
          <w:sz w:val="24"/>
        </w:rPr>
      </w:pPr>
      <w:r>
        <w:rPr>
          <w:rFonts w:hint="eastAsia" w:ascii="宋体" w:hAnsi="宋体" w:cs="宋体"/>
          <w:sz w:val="24"/>
        </w:rPr>
        <w:t>5. 培训工作范围。</w:t>
      </w:r>
    </w:p>
    <w:p w14:paraId="5FF35D7C">
      <w:pPr>
        <w:spacing w:line="360" w:lineRule="auto"/>
        <w:ind w:firstLine="1128" w:firstLineChars="470"/>
        <w:rPr>
          <w:rFonts w:ascii="宋体" w:hAnsi="宋体" w:cs="宋体"/>
          <w:sz w:val="24"/>
        </w:rPr>
      </w:pPr>
      <w:r>
        <w:rPr>
          <w:rFonts w:hint="eastAsia" w:ascii="宋体" w:hAnsi="宋体" w:cs="宋体"/>
          <w:sz w:val="24"/>
        </w:rPr>
        <w:t>6. 缺陷责任期工作范围。</w:t>
      </w:r>
    </w:p>
    <w:p w14:paraId="2984651A">
      <w:pPr>
        <w:spacing w:line="360" w:lineRule="auto"/>
        <w:ind w:firstLine="1128" w:firstLineChars="470"/>
        <w:rPr>
          <w:rFonts w:ascii="宋体" w:hAnsi="宋体" w:cs="宋体"/>
          <w:sz w:val="24"/>
        </w:rPr>
      </w:pPr>
      <w:r>
        <w:rPr>
          <w:rFonts w:hint="eastAsia" w:ascii="宋体" w:hAnsi="宋体" w:cs="宋体"/>
          <w:sz w:val="24"/>
        </w:rPr>
        <w:t>7. 保修期工作范围。</w:t>
      </w:r>
    </w:p>
    <w:p w14:paraId="2AC743F4">
      <w:pPr>
        <w:spacing w:line="360" w:lineRule="auto"/>
        <w:ind w:firstLine="616" w:firstLineChars="257"/>
        <w:rPr>
          <w:rFonts w:ascii="宋体" w:hAnsi="宋体" w:cs="宋体"/>
          <w:sz w:val="24"/>
        </w:rPr>
      </w:pPr>
      <w:r>
        <w:rPr>
          <w:rFonts w:hint="eastAsia" w:ascii="宋体" w:hAnsi="宋体" w:cs="宋体"/>
          <w:sz w:val="24"/>
        </w:rPr>
        <w:t>（三）工作界区</w:t>
      </w:r>
    </w:p>
    <w:p w14:paraId="7AD50A97">
      <w:pPr>
        <w:spacing w:line="360" w:lineRule="auto"/>
        <w:ind w:firstLine="616" w:firstLineChars="257"/>
        <w:rPr>
          <w:rFonts w:ascii="宋体" w:hAnsi="宋体" w:cs="宋体"/>
          <w:sz w:val="24"/>
        </w:rPr>
      </w:pPr>
      <w:r>
        <w:rPr>
          <w:rFonts w:hint="eastAsia" w:ascii="宋体" w:hAnsi="宋体" w:cs="宋体"/>
          <w:sz w:val="24"/>
        </w:rPr>
        <w:t>（四）发包人提供的现场条件</w:t>
      </w:r>
    </w:p>
    <w:p w14:paraId="0A6C2242">
      <w:pPr>
        <w:spacing w:line="360" w:lineRule="auto"/>
        <w:ind w:firstLine="1147" w:firstLineChars="478"/>
        <w:rPr>
          <w:rFonts w:ascii="宋体" w:hAnsi="宋体" w:cs="宋体"/>
          <w:sz w:val="24"/>
        </w:rPr>
      </w:pPr>
      <w:r>
        <w:rPr>
          <w:rFonts w:hint="eastAsia" w:ascii="宋体" w:hAnsi="宋体" w:cs="宋体"/>
          <w:sz w:val="24"/>
        </w:rPr>
        <w:t>……</w:t>
      </w:r>
      <w:r>
        <w:rPr>
          <w:rFonts w:hint="eastAsia" w:ascii="宋体" w:hAnsi="宋体" w:cs="宋体"/>
          <w:sz w:val="24"/>
        </w:rPr>
        <w:tab/>
      </w:r>
    </w:p>
    <w:p w14:paraId="27FDB97F">
      <w:pPr>
        <w:spacing w:line="360" w:lineRule="auto"/>
        <w:rPr>
          <w:rFonts w:ascii="宋体" w:hAnsi="宋体" w:cs="宋体"/>
          <w:sz w:val="24"/>
        </w:rPr>
      </w:pPr>
      <w:r>
        <w:rPr>
          <w:rFonts w:hint="eastAsia" w:ascii="宋体" w:hAnsi="宋体" w:cs="宋体"/>
          <w:sz w:val="24"/>
        </w:rPr>
        <w:t xml:space="preserve">     （五）发包人提供的技术文件</w:t>
      </w:r>
    </w:p>
    <w:p w14:paraId="3DFC829F">
      <w:pPr>
        <w:spacing w:line="360" w:lineRule="auto"/>
        <w:ind w:firstLine="1027" w:firstLineChars="428"/>
        <w:rPr>
          <w:rFonts w:ascii="宋体" w:hAnsi="宋体" w:cs="宋体"/>
          <w:sz w:val="24"/>
        </w:rPr>
      </w:pPr>
      <w:r>
        <w:rPr>
          <w:rFonts w:hint="eastAsia" w:ascii="宋体" w:hAnsi="宋体" w:cs="宋体"/>
          <w:sz w:val="24"/>
        </w:rPr>
        <w:t>除另有批准外，承包人的工作需要遵照发包人的下列技术文件:</w:t>
      </w:r>
    </w:p>
    <w:p w14:paraId="10A45012">
      <w:pPr>
        <w:spacing w:line="360" w:lineRule="auto"/>
        <w:ind w:firstLine="1027" w:firstLineChars="428"/>
        <w:rPr>
          <w:rFonts w:ascii="宋体" w:hAnsi="宋体" w:cs="宋体"/>
          <w:sz w:val="24"/>
        </w:rPr>
      </w:pPr>
      <w:r>
        <w:rPr>
          <w:rFonts w:hint="eastAsia" w:ascii="宋体" w:hAnsi="宋体" w:cs="宋体"/>
          <w:sz w:val="24"/>
        </w:rPr>
        <w:t>1. 初步勘察设计文件。</w:t>
      </w:r>
    </w:p>
    <w:p w14:paraId="4EFAA7BB">
      <w:pPr>
        <w:spacing w:line="360" w:lineRule="auto"/>
        <w:ind w:firstLine="1027" w:firstLineChars="428"/>
        <w:rPr>
          <w:sz w:val="24"/>
        </w:rPr>
      </w:pPr>
      <w:r>
        <w:rPr>
          <w:rFonts w:hint="eastAsia" w:ascii="宋体" w:hAnsi="宋体" w:cs="宋体"/>
          <w:sz w:val="24"/>
        </w:rPr>
        <w:t>2. 初步设计批复文件</w:t>
      </w:r>
      <w:r>
        <w:rPr>
          <w:rFonts w:hint="eastAsia"/>
          <w:sz w:val="24"/>
        </w:rPr>
        <w:t>。</w:t>
      </w:r>
    </w:p>
    <w:p w14:paraId="2C777E9A">
      <w:pPr>
        <w:spacing w:line="360" w:lineRule="auto"/>
        <w:ind w:firstLine="410" w:firstLineChars="171"/>
        <w:rPr>
          <w:rFonts w:ascii="黑体" w:eastAsia="黑体"/>
          <w:sz w:val="24"/>
        </w:rPr>
      </w:pPr>
      <w:r>
        <w:rPr>
          <w:rFonts w:hint="eastAsia" w:ascii="黑体" w:eastAsia="黑体"/>
          <w:sz w:val="24"/>
        </w:rPr>
        <w:t>二、时间要求</w:t>
      </w:r>
    </w:p>
    <w:p w14:paraId="144D3222">
      <w:pPr>
        <w:spacing w:line="360" w:lineRule="auto"/>
        <w:ind w:firstLine="648" w:firstLineChars="270"/>
        <w:rPr>
          <w:sz w:val="24"/>
        </w:rPr>
      </w:pPr>
      <w:r>
        <w:rPr>
          <w:rFonts w:hint="eastAsia"/>
          <w:sz w:val="24"/>
        </w:rPr>
        <w:t>（一）开始工作时间。</w:t>
      </w:r>
    </w:p>
    <w:p w14:paraId="54A15780">
      <w:pPr>
        <w:spacing w:line="360" w:lineRule="auto"/>
        <w:ind w:firstLine="648" w:firstLineChars="270"/>
        <w:rPr>
          <w:sz w:val="24"/>
        </w:rPr>
      </w:pPr>
      <w:r>
        <w:rPr>
          <w:rFonts w:hint="eastAsia"/>
          <w:sz w:val="24"/>
        </w:rPr>
        <w:t>（二）设计完成时间。</w:t>
      </w:r>
    </w:p>
    <w:p w14:paraId="3D704788">
      <w:pPr>
        <w:spacing w:line="360" w:lineRule="auto"/>
        <w:ind w:firstLine="648" w:firstLineChars="270"/>
        <w:rPr>
          <w:sz w:val="24"/>
        </w:rPr>
      </w:pPr>
      <w:r>
        <w:rPr>
          <w:rFonts w:hint="eastAsia"/>
          <w:sz w:val="24"/>
        </w:rPr>
        <w:t>（三）进度计划。</w:t>
      </w:r>
    </w:p>
    <w:p w14:paraId="7C6378B1">
      <w:pPr>
        <w:spacing w:line="360" w:lineRule="auto"/>
        <w:ind w:firstLine="648" w:firstLineChars="270"/>
        <w:rPr>
          <w:sz w:val="24"/>
        </w:rPr>
      </w:pPr>
      <w:r>
        <w:rPr>
          <w:rFonts w:hint="eastAsia"/>
          <w:sz w:val="24"/>
        </w:rPr>
        <w:t>（四）交工时间。</w:t>
      </w:r>
    </w:p>
    <w:p w14:paraId="0864E55D">
      <w:pPr>
        <w:spacing w:line="360" w:lineRule="auto"/>
        <w:ind w:firstLine="648" w:firstLineChars="270"/>
        <w:rPr>
          <w:sz w:val="24"/>
        </w:rPr>
      </w:pPr>
      <w:r>
        <w:rPr>
          <w:rFonts w:hint="eastAsia"/>
          <w:sz w:val="24"/>
        </w:rPr>
        <w:t>（五）缺陷责任期。</w:t>
      </w:r>
    </w:p>
    <w:p w14:paraId="2BF0755D">
      <w:pPr>
        <w:spacing w:line="360" w:lineRule="auto"/>
        <w:ind w:firstLine="648" w:firstLineChars="270"/>
        <w:rPr>
          <w:sz w:val="24"/>
        </w:rPr>
      </w:pPr>
      <w:r>
        <w:rPr>
          <w:rFonts w:hint="eastAsia"/>
          <w:sz w:val="24"/>
        </w:rPr>
        <w:t>（六）质量保修期。</w:t>
      </w:r>
    </w:p>
    <w:p w14:paraId="28E39E0A">
      <w:pPr>
        <w:spacing w:line="360" w:lineRule="auto"/>
        <w:ind w:firstLine="648" w:firstLineChars="270"/>
        <w:rPr>
          <w:sz w:val="24"/>
        </w:rPr>
      </w:pPr>
      <w:r>
        <w:rPr>
          <w:rFonts w:hint="eastAsia"/>
          <w:sz w:val="24"/>
        </w:rPr>
        <w:t>（七）其他时间要求。</w:t>
      </w:r>
    </w:p>
    <w:p w14:paraId="1A2F8926">
      <w:pPr>
        <w:spacing w:line="360" w:lineRule="auto"/>
        <w:ind w:firstLine="410" w:firstLineChars="171"/>
        <w:rPr>
          <w:rFonts w:ascii="黑体" w:eastAsia="黑体"/>
          <w:sz w:val="24"/>
        </w:rPr>
      </w:pPr>
      <w:r>
        <w:rPr>
          <w:rFonts w:hint="eastAsia" w:ascii="黑体" w:eastAsia="黑体"/>
          <w:sz w:val="24"/>
        </w:rPr>
        <w:t>三、技术要求</w:t>
      </w:r>
    </w:p>
    <w:p w14:paraId="4B5A6E1B">
      <w:pPr>
        <w:spacing w:line="360" w:lineRule="auto"/>
        <w:ind w:firstLine="648" w:firstLineChars="270"/>
        <w:rPr>
          <w:sz w:val="24"/>
        </w:rPr>
      </w:pPr>
      <w:r>
        <w:rPr>
          <w:rFonts w:hint="eastAsia"/>
          <w:sz w:val="24"/>
        </w:rPr>
        <w:t>（一）设计阶段和设计任务。</w:t>
      </w:r>
    </w:p>
    <w:p w14:paraId="5F6DC4F0">
      <w:pPr>
        <w:spacing w:line="360" w:lineRule="auto"/>
        <w:ind w:firstLine="648" w:firstLineChars="270"/>
        <w:rPr>
          <w:sz w:val="24"/>
        </w:rPr>
      </w:pPr>
      <w:r>
        <w:rPr>
          <w:rFonts w:hint="eastAsia"/>
          <w:sz w:val="24"/>
        </w:rPr>
        <w:t>（二）设计标准和规范。</w:t>
      </w:r>
    </w:p>
    <w:p w14:paraId="3201100C">
      <w:pPr>
        <w:spacing w:line="360" w:lineRule="auto"/>
        <w:ind w:firstLine="648" w:firstLineChars="270"/>
        <w:rPr>
          <w:sz w:val="24"/>
        </w:rPr>
      </w:pPr>
      <w:r>
        <w:rPr>
          <w:rFonts w:hint="eastAsia"/>
          <w:sz w:val="24"/>
        </w:rPr>
        <w:t>（三）技术标准和要求。</w:t>
      </w:r>
    </w:p>
    <w:p w14:paraId="4E479397">
      <w:pPr>
        <w:spacing w:line="360" w:lineRule="auto"/>
        <w:ind w:firstLine="648" w:firstLineChars="270"/>
        <w:rPr>
          <w:sz w:val="24"/>
        </w:rPr>
      </w:pPr>
      <w:r>
        <w:rPr>
          <w:rFonts w:hint="eastAsia"/>
          <w:sz w:val="24"/>
        </w:rPr>
        <w:t>（四）质量标准。</w:t>
      </w:r>
    </w:p>
    <w:p w14:paraId="0A57370C">
      <w:pPr>
        <w:spacing w:line="360" w:lineRule="auto"/>
        <w:ind w:firstLine="648" w:firstLineChars="270"/>
        <w:rPr>
          <w:sz w:val="24"/>
        </w:rPr>
      </w:pPr>
      <w:r>
        <w:rPr>
          <w:rFonts w:hint="eastAsia"/>
          <w:sz w:val="24"/>
        </w:rPr>
        <w:t>（五）设计、施工和设备监造、试验（如有）。</w:t>
      </w:r>
    </w:p>
    <w:p w14:paraId="68B0BFC3">
      <w:pPr>
        <w:spacing w:line="360" w:lineRule="auto"/>
        <w:ind w:firstLine="648" w:firstLineChars="270"/>
        <w:rPr>
          <w:sz w:val="24"/>
        </w:rPr>
      </w:pPr>
      <w:r>
        <w:rPr>
          <w:rFonts w:hint="eastAsia"/>
          <w:sz w:val="24"/>
        </w:rPr>
        <w:t>（六）发包人提供的其他条件，如发包人或其委托的第三人提供的设计、工艺包、用于试验检验的工器具等，以及据此对承包人提出的予以配套的要求。</w:t>
      </w:r>
    </w:p>
    <w:p w14:paraId="6B72BA6E">
      <w:pPr>
        <w:spacing w:line="360" w:lineRule="auto"/>
        <w:ind w:firstLine="410" w:firstLineChars="171"/>
        <w:rPr>
          <w:rFonts w:ascii="黑体" w:eastAsia="黑体"/>
          <w:sz w:val="24"/>
        </w:rPr>
      </w:pPr>
      <w:r>
        <w:rPr>
          <w:rFonts w:hint="eastAsia" w:ascii="黑体" w:eastAsia="黑体"/>
          <w:sz w:val="24"/>
        </w:rPr>
        <w:t>四、交工验收</w:t>
      </w:r>
    </w:p>
    <w:p w14:paraId="025EAA9B">
      <w:pPr>
        <w:spacing w:line="360" w:lineRule="auto"/>
        <w:ind w:firstLine="890" w:firstLineChars="371"/>
        <w:rPr>
          <w:rFonts w:ascii="黑体" w:eastAsia="黑体"/>
          <w:sz w:val="24"/>
        </w:rPr>
      </w:pPr>
      <w:r>
        <w:rPr>
          <w:rFonts w:hint="eastAsia" w:ascii="宋体" w:hAnsi="宋体" w:cs="宋体"/>
          <w:sz w:val="24"/>
        </w:rPr>
        <w:t>……</w:t>
      </w:r>
    </w:p>
    <w:p w14:paraId="1333025F">
      <w:pPr>
        <w:spacing w:line="360" w:lineRule="auto"/>
        <w:ind w:firstLine="410" w:firstLineChars="171"/>
        <w:rPr>
          <w:rFonts w:ascii="黑体" w:eastAsia="黑体"/>
          <w:sz w:val="24"/>
        </w:rPr>
      </w:pPr>
      <w:r>
        <w:rPr>
          <w:rFonts w:hint="eastAsia" w:ascii="黑体" w:eastAsia="黑体"/>
          <w:sz w:val="24"/>
        </w:rPr>
        <w:t>五、竣工验收</w:t>
      </w:r>
    </w:p>
    <w:p w14:paraId="3C862CFC">
      <w:pPr>
        <w:spacing w:line="360" w:lineRule="auto"/>
        <w:ind w:firstLine="890" w:firstLineChars="371"/>
        <w:rPr>
          <w:rFonts w:ascii="黑体" w:eastAsia="黑体"/>
          <w:sz w:val="24"/>
        </w:rPr>
      </w:pPr>
      <w:r>
        <w:rPr>
          <w:rFonts w:hint="eastAsia" w:ascii="宋体" w:hAnsi="宋体" w:cs="宋体"/>
          <w:sz w:val="24"/>
        </w:rPr>
        <w:t>……</w:t>
      </w:r>
    </w:p>
    <w:p w14:paraId="46002D47">
      <w:pPr>
        <w:spacing w:line="360" w:lineRule="auto"/>
        <w:ind w:firstLine="410" w:firstLineChars="171"/>
        <w:rPr>
          <w:rFonts w:ascii="黑体" w:eastAsia="黑体"/>
          <w:sz w:val="24"/>
        </w:rPr>
      </w:pPr>
      <w:r>
        <w:rPr>
          <w:rFonts w:hint="eastAsia" w:ascii="黑体" w:eastAsia="黑体"/>
          <w:sz w:val="24"/>
        </w:rPr>
        <w:t>六、文件要求</w:t>
      </w:r>
    </w:p>
    <w:p w14:paraId="053906E1">
      <w:pPr>
        <w:spacing w:line="360" w:lineRule="auto"/>
        <w:ind w:firstLine="648" w:firstLineChars="270"/>
        <w:rPr>
          <w:sz w:val="24"/>
        </w:rPr>
      </w:pPr>
      <w:r>
        <w:rPr>
          <w:rFonts w:hint="eastAsia"/>
          <w:sz w:val="24"/>
        </w:rPr>
        <w:t>（一）勘察成果设计文件要求。</w:t>
      </w:r>
    </w:p>
    <w:p w14:paraId="752B7A16">
      <w:pPr>
        <w:spacing w:line="360" w:lineRule="auto"/>
        <w:ind w:firstLine="648" w:firstLineChars="270"/>
        <w:rPr>
          <w:sz w:val="24"/>
        </w:rPr>
      </w:pPr>
      <w:r>
        <w:rPr>
          <w:rFonts w:hint="eastAsia"/>
          <w:sz w:val="24"/>
        </w:rPr>
        <w:t>（二）操作和维修手册。</w:t>
      </w:r>
    </w:p>
    <w:p w14:paraId="422C3C3F">
      <w:pPr>
        <w:spacing w:line="360" w:lineRule="auto"/>
        <w:ind w:firstLine="648" w:firstLineChars="270"/>
        <w:rPr>
          <w:sz w:val="24"/>
        </w:rPr>
      </w:pPr>
      <w:r>
        <w:rPr>
          <w:rFonts w:hint="eastAsia"/>
          <w:sz w:val="24"/>
        </w:rPr>
        <w:t>（三）竣工文件。</w:t>
      </w:r>
    </w:p>
    <w:p w14:paraId="55912F9F">
      <w:pPr>
        <w:spacing w:line="360" w:lineRule="auto"/>
        <w:ind w:firstLine="648" w:firstLineChars="270"/>
        <w:rPr>
          <w:sz w:val="24"/>
        </w:rPr>
      </w:pPr>
      <w:r>
        <w:rPr>
          <w:rFonts w:hint="eastAsia"/>
          <w:sz w:val="24"/>
        </w:rPr>
        <w:t>（四）其他承包人文件。</w:t>
      </w:r>
    </w:p>
    <w:p w14:paraId="46EB2024">
      <w:pPr>
        <w:spacing w:line="360" w:lineRule="auto"/>
        <w:ind w:firstLine="410" w:firstLineChars="171"/>
        <w:rPr>
          <w:rFonts w:ascii="黑体" w:eastAsia="黑体"/>
          <w:sz w:val="24"/>
        </w:rPr>
      </w:pPr>
      <w:r>
        <w:rPr>
          <w:rFonts w:hint="eastAsia" w:ascii="黑体" w:eastAsia="黑体"/>
          <w:sz w:val="24"/>
        </w:rPr>
        <w:t>七、工程项目管理规定</w:t>
      </w:r>
    </w:p>
    <w:p w14:paraId="71F949F6">
      <w:pPr>
        <w:spacing w:line="360" w:lineRule="auto"/>
        <w:ind w:firstLine="600" w:firstLineChars="250"/>
        <w:rPr>
          <w:sz w:val="24"/>
        </w:rPr>
      </w:pPr>
      <w:r>
        <w:rPr>
          <w:rFonts w:hint="eastAsia"/>
          <w:sz w:val="24"/>
        </w:rPr>
        <w:t>（一）质量。</w:t>
      </w:r>
    </w:p>
    <w:p w14:paraId="62893C44">
      <w:pPr>
        <w:spacing w:line="360" w:lineRule="auto"/>
        <w:ind w:firstLine="600" w:firstLineChars="250"/>
        <w:rPr>
          <w:sz w:val="24"/>
        </w:rPr>
      </w:pPr>
      <w:r>
        <w:rPr>
          <w:rFonts w:hint="eastAsia"/>
          <w:sz w:val="24"/>
        </w:rPr>
        <w:t>（二）进度，包括里程碑进度计划（如果有）。</w:t>
      </w:r>
    </w:p>
    <w:p w14:paraId="4F267F46">
      <w:pPr>
        <w:spacing w:line="360" w:lineRule="auto"/>
        <w:ind w:firstLine="600" w:firstLineChars="250"/>
        <w:rPr>
          <w:sz w:val="24"/>
        </w:rPr>
      </w:pPr>
      <w:r>
        <w:rPr>
          <w:rFonts w:hint="eastAsia"/>
          <w:sz w:val="24"/>
        </w:rPr>
        <w:t>（三）支付。</w:t>
      </w:r>
    </w:p>
    <w:p w14:paraId="18D1D78A">
      <w:pPr>
        <w:spacing w:line="360" w:lineRule="auto"/>
        <w:ind w:firstLine="600" w:firstLineChars="250"/>
        <w:rPr>
          <w:sz w:val="24"/>
        </w:rPr>
      </w:pPr>
      <w:r>
        <w:rPr>
          <w:rFonts w:hint="eastAsia"/>
          <w:sz w:val="24"/>
        </w:rPr>
        <w:t>（四）</w:t>
      </w:r>
      <w:r>
        <w:rPr>
          <w:sz w:val="24"/>
        </w:rPr>
        <w:t>HSE</w:t>
      </w:r>
      <w:r>
        <w:rPr>
          <w:rFonts w:hint="eastAsia"/>
          <w:sz w:val="24"/>
        </w:rPr>
        <w:t>（健康、安全与环境管理体系）。</w:t>
      </w:r>
    </w:p>
    <w:p w14:paraId="4660D5D5">
      <w:pPr>
        <w:spacing w:line="360" w:lineRule="auto"/>
        <w:ind w:firstLine="600" w:firstLineChars="250"/>
        <w:rPr>
          <w:sz w:val="24"/>
        </w:rPr>
      </w:pPr>
      <w:r>
        <w:rPr>
          <w:rFonts w:hint="eastAsia"/>
          <w:sz w:val="24"/>
        </w:rPr>
        <w:t>（五）沟通。</w:t>
      </w:r>
    </w:p>
    <w:p w14:paraId="27BB8C8E">
      <w:pPr>
        <w:spacing w:line="360" w:lineRule="auto"/>
        <w:ind w:firstLine="600" w:firstLineChars="250"/>
        <w:rPr>
          <w:sz w:val="24"/>
        </w:rPr>
      </w:pPr>
      <w:r>
        <w:rPr>
          <w:rFonts w:hint="eastAsia"/>
          <w:sz w:val="24"/>
        </w:rPr>
        <w:t>（六）变更。</w:t>
      </w:r>
    </w:p>
    <w:p w14:paraId="4E3EF49E">
      <w:pPr>
        <w:spacing w:line="360" w:lineRule="auto"/>
        <w:ind w:firstLine="410" w:firstLineChars="171"/>
        <w:rPr>
          <w:rFonts w:ascii="黑体" w:eastAsia="黑体"/>
          <w:sz w:val="24"/>
        </w:rPr>
      </w:pPr>
      <w:r>
        <w:rPr>
          <w:rFonts w:hint="eastAsia" w:ascii="黑体" w:eastAsia="黑体"/>
          <w:sz w:val="24"/>
        </w:rPr>
        <w:t>八、发包人的其他要求</w:t>
      </w:r>
    </w:p>
    <w:p w14:paraId="73777732">
      <w:pPr>
        <w:spacing w:line="360" w:lineRule="auto"/>
        <w:ind w:firstLine="650" w:firstLineChars="271"/>
        <w:jc w:val="left"/>
        <w:rPr>
          <w:b/>
          <w:sz w:val="32"/>
          <w:szCs w:val="32"/>
        </w:rPr>
      </w:pPr>
      <w:r>
        <w:rPr>
          <w:rFonts w:hint="eastAsia" w:ascii="宋体" w:hAnsi="宋体" w:cs="宋体"/>
          <w:sz w:val="24"/>
        </w:rPr>
        <w:t>……</w:t>
      </w:r>
    </w:p>
    <w:p w14:paraId="13D72B3A">
      <w:pPr>
        <w:spacing w:line="400" w:lineRule="exact"/>
        <w:jc w:val="center"/>
        <w:rPr>
          <w:b/>
          <w:sz w:val="32"/>
          <w:szCs w:val="32"/>
        </w:rPr>
      </w:pPr>
    </w:p>
    <w:p w14:paraId="7B864AAD">
      <w:pPr>
        <w:spacing w:line="400" w:lineRule="exact"/>
        <w:jc w:val="center"/>
        <w:rPr>
          <w:b/>
          <w:sz w:val="32"/>
          <w:szCs w:val="32"/>
        </w:rPr>
      </w:pPr>
    </w:p>
    <w:p w14:paraId="4CDB89E3">
      <w:pPr>
        <w:spacing w:line="360" w:lineRule="auto"/>
        <w:rPr>
          <w:rFonts w:ascii="宋体" w:hAnsi="宋体"/>
          <w:szCs w:val="21"/>
        </w:rPr>
      </w:pPr>
    </w:p>
    <w:p w14:paraId="3DC1C6FA">
      <w:pPr>
        <w:spacing w:line="360" w:lineRule="auto"/>
        <w:rPr>
          <w:rFonts w:ascii="宋体" w:hAnsi="宋体"/>
          <w:szCs w:val="21"/>
        </w:rPr>
      </w:pPr>
    </w:p>
    <w:p w14:paraId="6DE5091A">
      <w:pPr>
        <w:spacing w:line="360" w:lineRule="auto"/>
        <w:rPr>
          <w:rFonts w:ascii="宋体" w:hAnsi="宋体"/>
          <w:szCs w:val="21"/>
        </w:rPr>
      </w:pPr>
    </w:p>
    <w:p w14:paraId="30FB7AE1">
      <w:pPr>
        <w:spacing w:line="360" w:lineRule="auto"/>
        <w:rPr>
          <w:rFonts w:ascii="宋体" w:hAnsi="宋体"/>
          <w:szCs w:val="21"/>
        </w:rPr>
      </w:pPr>
    </w:p>
    <w:p w14:paraId="232FEF2B">
      <w:pPr>
        <w:spacing w:line="360" w:lineRule="auto"/>
        <w:rPr>
          <w:rFonts w:ascii="宋体" w:hAnsi="宋体"/>
          <w:szCs w:val="21"/>
        </w:rPr>
      </w:pPr>
    </w:p>
    <w:p w14:paraId="4931F739">
      <w:pPr>
        <w:spacing w:line="360" w:lineRule="auto"/>
        <w:rPr>
          <w:rFonts w:ascii="宋体" w:hAnsi="宋体"/>
          <w:szCs w:val="21"/>
        </w:rPr>
      </w:pPr>
    </w:p>
    <w:p w14:paraId="6586848E">
      <w:pPr>
        <w:spacing w:line="360" w:lineRule="auto"/>
        <w:rPr>
          <w:rFonts w:ascii="宋体" w:hAnsi="宋体"/>
          <w:szCs w:val="21"/>
        </w:rPr>
      </w:pPr>
    </w:p>
    <w:p w14:paraId="25D36F82">
      <w:pPr>
        <w:spacing w:line="360" w:lineRule="auto"/>
        <w:rPr>
          <w:rFonts w:ascii="宋体" w:hAnsi="宋体"/>
          <w:szCs w:val="21"/>
        </w:rPr>
      </w:pPr>
    </w:p>
    <w:p w14:paraId="45DA7C41">
      <w:pPr>
        <w:spacing w:line="360" w:lineRule="auto"/>
        <w:rPr>
          <w:rFonts w:ascii="宋体" w:hAnsi="宋体"/>
          <w:szCs w:val="21"/>
        </w:rPr>
      </w:pPr>
    </w:p>
    <w:p w14:paraId="51DD68DD">
      <w:pPr>
        <w:spacing w:line="360" w:lineRule="auto"/>
        <w:rPr>
          <w:rFonts w:ascii="宋体" w:hAnsi="宋体"/>
          <w:szCs w:val="21"/>
        </w:rPr>
      </w:pPr>
    </w:p>
    <w:p w14:paraId="55BAB982">
      <w:pPr>
        <w:spacing w:line="360" w:lineRule="auto"/>
        <w:rPr>
          <w:rFonts w:ascii="宋体" w:hAnsi="宋体"/>
          <w:szCs w:val="21"/>
        </w:rPr>
      </w:pPr>
    </w:p>
    <w:p w14:paraId="0F6FCFFC">
      <w:pPr>
        <w:pStyle w:val="2"/>
        <w:spacing w:before="120" w:after="120" w:line="480" w:lineRule="auto"/>
        <w:jc w:val="center"/>
        <w:rPr>
          <w:rStyle w:val="175"/>
          <w:b w:val="0"/>
          <w:bCs w:val="0"/>
          <w:szCs w:val="52"/>
        </w:rPr>
      </w:pPr>
      <w:r>
        <w:rPr>
          <w:rStyle w:val="175"/>
          <w:b w:val="0"/>
          <w:bCs w:val="0"/>
          <w:szCs w:val="52"/>
        </w:rPr>
        <w:t>第七章  发包人提供的资料</w:t>
      </w:r>
    </w:p>
    <w:p w14:paraId="3D8A7393"/>
    <w:p w14:paraId="1439544A"/>
    <w:p w14:paraId="1F7F7D9E"/>
    <w:p w14:paraId="00A61944"/>
    <w:p w14:paraId="123F7AD9"/>
    <w:p w14:paraId="102C8157"/>
    <w:p w14:paraId="0AFDAACB"/>
    <w:p w14:paraId="15C98D89"/>
    <w:p w14:paraId="0B63A3F1"/>
    <w:p w14:paraId="7C3A03D4"/>
    <w:p w14:paraId="1431F018"/>
    <w:p w14:paraId="1E108B2F"/>
    <w:p w14:paraId="5A772C0C"/>
    <w:p w14:paraId="2136284E"/>
    <w:p w14:paraId="67F17E09"/>
    <w:p w14:paraId="7481812C"/>
    <w:p w14:paraId="34F8CB29"/>
    <w:p w14:paraId="5E6AA35F"/>
    <w:p w14:paraId="071ED884"/>
    <w:p w14:paraId="694A700A"/>
    <w:p w14:paraId="6E5C3C3E"/>
    <w:p w14:paraId="013E4EAF"/>
    <w:p w14:paraId="04BABD4E"/>
    <w:p w14:paraId="4D78FE5E"/>
    <w:p w14:paraId="0EFC10C7"/>
    <w:p w14:paraId="6793A90D"/>
    <w:p w14:paraId="35CF7E82"/>
    <w:p w14:paraId="2F28F65C"/>
    <w:p w14:paraId="116B596E"/>
    <w:p w14:paraId="7FDE28CC"/>
    <w:p w14:paraId="5460560D"/>
    <w:p w14:paraId="19EEC18D">
      <w:pPr>
        <w:pStyle w:val="3"/>
        <w:adjustRightInd w:val="0"/>
        <w:snapToGrid w:val="0"/>
        <w:spacing w:before="0" w:beforeLines="0" w:after="0" w:afterLines="0" w:line="360" w:lineRule="auto"/>
        <w:jc w:val="center"/>
        <w:rPr>
          <w:rStyle w:val="175"/>
          <w:b w:val="0"/>
          <w:bCs w:val="0"/>
          <w:sz w:val="36"/>
          <w:szCs w:val="36"/>
        </w:rPr>
      </w:pPr>
      <w:r>
        <w:rPr>
          <w:rStyle w:val="175"/>
          <w:rFonts w:hint="eastAsia"/>
          <w:b w:val="0"/>
          <w:bCs w:val="0"/>
          <w:sz w:val="36"/>
          <w:szCs w:val="36"/>
        </w:rPr>
        <w:t>第七章</w:t>
      </w:r>
      <w:r>
        <w:rPr>
          <w:rStyle w:val="175"/>
          <w:b w:val="0"/>
          <w:bCs w:val="0"/>
          <w:sz w:val="36"/>
          <w:szCs w:val="36"/>
        </w:rPr>
        <w:t xml:space="preserve">  </w:t>
      </w:r>
      <w:r>
        <w:rPr>
          <w:rStyle w:val="175"/>
          <w:rFonts w:hint="eastAsia"/>
          <w:b w:val="0"/>
          <w:bCs w:val="0"/>
          <w:sz w:val="36"/>
          <w:szCs w:val="36"/>
        </w:rPr>
        <w:t>发包人提供的资料</w:t>
      </w:r>
    </w:p>
    <w:p w14:paraId="628D6662"/>
    <w:p w14:paraId="6727032C">
      <w:pPr>
        <w:spacing w:line="360" w:lineRule="auto"/>
        <w:ind w:firstLine="960" w:firstLineChars="400"/>
        <w:rPr>
          <w:rFonts w:hint="eastAsia" w:ascii="宋体" w:hAnsi="宋体" w:cs="宋体"/>
          <w:sz w:val="24"/>
        </w:rPr>
      </w:pPr>
    </w:p>
    <w:p w14:paraId="0D2B06DD">
      <w:pPr>
        <w:spacing w:line="360" w:lineRule="auto"/>
        <w:ind w:firstLine="960" w:firstLineChars="400"/>
        <w:rPr>
          <w:rFonts w:ascii="宋体" w:hAnsi="宋体" w:cs="宋体"/>
          <w:sz w:val="24"/>
        </w:rPr>
      </w:pPr>
      <w:r>
        <w:rPr>
          <w:rFonts w:hint="eastAsia" w:ascii="宋体" w:hAnsi="宋体" w:cs="宋体"/>
          <w:sz w:val="24"/>
        </w:rPr>
        <w:t>1. 初步勘察设计文件。</w:t>
      </w:r>
    </w:p>
    <w:p w14:paraId="49B246BC">
      <w:pPr>
        <w:spacing w:line="360" w:lineRule="auto"/>
        <w:ind w:firstLine="960" w:firstLineChars="400"/>
        <w:rPr>
          <w:sz w:val="24"/>
        </w:rPr>
      </w:pPr>
      <w:r>
        <w:rPr>
          <w:rFonts w:hint="eastAsia" w:ascii="宋体" w:hAnsi="宋体" w:cs="宋体"/>
          <w:sz w:val="24"/>
        </w:rPr>
        <w:t>2. 初步设计批复文件</w:t>
      </w:r>
      <w:r>
        <w:rPr>
          <w:rFonts w:hint="eastAsia"/>
          <w:sz w:val="24"/>
        </w:rPr>
        <w:t>。</w:t>
      </w:r>
    </w:p>
    <w:p w14:paraId="56B632D6">
      <w:pPr>
        <w:numPr>
          <w:ilvl w:val="255"/>
          <w:numId w:val="0"/>
        </w:numPr>
        <w:spacing w:line="360" w:lineRule="auto"/>
        <w:ind w:left="0" w:firstLine="960" w:firstLineChars="400"/>
        <w:jc w:val="left"/>
        <w:rPr>
          <w:rFonts w:ascii="宋体" w:hAnsi="宋体"/>
          <w:sz w:val="24"/>
        </w:rPr>
      </w:pPr>
      <w:r>
        <w:rPr>
          <w:rFonts w:ascii="宋体" w:hAnsi="宋体" w:cs="宋体"/>
          <w:sz w:val="24"/>
        </w:rPr>
        <w:t>3.</w:t>
      </w:r>
      <w:r>
        <w:rPr>
          <w:rFonts w:hint="eastAsia" w:ascii="宋体" w:hAnsi="宋体" w:cs="宋体"/>
          <w:sz w:val="24"/>
        </w:rPr>
        <w:t xml:space="preserve"> 其他资料（</w:t>
      </w:r>
      <w:r>
        <w:rPr>
          <w:rFonts w:hint="eastAsia" w:ascii="宋体" w:hAnsi="宋体"/>
          <w:sz w:val="24"/>
        </w:rPr>
        <w:t>如有）。</w:t>
      </w:r>
    </w:p>
    <w:p w14:paraId="0ADFF748">
      <w:pPr>
        <w:spacing w:line="360" w:lineRule="auto"/>
        <w:ind w:firstLine="480" w:firstLineChars="200"/>
        <w:rPr>
          <w:rFonts w:ascii="宋体" w:hAnsi="宋体"/>
          <w:sz w:val="24"/>
        </w:rPr>
      </w:pPr>
      <w:r>
        <w:rPr>
          <w:rFonts w:ascii="宋体" w:hAnsi="宋体"/>
          <w:sz w:val="24"/>
        </w:rPr>
        <w:br w:type="page"/>
      </w:r>
    </w:p>
    <w:p w14:paraId="4E6E534D">
      <w:pPr>
        <w:spacing w:line="360" w:lineRule="auto"/>
        <w:ind w:firstLine="480" w:firstLineChars="200"/>
        <w:rPr>
          <w:rFonts w:ascii="宋体" w:hAnsi="宋体"/>
          <w:sz w:val="24"/>
        </w:rPr>
      </w:pPr>
    </w:p>
    <w:p w14:paraId="3054100A">
      <w:pPr>
        <w:spacing w:line="360" w:lineRule="auto"/>
        <w:ind w:firstLine="480" w:firstLineChars="200"/>
        <w:rPr>
          <w:rFonts w:ascii="宋体" w:hAnsi="宋体"/>
          <w:sz w:val="24"/>
        </w:rPr>
      </w:pPr>
    </w:p>
    <w:p w14:paraId="3CE922C3">
      <w:pPr>
        <w:spacing w:line="360" w:lineRule="auto"/>
        <w:ind w:firstLine="480" w:firstLineChars="200"/>
        <w:rPr>
          <w:rFonts w:ascii="宋体" w:hAnsi="宋体"/>
          <w:sz w:val="24"/>
        </w:rPr>
      </w:pPr>
    </w:p>
    <w:p w14:paraId="0EB79F67">
      <w:pPr>
        <w:spacing w:line="360" w:lineRule="auto"/>
        <w:ind w:firstLine="480" w:firstLineChars="200"/>
        <w:rPr>
          <w:rFonts w:ascii="宋体" w:hAnsi="宋体"/>
          <w:sz w:val="24"/>
        </w:rPr>
      </w:pPr>
    </w:p>
    <w:p w14:paraId="25D827ED">
      <w:pPr>
        <w:spacing w:line="360" w:lineRule="auto"/>
        <w:ind w:firstLine="480" w:firstLineChars="200"/>
        <w:rPr>
          <w:rFonts w:ascii="宋体" w:hAnsi="宋体"/>
          <w:sz w:val="24"/>
        </w:rPr>
      </w:pPr>
    </w:p>
    <w:p w14:paraId="0AB63450">
      <w:pPr>
        <w:spacing w:line="360" w:lineRule="auto"/>
        <w:ind w:firstLine="480" w:firstLineChars="200"/>
        <w:rPr>
          <w:rFonts w:ascii="宋体" w:hAnsi="宋体"/>
          <w:sz w:val="24"/>
        </w:rPr>
      </w:pPr>
    </w:p>
    <w:p w14:paraId="7B04AB11">
      <w:pPr>
        <w:spacing w:line="360" w:lineRule="auto"/>
        <w:ind w:firstLine="480" w:firstLineChars="200"/>
        <w:rPr>
          <w:sz w:val="24"/>
        </w:rPr>
      </w:pPr>
    </w:p>
    <w:p w14:paraId="6117DE74">
      <w:pPr>
        <w:pStyle w:val="2"/>
        <w:spacing w:before="120" w:after="120"/>
        <w:jc w:val="center"/>
        <w:rPr>
          <w:rStyle w:val="175"/>
          <w:b/>
          <w:bCs w:val="0"/>
          <w:sz w:val="76"/>
          <w:szCs w:val="76"/>
        </w:rPr>
      </w:pPr>
      <w:bookmarkStart w:id="863" w:name="_Toc53685809"/>
      <w:r>
        <w:rPr>
          <w:rStyle w:val="175"/>
          <w:rFonts w:hint="eastAsia"/>
          <w:b/>
          <w:bCs w:val="0"/>
          <w:sz w:val="76"/>
          <w:szCs w:val="76"/>
        </w:rPr>
        <w:t>第</w:t>
      </w:r>
      <w:r>
        <w:rPr>
          <w:rStyle w:val="175"/>
          <w:b/>
          <w:bCs w:val="0"/>
          <w:sz w:val="76"/>
          <w:szCs w:val="76"/>
        </w:rPr>
        <w:t xml:space="preserve"> </w:t>
      </w:r>
      <w:r>
        <w:rPr>
          <w:rStyle w:val="175"/>
          <w:rFonts w:hint="eastAsia"/>
          <w:b/>
          <w:bCs w:val="0"/>
          <w:sz w:val="76"/>
          <w:szCs w:val="76"/>
        </w:rPr>
        <w:t>三</w:t>
      </w:r>
      <w:r>
        <w:rPr>
          <w:rStyle w:val="175"/>
          <w:b/>
          <w:bCs w:val="0"/>
          <w:sz w:val="76"/>
          <w:szCs w:val="76"/>
        </w:rPr>
        <w:t xml:space="preserve"> </w:t>
      </w:r>
      <w:r>
        <w:rPr>
          <w:rStyle w:val="175"/>
          <w:rFonts w:hint="eastAsia"/>
          <w:b/>
          <w:bCs w:val="0"/>
          <w:sz w:val="76"/>
          <w:szCs w:val="76"/>
        </w:rPr>
        <w:t>卷</w:t>
      </w:r>
      <w:bookmarkEnd w:id="863"/>
    </w:p>
    <w:p w14:paraId="24DF3717">
      <w:pPr>
        <w:spacing w:before="120" w:after="120"/>
        <w:jc w:val="center"/>
        <w:rPr>
          <w:rStyle w:val="175"/>
          <w:b w:val="0"/>
          <w:bCs w:val="0"/>
          <w:sz w:val="48"/>
          <w:szCs w:val="48"/>
        </w:rPr>
      </w:pPr>
      <w:bookmarkStart w:id="864" w:name="_Toc53685810"/>
      <w:r>
        <w:rPr>
          <w:rStyle w:val="175"/>
          <w:b w:val="0"/>
          <w:bCs w:val="0"/>
          <w:sz w:val="48"/>
          <w:szCs w:val="48"/>
        </w:rPr>
        <w:br w:type="page"/>
      </w:r>
    </w:p>
    <w:bookmarkEnd w:id="864"/>
    <w:p w14:paraId="478768BD">
      <w:pPr>
        <w:pStyle w:val="20"/>
        <w:rPr>
          <w:sz w:val="20"/>
        </w:rPr>
      </w:pPr>
      <w:bookmarkStart w:id="865" w:name="page2"/>
      <w:bookmarkEnd w:id="865"/>
    </w:p>
    <w:p w14:paraId="5730B9B5">
      <w:pPr>
        <w:pStyle w:val="20"/>
        <w:rPr>
          <w:sz w:val="20"/>
        </w:rPr>
      </w:pPr>
    </w:p>
    <w:p w14:paraId="22DA32B8">
      <w:pPr>
        <w:pStyle w:val="20"/>
        <w:rPr>
          <w:sz w:val="20"/>
        </w:rPr>
      </w:pPr>
    </w:p>
    <w:p w14:paraId="36067399">
      <w:pPr>
        <w:pStyle w:val="20"/>
        <w:rPr>
          <w:sz w:val="20"/>
        </w:rPr>
      </w:pPr>
    </w:p>
    <w:p w14:paraId="31B6A5B1">
      <w:pPr>
        <w:pStyle w:val="20"/>
        <w:rPr>
          <w:sz w:val="20"/>
        </w:rPr>
      </w:pPr>
    </w:p>
    <w:p w14:paraId="2BA63718">
      <w:pPr>
        <w:pStyle w:val="20"/>
        <w:rPr>
          <w:sz w:val="20"/>
        </w:rPr>
      </w:pPr>
    </w:p>
    <w:p w14:paraId="1BAB49DB">
      <w:pPr>
        <w:pStyle w:val="20"/>
        <w:rPr>
          <w:sz w:val="20"/>
        </w:rPr>
      </w:pPr>
    </w:p>
    <w:p w14:paraId="48BE6A87">
      <w:pPr>
        <w:pStyle w:val="20"/>
        <w:rPr>
          <w:sz w:val="20"/>
        </w:rPr>
      </w:pPr>
    </w:p>
    <w:p w14:paraId="06A1CB53">
      <w:pPr>
        <w:pStyle w:val="20"/>
        <w:rPr>
          <w:sz w:val="20"/>
        </w:rPr>
      </w:pPr>
    </w:p>
    <w:p w14:paraId="1733F5F2">
      <w:pPr>
        <w:pStyle w:val="20"/>
        <w:rPr>
          <w:sz w:val="20"/>
        </w:rPr>
      </w:pPr>
    </w:p>
    <w:p w14:paraId="1DB1889C">
      <w:pPr>
        <w:pStyle w:val="20"/>
        <w:rPr>
          <w:sz w:val="20"/>
        </w:rPr>
      </w:pPr>
    </w:p>
    <w:p w14:paraId="6A657230">
      <w:pPr>
        <w:pStyle w:val="20"/>
        <w:rPr>
          <w:sz w:val="20"/>
        </w:rPr>
      </w:pPr>
    </w:p>
    <w:p w14:paraId="0E18A6DD">
      <w:pPr>
        <w:pStyle w:val="20"/>
        <w:rPr>
          <w:sz w:val="20"/>
        </w:rPr>
      </w:pPr>
    </w:p>
    <w:p w14:paraId="494DBC3F">
      <w:pPr>
        <w:pStyle w:val="20"/>
        <w:rPr>
          <w:sz w:val="20"/>
        </w:rPr>
      </w:pPr>
    </w:p>
    <w:p w14:paraId="621EF710">
      <w:pPr>
        <w:pStyle w:val="20"/>
        <w:rPr>
          <w:sz w:val="20"/>
        </w:rPr>
      </w:pPr>
    </w:p>
    <w:p w14:paraId="7E323A4B">
      <w:pPr>
        <w:pStyle w:val="2"/>
        <w:spacing w:before="120" w:after="120" w:line="480" w:lineRule="auto"/>
        <w:jc w:val="center"/>
        <w:rPr>
          <w:rStyle w:val="175"/>
          <w:rFonts w:ascii="黑体" w:hAnsi="黑体"/>
          <w:b w:val="0"/>
          <w:bCs w:val="0"/>
          <w:szCs w:val="52"/>
        </w:rPr>
      </w:pPr>
      <w:bookmarkStart w:id="866" w:name="_TOC_250039"/>
      <w:bookmarkStart w:id="867" w:name="_Toc53685813"/>
      <w:r>
        <w:rPr>
          <w:rStyle w:val="175"/>
          <w:rFonts w:hint="eastAsia" w:ascii="黑体" w:hAnsi="黑体"/>
          <w:b w:val="0"/>
          <w:bCs w:val="0"/>
          <w:szCs w:val="52"/>
        </w:rPr>
        <w:t>第八章</w:t>
      </w:r>
      <w:r>
        <w:rPr>
          <w:rStyle w:val="175"/>
          <w:rFonts w:ascii="黑体" w:hAnsi="黑体"/>
          <w:b w:val="0"/>
          <w:bCs w:val="0"/>
          <w:szCs w:val="52"/>
        </w:rPr>
        <w:t xml:space="preserve">  </w:t>
      </w:r>
      <w:r>
        <w:rPr>
          <w:rStyle w:val="175"/>
          <w:rFonts w:hint="eastAsia" w:ascii="黑体" w:hAnsi="黑体"/>
          <w:b w:val="0"/>
          <w:bCs w:val="0"/>
          <w:szCs w:val="52"/>
        </w:rPr>
        <w:t>投标文件格式</w:t>
      </w:r>
      <w:bookmarkEnd w:id="866"/>
      <w:bookmarkEnd w:id="867"/>
    </w:p>
    <w:p w14:paraId="200C8B72">
      <w:pPr>
        <w:pStyle w:val="20"/>
        <w:rPr>
          <w:b/>
          <w:sz w:val="20"/>
        </w:rPr>
      </w:pPr>
    </w:p>
    <w:p w14:paraId="79FE1778">
      <w:pPr>
        <w:pStyle w:val="20"/>
        <w:rPr>
          <w:b/>
          <w:sz w:val="20"/>
        </w:rPr>
      </w:pPr>
    </w:p>
    <w:p w14:paraId="4F38D8AD"/>
    <w:p w14:paraId="616308D9"/>
    <w:p w14:paraId="374C4E0E">
      <w:pPr>
        <w:pStyle w:val="20"/>
        <w:rPr>
          <w:b/>
          <w:sz w:val="20"/>
        </w:rPr>
      </w:pPr>
    </w:p>
    <w:p w14:paraId="5F787E05">
      <w:pPr>
        <w:pStyle w:val="20"/>
        <w:rPr>
          <w:b/>
          <w:sz w:val="20"/>
        </w:rPr>
      </w:pPr>
    </w:p>
    <w:p w14:paraId="5A72CE94">
      <w:pPr>
        <w:pStyle w:val="20"/>
        <w:rPr>
          <w:b/>
          <w:sz w:val="20"/>
        </w:rPr>
      </w:pPr>
    </w:p>
    <w:p w14:paraId="4F809FCB">
      <w:pPr>
        <w:pStyle w:val="20"/>
        <w:rPr>
          <w:b/>
          <w:sz w:val="20"/>
        </w:rPr>
      </w:pPr>
    </w:p>
    <w:p w14:paraId="7F9590FB">
      <w:pPr>
        <w:pStyle w:val="20"/>
        <w:rPr>
          <w:b/>
          <w:sz w:val="20"/>
        </w:rPr>
      </w:pPr>
    </w:p>
    <w:p w14:paraId="7B92628C">
      <w:pPr>
        <w:pStyle w:val="20"/>
        <w:rPr>
          <w:b/>
          <w:sz w:val="20"/>
        </w:rPr>
      </w:pPr>
    </w:p>
    <w:p w14:paraId="65AEBBDC">
      <w:pPr>
        <w:pStyle w:val="20"/>
        <w:rPr>
          <w:b/>
          <w:sz w:val="20"/>
        </w:rPr>
      </w:pPr>
    </w:p>
    <w:p w14:paraId="23AE6E16">
      <w:pPr>
        <w:pStyle w:val="20"/>
        <w:rPr>
          <w:b/>
          <w:sz w:val="20"/>
        </w:rPr>
      </w:pPr>
    </w:p>
    <w:p w14:paraId="530E89CF">
      <w:pPr>
        <w:pStyle w:val="20"/>
        <w:rPr>
          <w:b/>
          <w:sz w:val="20"/>
        </w:rPr>
      </w:pPr>
    </w:p>
    <w:p w14:paraId="5F8C40F3">
      <w:pPr>
        <w:pStyle w:val="20"/>
        <w:rPr>
          <w:b/>
          <w:sz w:val="20"/>
        </w:rPr>
      </w:pPr>
    </w:p>
    <w:p w14:paraId="43EE2E32">
      <w:pPr>
        <w:pStyle w:val="20"/>
        <w:rPr>
          <w:b/>
          <w:sz w:val="20"/>
        </w:rPr>
      </w:pPr>
    </w:p>
    <w:p w14:paraId="78CD76E9">
      <w:pPr>
        <w:pStyle w:val="20"/>
        <w:rPr>
          <w:b/>
          <w:sz w:val="20"/>
        </w:rPr>
      </w:pPr>
    </w:p>
    <w:p w14:paraId="5E97CCB7">
      <w:pPr>
        <w:pStyle w:val="20"/>
        <w:rPr>
          <w:b/>
          <w:sz w:val="20"/>
        </w:rPr>
      </w:pPr>
    </w:p>
    <w:p w14:paraId="1B34E5E8">
      <w:pPr>
        <w:pStyle w:val="20"/>
        <w:rPr>
          <w:b/>
          <w:sz w:val="20"/>
        </w:rPr>
      </w:pPr>
    </w:p>
    <w:p w14:paraId="5662E5E2">
      <w:pPr>
        <w:pStyle w:val="20"/>
        <w:rPr>
          <w:b/>
          <w:sz w:val="20"/>
        </w:rPr>
      </w:pPr>
    </w:p>
    <w:p w14:paraId="30A29B22">
      <w:pPr>
        <w:pStyle w:val="20"/>
        <w:tabs>
          <w:tab w:val="left" w:pos="3224"/>
          <w:tab w:val="left" w:pos="5665"/>
        </w:tabs>
        <w:spacing w:line="360" w:lineRule="auto"/>
        <w:rPr>
          <w:rFonts w:ascii="黑体" w:hAnsi="黑体" w:eastAsia="黑体"/>
          <w:sz w:val="32"/>
          <w:szCs w:val="32"/>
        </w:rPr>
      </w:pPr>
    </w:p>
    <w:p w14:paraId="10498C98">
      <w:pPr>
        <w:pStyle w:val="20"/>
        <w:tabs>
          <w:tab w:val="left" w:pos="3224"/>
          <w:tab w:val="left" w:pos="5665"/>
        </w:tabs>
        <w:spacing w:line="360" w:lineRule="auto"/>
        <w:rPr>
          <w:rFonts w:ascii="黑体" w:hAnsi="黑体" w:eastAsia="黑体"/>
          <w:sz w:val="32"/>
          <w:szCs w:val="32"/>
        </w:rPr>
      </w:pPr>
      <w:r>
        <w:rPr>
          <w:rFonts w:ascii="黑体" w:hAnsi="黑体" w:eastAsia="黑体"/>
          <w:sz w:val="32"/>
          <w:szCs w:val="32"/>
        </w:rPr>
        <w:br w:type="page"/>
      </w:r>
    </w:p>
    <w:p w14:paraId="2EF3E4D4">
      <w:pPr>
        <w:pStyle w:val="20"/>
        <w:tabs>
          <w:tab w:val="left" w:pos="3224"/>
          <w:tab w:val="left" w:pos="5665"/>
        </w:tabs>
        <w:spacing w:line="360" w:lineRule="auto"/>
        <w:rPr>
          <w:rFonts w:ascii="黑体" w:hAnsi="黑体" w:eastAsia="黑体"/>
          <w:sz w:val="32"/>
          <w:szCs w:val="32"/>
          <w:u w:val="single"/>
        </w:rPr>
      </w:pPr>
    </w:p>
    <w:p w14:paraId="524868E2">
      <w:pPr>
        <w:pStyle w:val="20"/>
        <w:tabs>
          <w:tab w:val="left" w:pos="3224"/>
          <w:tab w:val="left" w:pos="5665"/>
        </w:tabs>
        <w:spacing w:line="360" w:lineRule="auto"/>
        <w:jc w:val="center"/>
        <w:rPr>
          <w:rFonts w:ascii="黑体" w:hAnsi="黑体" w:eastAsia="黑体"/>
          <w:sz w:val="36"/>
          <w:szCs w:val="36"/>
        </w:rPr>
      </w:pPr>
      <w:r>
        <w:rPr>
          <w:rFonts w:ascii="黑体" w:hAnsi="黑体" w:eastAsia="黑体"/>
          <w:sz w:val="36"/>
          <w:szCs w:val="36"/>
          <w:u w:val="single"/>
        </w:rPr>
        <w:t xml:space="preserve">      </w:t>
      </w:r>
      <w:r>
        <w:rPr>
          <w:rFonts w:ascii="黑体" w:hAnsi="黑体" w:eastAsia="黑体"/>
          <w:sz w:val="36"/>
          <w:szCs w:val="36"/>
        </w:rPr>
        <w:t>（</w:t>
      </w:r>
      <w:r>
        <w:rPr>
          <w:rFonts w:hint="eastAsia" w:ascii="黑体" w:hAnsi="黑体" w:eastAsia="黑体"/>
          <w:sz w:val="36"/>
          <w:szCs w:val="36"/>
        </w:rPr>
        <w:t>招标项目名称</w:t>
      </w:r>
      <w:r>
        <w:rPr>
          <w:rFonts w:ascii="黑体" w:hAnsi="黑体" w:eastAsia="黑体"/>
          <w:sz w:val="36"/>
          <w:szCs w:val="36"/>
        </w:rPr>
        <w:t>）</w:t>
      </w:r>
      <w:r>
        <w:rPr>
          <w:rFonts w:hint="eastAsia" w:ascii="黑体" w:hAnsi="黑体" w:eastAsia="黑体"/>
          <w:sz w:val="36"/>
          <w:szCs w:val="36"/>
          <w:lang w:val="en-US" w:eastAsia="zh-CN"/>
        </w:rPr>
        <w:t>设计施工总承包</w:t>
      </w:r>
      <w:r>
        <w:rPr>
          <w:rFonts w:ascii="黑体" w:hAnsi="黑体" w:eastAsia="黑体"/>
          <w:sz w:val="36"/>
          <w:szCs w:val="36"/>
          <w:u w:val="single"/>
        </w:rPr>
        <w:t xml:space="preserve">     </w:t>
      </w:r>
      <w:r>
        <w:rPr>
          <w:rFonts w:hint="eastAsia" w:ascii="黑体" w:hAnsi="黑体" w:eastAsia="黑体"/>
          <w:sz w:val="36"/>
          <w:szCs w:val="36"/>
        </w:rPr>
        <w:t>标段</w:t>
      </w:r>
    </w:p>
    <w:p w14:paraId="25892E34">
      <w:pPr>
        <w:pStyle w:val="20"/>
        <w:tabs>
          <w:tab w:val="left" w:pos="3224"/>
          <w:tab w:val="left" w:pos="5665"/>
        </w:tabs>
        <w:jc w:val="center"/>
        <w:rPr>
          <w:b/>
          <w:sz w:val="36"/>
          <w:szCs w:val="36"/>
          <w:u w:val="single"/>
        </w:rPr>
      </w:pPr>
    </w:p>
    <w:p w14:paraId="0ED5E557">
      <w:pPr>
        <w:pStyle w:val="20"/>
        <w:spacing w:line="360" w:lineRule="auto"/>
        <w:rPr>
          <w:sz w:val="20"/>
        </w:rPr>
      </w:pPr>
    </w:p>
    <w:p w14:paraId="188DDF4B">
      <w:pPr>
        <w:pStyle w:val="20"/>
        <w:rPr>
          <w:sz w:val="20"/>
        </w:rPr>
      </w:pPr>
    </w:p>
    <w:p w14:paraId="0462E9B1">
      <w:pPr>
        <w:pStyle w:val="20"/>
        <w:rPr>
          <w:sz w:val="20"/>
        </w:rPr>
      </w:pPr>
    </w:p>
    <w:p w14:paraId="4E1565B0">
      <w:pPr>
        <w:pStyle w:val="20"/>
        <w:rPr>
          <w:sz w:val="20"/>
        </w:rPr>
      </w:pPr>
    </w:p>
    <w:p w14:paraId="60A0EDE1">
      <w:pPr>
        <w:pStyle w:val="20"/>
        <w:rPr>
          <w:sz w:val="20"/>
        </w:rPr>
      </w:pPr>
    </w:p>
    <w:p w14:paraId="58AE376B">
      <w:pPr>
        <w:pStyle w:val="20"/>
        <w:rPr>
          <w:sz w:val="20"/>
        </w:rPr>
      </w:pPr>
    </w:p>
    <w:p w14:paraId="154C94AB">
      <w:pPr>
        <w:pStyle w:val="20"/>
        <w:rPr>
          <w:sz w:val="20"/>
        </w:rPr>
      </w:pPr>
    </w:p>
    <w:p w14:paraId="56752BB4">
      <w:pPr>
        <w:pStyle w:val="20"/>
        <w:rPr>
          <w:sz w:val="20"/>
        </w:rPr>
      </w:pPr>
    </w:p>
    <w:p w14:paraId="728EB60D">
      <w:pPr>
        <w:pStyle w:val="20"/>
        <w:rPr>
          <w:sz w:val="20"/>
        </w:rPr>
      </w:pPr>
    </w:p>
    <w:p w14:paraId="6246F2D3">
      <w:pPr>
        <w:pStyle w:val="20"/>
        <w:rPr>
          <w:sz w:val="20"/>
        </w:rPr>
      </w:pPr>
    </w:p>
    <w:p w14:paraId="58EF2BAB">
      <w:pPr>
        <w:pStyle w:val="20"/>
        <w:rPr>
          <w:sz w:val="20"/>
        </w:rPr>
      </w:pPr>
    </w:p>
    <w:p w14:paraId="4B34BC0E">
      <w:pPr>
        <w:tabs>
          <w:tab w:val="left" w:pos="1497"/>
          <w:tab w:val="left" w:pos="2937"/>
          <w:tab w:val="left" w:pos="4377"/>
        </w:tabs>
        <w:spacing w:before="26"/>
        <w:ind w:left="57"/>
        <w:jc w:val="center"/>
        <w:rPr>
          <w:rFonts w:ascii="黑体" w:hAnsi="黑体" w:eastAsia="黑体"/>
          <w:b/>
          <w:sz w:val="72"/>
        </w:rPr>
      </w:pPr>
      <w:r>
        <w:rPr>
          <w:rFonts w:hint="eastAsia" w:ascii="黑体" w:hAnsi="黑体" w:eastAsia="黑体"/>
          <w:b/>
          <w:sz w:val="72"/>
        </w:rPr>
        <w:t>投</w:t>
      </w:r>
      <w:r>
        <w:rPr>
          <w:rFonts w:ascii="黑体" w:hAnsi="黑体" w:eastAsia="黑体"/>
          <w:b/>
          <w:sz w:val="72"/>
        </w:rPr>
        <w:tab/>
      </w:r>
      <w:r>
        <w:rPr>
          <w:rFonts w:hint="eastAsia" w:ascii="黑体" w:hAnsi="黑体" w:eastAsia="黑体"/>
          <w:b/>
          <w:sz w:val="72"/>
        </w:rPr>
        <w:t>标</w:t>
      </w:r>
      <w:r>
        <w:rPr>
          <w:rFonts w:ascii="黑体" w:hAnsi="黑体" w:eastAsia="黑体"/>
          <w:b/>
          <w:sz w:val="72"/>
        </w:rPr>
        <w:tab/>
      </w:r>
      <w:r>
        <w:rPr>
          <w:rFonts w:hint="eastAsia" w:ascii="黑体" w:hAnsi="黑体" w:eastAsia="黑体"/>
          <w:b/>
          <w:sz w:val="72"/>
        </w:rPr>
        <w:t>文</w:t>
      </w:r>
      <w:r>
        <w:rPr>
          <w:rFonts w:ascii="黑体" w:hAnsi="黑体" w:eastAsia="黑体"/>
          <w:b/>
          <w:sz w:val="72"/>
        </w:rPr>
        <w:tab/>
      </w:r>
      <w:r>
        <w:rPr>
          <w:rFonts w:hint="eastAsia" w:ascii="黑体" w:hAnsi="黑体" w:eastAsia="黑体"/>
          <w:b/>
          <w:sz w:val="72"/>
        </w:rPr>
        <w:t>件</w:t>
      </w:r>
    </w:p>
    <w:p w14:paraId="559E23EB">
      <w:pPr>
        <w:pStyle w:val="263"/>
        <w:spacing w:before="521"/>
        <w:ind w:left="58"/>
        <w:outlineLvl w:val="9"/>
        <w:rPr>
          <w:lang w:eastAsia="zh-CN"/>
        </w:rPr>
      </w:pPr>
      <w:r>
        <w:rPr>
          <w:lang w:eastAsia="zh-CN"/>
        </w:rPr>
        <w:t>第一个信封（商务及技术文件）</w:t>
      </w:r>
    </w:p>
    <w:p w14:paraId="2FE94CC4">
      <w:pPr>
        <w:pStyle w:val="20"/>
        <w:rPr>
          <w:sz w:val="32"/>
        </w:rPr>
      </w:pPr>
    </w:p>
    <w:p w14:paraId="6337DCE4">
      <w:pPr>
        <w:pStyle w:val="20"/>
        <w:rPr>
          <w:sz w:val="32"/>
        </w:rPr>
      </w:pPr>
    </w:p>
    <w:p w14:paraId="4B9EC757">
      <w:pPr>
        <w:pStyle w:val="20"/>
        <w:rPr>
          <w:sz w:val="32"/>
        </w:rPr>
      </w:pPr>
    </w:p>
    <w:p w14:paraId="5CD6351D">
      <w:pPr>
        <w:pStyle w:val="20"/>
        <w:rPr>
          <w:sz w:val="32"/>
        </w:rPr>
      </w:pPr>
    </w:p>
    <w:p w14:paraId="2B08A842">
      <w:pPr>
        <w:pStyle w:val="20"/>
        <w:rPr>
          <w:sz w:val="32"/>
        </w:rPr>
      </w:pPr>
    </w:p>
    <w:p w14:paraId="36C30A4E">
      <w:pPr>
        <w:pStyle w:val="20"/>
        <w:rPr>
          <w:sz w:val="32"/>
        </w:rPr>
      </w:pPr>
    </w:p>
    <w:p w14:paraId="252CBA46">
      <w:pPr>
        <w:pStyle w:val="20"/>
        <w:rPr>
          <w:sz w:val="32"/>
        </w:rPr>
      </w:pPr>
    </w:p>
    <w:p w14:paraId="3A28F137">
      <w:pPr>
        <w:pStyle w:val="20"/>
        <w:rPr>
          <w:sz w:val="32"/>
        </w:rPr>
      </w:pPr>
    </w:p>
    <w:p w14:paraId="444C58A4">
      <w:pPr>
        <w:pStyle w:val="20"/>
        <w:rPr>
          <w:sz w:val="32"/>
        </w:rPr>
      </w:pPr>
    </w:p>
    <w:p w14:paraId="0DBE8376">
      <w:pPr>
        <w:pStyle w:val="20"/>
        <w:rPr>
          <w:sz w:val="32"/>
        </w:rPr>
      </w:pPr>
    </w:p>
    <w:p w14:paraId="69D08D10">
      <w:pPr>
        <w:pStyle w:val="20"/>
        <w:rPr>
          <w:sz w:val="32"/>
        </w:rPr>
      </w:pPr>
    </w:p>
    <w:p w14:paraId="0A748AD8">
      <w:pPr>
        <w:pStyle w:val="20"/>
        <w:spacing w:before="6"/>
        <w:rPr>
          <w:sz w:val="28"/>
          <w:szCs w:val="28"/>
        </w:rPr>
      </w:pPr>
    </w:p>
    <w:p w14:paraId="4A1AE3F3">
      <w:pPr>
        <w:pStyle w:val="20"/>
        <w:spacing w:before="6"/>
        <w:rPr>
          <w:sz w:val="28"/>
          <w:szCs w:val="28"/>
        </w:rPr>
      </w:pPr>
    </w:p>
    <w:p w14:paraId="642686C4">
      <w:pPr>
        <w:pStyle w:val="299"/>
        <w:spacing w:line="360" w:lineRule="auto"/>
        <w:ind w:firstLine="1680" w:firstLineChars="600"/>
        <w:rPr>
          <w:rFonts w:ascii="黑体" w:hAnsi="黑体" w:eastAsia="黑体" w:cs="宋体"/>
          <w:sz w:val="28"/>
          <w:szCs w:val="28"/>
        </w:rPr>
      </w:pPr>
      <w:r>
        <w:rPr>
          <w:rFonts w:hint="eastAsia" w:ascii="黑体" w:hAnsi="黑体" w:eastAsia="黑体" w:cs="宋体"/>
          <w:sz w:val="28"/>
          <w:szCs w:val="28"/>
        </w:rPr>
        <w:t>投标人：</w:t>
      </w:r>
      <w:r>
        <w:rPr>
          <w:rFonts w:ascii="黑体" w:hAnsi="黑体" w:eastAsia="黑体" w:cs="宋体"/>
          <w:sz w:val="28"/>
          <w:szCs w:val="28"/>
          <w:u w:val="single"/>
        </w:rPr>
        <w:t xml:space="preserve">                         </w:t>
      </w:r>
      <w:r>
        <w:rPr>
          <w:rFonts w:ascii="黑体" w:hAnsi="黑体" w:eastAsia="黑体" w:cs="宋体"/>
          <w:sz w:val="28"/>
          <w:szCs w:val="28"/>
        </w:rPr>
        <w:t xml:space="preserve"> （全称）</w:t>
      </w:r>
    </w:p>
    <w:p w14:paraId="641359BF">
      <w:pPr>
        <w:pStyle w:val="299"/>
        <w:spacing w:line="360" w:lineRule="auto"/>
        <w:rPr>
          <w:rFonts w:ascii="黑体" w:hAnsi="黑体" w:eastAsia="黑体" w:cs="宋体"/>
          <w:sz w:val="28"/>
          <w:szCs w:val="28"/>
        </w:rPr>
      </w:pPr>
      <w:r>
        <w:rPr>
          <w:rFonts w:ascii="黑体" w:hAnsi="黑体" w:eastAsia="黑体" w:cs="宋体"/>
          <w:sz w:val="28"/>
          <w:szCs w:val="28"/>
        </w:rPr>
        <w:t xml:space="preserve">                   </w:t>
      </w:r>
      <w:r>
        <w:rPr>
          <w:rFonts w:ascii="黑体" w:hAnsi="黑体" w:eastAsia="黑体" w:cs="宋体"/>
          <w:sz w:val="28"/>
          <w:szCs w:val="28"/>
          <w:u w:val="single"/>
        </w:rPr>
        <w:t xml:space="preserve">        </w:t>
      </w:r>
      <w:r>
        <w:rPr>
          <w:rFonts w:hint="eastAsia" w:ascii="黑体" w:hAnsi="黑体" w:eastAsia="黑体" w:cs="宋体"/>
          <w:sz w:val="28"/>
          <w:szCs w:val="28"/>
        </w:rPr>
        <w:t>年</w:t>
      </w:r>
      <w:r>
        <w:rPr>
          <w:rFonts w:ascii="黑体" w:hAnsi="黑体" w:eastAsia="黑体" w:cs="宋体"/>
          <w:sz w:val="28"/>
          <w:szCs w:val="28"/>
          <w:u w:val="single"/>
        </w:rPr>
        <w:t xml:space="preserve">  </w:t>
      </w:r>
      <w:r>
        <w:rPr>
          <w:rFonts w:ascii="黑体" w:hAnsi="黑体" w:eastAsia="黑体" w:cs="宋体"/>
          <w:sz w:val="28"/>
          <w:szCs w:val="28"/>
          <w:u w:val="single"/>
        </w:rPr>
        <w:tab/>
      </w:r>
      <w:r>
        <w:rPr>
          <w:rFonts w:hint="eastAsia" w:ascii="黑体" w:hAnsi="黑体" w:eastAsia="黑体" w:cs="宋体"/>
          <w:sz w:val="28"/>
          <w:szCs w:val="28"/>
        </w:rPr>
        <w:t>月</w:t>
      </w:r>
      <w:r>
        <w:rPr>
          <w:rFonts w:ascii="黑体" w:hAnsi="黑体" w:eastAsia="黑体" w:cs="宋体"/>
          <w:sz w:val="28"/>
          <w:szCs w:val="28"/>
          <w:u w:val="single"/>
        </w:rPr>
        <w:t xml:space="preserve">     </w:t>
      </w:r>
      <w:r>
        <w:rPr>
          <w:rFonts w:hint="eastAsia" w:ascii="黑体" w:hAnsi="黑体" w:eastAsia="黑体" w:cs="宋体"/>
          <w:sz w:val="28"/>
          <w:szCs w:val="28"/>
        </w:rPr>
        <w:t>日</w:t>
      </w:r>
    </w:p>
    <w:p w14:paraId="6FE7AC70">
      <w:pPr>
        <w:pStyle w:val="299"/>
        <w:spacing w:line="360" w:lineRule="auto"/>
        <w:rPr>
          <w:rFonts w:ascii="黑体" w:hAnsi="黑体" w:eastAsia="黑体" w:cs="宋体"/>
        </w:rPr>
        <w:sectPr>
          <w:headerReference r:id="rId14" w:type="default"/>
          <w:headerReference r:id="rId15" w:type="even"/>
          <w:footerReference r:id="rId16" w:type="even"/>
          <w:footnotePr>
            <w:numFmt w:val="decimalEnclosedCircleChinese"/>
            <w:numRestart w:val="eachPage"/>
          </w:footnotePr>
          <w:pgSz w:w="11900" w:h="16840"/>
          <w:pgMar w:top="1474" w:right="1134" w:bottom="1418" w:left="1418" w:header="885" w:footer="680" w:gutter="0"/>
          <w:cols w:space="720" w:num="1"/>
          <w:docGrid w:linePitch="286" w:charSpace="0"/>
        </w:sectPr>
      </w:pPr>
    </w:p>
    <w:p w14:paraId="147C7532">
      <w:pPr>
        <w:tabs>
          <w:tab w:val="left" w:pos="1108"/>
        </w:tabs>
        <w:spacing w:before="7"/>
        <w:ind w:left="58"/>
        <w:jc w:val="center"/>
        <w:rPr>
          <w:rFonts w:ascii="宋体" w:hAnsi="宋体"/>
          <w:sz w:val="30"/>
        </w:rPr>
      </w:pPr>
      <w:bookmarkStart w:id="868" w:name="_TOC_250038"/>
      <w:bookmarkEnd w:id="868"/>
      <w:r>
        <w:rPr>
          <w:rFonts w:hint="eastAsia" w:ascii="黑体" w:hAnsi="黑体" w:eastAsia="黑体"/>
          <w:sz w:val="30"/>
        </w:rPr>
        <w:t>目</w:t>
      </w:r>
      <w:r>
        <w:rPr>
          <w:rFonts w:ascii="黑体" w:hAnsi="黑体" w:eastAsia="黑体"/>
          <w:sz w:val="30"/>
        </w:rPr>
        <w:t xml:space="preserve">   </w:t>
      </w:r>
      <w:r>
        <w:rPr>
          <w:rFonts w:hint="eastAsia" w:ascii="黑体" w:hAnsi="黑体" w:eastAsia="黑体"/>
          <w:sz w:val="30"/>
        </w:rPr>
        <w:t>录</w:t>
      </w:r>
    </w:p>
    <w:p w14:paraId="792A7933">
      <w:pPr>
        <w:pStyle w:val="20"/>
        <w:rPr>
          <w:sz w:val="30"/>
        </w:rPr>
      </w:pPr>
    </w:p>
    <w:p w14:paraId="2DE34661">
      <w:pPr>
        <w:pStyle w:val="20"/>
        <w:spacing w:before="11"/>
        <w:rPr>
          <w:sz w:val="30"/>
        </w:rPr>
      </w:pPr>
    </w:p>
    <w:p w14:paraId="4627BD96">
      <w:pPr>
        <w:pStyle w:val="20"/>
        <w:spacing w:line="480" w:lineRule="auto"/>
        <w:ind w:right="-97"/>
      </w:pPr>
      <w:r>
        <w:t>一、投标函及投标函附录</w:t>
      </w:r>
    </w:p>
    <w:p w14:paraId="76997058">
      <w:pPr>
        <w:pStyle w:val="20"/>
        <w:spacing w:line="480" w:lineRule="auto"/>
        <w:ind w:right="-97"/>
      </w:pPr>
      <w:r>
        <w:t>二、授权委托书或法定代表人身份证明</w:t>
      </w:r>
    </w:p>
    <w:p w14:paraId="06D98D80">
      <w:pPr>
        <w:pStyle w:val="20"/>
        <w:spacing w:line="480" w:lineRule="auto"/>
        <w:ind w:right="-97"/>
        <w:rPr>
          <w:rFonts w:hint="eastAsia" w:eastAsia="宋体"/>
          <w:lang w:eastAsia="zh-CN"/>
        </w:rPr>
      </w:pPr>
      <w:r>
        <w:t>三、</w:t>
      </w:r>
      <w:r>
        <w:rPr>
          <w:rFonts w:hint="eastAsia"/>
        </w:rPr>
        <w:t>联合体协议书</w:t>
      </w:r>
      <w:r>
        <w:rPr>
          <w:rFonts w:hint="eastAsia"/>
          <w:lang w:eastAsia="zh-CN"/>
        </w:rPr>
        <w:t>（</w:t>
      </w:r>
      <w:r>
        <w:rPr>
          <w:rFonts w:hint="eastAsia"/>
          <w:lang w:val="en-US" w:eastAsia="zh-CN"/>
        </w:rPr>
        <w:t>如有</w:t>
      </w:r>
      <w:r>
        <w:rPr>
          <w:rFonts w:hint="eastAsia"/>
          <w:lang w:eastAsia="zh-CN"/>
        </w:rPr>
        <w:t>）</w:t>
      </w:r>
    </w:p>
    <w:p w14:paraId="4E841F3F">
      <w:pPr>
        <w:pStyle w:val="20"/>
        <w:spacing w:line="480" w:lineRule="auto"/>
        <w:ind w:right="-97"/>
      </w:pPr>
      <w:r>
        <w:rPr>
          <w:rFonts w:hint="eastAsia"/>
        </w:rPr>
        <w:t>四</w:t>
      </w:r>
      <w:r>
        <w:t xml:space="preserve">、投标保证金 </w:t>
      </w:r>
    </w:p>
    <w:p w14:paraId="2C915F77">
      <w:pPr>
        <w:pStyle w:val="20"/>
        <w:spacing w:line="480" w:lineRule="auto"/>
        <w:ind w:right="4547"/>
      </w:pPr>
      <w:r>
        <w:rPr>
          <w:rFonts w:hint="eastAsia"/>
        </w:rPr>
        <w:t>五</w:t>
      </w:r>
      <w:r>
        <w:t>、</w:t>
      </w:r>
      <w:r>
        <w:rPr>
          <w:rFonts w:hint="eastAsia"/>
        </w:rPr>
        <w:t>设计施工总承包方案</w:t>
      </w:r>
    </w:p>
    <w:p w14:paraId="46ECEB87">
      <w:pPr>
        <w:pStyle w:val="20"/>
        <w:spacing w:line="480" w:lineRule="auto"/>
        <w:ind w:right="4547"/>
      </w:pPr>
      <w:r>
        <w:rPr>
          <w:rFonts w:hint="eastAsia"/>
        </w:rPr>
        <w:t>六</w:t>
      </w:r>
      <w:r>
        <w:t xml:space="preserve">、项目管理机构 </w:t>
      </w:r>
    </w:p>
    <w:p w14:paraId="1E3091A8">
      <w:pPr>
        <w:pStyle w:val="20"/>
        <w:spacing w:line="480" w:lineRule="auto"/>
        <w:ind w:right="2158"/>
      </w:pPr>
      <w:r>
        <w:rPr>
          <w:rFonts w:hint="eastAsia"/>
        </w:rPr>
        <w:t>七</w:t>
      </w:r>
      <w:r>
        <w:t>、拟分包专项工程情况表</w:t>
      </w:r>
      <w:r>
        <w:rPr>
          <w:rFonts w:hint="eastAsia"/>
        </w:rPr>
        <w:t>（如有）</w:t>
      </w:r>
    </w:p>
    <w:p w14:paraId="324E2CDC">
      <w:pPr>
        <w:pStyle w:val="20"/>
        <w:spacing w:line="480" w:lineRule="auto"/>
        <w:ind w:right="2158"/>
      </w:pPr>
      <w:r>
        <w:rPr>
          <w:rFonts w:hint="eastAsia"/>
        </w:rPr>
        <w:t>八</w:t>
      </w:r>
      <w:r>
        <w:t xml:space="preserve">、资格审查资料 </w:t>
      </w:r>
    </w:p>
    <w:p w14:paraId="60A4E2F9">
      <w:pPr>
        <w:pStyle w:val="20"/>
        <w:spacing w:line="480" w:lineRule="auto"/>
        <w:ind w:right="2158"/>
      </w:pPr>
      <w:r>
        <w:rPr>
          <w:rFonts w:hint="eastAsia"/>
        </w:rPr>
        <w:t>九</w:t>
      </w:r>
      <w:r>
        <w:t>、其他</w:t>
      </w:r>
      <w:r>
        <w:rPr>
          <w:rFonts w:hint="eastAsia"/>
        </w:rPr>
        <w:t>资</w:t>
      </w:r>
      <w:r>
        <w:t>料</w:t>
      </w:r>
      <w:r>
        <w:rPr>
          <w:rFonts w:hint="eastAsia"/>
        </w:rPr>
        <w:t>（如有）</w:t>
      </w:r>
    </w:p>
    <w:p w14:paraId="77B4BC0A">
      <w:pPr>
        <w:rPr>
          <w:rFonts w:ascii="宋体" w:hAnsi="宋体"/>
        </w:rPr>
      </w:pPr>
    </w:p>
    <w:p w14:paraId="4E730B17">
      <w:pPr>
        <w:rPr>
          <w:rFonts w:ascii="宋体" w:hAnsi="宋体"/>
        </w:rPr>
      </w:pPr>
    </w:p>
    <w:p w14:paraId="70507B94">
      <w:pPr>
        <w:rPr>
          <w:rFonts w:ascii="宋体" w:hAnsi="宋体"/>
        </w:rPr>
      </w:pPr>
    </w:p>
    <w:p w14:paraId="3DB54AE0">
      <w:pPr>
        <w:rPr>
          <w:rFonts w:ascii="宋体" w:hAnsi="宋体"/>
        </w:rPr>
      </w:pPr>
    </w:p>
    <w:p w14:paraId="3FA87C55">
      <w:pPr>
        <w:rPr>
          <w:rFonts w:ascii="宋体" w:hAnsi="宋体"/>
        </w:rPr>
      </w:pPr>
    </w:p>
    <w:p w14:paraId="396B5B72">
      <w:pPr>
        <w:rPr>
          <w:rFonts w:ascii="宋体" w:hAnsi="宋体"/>
        </w:rPr>
      </w:pPr>
    </w:p>
    <w:p w14:paraId="7102FB75">
      <w:pPr>
        <w:rPr>
          <w:rFonts w:ascii="宋体" w:hAnsi="宋体"/>
        </w:rPr>
      </w:pPr>
    </w:p>
    <w:p w14:paraId="11E93C30">
      <w:pPr>
        <w:rPr>
          <w:rFonts w:ascii="宋体" w:hAnsi="宋体"/>
        </w:rPr>
      </w:pPr>
    </w:p>
    <w:p w14:paraId="4070DD09">
      <w:pPr>
        <w:rPr>
          <w:rFonts w:ascii="宋体" w:hAnsi="宋体"/>
        </w:rPr>
      </w:pPr>
    </w:p>
    <w:p w14:paraId="5E701642">
      <w:pPr>
        <w:rPr>
          <w:rFonts w:ascii="宋体" w:hAnsi="宋体"/>
        </w:rPr>
      </w:pPr>
    </w:p>
    <w:p w14:paraId="0C2EE14D">
      <w:pPr>
        <w:rPr>
          <w:rFonts w:ascii="宋体" w:hAnsi="宋体"/>
        </w:rPr>
      </w:pPr>
    </w:p>
    <w:p w14:paraId="20A6B805">
      <w:pPr>
        <w:rPr>
          <w:rFonts w:ascii="宋体" w:hAnsi="宋体"/>
        </w:rPr>
      </w:pPr>
    </w:p>
    <w:p w14:paraId="095E29CD">
      <w:pPr>
        <w:rPr>
          <w:rFonts w:ascii="宋体" w:hAnsi="宋体"/>
        </w:rPr>
      </w:pPr>
    </w:p>
    <w:p w14:paraId="285F2ADF">
      <w:pPr>
        <w:widowControl/>
        <w:jc w:val="left"/>
        <w:rPr>
          <w:rFonts w:ascii="宋体" w:hAnsi="宋体"/>
        </w:rPr>
      </w:pPr>
      <w:r>
        <w:rPr>
          <w:rFonts w:ascii="宋体" w:hAnsi="宋体"/>
        </w:rPr>
        <w:br w:type="page"/>
      </w:r>
    </w:p>
    <w:p w14:paraId="4CDA33C0">
      <w:pPr>
        <w:rPr>
          <w:rFonts w:hint="eastAsia" w:ascii="宋体" w:hAnsi="宋体"/>
        </w:rPr>
        <w:sectPr>
          <w:headerReference r:id="rId17" w:type="default"/>
          <w:headerReference r:id="rId18" w:type="even"/>
          <w:footerReference r:id="rId19" w:type="even"/>
          <w:footnotePr>
            <w:numFmt w:val="decimalEnclosedCircleChinese"/>
            <w:numRestart w:val="eachPage"/>
          </w:footnotePr>
          <w:type w:val="continuous"/>
          <w:pgSz w:w="11900" w:h="16838"/>
          <w:pgMar w:top="1418" w:right="1418" w:bottom="1418" w:left="1701" w:header="851" w:footer="624" w:gutter="0"/>
          <w:cols w:space="720" w:num="1"/>
          <w:docGrid w:linePitch="312" w:charSpace="0"/>
        </w:sectPr>
      </w:pPr>
    </w:p>
    <w:p w14:paraId="4741303F">
      <w:pPr>
        <w:pStyle w:val="2"/>
        <w:adjustRightInd w:val="0"/>
        <w:snapToGrid w:val="0"/>
        <w:jc w:val="center"/>
        <w:rPr>
          <w:rFonts w:ascii="黑体" w:hAnsi="黑体" w:cs="黑体"/>
          <w:b w:val="0"/>
          <w:sz w:val="30"/>
          <w:szCs w:val="30"/>
        </w:rPr>
      </w:pPr>
      <w:bookmarkStart w:id="869" w:name="_TOC_250037"/>
      <w:bookmarkEnd w:id="869"/>
      <w:bookmarkStart w:id="870" w:name="_Toc53685814"/>
      <w:r>
        <w:rPr>
          <w:rFonts w:hint="eastAsia" w:ascii="黑体" w:hAnsi="黑体" w:cs="黑体"/>
          <w:b w:val="0"/>
          <w:sz w:val="30"/>
          <w:szCs w:val="30"/>
        </w:rPr>
        <w:t>一、投标函及投标函附录</w:t>
      </w:r>
      <w:bookmarkEnd w:id="870"/>
    </w:p>
    <w:p w14:paraId="2C2512C2">
      <w:pPr>
        <w:tabs>
          <w:tab w:val="left" w:pos="0"/>
        </w:tabs>
        <w:snapToGrid w:val="0"/>
        <w:spacing w:line="360" w:lineRule="auto"/>
        <w:jc w:val="center"/>
        <w:rPr>
          <w:rFonts w:ascii="黑体" w:hAnsi="黑体" w:eastAsia="黑体"/>
          <w:bCs/>
          <w:sz w:val="28"/>
          <w:szCs w:val="28"/>
        </w:rPr>
      </w:pPr>
      <w:r>
        <w:rPr>
          <w:rFonts w:hint="eastAsia" w:ascii="黑体" w:hAnsi="黑体" w:eastAsia="黑体"/>
          <w:bCs/>
          <w:sz w:val="28"/>
          <w:szCs w:val="28"/>
        </w:rPr>
        <w:t>（一）</w:t>
      </w:r>
      <w:r>
        <w:rPr>
          <w:rFonts w:ascii="黑体" w:hAnsi="黑体" w:eastAsia="黑体"/>
          <w:bCs/>
          <w:sz w:val="28"/>
          <w:szCs w:val="28"/>
        </w:rPr>
        <w:t xml:space="preserve"> </w:t>
      </w:r>
      <w:r>
        <w:rPr>
          <w:rFonts w:hint="eastAsia" w:ascii="黑体" w:hAnsi="黑体" w:eastAsia="黑体"/>
          <w:bCs/>
          <w:sz w:val="28"/>
          <w:szCs w:val="28"/>
        </w:rPr>
        <w:t>投</w:t>
      </w:r>
      <w:r>
        <w:rPr>
          <w:rFonts w:ascii="黑体" w:hAnsi="黑体" w:eastAsia="黑体"/>
          <w:bCs/>
          <w:sz w:val="28"/>
          <w:szCs w:val="28"/>
        </w:rPr>
        <w:t xml:space="preserve"> </w:t>
      </w:r>
      <w:r>
        <w:rPr>
          <w:rFonts w:hint="eastAsia" w:ascii="黑体" w:hAnsi="黑体" w:eastAsia="黑体"/>
          <w:bCs/>
          <w:sz w:val="28"/>
          <w:szCs w:val="28"/>
        </w:rPr>
        <w:t>标</w:t>
      </w:r>
      <w:r>
        <w:rPr>
          <w:rFonts w:ascii="黑体" w:hAnsi="黑体" w:eastAsia="黑体"/>
          <w:bCs/>
          <w:sz w:val="28"/>
          <w:szCs w:val="28"/>
        </w:rPr>
        <w:t xml:space="preserve"> </w:t>
      </w:r>
      <w:r>
        <w:rPr>
          <w:rFonts w:hint="eastAsia" w:ascii="黑体" w:hAnsi="黑体" w:eastAsia="黑体"/>
          <w:bCs/>
          <w:sz w:val="28"/>
          <w:szCs w:val="28"/>
        </w:rPr>
        <w:t>函</w:t>
      </w:r>
    </w:p>
    <w:p w14:paraId="615788D7">
      <w:pPr>
        <w:tabs>
          <w:tab w:val="left" w:pos="0"/>
        </w:tabs>
        <w:snapToGrid w:val="0"/>
        <w:spacing w:line="360" w:lineRule="auto"/>
        <w:rPr>
          <w:rFonts w:ascii="宋体" w:hAnsi="宋体"/>
          <w:sz w:val="24"/>
        </w:rPr>
      </w:pPr>
      <w:r>
        <w:rPr>
          <w:rFonts w:ascii="宋体" w:hAnsi="宋体"/>
          <w:sz w:val="24"/>
        </w:rPr>
        <w:t>_______________</w:t>
      </w:r>
      <w:r>
        <w:rPr>
          <w:rFonts w:hint="eastAsia" w:ascii="宋体" w:hAnsi="宋体"/>
          <w:sz w:val="24"/>
        </w:rPr>
        <w:t>（招标人名称）：</w:t>
      </w:r>
    </w:p>
    <w:p w14:paraId="4564599E">
      <w:pPr>
        <w:tabs>
          <w:tab w:val="left" w:pos="0"/>
        </w:tabs>
        <w:snapToGrid w:val="0"/>
        <w:spacing w:line="360" w:lineRule="auto"/>
        <w:ind w:firstLine="480" w:firstLineChars="200"/>
        <w:rPr>
          <w:rFonts w:ascii="宋体" w:hAnsi="宋体"/>
          <w:sz w:val="24"/>
        </w:rPr>
      </w:pPr>
    </w:p>
    <w:p w14:paraId="10203534">
      <w:pPr>
        <w:tabs>
          <w:tab w:val="left" w:pos="0"/>
        </w:tabs>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．我方已仔细研究</w:t>
      </w:r>
      <w:r>
        <w:rPr>
          <w:rFonts w:ascii="宋体" w:hAnsi="宋体"/>
          <w:sz w:val="24"/>
        </w:rPr>
        <w:t>___________</w:t>
      </w:r>
      <w:r>
        <w:rPr>
          <w:rFonts w:hint="eastAsia" w:ascii="宋体" w:hAnsi="宋体"/>
          <w:sz w:val="24"/>
        </w:rPr>
        <w:t>（招标项目名称）</w:t>
      </w:r>
      <w:r>
        <w:rPr>
          <w:rFonts w:hint="eastAsia" w:ascii="宋体" w:hAnsi="宋体"/>
          <w:sz w:val="24"/>
          <w:lang w:val="en-US" w:eastAsia="zh-CN"/>
        </w:rPr>
        <w:t>设计施工总承包</w:t>
      </w:r>
      <w:r>
        <w:rPr>
          <w:rFonts w:ascii="宋体" w:hAnsi="宋体"/>
          <w:sz w:val="24"/>
        </w:rPr>
        <w:t>_____</w:t>
      </w:r>
      <w:r>
        <w:rPr>
          <w:rFonts w:hint="eastAsia" w:ascii="宋体" w:hAnsi="宋体"/>
          <w:sz w:val="24"/>
        </w:rPr>
        <w:t>标段招标文件的全部内容（含所有补遗书），在考察工程现场后，愿意以第二个信封（报价文件）中的投标总报价，按合同约定实施和完成承包工程，修补工程中的任何缺陷。</w:t>
      </w:r>
      <w:r>
        <w:rPr>
          <w:rFonts w:ascii="宋体" w:hAnsi="宋体"/>
          <w:sz w:val="24"/>
        </w:rPr>
        <w:t xml:space="preserve"> </w:t>
      </w:r>
    </w:p>
    <w:p w14:paraId="04FC6211">
      <w:pPr>
        <w:tabs>
          <w:tab w:val="left" w:pos="0"/>
        </w:tabs>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．我方承诺在招标文件规定的投标有效期内不撤销投标文件。</w:t>
      </w:r>
    </w:p>
    <w:p w14:paraId="1DBB4C86">
      <w:pPr>
        <w:tabs>
          <w:tab w:val="left" w:pos="0"/>
        </w:tabs>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．设计质量标准、施工质量标准：</w:t>
      </w:r>
      <w:r>
        <w:rPr>
          <w:rFonts w:hint="eastAsia" w:ascii="宋体" w:hAnsi="宋体" w:cs="宋体"/>
          <w:sz w:val="24"/>
          <w:u w:val="single"/>
        </w:rPr>
        <w:t>同第二章“投标人须知”前附表第</w:t>
      </w:r>
      <w:r>
        <w:rPr>
          <w:rFonts w:ascii="宋体" w:hAnsi="宋体" w:cs="宋体"/>
          <w:sz w:val="24"/>
          <w:u w:val="single"/>
        </w:rPr>
        <w:t>1.3.3项</w:t>
      </w:r>
      <w:r>
        <w:rPr>
          <w:rFonts w:hint="eastAsia" w:ascii="宋体" w:hAnsi="宋体" w:cs="宋体"/>
          <w:sz w:val="24"/>
        </w:rPr>
        <w:t>；</w:t>
      </w:r>
      <w:r>
        <w:rPr>
          <w:rFonts w:hint="eastAsia" w:ascii="宋体" w:hAnsi="宋体"/>
          <w:sz w:val="24"/>
        </w:rPr>
        <w:t>安全目标：</w:t>
      </w:r>
      <w:r>
        <w:rPr>
          <w:rFonts w:hint="eastAsia" w:ascii="宋体" w:hAnsi="宋体" w:cs="宋体"/>
          <w:sz w:val="24"/>
          <w:u w:val="single"/>
        </w:rPr>
        <w:t>同第二章“投标人须知”前附表第</w:t>
      </w:r>
      <w:r>
        <w:rPr>
          <w:rFonts w:ascii="宋体" w:hAnsi="宋体" w:cs="宋体"/>
          <w:sz w:val="24"/>
          <w:u w:val="single"/>
        </w:rPr>
        <w:t>1.3.4项</w:t>
      </w:r>
      <w:r>
        <w:rPr>
          <w:rFonts w:hint="eastAsia" w:ascii="宋体" w:hAnsi="宋体"/>
          <w:sz w:val="24"/>
        </w:rPr>
        <w:t>，总工期：</w:t>
      </w:r>
      <w:r>
        <w:rPr>
          <w:rFonts w:ascii="宋体" w:hAnsi="宋体"/>
          <w:sz w:val="24"/>
        </w:rPr>
        <w:t>____</w:t>
      </w:r>
      <w:r>
        <w:rPr>
          <w:rFonts w:hint="eastAsia" w:ascii="宋体" w:hAnsi="宋体"/>
          <w:sz w:val="24"/>
        </w:rPr>
        <w:t>个月。</w:t>
      </w:r>
    </w:p>
    <w:p w14:paraId="6E12E002">
      <w:pPr>
        <w:tabs>
          <w:tab w:val="left" w:pos="0"/>
        </w:tabs>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．如我方中标，我方承诺：</w:t>
      </w:r>
      <w:r>
        <w:rPr>
          <w:rFonts w:ascii="宋体" w:hAnsi="宋体"/>
          <w:sz w:val="24"/>
        </w:rPr>
        <w:t xml:space="preserve"> </w:t>
      </w:r>
    </w:p>
    <w:p w14:paraId="3143C393">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）在收到中标通知书后，在中标通知书规定的期限内与你方签订合同；</w:t>
      </w:r>
    </w:p>
    <w:p w14:paraId="0DCC01ED">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）在签订合同时不向你方提出附加条件；</w:t>
      </w:r>
    </w:p>
    <w:p w14:paraId="0DAFB400">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）按照招标文件要求提交履约保证金；</w:t>
      </w:r>
    </w:p>
    <w:p w14:paraId="6A07E1EF">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）在合同约定的期限内完成合同规定的全部义务；</w:t>
      </w:r>
    </w:p>
    <w:p w14:paraId="7E5531C3">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宋体"/>
          <w:sz w:val="24"/>
        </w:rPr>
        <w:t>本标段拟委任的施工</w:t>
      </w:r>
      <w:r>
        <w:rPr>
          <w:rFonts w:ascii="宋体" w:hAnsi="宋体" w:cs="宋体"/>
          <w:sz w:val="24"/>
        </w:rPr>
        <w:t>主要人员</w:t>
      </w:r>
      <w:r>
        <w:rPr>
          <w:rFonts w:hint="eastAsia" w:ascii="宋体" w:hAnsi="宋体" w:cs="宋体"/>
          <w:sz w:val="24"/>
        </w:rPr>
        <w:t>（项目经理、项目总工）未在</w:t>
      </w:r>
      <w:r>
        <w:rPr>
          <w:rFonts w:ascii="宋体" w:hAnsi="宋体" w:cs="宋体"/>
          <w:sz w:val="24"/>
        </w:rPr>
        <w:t>其他项目上任职，或</w:t>
      </w:r>
      <w:r>
        <w:rPr>
          <w:rFonts w:hint="eastAsia" w:ascii="宋体" w:hAnsi="宋体" w:cs="宋体"/>
          <w:sz w:val="24"/>
        </w:rPr>
        <w:t>虽</w:t>
      </w:r>
      <w:r>
        <w:rPr>
          <w:rFonts w:ascii="宋体" w:hAnsi="宋体" w:cs="宋体"/>
          <w:sz w:val="24"/>
        </w:rPr>
        <w:t>在其他项目上任职</w:t>
      </w:r>
      <w:r>
        <w:rPr>
          <w:rFonts w:hint="eastAsia" w:ascii="宋体" w:hAnsi="宋体" w:cs="宋体"/>
          <w:sz w:val="24"/>
        </w:rPr>
        <w:t>但本项目中标后能够</w:t>
      </w:r>
      <w:r>
        <w:rPr>
          <w:rFonts w:ascii="宋体" w:hAnsi="宋体" w:cs="宋体"/>
          <w:sz w:val="24"/>
        </w:rPr>
        <w:t>从该项目撤离。</w:t>
      </w:r>
    </w:p>
    <w:p w14:paraId="2FC9AC6C">
      <w:pPr>
        <w:tabs>
          <w:tab w:val="left" w:pos="0"/>
        </w:tabs>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6）在你方和我方进行合同谈判之前，我方将按照合同附件提出的最低要求填报派驻本标段的主要人员或</w:t>
      </w:r>
      <w:r>
        <w:rPr>
          <w:rFonts w:hint="eastAsia" w:ascii="宋体" w:hAnsi="宋体"/>
          <w:sz w:val="24"/>
        </w:rPr>
        <w:t>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6EDBA029">
      <w:pPr>
        <w:tabs>
          <w:tab w:val="left" w:pos="0"/>
        </w:tabs>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．我方在此声明，所递交的投标文件及有关资料内容完整、真实和准确，且不存在招标文件第二章</w:t>
      </w:r>
      <w:r>
        <w:rPr>
          <w:rFonts w:ascii="宋体" w:hAnsi="宋体"/>
          <w:sz w:val="24"/>
        </w:rPr>
        <w:t>“</w:t>
      </w:r>
      <w:r>
        <w:rPr>
          <w:rFonts w:hint="eastAsia" w:ascii="宋体" w:hAnsi="宋体"/>
          <w:sz w:val="24"/>
        </w:rPr>
        <w:t>投标人须知</w:t>
      </w:r>
      <w:r>
        <w:rPr>
          <w:rFonts w:ascii="宋体" w:hAnsi="宋体"/>
          <w:sz w:val="24"/>
        </w:rPr>
        <w:t>”</w:t>
      </w:r>
      <w:r>
        <w:rPr>
          <w:rFonts w:hint="eastAsia" w:ascii="宋体" w:hAnsi="宋体"/>
          <w:sz w:val="24"/>
        </w:rPr>
        <w:t>前附表第</w:t>
      </w:r>
      <w:r>
        <w:rPr>
          <w:rFonts w:ascii="宋体" w:hAnsi="宋体"/>
          <w:sz w:val="24"/>
        </w:rPr>
        <w:t>1.4.3</w:t>
      </w:r>
      <w:r>
        <w:rPr>
          <w:rFonts w:hint="eastAsia" w:ascii="宋体" w:hAnsi="宋体"/>
          <w:sz w:val="24"/>
        </w:rPr>
        <w:t>项和第</w:t>
      </w:r>
      <w:r>
        <w:rPr>
          <w:rFonts w:ascii="宋体" w:hAnsi="宋体"/>
          <w:sz w:val="24"/>
        </w:rPr>
        <w:t>1.4.4</w:t>
      </w:r>
      <w:r>
        <w:rPr>
          <w:rFonts w:hint="eastAsia" w:ascii="宋体" w:hAnsi="宋体"/>
          <w:sz w:val="24"/>
        </w:rPr>
        <w:t>项规定的任何一种情形。同时，</w:t>
      </w:r>
      <w:r>
        <w:rPr>
          <w:rFonts w:hint="eastAsia" w:ascii="宋体" w:hAnsi="宋体" w:cs="宋体"/>
          <w:sz w:val="24"/>
        </w:rPr>
        <w:t>投标文件</w:t>
      </w:r>
      <w:r>
        <w:rPr>
          <w:rFonts w:ascii="宋体" w:hAnsi="宋体" w:cs="宋体"/>
          <w:sz w:val="24"/>
        </w:rPr>
        <w:t>中</w:t>
      </w:r>
      <w:r>
        <w:rPr>
          <w:rFonts w:hint="eastAsia" w:ascii="宋体" w:hAnsi="宋体" w:cs="宋体"/>
          <w:sz w:val="24"/>
          <w:lang w:val="en-US" w:eastAsia="zh-CN"/>
        </w:rPr>
        <w:t>合同</w:t>
      </w:r>
      <w:r>
        <w:rPr>
          <w:rFonts w:hint="eastAsia" w:ascii="宋体" w:hAnsi="宋体" w:cs="宋体"/>
          <w:sz w:val="24"/>
        </w:rPr>
        <w:t>权利义务</w:t>
      </w:r>
      <w:r>
        <w:rPr>
          <w:rFonts w:hint="eastAsia" w:ascii="宋体" w:hAnsi="宋体"/>
          <w:sz w:val="24"/>
        </w:rPr>
        <w:t>符合第二章“投标人须知”前附表第</w:t>
      </w:r>
      <w:r>
        <w:rPr>
          <w:rFonts w:hint="eastAsia" w:ascii="宋体" w:hAnsi="宋体"/>
          <w:sz w:val="24"/>
          <w:lang w:val="en-US" w:eastAsia="zh-CN"/>
        </w:rPr>
        <w:t>10</w:t>
      </w:r>
      <w:r>
        <w:rPr>
          <w:rFonts w:ascii="宋体" w:hAnsi="宋体"/>
          <w:sz w:val="24"/>
        </w:rPr>
        <w:t>.2款的规定。</w:t>
      </w:r>
    </w:p>
    <w:p w14:paraId="114B6913">
      <w:pPr>
        <w:tabs>
          <w:tab w:val="left" w:pos="0"/>
        </w:tabs>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14:paraId="6713863A">
      <w:pPr>
        <w:tabs>
          <w:tab w:val="left" w:pos="0"/>
        </w:tabs>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w:t>
      </w:r>
      <w:r>
        <w:rPr>
          <w:rFonts w:ascii="宋体" w:hAnsi="宋体"/>
          <w:sz w:val="24"/>
        </w:rPr>
        <w:t>_______________________</w:t>
      </w:r>
      <w:r>
        <w:rPr>
          <w:rFonts w:hint="eastAsia" w:ascii="宋体" w:hAnsi="宋体"/>
          <w:sz w:val="24"/>
        </w:rPr>
        <w:t>（其他补充说明）。</w:t>
      </w:r>
      <w:r>
        <w:rPr>
          <w:rFonts w:ascii="宋体" w:hAnsi="宋体"/>
          <w:sz w:val="24"/>
        </w:rPr>
        <w:t xml:space="preserve"> </w:t>
      </w:r>
    </w:p>
    <w:p w14:paraId="6914E3C0">
      <w:pPr>
        <w:tabs>
          <w:tab w:val="left" w:pos="0"/>
        </w:tabs>
        <w:snapToGrid w:val="0"/>
        <w:spacing w:line="360" w:lineRule="auto"/>
        <w:rPr>
          <w:rFonts w:ascii="宋体" w:hAnsi="宋体"/>
          <w:sz w:val="24"/>
        </w:rPr>
      </w:pPr>
    </w:p>
    <w:p w14:paraId="2A7AEEA1">
      <w:pPr>
        <w:spacing w:line="360" w:lineRule="auto"/>
        <w:ind w:firstLine="960" w:firstLineChars="400"/>
        <w:rPr>
          <w:rFonts w:ascii="宋体" w:hAns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（全称）</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（盖单位电子印章）</w:t>
      </w:r>
    </w:p>
    <w:p w14:paraId="0F0A116E">
      <w:pPr>
        <w:spacing w:line="360" w:lineRule="auto"/>
        <w:ind w:firstLine="960" w:firstLineChars="400"/>
        <w:rPr>
          <w:rFonts w:hint="eastAsia" w:ascii="宋体" w:hAnsi="宋体" w:cs="宋体"/>
          <w:sz w:val="24"/>
        </w:rPr>
      </w:pPr>
      <w:r>
        <w:rPr>
          <w:rFonts w:hint="eastAsia" w:ascii="宋体" w:hAnsi="宋体" w:cs="宋体"/>
          <w:sz w:val="24"/>
        </w:rPr>
        <w:t>法定代表人</w:t>
      </w:r>
    </w:p>
    <w:p w14:paraId="28DD946D">
      <w:pPr>
        <w:spacing w:line="360" w:lineRule="auto"/>
        <w:ind w:firstLine="960" w:firstLineChars="400"/>
        <w:rPr>
          <w:rFonts w:ascii="宋体" w:hAnsi="宋体" w:cs="宋体"/>
          <w:sz w:val="24"/>
        </w:rPr>
      </w:pPr>
      <w:r>
        <w:rPr>
          <w:rFonts w:hint="eastAsia" w:ascii="宋体" w:hAnsi="宋体" w:cs="宋体"/>
          <w:sz w:val="24"/>
        </w:rPr>
        <w:t>或其委托代理人：</w:t>
      </w:r>
      <w:r>
        <w:rPr>
          <w:rFonts w:ascii="宋体" w:hAnsi="宋体" w:cs="宋体"/>
          <w:sz w:val="24"/>
          <w:u w:val="single"/>
        </w:rPr>
        <w:t xml:space="preserve">     </w:t>
      </w:r>
      <w:r>
        <w:rPr>
          <w:rFonts w:hint="eastAsia" w:ascii="宋体" w:hAnsi="宋体" w:cs="宋体"/>
          <w:sz w:val="24"/>
        </w:rPr>
        <w:t>（个人电子签名章或个人电子印章）</w:t>
      </w:r>
    </w:p>
    <w:p w14:paraId="050F95CD">
      <w:pPr>
        <w:spacing w:line="360" w:lineRule="auto"/>
        <w:ind w:firstLine="960" w:firstLineChars="400"/>
        <w:rPr>
          <w:rFonts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ascii="宋体" w:hAnsi="宋体" w:cs="宋体"/>
          <w:sz w:val="24"/>
          <w:u w:val="single"/>
        </w:rPr>
        <w:tab/>
      </w:r>
      <w:r>
        <w:rPr>
          <w:rFonts w:ascii="宋体" w:hAnsi="宋体" w:cs="宋体"/>
          <w:sz w:val="24"/>
          <w:u w:val="single"/>
        </w:rPr>
        <w:t xml:space="preserve">                   </w:t>
      </w:r>
    </w:p>
    <w:p w14:paraId="76F47B54">
      <w:pPr>
        <w:spacing w:line="360" w:lineRule="auto"/>
        <w:ind w:firstLine="960" w:firstLineChars="400"/>
        <w:rPr>
          <w:rFonts w:ascii="宋体" w:hAnsi="宋体" w:cs="宋体"/>
          <w:sz w:val="24"/>
        </w:rPr>
      </w:pPr>
      <w:r>
        <w:rPr>
          <w:rFonts w:hint="eastAsia" w:ascii="宋体" w:hAnsi="宋体" w:cs="宋体"/>
          <w:sz w:val="24"/>
        </w:rPr>
        <w:t>网</w:t>
      </w:r>
      <w:r>
        <w:rPr>
          <w:rFonts w:hint="eastAsia" w:ascii="宋体" w:hAnsi="宋体" w:cs="宋体"/>
          <w:sz w:val="24"/>
          <w:lang w:val="en-US" w:eastAsia="zh-CN"/>
        </w:rPr>
        <w:t xml:space="preserve">    </w:t>
      </w:r>
      <w:r>
        <w:rPr>
          <w:rFonts w:hint="eastAsia" w:ascii="宋体" w:hAnsi="宋体" w:cs="宋体"/>
          <w:sz w:val="24"/>
        </w:rPr>
        <w:t>址：</w:t>
      </w:r>
      <w:r>
        <w:rPr>
          <w:rFonts w:ascii="宋体" w:hAnsi="宋体" w:cs="宋体"/>
          <w:sz w:val="24"/>
          <w:u w:val="single"/>
        </w:rPr>
        <w:tab/>
      </w:r>
      <w:r>
        <w:rPr>
          <w:rFonts w:ascii="宋体" w:hAnsi="宋体" w:cs="宋体"/>
          <w:sz w:val="24"/>
          <w:u w:val="single"/>
        </w:rPr>
        <w:t xml:space="preserve">                   </w:t>
      </w:r>
    </w:p>
    <w:p w14:paraId="6541D904">
      <w:pPr>
        <w:spacing w:line="360" w:lineRule="auto"/>
        <w:ind w:firstLine="960" w:firstLineChars="400"/>
        <w:rPr>
          <w:rFonts w:ascii="宋体" w:hAnsi="宋体" w:cs="宋体"/>
          <w:sz w:val="24"/>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ascii="宋体" w:hAnsi="宋体" w:cs="宋体"/>
          <w:sz w:val="24"/>
          <w:u w:val="single"/>
        </w:rPr>
        <w:tab/>
      </w:r>
      <w:r>
        <w:rPr>
          <w:rFonts w:ascii="宋体" w:hAnsi="宋体" w:cs="宋体"/>
          <w:sz w:val="24"/>
          <w:u w:val="single"/>
        </w:rPr>
        <w:t xml:space="preserve">                   </w:t>
      </w:r>
    </w:p>
    <w:p w14:paraId="51F76AA1">
      <w:pPr>
        <w:tabs>
          <w:tab w:val="left" w:pos="0"/>
        </w:tabs>
        <w:spacing w:line="360" w:lineRule="auto"/>
        <w:ind w:firstLine="960" w:firstLineChars="400"/>
        <w:jc w:val="left"/>
        <w:rPr>
          <w:rFonts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w:t>
      </w:r>
      <w:r>
        <w:rPr>
          <w:rFonts w:ascii="宋体" w:hAnsi="宋体" w:cs="宋体"/>
          <w:sz w:val="24"/>
          <w:u w:val="single"/>
        </w:rPr>
        <w:tab/>
      </w:r>
      <w:r>
        <w:rPr>
          <w:rFonts w:ascii="宋体" w:hAnsi="宋体" w:cs="宋体"/>
          <w:sz w:val="24"/>
          <w:u w:val="single"/>
        </w:rPr>
        <w:t xml:space="preserve">                   </w:t>
      </w:r>
    </w:p>
    <w:p w14:paraId="11FEAA37">
      <w:pPr>
        <w:tabs>
          <w:tab w:val="left" w:pos="0"/>
        </w:tabs>
        <w:spacing w:line="360" w:lineRule="auto"/>
        <w:ind w:firstLine="960" w:firstLineChars="400"/>
        <w:jc w:val="left"/>
        <w:rPr>
          <w:rFonts w:ascii="宋体" w:hAnsi="宋体" w:cs="宋体"/>
          <w:sz w:val="24"/>
        </w:rPr>
      </w:pPr>
      <w:r>
        <w:rPr>
          <w:rFonts w:hint="eastAsia" w:ascii="宋体" w:hAnsi="宋体" w:cs="宋体"/>
          <w:sz w:val="24"/>
        </w:rPr>
        <w:t>邮政编码：</w:t>
      </w:r>
      <w:r>
        <w:rPr>
          <w:rFonts w:ascii="宋体" w:hAnsi="宋体" w:cs="宋体"/>
          <w:sz w:val="24"/>
          <w:u w:val="single"/>
        </w:rPr>
        <w:tab/>
      </w:r>
      <w:r>
        <w:rPr>
          <w:rFonts w:ascii="宋体" w:hAnsi="宋体" w:cs="宋体"/>
          <w:sz w:val="24"/>
          <w:u w:val="single"/>
        </w:rPr>
        <w:t xml:space="preserve">                </w:t>
      </w:r>
    </w:p>
    <w:p w14:paraId="040D3AE4">
      <w:pPr>
        <w:tabs>
          <w:tab w:val="left" w:pos="0"/>
        </w:tabs>
        <w:spacing w:line="360" w:lineRule="auto"/>
        <w:ind w:firstLine="960" w:firstLineChars="400"/>
        <w:jc w:val="left"/>
        <w:rPr>
          <w:rFonts w:ascii="宋体" w:hAnsi="宋体" w:cs="宋体"/>
          <w:sz w:val="24"/>
        </w:rPr>
      </w:pPr>
    </w:p>
    <w:p w14:paraId="46B4449F">
      <w:pPr>
        <w:tabs>
          <w:tab w:val="left" w:pos="0"/>
        </w:tabs>
        <w:spacing w:line="360" w:lineRule="auto"/>
        <w:ind w:firstLine="960" w:firstLineChars="400"/>
        <w:jc w:val="left"/>
        <w:rPr>
          <w:rFonts w:ascii="宋体" w:hAnsi="宋体" w:cs="宋体"/>
          <w:sz w:val="24"/>
        </w:rPr>
      </w:pPr>
    </w:p>
    <w:p w14:paraId="4EB697B9">
      <w:pPr>
        <w:tabs>
          <w:tab w:val="left" w:pos="0"/>
        </w:tabs>
        <w:spacing w:line="360" w:lineRule="auto"/>
        <w:ind w:firstLine="5040" w:firstLineChars="2400"/>
        <w:jc w:val="left"/>
        <w:rPr>
          <w:rFonts w:ascii="宋体" w:hAnsi="宋体"/>
        </w:rPr>
      </w:pPr>
      <w:r>
        <w:rPr>
          <w:rFonts w:ascii="宋体" w:hAnsi="宋体"/>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日</w:t>
      </w:r>
    </w:p>
    <w:p w14:paraId="01B01FCD">
      <w:pPr>
        <w:pStyle w:val="20"/>
        <w:kinsoku w:val="0"/>
        <w:overflowPunct w:val="0"/>
        <w:rPr>
          <w:sz w:val="20"/>
          <w:szCs w:val="20"/>
        </w:rPr>
      </w:pPr>
    </w:p>
    <w:p w14:paraId="7D8BEFD4">
      <w:pPr>
        <w:pStyle w:val="265"/>
        <w:kinsoku w:val="0"/>
        <w:overflowPunct w:val="0"/>
        <w:ind w:right="40"/>
        <w:rPr>
          <w:lang w:eastAsia="zh-CN"/>
        </w:rPr>
      </w:pPr>
      <w:bookmarkStart w:id="871" w:name="bookmark291"/>
      <w:bookmarkEnd w:id="871"/>
    </w:p>
    <w:p w14:paraId="25633A27">
      <w:pPr>
        <w:pStyle w:val="265"/>
        <w:kinsoku w:val="0"/>
        <w:overflowPunct w:val="0"/>
        <w:ind w:right="40"/>
        <w:rPr>
          <w:lang w:eastAsia="zh-CN"/>
        </w:rPr>
      </w:pPr>
    </w:p>
    <w:p w14:paraId="61D8B561">
      <w:pPr>
        <w:pStyle w:val="37"/>
        <w:spacing w:line="360" w:lineRule="auto"/>
        <w:rPr>
          <w:rFonts w:hint="eastAsia" w:ascii="宋体" w:hAnsi="宋体" w:cs="宋体"/>
          <w:sz w:val="21"/>
          <w:szCs w:val="21"/>
        </w:rPr>
      </w:pPr>
      <w:r>
        <w:rPr>
          <w:rFonts w:hint="eastAsia" w:ascii="宋体" w:hAnsi="宋体" w:cs="宋体"/>
          <w:sz w:val="21"/>
          <w:szCs w:val="21"/>
        </w:rPr>
        <w:t>注：1.以联合体形式投标的，投标人为联合体牵头人单位全称。</w:t>
      </w:r>
    </w:p>
    <w:p w14:paraId="75E60C33">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2.以联合体形式投标的，盖单位电子印章只需联合体牵头人盖单位电子印章。</w:t>
      </w:r>
    </w:p>
    <w:p w14:paraId="079E9699">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3.以联合体形式投标的，法定代表人或其委托代理人为联合体牵头人的法定代表人或其委托代理人。</w:t>
      </w:r>
    </w:p>
    <w:p w14:paraId="1FD1307B">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4.电话为法定代表人或其委托代理人手机号码，用于接收评标过程中的澄清通知提示短信（不见面开标）或电话通知。</w:t>
      </w:r>
    </w:p>
    <w:p w14:paraId="2A3A4847">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5.条款4第（6）项，不适用于已按招标文件资格审查条件要求提供了的主要人员或其他管理和技术人员、主要机械设备和试验检测设备的项目。</w:t>
      </w:r>
    </w:p>
    <w:p w14:paraId="1F158A73">
      <w:pPr>
        <w:pStyle w:val="265"/>
        <w:kinsoku w:val="0"/>
        <w:overflowPunct w:val="0"/>
        <w:ind w:right="40"/>
        <w:rPr>
          <w:rFonts w:ascii="黑体" w:hAnsi="黑体" w:eastAsia="黑体"/>
          <w:b w:val="0"/>
          <w:sz w:val="28"/>
          <w:szCs w:val="28"/>
          <w:lang w:eastAsia="zh-CN"/>
        </w:rPr>
      </w:pPr>
      <w:r>
        <w:rPr>
          <w:lang w:eastAsia="zh-CN"/>
        </w:rPr>
        <w:br w:type="page"/>
      </w:r>
      <w:r>
        <w:rPr>
          <w:rFonts w:hint="eastAsia" w:ascii="黑体" w:hAnsi="黑体" w:eastAsia="黑体"/>
          <w:b w:val="0"/>
          <w:sz w:val="28"/>
          <w:szCs w:val="28"/>
          <w:lang w:eastAsia="zh-CN"/>
        </w:rPr>
        <w:t>（二）投标函附录</w:t>
      </w:r>
    </w:p>
    <w:p w14:paraId="58D55666">
      <w:pPr>
        <w:pStyle w:val="20"/>
        <w:kinsoku w:val="0"/>
        <w:overflowPunct w:val="0"/>
        <w:spacing w:before="4"/>
        <w:rPr>
          <w:rFonts w:cs="黑体"/>
          <w:sz w:val="22"/>
          <w:szCs w:val="22"/>
        </w:rPr>
      </w:pPr>
      <w:r>
        <w:rPr>
          <w:rFonts w:cs="黑体"/>
          <w:sz w:val="22"/>
          <w:szCs w:val="22"/>
        </w:rPr>
        <w:t xml:space="preserve"> </w:t>
      </w:r>
    </w:p>
    <w:tbl>
      <w:tblPr>
        <w:tblStyle w:val="49"/>
        <w:tblW w:w="88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935"/>
        <w:gridCol w:w="1395"/>
        <w:gridCol w:w="1290"/>
        <w:gridCol w:w="3120"/>
        <w:gridCol w:w="530"/>
      </w:tblGrid>
      <w:tr w14:paraId="5030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2E05E0D0">
            <w:pPr>
              <w:pStyle w:val="256"/>
              <w:kinsoku w:val="0"/>
              <w:overflowPunct w:val="0"/>
              <w:adjustRightInd w:val="0"/>
              <w:snapToGrid w:val="0"/>
              <w:spacing w:line="400" w:lineRule="exact"/>
              <w:ind w:left="123"/>
              <w:jc w:val="center"/>
              <w:rPr>
                <w:rFonts w:cs="Times New Roman"/>
                <w:szCs w:val="21"/>
              </w:rPr>
            </w:pPr>
            <w:r>
              <w:rPr>
                <w:rFonts w:hint="eastAsia"/>
                <w:b/>
                <w:bCs/>
                <w:szCs w:val="21"/>
              </w:rPr>
              <w:t>序号</w:t>
            </w:r>
          </w:p>
        </w:tc>
        <w:tc>
          <w:tcPr>
            <w:tcW w:w="1935" w:type="dxa"/>
            <w:vAlign w:val="center"/>
          </w:tcPr>
          <w:p w14:paraId="7BEE79DE">
            <w:pPr>
              <w:pStyle w:val="256"/>
              <w:kinsoku w:val="0"/>
              <w:overflowPunct w:val="0"/>
              <w:adjustRightInd w:val="0"/>
              <w:snapToGrid w:val="0"/>
              <w:spacing w:line="400" w:lineRule="exact"/>
              <w:ind w:left="1"/>
              <w:jc w:val="center"/>
              <w:rPr>
                <w:rFonts w:cs="Times New Roman"/>
                <w:szCs w:val="21"/>
              </w:rPr>
            </w:pPr>
            <w:r>
              <w:rPr>
                <w:rFonts w:hint="eastAsia"/>
                <w:b/>
                <w:bCs/>
                <w:szCs w:val="21"/>
              </w:rPr>
              <w:t>条款名称</w:t>
            </w:r>
          </w:p>
        </w:tc>
        <w:tc>
          <w:tcPr>
            <w:tcW w:w="2685" w:type="dxa"/>
            <w:gridSpan w:val="2"/>
            <w:vAlign w:val="center"/>
          </w:tcPr>
          <w:p w14:paraId="636B56E9">
            <w:pPr>
              <w:pStyle w:val="256"/>
              <w:kinsoku w:val="0"/>
              <w:overflowPunct w:val="0"/>
              <w:adjustRightInd w:val="0"/>
              <w:snapToGrid w:val="0"/>
              <w:spacing w:line="400" w:lineRule="exact"/>
              <w:ind w:left="59"/>
              <w:jc w:val="center"/>
              <w:rPr>
                <w:rFonts w:cs="Times New Roman"/>
                <w:szCs w:val="21"/>
              </w:rPr>
            </w:pPr>
            <w:r>
              <w:rPr>
                <w:rFonts w:hint="eastAsia"/>
                <w:b/>
                <w:bCs/>
                <w:szCs w:val="21"/>
              </w:rPr>
              <w:t>合同条目号</w:t>
            </w:r>
          </w:p>
        </w:tc>
        <w:tc>
          <w:tcPr>
            <w:tcW w:w="3120" w:type="dxa"/>
            <w:vAlign w:val="center"/>
          </w:tcPr>
          <w:p w14:paraId="27F451CA">
            <w:pPr>
              <w:pStyle w:val="256"/>
              <w:kinsoku w:val="0"/>
              <w:overflowPunct w:val="0"/>
              <w:adjustRightInd w:val="0"/>
              <w:snapToGrid w:val="0"/>
              <w:spacing w:line="400" w:lineRule="exact"/>
              <w:jc w:val="center"/>
              <w:rPr>
                <w:rFonts w:cs="Times New Roman"/>
                <w:szCs w:val="21"/>
              </w:rPr>
            </w:pPr>
            <w:r>
              <w:rPr>
                <w:rFonts w:hint="eastAsia"/>
                <w:b/>
                <w:bCs/>
                <w:szCs w:val="21"/>
              </w:rPr>
              <w:t>约定内容</w:t>
            </w:r>
          </w:p>
        </w:tc>
        <w:tc>
          <w:tcPr>
            <w:tcW w:w="530" w:type="dxa"/>
            <w:vAlign w:val="center"/>
          </w:tcPr>
          <w:p w14:paraId="3662ECA0">
            <w:pPr>
              <w:pStyle w:val="256"/>
              <w:kinsoku w:val="0"/>
              <w:overflowPunct w:val="0"/>
              <w:adjustRightInd w:val="0"/>
              <w:snapToGrid w:val="0"/>
              <w:spacing w:line="400" w:lineRule="exact"/>
              <w:jc w:val="center"/>
              <w:rPr>
                <w:rFonts w:cs="Times New Roman"/>
                <w:szCs w:val="21"/>
              </w:rPr>
            </w:pPr>
            <w:r>
              <w:rPr>
                <w:rFonts w:hint="eastAsia"/>
                <w:b/>
                <w:bCs/>
                <w:szCs w:val="21"/>
              </w:rPr>
              <w:t>备注</w:t>
            </w:r>
          </w:p>
        </w:tc>
      </w:tr>
      <w:tr w14:paraId="280C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tcPr>
          <w:p w14:paraId="10CE85AF">
            <w:pPr>
              <w:pStyle w:val="256"/>
              <w:kinsoku w:val="0"/>
              <w:overflowPunct w:val="0"/>
              <w:adjustRightInd w:val="0"/>
              <w:snapToGrid w:val="0"/>
              <w:spacing w:line="400" w:lineRule="exact"/>
              <w:jc w:val="center"/>
              <w:rPr>
                <w:rFonts w:cs="Times New Roman"/>
                <w:szCs w:val="21"/>
              </w:rPr>
            </w:pPr>
            <w:r>
              <w:rPr>
                <w:rFonts w:cs="Times New Roman"/>
                <w:szCs w:val="21"/>
              </w:rPr>
              <w:t>1</w:t>
            </w:r>
          </w:p>
        </w:tc>
        <w:tc>
          <w:tcPr>
            <w:tcW w:w="1935" w:type="dxa"/>
            <w:vAlign w:val="center"/>
          </w:tcPr>
          <w:p w14:paraId="1EBD0861">
            <w:pPr>
              <w:adjustRightInd w:val="0"/>
              <w:snapToGrid w:val="0"/>
              <w:spacing w:line="400" w:lineRule="exact"/>
              <w:jc w:val="center"/>
              <w:rPr>
                <w:szCs w:val="21"/>
              </w:rPr>
            </w:pPr>
            <w:r>
              <w:rPr>
                <w:rFonts w:hint="eastAsia"/>
                <w:szCs w:val="21"/>
              </w:rPr>
              <w:t>项目总负责人</w:t>
            </w:r>
          </w:p>
        </w:tc>
        <w:tc>
          <w:tcPr>
            <w:tcW w:w="2685" w:type="dxa"/>
            <w:gridSpan w:val="2"/>
            <w:vAlign w:val="center"/>
          </w:tcPr>
          <w:p w14:paraId="0F9D31EE">
            <w:pPr>
              <w:pStyle w:val="256"/>
              <w:kinsoku w:val="0"/>
              <w:overflowPunct w:val="0"/>
              <w:adjustRightInd w:val="0"/>
              <w:snapToGrid w:val="0"/>
              <w:spacing w:line="400" w:lineRule="exact"/>
              <w:jc w:val="center"/>
              <w:rPr>
                <w:rFonts w:cs="Times New Roman"/>
                <w:sz w:val="22"/>
                <w:szCs w:val="21"/>
              </w:rPr>
            </w:pPr>
            <w:r>
              <w:rPr>
                <w:rFonts w:hint="eastAsia" w:cs="Times New Roman"/>
                <w:sz w:val="22"/>
                <w:szCs w:val="21"/>
              </w:rPr>
              <w:t>1</w:t>
            </w:r>
            <w:r>
              <w:rPr>
                <w:rFonts w:cs="Times New Roman"/>
                <w:sz w:val="22"/>
                <w:szCs w:val="21"/>
              </w:rPr>
              <w:t>.1.2.4</w:t>
            </w:r>
          </w:p>
        </w:tc>
        <w:tc>
          <w:tcPr>
            <w:tcW w:w="3120" w:type="dxa"/>
            <w:vAlign w:val="center"/>
          </w:tcPr>
          <w:p w14:paraId="2439A0EB">
            <w:pPr>
              <w:pStyle w:val="256"/>
              <w:tabs>
                <w:tab w:val="left" w:pos="2516"/>
              </w:tabs>
              <w:kinsoku w:val="0"/>
              <w:overflowPunct w:val="0"/>
              <w:adjustRightInd w:val="0"/>
              <w:snapToGrid w:val="0"/>
              <w:spacing w:line="400" w:lineRule="exact"/>
              <w:rPr>
                <w:rFonts w:cs="Times New Roman"/>
                <w:szCs w:val="21"/>
              </w:rPr>
            </w:pPr>
            <w:r>
              <w:rPr>
                <w:rFonts w:cs="Times New Roman"/>
                <w:szCs w:val="21"/>
              </w:rPr>
              <w:t>姓名</w:t>
            </w:r>
            <w:r>
              <w:rPr>
                <w:rFonts w:hint="eastAsia" w:cs="Times New Roman"/>
                <w:szCs w:val="21"/>
              </w:rPr>
              <w:t>：</w:t>
            </w:r>
            <w:r>
              <w:rPr>
                <w:rFonts w:cs="Times New Roman"/>
                <w:szCs w:val="21"/>
                <w:u w:val="single"/>
              </w:rPr>
              <w:t xml:space="preserve">         </w:t>
            </w:r>
            <w:r>
              <w:rPr>
                <w:rFonts w:cs="Times New Roman"/>
                <w:szCs w:val="21"/>
              </w:rPr>
              <w:t xml:space="preserve">         </w:t>
            </w:r>
          </w:p>
        </w:tc>
        <w:tc>
          <w:tcPr>
            <w:tcW w:w="530" w:type="dxa"/>
          </w:tcPr>
          <w:p w14:paraId="108B3D16">
            <w:pPr>
              <w:adjustRightInd w:val="0"/>
              <w:snapToGrid w:val="0"/>
              <w:spacing w:line="400" w:lineRule="exact"/>
              <w:rPr>
                <w:rFonts w:ascii="宋体" w:hAnsi="宋体"/>
                <w:szCs w:val="21"/>
              </w:rPr>
            </w:pPr>
          </w:p>
        </w:tc>
      </w:tr>
      <w:tr w14:paraId="6A87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tcPr>
          <w:p w14:paraId="0727D5AF">
            <w:pPr>
              <w:pStyle w:val="256"/>
              <w:kinsoku w:val="0"/>
              <w:overflowPunct w:val="0"/>
              <w:adjustRightInd w:val="0"/>
              <w:snapToGrid w:val="0"/>
              <w:spacing w:line="400" w:lineRule="exact"/>
              <w:jc w:val="center"/>
              <w:rPr>
                <w:rFonts w:cs="Times New Roman"/>
                <w:szCs w:val="21"/>
              </w:rPr>
            </w:pPr>
            <w:r>
              <w:rPr>
                <w:rFonts w:cs="Times New Roman"/>
                <w:szCs w:val="21"/>
              </w:rPr>
              <w:t>2</w:t>
            </w:r>
          </w:p>
        </w:tc>
        <w:tc>
          <w:tcPr>
            <w:tcW w:w="1935" w:type="dxa"/>
            <w:vAlign w:val="center"/>
          </w:tcPr>
          <w:p w14:paraId="0BB30D4D">
            <w:pPr>
              <w:adjustRightInd w:val="0"/>
              <w:snapToGrid w:val="0"/>
              <w:spacing w:line="400" w:lineRule="exact"/>
              <w:jc w:val="center"/>
              <w:rPr>
                <w:szCs w:val="21"/>
              </w:rPr>
            </w:pPr>
            <w:r>
              <w:rPr>
                <w:rFonts w:hint="eastAsia"/>
                <w:szCs w:val="21"/>
              </w:rPr>
              <w:t>勘察设计周期</w:t>
            </w:r>
          </w:p>
        </w:tc>
        <w:tc>
          <w:tcPr>
            <w:tcW w:w="2685" w:type="dxa"/>
            <w:gridSpan w:val="2"/>
            <w:vAlign w:val="center"/>
          </w:tcPr>
          <w:p w14:paraId="46B9887A">
            <w:pPr>
              <w:pStyle w:val="256"/>
              <w:kinsoku w:val="0"/>
              <w:overflowPunct w:val="0"/>
              <w:adjustRightInd w:val="0"/>
              <w:snapToGrid w:val="0"/>
              <w:spacing w:line="400" w:lineRule="exact"/>
              <w:jc w:val="center"/>
              <w:rPr>
                <w:rFonts w:cs="Times New Roman"/>
                <w:sz w:val="22"/>
                <w:szCs w:val="21"/>
              </w:rPr>
            </w:pPr>
            <w:r>
              <w:rPr>
                <w:rFonts w:cs="Times New Roman"/>
                <w:sz w:val="22"/>
                <w:szCs w:val="21"/>
              </w:rPr>
              <w:t>1.1.4.3</w:t>
            </w:r>
          </w:p>
        </w:tc>
        <w:tc>
          <w:tcPr>
            <w:tcW w:w="3120" w:type="dxa"/>
            <w:vAlign w:val="center"/>
          </w:tcPr>
          <w:p w14:paraId="6AD75EE0">
            <w:pPr>
              <w:pStyle w:val="256"/>
              <w:tabs>
                <w:tab w:val="left" w:pos="2516"/>
              </w:tabs>
              <w:kinsoku w:val="0"/>
              <w:overflowPunct w:val="0"/>
              <w:adjustRightInd w:val="0"/>
              <w:snapToGrid w:val="0"/>
              <w:spacing w:line="400" w:lineRule="exact"/>
              <w:rPr>
                <w:spacing w:val="-2"/>
                <w:sz w:val="22"/>
                <w:szCs w:val="21"/>
              </w:rPr>
            </w:pPr>
            <w:r>
              <w:rPr>
                <w:rFonts w:cs="Times New Roman"/>
                <w:szCs w:val="21"/>
                <w:u w:val="single"/>
              </w:rPr>
              <w:t xml:space="preserve">     </w:t>
            </w:r>
            <w:r>
              <w:rPr>
                <w:rFonts w:cs="Times New Roman"/>
                <w:szCs w:val="21"/>
              </w:rPr>
              <w:t>个月</w:t>
            </w:r>
          </w:p>
        </w:tc>
        <w:tc>
          <w:tcPr>
            <w:tcW w:w="530" w:type="dxa"/>
          </w:tcPr>
          <w:p w14:paraId="5EE4BF8A">
            <w:pPr>
              <w:adjustRightInd w:val="0"/>
              <w:snapToGrid w:val="0"/>
              <w:spacing w:line="400" w:lineRule="exact"/>
              <w:rPr>
                <w:rFonts w:ascii="宋体" w:hAnsi="宋体"/>
                <w:szCs w:val="21"/>
              </w:rPr>
            </w:pPr>
          </w:p>
        </w:tc>
      </w:tr>
      <w:tr w14:paraId="7F2F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42" w:type="dxa"/>
          </w:tcPr>
          <w:p w14:paraId="053EADDD">
            <w:pPr>
              <w:pStyle w:val="256"/>
              <w:kinsoku w:val="0"/>
              <w:overflowPunct w:val="0"/>
              <w:adjustRightInd w:val="0"/>
              <w:snapToGrid w:val="0"/>
              <w:spacing w:line="400" w:lineRule="exact"/>
              <w:jc w:val="center"/>
              <w:rPr>
                <w:rFonts w:cs="Times New Roman"/>
                <w:szCs w:val="21"/>
              </w:rPr>
            </w:pPr>
            <w:r>
              <w:rPr>
                <w:rFonts w:cs="Times New Roman"/>
                <w:szCs w:val="21"/>
              </w:rPr>
              <w:t>3</w:t>
            </w:r>
          </w:p>
        </w:tc>
        <w:tc>
          <w:tcPr>
            <w:tcW w:w="1935" w:type="dxa"/>
            <w:vAlign w:val="center"/>
          </w:tcPr>
          <w:p w14:paraId="69BD2CF6">
            <w:pPr>
              <w:adjustRightInd w:val="0"/>
              <w:snapToGrid w:val="0"/>
              <w:spacing w:line="400" w:lineRule="exact"/>
              <w:jc w:val="center"/>
              <w:rPr>
                <w:szCs w:val="21"/>
              </w:rPr>
            </w:pPr>
            <w:r>
              <w:rPr>
                <w:rFonts w:hint="eastAsia"/>
                <w:szCs w:val="21"/>
              </w:rPr>
              <w:t>施工工期</w:t>
            </w:r>
          </w:p>
        </w:tc>
        <w:tc>
          <w:tcPr>
            <w:tcW w:w="2685" w:type="dxa"/>
            <w:gridSpan w:val="2"/>
            <w:vAlign w:val="center"/>
          </w:tcPr>
          <w:p w14:paraId="211A6A6B">
            <w:pPr>
              <w:pStyle w:val="256"/>
              <w:kinsoku w:val="0"/>
              <w:overflowPunct w:val="0"/>
              <w:adjustRightInd w:val="0"/>
              <w:snapToGrid w:val="0"/>
              <w:spacing w:line="400" w:lineRule="exact"/>
              <w:jc w:val="center"/>
              <w:rPr>
                <w:rFonts w:cs="Times New Roman"/>
                <w:szCs w:val="21"/>
              </w:rPr>
            </w:pPr>
            <w:r>
              <w:rPr>
                <w:rFonts w:hint="eastAsia" w:cs="Times New Roman"/>
                <w:szCs w:val="21"/>
              </w:rPr>
              <w:t>1</w:t>
            </w:r>
            <w:r>
              <w:rPr>
                <w:rFonts w:cs="Times New Roman"/>
                <w:szCs w:val="21"/>
              </w:rPr>
              <w:t>.1.4.3</w:t>
            </w:r>
          </w:p>
        </w:tc>
        <w:tc>
          <w:tcPr>
            <w:tcW w:w="3120" w:type="dxa"/>
            <w:vAlign w:val="center"/>
          </w:tcPr>
          <w:p w14:paraId="16714BF1">
            <w:pPr>
              <w:pStyle w:val="256"/>
              <w:tabs>
                <w:tab w:val="left" w:pos="2516"/>
              </w:tabs>
              <w:kinsoku w:val="0"/>
              <w:overflowPunct w:val="0"/>
              <w:adjustRightInd w:val="0"/>
              <w:snapToGrid w:val="0"/>
              <w:spacing w:line="400" w:lineRule="exact"/>
              <w:jc w:val="left"/>
              <w:rPr>
                <w:spacing w:val="-2"/>
                <w:szCs w:val="21"/>
              </w:rPr>
            </w:pPr>
            <w:r>
              <w:rPr>
                <w:rFonts w:hint="eastAsia" w:cs="Times New Roman"/>
                <w:szCs w:val="21"/>
                <w:u w:val="single"/>
              </w:rPr>
              <w:t xml:space="preserve"> </w:t>
            </w:r>
            <w:r>
              <w:rPr>
                <w:rFonts w:cs="Times New Roman"/>
                <w:szCs w:val="21"/>
                <w:u w:val="single"/>
              </w:rPr>
              <w:t xml:space="preserve">    </w:t>
            </w:r>
            <w:r>
              <w:rPr>
                <w:rFonts w:cs="Times New Roman"/>
                <w:szCs w:val="21"/>
              </w:rPr>
              <w:t>个月</w:t>
            </w:r>
          </w:p>
        </w:tc>
        <w:tc>
          <w:tcPr>
            <w:tcW w:w="530" w:type="dxa"/>
          </w:tcPr>
          <w:p w14:paraId="75A22E41">
            <w:pPr>
              <w:adjustRightInd w:val="0"/>
              <w:snapToGrid w:val="0"/>
              <w:spacing w:line="400" w:lineRule="exact"/>
              <w:rPr>
                <w:rFonts w:ascii="宋体" w:hAnsi="宋体"/>
                <w:szCs w:val="21"/>
              </w:rPr>
            </w:pPr>
          </w:p>
        </w:tc>
      </w:tr>
      <w:tr w14:paraId="456A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tcPr>
          <w:p w14:paraId="19A9E6C8">
            <w:pPr>
              <w:pStyle w:val="256"/>
              <w:kinsoku w:val="0"/>
              <w:overflowPunct w:val="0"/>
              <w:adjustRightInd w:val="0"/>
              <w:snapToGrid w:val="0"/>
              <w:spacing w:line="400" w:lineRule="exact"/>
              <w:jc w:val="center"/>
              <w:rPr>
                <w:rFonts w:cs="Times New Roman"/>
                <w:szCs w:val="21"/>
              </w:rPr>
            </w:pPr>
            <w:r>
              <w:rPr>
                <w:rFonts w:cs="Times New Roman"/>
                <w:szCs w:val="21"/>
              </w:rPr>
              <w:t>4</w:t>
            </w:r>
          </w:p>
        </w:tc>
        <w:tc>
          <w:tcPr>
            <w:tcW w:w="1935" w:type="dxa"/>
            <w:vAlign w:val="center"/>
          </w:tcPr>
          <w:p w14:paraId="0BAABA22">
            <w:pPr>
              <w:adjustRightInd w:val="0"/>
              <w:snapToGrid w:val="0"/>
              <w:spacing w:line="400" w:lineRule="exact"/>
              <w:jc w:val="center"/>
              <w:rPr>
                <w:szCs w:val="21"/>
              </w:rPr>
            </w:pPr>
            <w:r>
              <w:rPr>
                <w:rFonts w:hint="eastAsia"/>
                <w:szCs w:val="21"/>
              </w:rPr>
              <w:t>缺陷责任期</w:t>
            </w:r>
          </w:p>
        </w:tc>
        <w:tc>
          <w:tcPr>
            <w:tcW w:w="2685" w:type="dxa"/>
            <w:gridSpan w:val="2"/>
            <w:vAlign w:val="center"/>
          </w:tcPr>
          <w:p w14:paraId="4757B05F">
            <w:pPr>
              <w:pStyle w:val="256"/>
              <w:kinsoku w:val="0"/>
              <w:overflowPunct w:val="0"/>
              <w:adjustRightInd w:val="0"/>
              <w:snapToGrid w:val="0"/>
              <w:spacing w:line="400" w:lineRule="exact"/>
              <w:jc w:val="center"/>
              <w:rPr>
                <w:rFonts w:cs="Times New Roman"/>
                <w:szCs w:val="21"/>
              </w:rPr>
            </w:pPr>
            <w:r>
              <w:rPr>
                <w:rFonts w:cs="Times New Roman"/>
                <w:szCs w:val="21"/>
              </w:rPr>
              <w:t>1.1.4.5</w:t>
            </w:r>
          </w:p>
        </w:tc>
        <w:tc>
          <w:tcPr>
            <w:tcW w:w="3120" w:type="dxa"/>
            <w:vAlign w:val="center"/>
          </w:tcPr>
          <w:p w14:paraId="750A1A09">
            <w:pPr>
              <w:pStyle w:val="256"/>
              <w:tabs>
                <w:tab w:val="left" w:pos="2516"/>
              </w:tabs>
              <w:kinsoku w:val="0"/>
              <w:overflowPunct w:val="0"/>
              <w:adjustRightInd w:val="0"/>
              <w:snapToGrid w:val="0"/>
              <w:spacing w:line="400" w:lineRule="exact"/>
              <w:jc w:val="left"/>
              <w:rPr>
                <w:rFonts w:cs="Times New Roman"/>
                <w:szCs w:val="21"/>
              </w:rPr>
            </w:pPr>
            <w:r>
              <w:rPr>
                <w:rFonts w:hint="eastAsia"/>
                <w:spacing w:val="-2"/>
                <w:szCs w:val="21"/>
              </w:rPr>
              <w:t>自实际交工日期起计算</w:t>
            </w:r>
            <w:r>
              <w:rPr>
                <w:rFonts w:cs="Times New Roman"/>
                <w:spacing w:val="-2"/>
                <w:szCs w:val="21"/>
                <w:u w:val="single"/>
              </w:rPr>
              <w:t xml:space="preserve">    </w:t>
            </w:r>
            <w:r>
              <w:rPr>
                <w:rFonts w:hint="eastAsia" w:cs="Times New Roman"/>
                <w:spacing w:val="-2"/>
                <w:szCs w:val="21"/>
              </w:rPr>
              <w:t>个</w:t>
            </w:r>
            <w:r>
              <w:rPr>
                <w:rFonts w:hint="eastAsia"/>
                <w:szCs w:val="21"/>
              </w:rPr>
              <w:t>月</w:t>
            </w:r>
          </w:p>
        </w:tc>
        <w:tc>
          <w:tcPr>
            <w:tcW w:w="530" w:type="dxa"/>
          </w:tcPr>
          <w:p w14:paraId="1875A162">
            <w:pPr>
              <w:adjustRightInd w:val="0"/>
              <w:snapToGrid w:val="0"/>
              <w:spacing w:line="400" w:lineRule="exact"/>
              <w:rPr>
                <w:rFonts w:ascii="宋体" w:hAnsi="宋体"/>
                <w:szCs w:val="21"/>
              </w:rPr>
            </w:pPr>
          </w:p>
        </w:tc>
      </w:tr>
      <w:tr w14:paraId="521B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02CD817F">
            <w:pPr>
              <w:pStyle w:val="256"/>
              <w:kinsoku w:val="0"/>
              <w:overflowPunct w:val="0"/>
              <w:adjustRightInd w:val="0"/>
              <w:snapToGrid w:val="0"/>
              <w:spacing w:line="400" w:lineRule="exact"/>
              <w:jc w:val="center"/>
              <w:rPr>
                <w:rFonts w:cs="Times New Roman"/>
                <w:szCs w:val="21"/>
              </w:rPr>
            </w:pPr>
            <w:r>
              <w:rPr>
                <w:rFonts w:cs="Times New Roman"/>
                <w:szCs w:val="21"/>
              </w:rPr>
              <w:t>5</w:t>
            </w:r>
          </w:p>
        </w:tc>
        <w:tc>
          <w:tcPr>
            <w:tcW w:w="1935" w:type="dxa"/>
            <w:vAlign w:val="center"/>
          </w:tcPr>
          <w:p w14:paraId="1B557B2B">
            <w:pPr>
              <w:adjustRightInd w:val="0"/>
              <w:snapToGrid w:val="0"/>
              <w:spacing w:line="400" w:lineRule="exact"/>
              <w:jc w:val="center"/>
              <w:rPr>
                <w:szCs w:val="21"/>
              </w:rPr>
            </w:pPr>
            <w:r>
              <w:rPr>
                <w:rFonts w:hint="eastAsia"/>
                <w:szCs w:val="21"/>
              </w:rPr>
              <w:t>分包</w:t>
            </w:r>
          </w:p>
        </w:tc>
        <w:tc>
          <w:tcPr>
            <w:tcW w:w="2685" w:type="dxa"/>
            <w:gridSpan w:val="2"/>
            <w:vAlign w:val="center"/>
          </w:tcPr>
          <w:p w14:paraId="565475FA">
            <w:pPr>
              <w:pStyle w:val="256"/>
              <w:kinsoku w:val="0"/>
              <w:overflowPunct w:val="0"/>
              <w:adjustRightInd w:val="0"/>
              <w:snapToGrid w:val="0"/>
              <w:spacing w:line="400" w:lineRule="exact"/>
              <w:jc w:val="center"/>
              <w:rPr>
                <w:rFonts w:cs="Times New Roman"/>
                <w:szCs w:val="21"/>
              </w:rPr>
            </w:pPr>
            <w:r>
              <w:rPr>
                <w:rFonts w:hint="eastAsia" w:cs="Times New Roman"/>
                <w:szCs w:val="21"/>
              </w:rPr>
              <w:t>4</w:t>
            </w:r>
            <w:r>
              <w:rPr>
                <w:rFonts w:cs="Times New Roman"/>
                <w:szCs w:val="21"/>
              </w:rPr>
              <w:t>.3.4</w:t>
            </w:r>
          </w:p>
        </w:tc>
        <w:tc>
          <w:tcPr>
            <w:tcW w:w="3120" w:type="dxa"/>
            <w:vAlign w:val="center"/>
          </w:tcPr>
          <w:p w14:paraId="6C42A69A">
            <w:pPr>
              <w:pStyle w:val="256"/>
              <w:tabs>
                <w:tab w:val="left" w:pos="2516"/>
              </w:tabs>
              <w:kinsoku w:val="0"/>
              <w:overflowPunct w:val="0"/>
              <w:adjustRightInd w:val="0"/>
              <w:snapToGrid w:val="0"/>
              <w:spacing w:line="400" w:lineRule="exact"/>
              <w:rPr>
                <w:spacing w:val="-2"/>
                <w:szCs w:val="21"/>
              </w:rPr>
            </w:pPr>
            <w:r>
              <w:rPr>
                <w:rFonts w:cs="Times New Roman"/>
                <w:szCs w:val="21"/>
                <w:u w:val="single"/>
              </w:rPr>
              <w:t xml:space="preserve">        </w:t>
            </w:r>
          </w:p>
        </w:tc>
        <w:tc>
          <w:tcPr>
            <w:tcW w:w="530" w:type="dxa"/>
          </w:tcPr>
          <w:p w14:paraId="462BBB7D">
            <w:pPr>
              <w:adjustRightInd w:val="0"/>
              <w:snapToGrid w:val="0"/>
              <w:spacing w:line="400" w:lineRule="exact"/>
              <w:rPr>
                <w:rFonts w:ascii="宋体" w:hAnsi="宋体"/>
                <w:szCs w:val="21"/>
              </w:rPr>
            </w:pPr>
          </w:p>
        </w:tc>
      </w:tr>
      <w:tr w14:paraId="7570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2F162CE7">
            <w:pPr>
              <w:pStyle w:val="256"/>
              <w:kinsoku w:val="0"/>
              <w:overflowPunct w:val="0"/>
              <w:adjustRightInd w:val="0"/>
              <w:snapToGrid w:val="0"/>
              <w:spacing w:line="400" w:lineRule="exact"/>
              <w:jc w:val="center"/>
              <w:rPr>
                <w:rFonts w:cs="Times New Roman"/>
                <w:szCs w:val="21"/>
              </w:rPr>
            </w:pPr>
            <w:r>
              <w:rPr>
                <w:rFonts w:cs="Times New Roman"/>
                <w:szCs w:val="21"/>
              </w:rPr>
              <w:t>6</w:t>
            </w:r>
          </w:p>
        </w:tc>
        <w:tc>
          <w:tcPr>
            <w:tcW w:w="1935" w:type="dxa"/>
            <w:vAlign w:val="center"/>
          </w:tcPr>
          <w:p w14:paraId="34C455D0">
            <w:pPr>
              <w:adjustRightInd w:val="0"/>
              <w:snapToGrid w:val="0"/>
              <w:spacing w:line="400" w:lineRule="exact"/>
              <w:jc w:val="center"/>
              <w:rPr>
                <w:szCs w:val="21"/>
              </w:rPr>
            </w:pPr>
            <w:r>
              <w:rPr>
                <w:rFonts w:hint="eastAsia"/>
                <w:szCs w:val="21"/>
              </w:rPr>
              <w:t>逾期交工违约金</w:t>
            </w:r>
          </w:p>
        </w:tc>
        <w:tc>
          <w:tcPr>
            <w:tcW w:w="2685" w:type="dxa"/>
            <w:gridSpan w:val="2"/>
            <w:vAlign w:val="center"/>
          </w:tcPr>
          <w:p w14:paraId="123BF00E">
            <w:pPr>
              <w:pStyle w:val="256"/>
              <w:kinsoku w:val="0"/>
              <w:overflowPunct w:val="0"/>
              <w:adjustRightInd w:val="0"/>
              <w:snapToGrid w:val="0"/>
              <w:spacing w:line="400" w:lineRule="exact"/>
              <w:ind w:left="143"/>
              <w:jc w:val="center"/>
              <w:rPr>
                <w:rFonts w:cs="Times New Roman"/>
                <w:szCs w:val="21"/>
              </w:rPr>
            </w:pPr>
            <w:r>
              <w:rPr>
                <w:rFonts w:cs="Times New Roman"/>
                <w:spacing w:val="-2"/>
                <w:szCs w:val="21"/>
              </w:rPr>
              <w:t>11.5</w:t>
            </w:r>
            <w:r>
              <w:rPr>
                <w:rFonts w:hint="eastAsia"/>
                <w:spacing w:val="-2"/>
                <w:szCs w:val="21"/>
              </w:rPr>
              <w:t>（</w:t>
            </w:r>
            <w:r>
              <w:rPr>
                <w:rFonts w:cs="Times New Roman"/>
                <w:spacing w:val="-2"/>
                <w:szCs w:val="21"/>
              </w:rPr>
              <w:t>3</w:t>
            </w:r>
            <w:r>
              <w:rPr>
                <w:rFonts w:hint="eastAsia"/>
                <w:spacing w:val="-2"/>
                <w:szCs w:val="21"/>
              </w:rPr>
              <w:t>）</w:t>
            </w:r>
          </w:p>
        </w:tc>
        <w:tc>
          <w:tcPr>
            <w:tcW w:w="3120" w:type="dxa"/>
            <w:vAlign w:val="center"/>
          </w:tcPr>
          <w:p w14:paraId="53A64622">
            <w:pPr>
              <w:pStyle w:val="256"/>
              <w:tabs>
                <w:tab w:val="left" w:pos="524"/>
              </w:tabs>
              <w:kinsoku w:val="0"/>
              <w:overflowPunct w:val="0"/>
              <w:adjustRightInd w:val="0"/>
              <w:snapToGrid w:val="0"/>
              <w:spacing w:line="400" w:lineRule="exact"/>
              <w:rPr>
                <w:rFonts w:cs="Times New Roman"/>
                <w:szCs w:val="21"/>
              </w:rPr>
            </w:pPr>
            <w:r>
              <w:rPr>
                <w:rFonts w:cs="Times New Roman"/>
                <w:szCs w:val="21"/>
                <w:u w:val="single"/>
              </w:rPr>
              <w:tab/>
            </w:r>
            <w:r>
              <w:rPr>
                <w:rFonts w:hint="eastAsia"/>
                <w:spacing w:val="-2"/>
                <w:szCs w:val="21"/>
              </w:rPr>
              <w:t>元</w:t>
            </w:r>
            <w:r>
              <w:rPr>
                <w:rFonts w:cs="Times New Roman"/>
                <w:spacing w:val="-2"/>
                <w:szCs w:val="21"/>
              </w:rPr>
              <w:t>/</w:t>
            </w:r>
            <w:r>
              <w:rPr>
                <w:rFonts w:hint="eastAsia"/>
                <w:spacing w:val="-2"/>
                <w:szCs w:val="21"/>
              </w:rPr>
              <w:t>天</w:t>
            </w:r>
          </w:p>
        </w:tc>
        <w:tc>
          <w:tcPr>
            <w:tcW w:w="530" w:type="dxa"/>
          </w:tcPr>
          <w:p w14:paraId="3C05BBA7">
            <w:pPr>
              <w:adjustRightInd w:val="0"/>
              <w:snapToGrid w:val="0"/>
              <w:spacing w:line="400" w:lineRule="exact"/>
              <w:rPr>
                <w:rFonts w:ascii="宋体" w:hAnsi="宋体"/>
                <w:szCs w:val="21"/>
              </w:rPr>
            </w:pPr>
          </w:p>
        </w:tc>
      </w:tr>
      <w:tr w14:paraId="7B35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1E57ECB4">
            <w:pPr>
              <w:pStyle w:val="256"/>
              <w:kinsoku w:val="0"/>
              <w:overflowPunct w:val="0"/>
              <w:adjustRightInd w:val="0"/>
              <w:snapToGrid w:val="0"/>
              <w:spacing w:line="400" w:lineRule="exact"/>
              <w:jc w:val="center"/>
              <w:rPr>
                <w:rFonts w:cs="Times New Roman"/>
                <w:szCs w:val="21"/>
              </w:rPr>
            </w:pPr>
            <w:r>
              <w:rPr>
                <w:rFonts w:cs="Times New Roman"/>
                <w:szCs w:val="21"/>
              </w:rPr>
              <w:t>7</w:t>
            </w:r>
          </w:p>
        </w:tc>
        <w:tc>
          <w:tcPr>
            <w:tcW w:w="1935" w:type="dxa"/>
            <w:vAlign w:val="center"/>
          </w:tcPr>
          <w:p w14:paraId="18913E49">
            <w:pPr>
              <w:adjustRightInd w:val="0"/>
              <w:snapToGrid w:val="0"/>
              <w:spacing w:line="400" w:lineRule="exact"/>
              <w:jc w:val="center"/>
              <w:rPr>
                <w:szCs w:val="21"/>
              </w:rPr>
            </w:pPr>
            <w:r>
              <w:rPr>
                <w:rFonts w:hint="eastAsia"/>
                <w:szCs w:val="21"/>
              </w:rPr>
              <w:t>逾期交工违约金</w:t>
            </w:r>
          </w:p>
          <w:p w14:paraId="5433D72E">
            <w:pPr>
              <w:adjustRightInd w:val="0"/>
              <w:snapToGrid w:val="0"/>
              <w:spacing w:line="400" w:lineRule="exact"/>
              <w:jc w:val="center"/>
              <w:rPr>
                <w:szCs w:val="21"/>
              </w:rPr>
            </w:pPr>
            <w:r>
              <w:rPr>
                <w:rFonts w:hint="eastAsia"/>
                <w:szCs w:val="21"/>
              </w:rPr>
              <w:t>限额</w:t>
            </w:r>
          </w:p>
        </w:tc>
        <w:tc>
          <w:tcPr>
            <w:tcW w:w="2685" w:type="dxa"/>
            <w:gridSpan w:val="2"/>
            <w:vAlign w:val="center"/>
          </w:tcPr>
          <w:p w14:paraId="03276E3E">
            <w:pPr>
              <w:pStyle w:val="256"/>
              <w:kinsoku w:val="0"/>
              <w:overflowPunct w:val="0"/>
              <w:adjustRightInd w:val="0"/>
              <w:snapToGrid w:val="0"/>
              <w:spacing w:line="400" w:lineRule="exact"/>
              <w:ind w:left="143"/>
              <w:jc w:val="center"/>
              <w:rPr>
                <w:rFonts w:cs="Times New Roman"/>
                <w:szCs w:val="21"/>
              </w:rPr>
            </w:pPr>
            <w:r>
              <w:rPr>
                <w:rFonts w:cs="Times New Roman"/>
                <w:spacing w:val="-2"/>
                <w:szCs w:val="21"/>
              </w:rPr>
              <w:t>11.5</w:t>
            </w:r>
            <w:r>
              <w:rPr>
                <w:rFonts w:hint="eastAsia"/>
                <w:spacing w:val="-2"/>
                <w:szCs w:val="21"/>
              </w:rPr>
              <w:t>（</w:t>
            </w:r>
            <w:r>
              <w:rPr>
                <w:rFonts w:cs="Times New Roman"/>
                <w:spacing w:val="-2"/>
                <w:szCs w:val="21"/>
              </w:rPr>
              <w:t>3</w:t>
            </w:r>
            <w:r>
              <w:rPr>
                <w:rFonts w:hint="eastAsia"/>
                <w:spacing w:val="-2"/>
                <w:szCs w:val="21"/>
              </w:rPr>
              <w:t>）</w:t>
            </w:r>
          </w:p>
        </w:tc>
        <w:tc>
          <w:tcPr>
            <w:tcW w:w="3120" w:type="dxa"/>
            <w:vAlign w:val="center"/>
          </w:tcPr>
          <w:p w14:paraId="39F2B911">
            <w:pPr>
              <w:pStyle w:val="256"/>
              <w:tabs>
                <w:tab w:val="left" w:pos="419"/>
              </w:tabs>
              <w:kinsoku w:val="0"/>
              <w:overflowPunct w:val="0"/>
              <w:adjustRightInd w:val="0"/>
              <w:snapToGrid w:val="0"/>
              <w:spacing w:line="400" w:lineRule="exact"/>
              <w:rPr>
                <w:rFonts w:cs="Times New Roman"/>
                <w:szCs w:val="21"/>
              </w:rPr>
            </w:pPr>
            <w:r>
              <w:rPr>
                <w:rFonts w:cs="Times New Roman"/>
                <w:szCs w:val="21"/>
                <w:u w:val="single"/>
              </w:rPr>
              <w:tab/>
            </w:r>
            <w:r>
              <w:rPr>
                <w:rFonts w:cs="Times New Roman"/>
                <w:spacing w:val="-2"/>
                <w:szCs w:val="21"/>
              </w:rPr>
              <w:t>%</w:t>
            </w:r>
            <w:r>
              <w:rPr>
                <w:rFonts w:hint="eastAsia"/>
                <w:spacing w:val="-2"/>
                <w:szCs w:val="21"/>
              </w:rPr>
              <w:t>签约合同价</w:t>
            </w:r>
          </w:p>
        </w:tc>
        <w:tc>
          <w:tcPr>
            <w:tcW w:w="530" w:type="dxa"/>
          </w:tcPr>
          <w:p w14:paraId="4DBD3B35">
            <w:pPr>
              <w:adjustRightInd w:val="0"/>
              <w:snapToGrid w:val="0"/>
              <w:spacing w:line="400" w:lineRule="exact"/>
              <w:rPr>
                <w:rFonts w:ascii="宋体" w:hAnsi="宋体"/>
                <w:szCs w:val="21"/>
              </w:rPr>
            </w:pPr>
          </w:p>
        </w:tc>
      </w:tr>
      <w:tr w14:paraId="7193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16FED2D5">
            <w:pPr>
              <w:pStyle w:val="256"/>
              <w:kinsoku w:val="0"/>
              <w:overflowPunct w:val="0"/>
              <w:adjustRightInd w:val="0"/>
              <w:snapToGrid w:val="0"/>
              <w:spacing w:line="400" w:lineRule="exact"/>
              <w:jc w:val="center"/>
              <w:rPr>
                <w:rFonts w:cs="Times New Roman"/>
                <w:szCs w:val="21"/>
              </w:rPr>
            </w:pPr>
            <w:r>
              <w:rPr>
                <w:rFonts w:cs="Times New Roman"/>
                <w:szCs w:val="21"/>
              </w:rPr>
              <w:t>8</w:t>
            </w:r>
          </w:p>
        </w:tc>
        <w:tc>
          <w:tcPr>
            <w:tcW w:w="1935" w:type="dxa"/>
            <w:vAlign w:val="center"/>
          </w:tcPr>
          <w:p w14:paraId="5EF1528F">
            <w:pPr>
              <w:adjustRightInd w:val="0"/>
              <w:snapToGrid w:val="0"/>
              <w:spacing w:line="400" w:lineRule="exact"/>
              <w:jc w:val="center"/>
              <w:rPr>
                <w:szCs w:val="21"/>
              </w:rPr>
            </w:pPr>
            <w:r>
              <w:rPr>
                <w:rFonts w:hint="eastAsia"/>
                <w:szCs w:val="21"/>
              </w:rPr>
              <w:t>提前交工的奖金</w:t>
            </w:r>
          </w:p>
        </w:tc>
        <w:tc>
          <w:tcPr>
            <w:tcW w:w="2685" w:type="dxa"/>
            <w:gridSpan w:val="2"/>
            <w:vAlign w:val="center"/>
          </w:tcPr>
          <w:p w14:paraId="5607BDE0">
            <w:pPr>
              <w:pStyle w:val="256"/>
              <w:kinsoku w:val="0"/>
              <w:overflowPunct w:val="0"/>
              <w:adjustRightInd w:val="0"/>
              <w:snapToGrid w:val="0"/>
              <w:spacing w:line="400" w:lineRule="exact"/>
              <w:ind w:left="2"/>
              <w:jc w:val="center"/>
              <w:rPr>
                <w:rFonts w:cs="Times New Roman"/>
                <w:szCs w:val="21"/>
              </w:rPr>
            </w:pPr>
            <w:r>
              <w:rPr>
                <w:rFonts w:cs="Times New Roman"/>
                <w:spacing w:val="-2"/>
                <w:szCs w:val="21"/>
              </w:rPr>
              <w:t>11.6</w:t>
            </w:r>
          </w:p>
        </w:tc>
        <w:tc>
          <w:tcPr>
            <w:tcW w:w="3120" w:type="dxa"/>
            <w:vAlign w:val="center"/>
          </w:tcPr>
          <w:p w14:paraId="777729FB">
            <w:pPr>
              <w:pStyle w:val="256"/>
              <w:tabs>
                <w:tab w:val="left" w:pos="524"/>
              </w:tabs>
              <w:kinsoku w:val="0"/>
              <w:overflowPunct w:val="0"/>
              <w:adjustRightInd w:val="0"/>
              <w:snapToGrid w:val="0"/>
              <w:spacing w:line="400" w:lineRule="exact"/>
              <w:rPr>
                <w:rFonts w:cs="Times New Roman"/>
                <w:szCs w:val="21"/>
              </w:rPr>
            </w:pPr>
            <w:r>
              <w:rPr>
                <w:rFonts w:cs="Times New Roman"/>
                <w:szCs w:val="21"/>
                <w:u w:val="single"/>
              </w:rPr>
              <w:tab/>
            </w:r>
            <w:r>
              <w:rPr>
                <w:rFonts w:hint="eastAsia"/>
                <w:spacing w:val="-2"/>
                <w:szCs w:val="21"/>
              </w:rPr>
              <w:t>元</w:t>
            </w:r>
            <w:r>
              <w:rPr>
                <w:rFonts w:cs="Times New Roman"/>
                <w:spacing w:val="-2"/>
                <w:szCs w:val="21"/>
              </w:rPr>
              <w:t>/</w:t>
            </w:r>
            <w:r>
              <w:rPr>
                <w:rFonts w:hint="eastAsia"/>
                <w:spacing w:val="-2"/>
                <w:szCs w:val="21"/>
              </w:rPr>
              <w:t>天</w:t>
            </w:r>
          </w:p>
        </w:tc>
        <w:tc>
          <w:tcPr>
            <w:tcW w:w="530" w:type="dxa"/>
          </w:tcPr>
          <w:p w14:paraId="16482601">
            <w:pPr>
              <w:adjustRightInd w:val="0"/>
              <w:snapToGrid w:val="0"/>
              <w:spacing w:line="400" w:lineRule="exact"/>
              <w:rPr>
                <w:rFonts w:ascii="宋体" w:hAnsi="宋体"/>
                <w:szCs w:val="21"/>
              </w:rPr>
            </w:pPr>
          </w:p>
        </w:tc>
      </w:tr>
      <w:tr w14:paraId="11B3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42" w:type="dxa"/>
            <w:vAlign w:val="center"/>
          </w:tcPr>
          <w:p w14:paraId="15A1A566">
            <w:pPr>
              <w:pStyle w:val="256"/>
              <w:kinsoku w:val="0"/>
              <w:overflowPunct w:val="0"/>
              <w:adjustRightInd w:val="0"/>
              <w:snapToGrid w:val="0"/>
              <w:spacing w:line="400" w:lineRule="exact"/>
              <w:jc w:val="center"/>
              <w:rPr>
                <w:rFonts w:cs="Times New Roman"/>
                <w:szCs w:val="21"/>
              </w:rPr>
            </w:pPr>
            <w:r>
              <w:rPr>
                <w:rFonts w:cs="Times New Roman"/>
                <w:szCs w:val="21"/>
              </w:rPr>
              <w:t>9</w:t>
            </w:r>
          </w:p>
        </w:tc>
        <w:tc>
          <w:tcPr>
            <w:tcW w:w="1935" w:type="dxa"/>
            <w:vAlign w:val="center"/>
          </w:tcPr>
          <w:p w14:paraId="79E42809">
            <w:pPr>
              <w:adjustRightInd w:val="0"/>
              <w:snapToGrid w:val="0"/>
              <w:spacing w:line="400" w:lineRule="exact"/>
              <w:jc w:val="center"/>
              <w:rPr>
                <w:szCs w:val="21"/>
              </w:rPr>
            </w:pPr>
            <w:r>
              <w:rPr>
                <w:rFonts w:hint="eastAsia"/>
                <w:szCs w:val="21"/>
              </w:rPr>
              <w:t>提前交工的奖金</w:t>
            </w:r>
          </w:p>
          <w:p w14:paraId="0F5DE70D">
            <w:pPr>
              <w:adjustRightInd w:val="0"/>
              <w:snapToGrid w:val="0"/>
              <w:spacing w:line="400" w:lineRule="exact"/>
              <w:jc w:val="center"/>
              <w:rPr>
                <w:szCs w:val="21"/>
              </w:rPr>
            </w:pPr>
            <w:r>
              <w:rPr>
                <w:rFonts w:hint="eastAsia"/>
                <w:szCs w:val="21"/>
              </w:rPr>
              <w:t>限额</w:t>
            </w:r>
          </w:p>
        </w:tc>
        <w:tc>
          <w:tcPr>
            <w:tcW w:w="2685" w:type="dxa"/>
            <w:gridSpan w:val="2"/>
            <w:vAlign w:val="center"/>
          </w:tcPr>
          <w:p w14:paraId="79B2F728">
            <w:pPr>
              <w:pStyle w:val="256"/>
              <w:kinsoku w:val="0"/>
              <w:overflowPunct w:val="0"/>
              <w:adjustRightInd w:val="0"/>
              <w:snapToGrid w:val="0"/>
              <w:spacing w:line="400" w:lineRule="exact"/>
              <w:ind w:left="2"/>
              <w:jc w:val="center"/>
              <w:rPr>
                <w:rFonts w:cs="Times New Roman"/>
                <w:szCs w:val="21"/>
              </w:rPr>
            </w:pPr>
            <w:r>
              <w:rPr>
                <w:rFonts w:cs="Times New Roman"/>
                <w:spacing w:val="-2"/>
                <w:szCs w:val="21"/>
              </w:rPr>
              <w:t>11.6</w:t>
            </w:r>
          </w:p>
        </w:tc>
        <w:tc>
          <w:tcPr>
            <w:tcW w:w="3120" w:type="dxa"/>
            <w:vAlign w:val="center"/>
          </w:tcPr>
          <w:p w14:paraId="378B108E">
            <w:pPr>
              <w:pStyle w:val="256"/>
              <w:tabs>
                <w:tab w:val="left" w:pos="524"/>
              </w:tabs>
              <w:kinsoku w:val="0"/>
              <w:overflowPunct w:val="0"/>
              <w:adjustRightInd w:val="0"/>
              <w:snapToGrid w:val="0"/>
              <w:spacing w:line="400" w:lineRule="exact"/>
              <w:rPr>
                <w:rFonts w:cs="Times New Roman"/>
                <w:szCs w:val="21"/>
              </w:rPr>
            </w:pPr>
            <w:r>
              <w:rPr>
                <w:rFonts w:cs="Times New Roman"/>
                <w:szCs w:val="21"/>
                <w:u w:val="single"/>
              </w:rPr>
              <w:tab/>
            </w:r>
            <w:r>
              <w:rPr>
                <w:rFonts w:cs="Times New Roman"/>
                <w:spacing w:val="-2"/>
                <w:szCs w:val="21"/>
              </w:rPr>
              <w:t>%</w:t>
            </w:r>
            <w:r>
              <w:rPr>
                <w:rFonts w:hint="eastAsia"/>
                <w:spacing w:val="-2"/>
                <w:szCs w:val="21"/>
              </w:rPr>
              <w:t>签约合同价</w:t>
            </w:r>
          </w:p>
        </w:tc>
        <w:tc>
          <w:tcPr>
            <w:tcW w:w="530" w:type="dxa"/>
          </w:tcPr>
          <w:p w14:paraId="6C6B4282">
            <w:pPr>
              <w:adjustRightInd w:val="0"/>
              <w:snapToGrid w:val="0"/>
              <w:spacing w:line="400" w:lineRule="exact"/>
              <w:rPr>
                <w:rFonts w:ascii="宋体" w:hAnsi="宋体"/>
                <w:szCs w:val="21"/>
              </w:rPr>
            </w:pPr>
          </w:p>
        </w:tc>
      </w:tr>
      <w:tr w14:paraId="1CDF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Merge w:val="restart"/>
            <w:vAlign w:val="center"/>
          </w:tcPr>
          <w:p w14:paraId="7AE22960">
            <w:pPr>
              <w:pStyle w:val="256"/>
              <w:kinsoku w:val="0"/>
              <w:overflowPunct w:val="0"/>
              <w:adjustRightInd w:val="0"/>
              <w:snapToGrid w:val="0"/>
              <w:spacing w:line="400" w:lineRule="exact"/>
              <w:jc w:val="center"/>
              <w:rPr>
                <w:rFonts w:cs="Times New Roman"/>
                <w:spacing w:val="-4"/>
                <w:szCs w:val="21"/>
              </w:rPr>
            </w:pPr>
            <w:r>
              <w:rPr>
                <w:b w:val="0"/>
                <w:bCs w:val="0"/>
                <w:szCs w:val="21"/>
              </w:rPr>
              <w:t>10</w:t>
            </w:r>
          </w:p>
        </w:tc>
        <w:tc>
          <w:tcPr>
            <w:tcW w:w="1935" w:type="dxa"/>
            <w:vMerge w:val="restart"/>
            <w:vAlign w:val="center"/>
          </w:tcPr>
          <w:p w14:paraId="17481694">
            <w:pPr>
              <w:adjustRightInd w:val="0"/>
              <w:snapToGrid w:val="0"/>
              <w:spacing w:line="400" w:lineRule="exact"/>
              <w:jc w:val="center"/>
              <w:rPr>
                <w:szCs w:val="21"/>
              </w:rPr>
            </w:pPr>
            <w:r>
              <w:rPr>
                <w:rFonts w:hint="eastAsia"/>
                <w:szCs w:val="21"/>
              </w:rPr>
              <w:t>价格调整的差额</w:t>
            </w:r>
          </w:p>
          <w:p w14:paraId="69C3C254">
            <w:pPr>
              <w:adjustRightInd w:val="0"/>
              <w:snapToGrid w:val="0"/>
              <w:spacing w:line="400" w:lineRule="exact"/>
              <w:jc w:val="center"/>
              <w:rPr>
                <w:szCs w:val="21"/>
              </w:rPr>
            </w:pPr>
            <w:r>
              <w:rPr>
                <w:rFonts w:hint="eastAsia"/>
                <w:szCs w:val="21"/>
              </w:rPr>
              <w:t>计算</w:t>
            </w:r>
          </w:p>
        </w:tc>
        <w:tc>
          <w:tcPr>
            <w:tcW w:w="1395" w:type="dxa"/>
            <w:vMerge w:val="restart"/>
            <w:vAlign w:val="center"/>
          </w:tcPr>
          <w:p w14:paraId="6CCF5B9E">
            <w:pPr>
              <w:pStyle w:val="256"/>
              <w:kinsoku w:val="0"/>
              <w:overflowPunct w:val="0"/>
              <w:adjustRightInd w:val="0"/>
              <w:snapToGrid w:val="0"/>
              <w:spacing w:line="400" w:lineRule="exact"/>
              <w:ind w:left="0"/>
              <w:jc w:val="both"/>
              <w:rPr>
                <w:rFonts w:cs="Times New Roman"/>
                <w:spacing w:val="-1"/>
                <w:szCs w:val="21"/>
              </w:rPr>
            </w:pPr>
            <w:r>
              <w:rPr>
                <w:rFonts w:hint="eastAsia"/>
                <w:b/>
                <w:bCs/>
                <w:szCs w:val="21"/>
              </w:rPr>
              <w:t xml:space="preserve">□ </w:t>
            </w:r>
            <w:r>
              <w:rPr>
                <w:rFonts w:hint="eastAsia"/>
                <w:szCs w:val="21"/>
              </w:rPr>
              <w:t>1</w:t>
            </w:r>
            <w:r>
              <w:rPr>
                <w:szCs w:val="21"/>
              </w:rPr>
              <w:t>6.1</w:t>
            </w:r>
            <w:r>
              <w:rPr>
                <w:rFonts w:hint="eastAsia"/>
                <w:szCs w:val="21"/>
              </w:rPr>
              <w:t>（A）</w:t>
            </w:r>
          </w:p>
        </w:tc>
        <w:tc>
          <w:tcPr>
            <w:tcW w:w="1290" w:type="dxa"/>
            <w:vAlign w:val="center"/>
          </w:tcPr>
          <w:p w14:paraId="278EAC46">
            <w:pPr>
              <w:pStyle w:val="256"/>
              <w:kinsoku w:val="0"/>
              <w:overflowPunct w:val="0"/>
              <w:adjustRightInd w:val="0"/>
              <w:snapToGrid w:val="0"/>
              <w:spacing w:line="400" w:lineRule="exact"/>
              <w:ind w:left="102"/>
              <w:jc w:val="center"/>
              <w:rPr>
                <w:rFonts w:cs="Times New Roman"/>
                <w:spacing w:val="-1"/>
                <w:szCs w:val="21"/>
              </w:rPr>
            </w:pPr>
            <w:r>
              <w:rPr>
                <w:rFonts w:hint="eastAsia"/>
                <w:b/>
                <w:bCs/>
                <w:szCs w:val="21"/>
              </w:rPr>
              <w:t>□</w:t>
            </w:r>
            <w:r>
              <w:rPr>
                <w:rFonts w:hint="eastAsia"/>
                <w:szCs w:val="21"/>
              </w:rPr>
              <w:t xml:space="preserve"> </w:t>
            </w:r>
            <w:r>
              <w:rPr>
                <w:rFonts w:cs="Times New Roman"/>
                <w:szCs w:val="21"/>
              </w:rPr>
              <w:t>16.1.1</w:t>
            </w:r>
          </w:p>
        </w:tc>
        <w:tc>
          <w:tcPr>
            <w:tcW w:w="3120" w:type="dxa"/>
            <w:vAlign w:val="center"/>
          </w:tcPr>
          <w:p w14:paraId="7A47C16D">
            <w:pPr>
              <w:pStyle w:val="256"/>
              <w:tabs>
                <w:tab w:val="left" w:pos="419"/>
              </w:tabs>
              <w:kinsoku w:val="0"/>
              <w:overflowPunct w:val="0"/>
              <w:adjustRightInd w:val="0"/>
              <w:snapToGrid w:val="0"/>
              <w:spacing w:line="400" w:lineRule="exact"/>
              <w:rPr>
                <w:rFonts w:cs="Times New Roman"/>
                <w:szCs w:val="21"/>
                <w:u w:val="single"/>
              </w:rPr>
            </w:pPr>
            <w:r>
              <w:rPr>
                <w:rFonts w:hint="eastAsia" w:cs="Times New Roman"/>
                <w:szCs w:val="21"/>
                <w:u w:val="single"/>
              </w:rPr>
              <w:t>采用价格指数调整价格差额</w:t>
            </w:r>
            <w:r>
              <w:rPr>
                <w:rFonts w:cs="Times New Roman"/>
                <w:szCs w:val="21"/>
                <w:u w:val="single"/>
              </w:rPr>
              <w:t xml:space="preserve"> </w:t>
            </w:r>
          </w:p>
        </w:tc>
        <w:tc>
          <w:tcPr>
            <w:tcW w:w="530" w:type="dxa"/>
          </w:tcPr>
          <w:p w14:paraId="3B541D3A">
            <w:pPr>
              <w:adjustRightInd w:val="0"/>
              <w:snapToGrid w:val="0"/>
              <w:spacing w:line="400" w:lineRule="exact"/>
              <w:rPr>
                <w:rFonts w:ascii="宋体" w:hAnsi="宋体"/>
                <w:szCs w:val="21"/>
              </w:rPr>
            </w:pPr>
          </w:p>
        </w:tc>
      </w:tr>
      <w:tr w14:paraId="63FE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Merge w:val="continue"/>
            <w:vAlign w:val="center"/>
          </w:tcPr>
          <w:p w14:paraId="45EF1681">
            <w:pPr>
              <w:pStyle w:val="256"/>
              <w:kinsoku w:val="0"/>
              <w:overflowPunct w:val="0"/>
              <w:adjustRightInd w:val="0"/>
              <w:snapToGrid w:val="0"/>
              <w:spacing w:line="400" w:lineRule="exact"/>
              <w:jc w:val="center"/>
              <w:rPr>
                <w:rFonts w:cs="Times New Roman"/>
                <w:spacing w:val="-4"/>
                <w:szCs w:val="21"/>
              </w:rPr>
            </w:pPr>
          </w:p>
        </w:tc>
        <w:tc>
          <w:tcPr>
            <w:tcW w:w="1935" w:type="dxa"/>
            <w:vMerge w:val="continue"/>
            <w:vAlign w:val="center"/>
          </w:tcPr>
          <w:p w14:paraId="7EF86503">
            <w:pPr>
              <w:adjustRightInd w:val="0"/>
              <w:snapToGrid w:val="0"/>
              <w:spacing w:line="400" w:lineRule="exact"/>
              <w:jc w:val="center"/>
              <w:rPr>
                <w:szCs w:val="21"/>
              </w:rPr>
            </w:pPr>
          </w:p>
        </w:tc>
        <w:tc>
          <w:tcPr>
            <w:tcW w:w="1395" w:type="dxa"/>
            <w:vMerge w:val="continue"/>
            <w:vAlign w:val="center"/>
          </w:tcPr>
          <w:p w14:paraId="77E3F225">
            <w:pPr>
              <w:pStyle w:val="256"/>
              <w:kinsoku w:val="0"/>
              <w:overflowPunct w:val="0"/>
              <w:adjustRightInd w:val="0"/>
              <w:snapToGrid w:val="0"/>
              <w:spacing w:line="400" w:lineRule="exact"/>
              <w:ind w:left="102"/>
              <w:jc w:val="center"/>
              <w:rPr>
                <w:rFonts w:cs="Times New Roman"/>
                <w:spacing w:val="-1"/>
                <w:szCs w:val="21"/>
              </w:rPr>
            </w:pPr>
          </w:p>
        </w:tc>
        <w:tc>
          <w:tcPr>
            <w:tcW w:w="1290" w:type="dxa"/>
            <w:vAlign w:val="center"/>
          </w:tcPr>
          <w:p w14:paraId="085D4207">
            <w:pPr>
              <w:pStyle w:val="256"/>
              <w:kinsoku w:val="0"/>
              <w:overflowPunct w:val="0"/>
              <w:adjustRightInd w:val="0"/>
              <w:snapToGrid w:val="0"/>
              <w:spacing w:line="400" w:lineRule="exact"/>
              <w:ind w:left="102"/>
              <w:jc w:val="center"/>
              <w:rPr>
                <w:rFonts w:cs="Times New Roman"/>
                <w:spacing w:val="-1"/>
                <w:szCs w:val="21"/>
              </w:rPr>
            </w:pPr>
            <w:r>
              <w:rPr>
                <w:rFonts w:hint="eastAsia"/>
                <w:b/>
                <w:bCs/>
                <w:szCs w:val="21"/>
              </w:rPr>
              <w:t>□</w:t>
            </w:r>
            <w:r>
              <w:rPr>
                <w:rFonts w:hint="eastAsia" w:cs="Times New Roman"/>
                <w:szCs w:val="21"/>
              </w:rPr>
              <w:t xml:space="preserve"> 1</w:t>
            </w:r>
            <w:r>
              <w:rPr>
                <w:rFonts w:cs="Times New Roman"/>
                <w:szCs w:val="21"/>
              </w:rPr>
              <w:t>6.1.2</w:t>
            </w:r>
          </w:p>
        </w:tc>
        <w:tc>
          <w:tcPr>
            <w:tcW w:w="3120" w:type="dxa"/>
            <w:vAlign w:val="center"/>
          </w:tcPr>
          <w:p w14:paraId="4D2FAC68">
            <w:pPr>
              <w:pStyle w:val="256"/>
              <w:tabs>
                <w:tab w:val="left" w:pos="419"/>
              </w:tabs>
              <w:kinsoku w:val="0"/>
              <w:overflowPunct w:val="0"/>
              <w:adjustRightInd w:val="0"/>
              <w:snapToGrid w:val="0"/>
              <w:spacing w:line="400" w:lineRule="exact"/>
              <w:rPr>
                <w:rFonts w:cs="Times New Roman"/>
                <w:szCs w:val="21"/>
                <w:u w:val="single"/>
              </w:rPr>
            </w:pPr>
            <w:r>
              <w:rPr>
                <w:rFonts w:hint="eastAsia" w:cs="Times New Roman"/>
                <w:szCs w:val="21"/>
                <w:u w:val="single"/>
              </w:rPr>
              <w:t>采用造价信息调整价格差额</w:t>
            </w:r>
          </w:p>
        </w:tc>
        <w:tc>
          <w:tcPr>
            <w:tcW w:w="530" w:type="dxa"/>
          </w:tcPr>
          <w:p w14:paraId="1B494517">
            <w:pPr>
              <w:adjustRightInd w:val="0"/>
              <w:snapToGrid w:val="0"/>
              <w:spacing w:line="400" w:lineRule="exact"/>
              <w:rPr>
                <w:rFonts w:ascii="宋体" w:hAnsi="宋体"/>
                <w:szCs w:val="21"/>
              </w:rPr>
            </w:pPr>
          </w:p>
        </w:tc>
      </w:tr>
      <w:tr w14:paraId="2656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Merge w:val="continue"/>
            <w:vAlign w:val="center"/>
          </w:tcPr>
          <w:p w14:paraId="38F00482">
            <w:pPr>
              <w:pStyle w:val="256"/>
              <w:kinsoku w:val="0"/>
              <w:overflowPunct w:val="0"/>
              <w:adjustRightInd w:val="0"/>
              <w:snapToGrid w:val="0"/>
              <w:spacing w:line="400" w:lineRule="exact"/>
              <w:jc w:val="center"/>
              <w:rPr>
                <w:rFonts w:cs="Times New Roman"/>
                <w:spacing w:val="-4"/>
                <w:szCs w:val="21"/>
              </w:rPr>
            </w:pPr>
          </w:p>
        </w:tc>
        <w:tc>
          <w:tcPr>
            <w:tcW w:w="1935" w:type="dxa"/>
            <w:vMerge w:val="continue"/>
            <w:vAlign w:val="center"/>
          </w:tcPr>
          <w:p w14:paraId="708E8FD1">
            <w:pPr>
              <w:adjustRightInd w:val="0"/>
              <w:snapToGrid w:val="0"/>
              <w:spacing w:line="400" w:lineRule="exact"/>
              <w:jc w:val="center"/>
              <w:rPr>
                <w:szCs w:val="21"/>
              </w:rPr>
            </w:pPr>
          </w:p>
        </w:tc>
        <w:tc>
          <w:tcPr>
            <w:tcW w:w="2685" w:type="dxa"/>
            <w:gridSpan w:val="2"/>
            <w:vAlign w:val="center"/>
          </w:tcPr>
          <w:p w14:paraId="22172DE2">
            <w:pPr>
              <w:pStyle w:val="256"/>
              <w:kinsoku w:val="0"/>
              <w:overflowPunct w:val="0"/>
              <w:adjustRightInd w:val="0"/>
              <w:snapToGrid w:val="0"/>
              <w:spacing w:line="400" w:lineRule="exact"/>
              <w:ind w:left="102"/>
              <w:jc w:val="center"/>
              <w:rPr>
                <w:rFonts w:cs="Times New Roman"/>
                <w:spacing w:val="-1"/>
                <w:szCs w:val="21"/>
              </w:rPr>
            </w:pPr>
            <w:r>
              <w:rPr>
                <w:rFonts w:hint="eastAsia"/>
                <w:b/>
                <w:bCs/>
                <w:szCs w:val="21"/>
              </w:rPr>
              <w:t xml:space="preserve">□ </w:t>
            </w:r>
            <w:r>
              <w:rPr>
                <w:rFonts w:hint="eastAsia"/>
                <w:szCs w:val="21"/>
              </w:rPr>
              <w:t>1</w:t>
            </w:r>
            <w:r>
              <w:rPr>
                <w:szCs w:val="21"/>
              </w:rPr>
              <w:t>6.1</w:t>
            </w:r>
            <w:r>
              <w:rPr>
                <w:rFonts w:hint="eastAsia"/>
                <w:szCs w:val="21"/>
              </w:rPr>
              <w:t>（B）</w:t>
            </w:r>
          </w:p>
        </w:tc>
        <w:tc>
          <w:tcPr>
            <w:tcW w:w="3120" w:type="dxa"/>
            <w:vAlign w:val="center"/>
          </w:tcPr>
          <w:p w14:paraId="6ECE1B52">
            <w:pPr>
              <w:pStyle w:val="256"/>
              <w:tabs>
                <w:tab w:val="left" w:pos="419"/>
              </w:tabs>
              <w:kinsoku w:val="0"/>
              <w:overflowPunct w:val="0"/>
              <w:adjustRightInd w:val="0"/>
              <w:snapToGrid w:val="0"/>
              <w:spacing w:line="400" w:lineRule="exact"/>
              <w:rPr>
                <w:rFonts w:cs="Times New Roman"/>
                <w:szCs w:val="21"/>
                <w:u w:val="single"/>
              </w:rPr>
            </w:pPr>
            <w:r>
              <w:rPr>
                <w:rFonts w:hint="eastAsia" w:cs="Times New Roman"/>
                <w:szCs w:val="21"/>
                <w:u w:val="single"/>
              </w:rPr>
              <w:t>合同执行期间不调整</w:t>
            </w:r>
          </w:p>
        </w:tc>
        <w:tc>
          <w:tcPr>
            <w:tcW w:w="530" w:type="dxa"/>
          </w:tcPr>
          <w:p w14:paraId="7E274E37">
            <w:pPr>
              <w:adjustRightInd w:val="0"/>
              <w:snapToGrid w:val="0"/>
              <w:spacing w:line="400" w:lineRule="exact"/>
              <w:rPr>
                <w:rFonts w:ascii="宋体" w:hAnsi="宋体"/>
                <w:szCs w:val="21"/>
              </w:rPr>
            </w:pPr>
          </w:p>
        </w:tc>
      </w:tr>
      <w:tr w14:paraId="1B7D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0567C7F3">
            <w:pPr>
              <w:pStyle w:val="256"/>
              <w:kinsoku w:val="0"/>
              <w:overflowPunct w:val="0"/>
              <w:adjustRightInd w:val="0"/>
              <w:snapToGrid w:val="0"/>
              <w:spacing w:line="400" w:lineRule="exact"/>
              <w:jc w:val="center"/>
              <w:rPr>
                <w:rFonts w:cs="Times New Roman"/>
                <w:szCs w:val="21"/>
              </w:rPr>
            </w:pPr>
            <w:r>
              <w:rPr>
                <w:rFonts w:cs="Times New Roman"/>
                <w:spacing w:val="-4"/>
                <w:szCs w:val="21"/>
              </w:rPr>
              <w:t>11</w:t>
            </w:r>
          </w:p>
        </w:tc>
        <w:tc>
          <w:tcPr>
            <w:tcW w:w="1935" w:type="dxa"/>
            <w:vAlign w:val="center"/>
          </w:tcPr>
          <w:p w14:paraId="6D8024CA">
            <w:pPr>
              <w:adjustRightInd w:val="0"/>
              <w:snapToGrid w:val="0"/>
              <w:spacing w:line="400" w:lineRule="exact"/>
              <w:jc w:val="center"/>
              <w:rPr>
                <w:szCs w:val="21"/>
              </w:rPr>
            </w:pPr>
            <w:r>
              <w:rPr>
                <w:rFonts w:hint="eastAsia"/>
                <w:szCs w:val="21"/>
              </w:rPr>
              <w:t>开工预付款金额</w:t>
            </w:r>
          </w:p>
        </w:tc>
        <w:tc>
          <w:tcPr>
            <w:tcW w:w="2685" w:type="dxa"/>
            <w:gridSpan w:val="2"/>
            <w:vAlign w:val="center"/>
          </w:tcPr>
          <w:p w14:paraId="06E72CEA">
            <w:pPr>
              <w:pStyle w:val="256"/>
              <w:kinsoku w:val="0"/>
              <w:overflowPunct w:val="0"/>
              <w:adjustRightInd w:val="0"/>
              <w:snapToGrid w:val="0"/>
              <w:spacing w:line="400" w:lineRule="exact"/>
              <w:ind w:left="102"/>
              <w:jc w:val="center"/>
              <w:rPr>
                <w:rFonts w:cs="Times New Roman"/>
                <w:szCs w:val="21"/>
              </w:rPr>
            </w:pPr>
            <w:r>
              <w:rPr>
                <w:rFonts w:cs="Times New Roman"/>
                <w:spacing w:val="-1"/>
                <w:szCs w:val="21"/>
              </w:rPr>
              <w:t>17.2.1</w:t>
            </w:r>
            <w:r>
              <w:rPr>
                <w:rFonts w:hint="eastAsia"/>
                <w:spacing w:val="-1"/>
                <w:szCs w:val="21"/>
              </w:rPr>
              <w:t>（</w:t>
            </w:r>
            <w:r>
              <w:rPr>
                <w:rFonts w:cs="Times New Roman"/>
                <w:spacing w:val="-1"/>
                <w:szCs w:val="21"/>
              </w:rPr>
              <w:t>1</w:t>
            </w:r>
            <w:r>
              <w:rPr>
                <w:rFonts w:hint="eastAsia"/>
                <w:spacing w:val="-1"/>
                <w:szCs w:val="21"/>
              </w:rPr>
              <w:t>）</w:t>
            </w:r>
          </w:p>
        </w:tc>
        <w:tc>
          <w:tcPr>
            <w:tcW w:w="3120" w:type="dxa"/>
            <w:vAlign w:val="center"/>
          </w:tcPr>
          <w:p w14:paraId="6C8CAC54">
            <w:pPr>
              <w:pStyle w:val="256"/>
              <w:tabs>
                <w:tab w:val="left" w:pos="419"/>
              </w:tabs>
              <w:kinsoku w:val="0"/>
              <w:overflowPunct w:val="0"/>
              <w:adjustRightInd w:val="0"/>
              <w:snapToGrid w:val="0"/>
              <w:spacing w:line="400" w:lineRule="exact"/>
              <w:rPr>
                <w:rFonts w:cs="Times New Roman"/>
                <w:szCs w:val="21"/>
              </w:rPr>
            </w:pPr>
            <w:r>
              <w:rPr>
                <w:rFonts w:cs="Times New Roman"/>
                <w:szCs w:val="21"/>
                <w:u w:val="single"/>
              </w:rPr>
              <w:tab/>
            </w:r>
            <w:r>
              <w:rPr>
                <w:rFonts w:cs="Times New Roman"/>
                <w:spacing w:val="-2"/>
                <w:szCs w:val="21"/>
              </w:rPr>
              <w:t>%</w:t>
            </w:r>
            <w:r>
              <w:rPr>
                <w:rFonts w:hint="eastAsia"/>
                <w:spacing w:val="-2"/>
                <w:szCs w:val="21"/>
              </w:rPr>
              <w:t>签约合同价</w:t>
            </w:r>
          </w:p>
        </w:tc>
        <w:tc>
          <w:tcPr>
            <w:tcW w:w="530" w:type="dxa"/>
          </w:tcPr>
          <w:p w14:paraId="39345F65">
            <w:pPr>
              <w:adjustRightInd w:val="0"/>
              <w:snapToGrid w:val="0"/>
              <w:spacing w:line="400" w:lineRule="exact"/>
              <w:rPr>
                <w:rFonts w:ascii="宋体" w:hAnsi="宋体"/>
                <w:szCs w:val="21"/>
              </w:rPr>
            </w:pPr>
          </w:p>
        </w:tc>
      </w:tr>
      <w:tr w14:paraId="4B27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42" w:type="dxa"/>
            <w:vAlign w:val="center"/>
          </w:tcPr>
          <w:p w14:paraId="5D04772B">
            <w:pPr>
              <w:pStyle w:val="256"/>
              <w:kinsoku w:val="0"/>
              <w:overflowPunct w:val="0"/>
              <w:adjustRightInd w:val="0"/>
              <w:snapToGrid w:val="0"/>
              <w:spacing w:line="400" w:lineRule="exact"/>
              <w:jc w:val="center"/>
              <w:rPr>
                <w:rFonts w:cs="Times New Roman"/>
                <w:szCs w:val="21"/>
              </w:rPr>
            </w:pPr>
            <w:r>
              <w:rPr>
                <w:rFonts w:cs="Times New Roman"/>
                <w:szCs w:val="21"/>
              </w:rPr>
              <w:t>12</w:t>
            </w:r>
          </w:p>
        </w:tc>
        <w:tc>
          <w:tcPr>
            <w:tcW w:w="1935" w:type="dxa"/>
            <w:vAlign w:val="center"/>
          </w:tcPr>
          <w:p w14:paraId="4333446C">
            <w:pPr>
              <w:adjustRightInd w:val="0"/>
              <w:snapToGrid w:val="0"/>
              <w:spacing w:line="400" w:lineRule="exact"/>
              <w:jc w:val="center"/>
              <w:rPr>
                <w:szCs w:val="21"/>
              </w:rPr>
            </w:pPr>
            <w:r>
              <w:rPr>
                <w:rFonts w:hint="eastAsia"/>
                <w:szCs w:val="21"/>
              </w:rPr>
              <w:t>材料、设备预付款比例</w:t>
            </w:r>
          </w:p>
        </w:tc>
        <w:tc>
          <w:tcPr>
            <w:tcW w:w="2685" w:type="dxa"/>
            <w:gridSpan w:val="2"/>
            <w:vAlign w:val="center"/>
          </w:tcPr>
          <w:p w14:paraId="234B4F55">
            <w:pPr>
              <w:pStyle w:val="256"/>
              <w:kinsoku w:val="0"/>
              <w:overflowPunct w:val="0"/>
              <w:adjustRightInd w:val="0"/>
              <w:snapToGrid w:val="0"/>
              <w:spacing w:line="400" w:lineRule="exact"/>
              <w:ind w:left="102"/>
              <w:jc w:val="center"/>
              <w:rPr>
                <w:rFonts w:cs="Times New Roman"/>
                <w:szCs w:val="21"/>
              </w:rPr>
            </w:pPr>
            <w:r>
              <w:rPr>
                <w:rFonts w:cs="Times New Roman"/>
                <w:spacing w:val="-1"/>
                <w:szCs w:val="21"/>
              </w:rPr>
              <w:t>17.2.1</w:t>
            </w:r>
            <w:r>
              <w:rPr>
                <w:rFonts w:hint="eastAsia"/>
                <w:spacing w:val="-1"/>
                <w:szCs w:val="21"/>
              </w:rPr>
              <w:t>（</w:t>
            </w:r>
            <w:r>
              <w:rPr>
                <w:rFonts w:cs="Times New Roman"/>
                <w:spacing w:val="-1"/>
                <w:szCs w:val="21"/>
              </w:rPr>
              <w:t>2</w:t>
            </w:r>
            <w:r>
              <w:rPr>
                <w:rFonts w:hint="eastAsia"/>
                <w:spacing w:val="-1"/>
                <w:szCs w:val="21"/>
              </w:rPr>
              <w:t>）</w:t>
            </w:r>
          </w:p>
        </w:tc>
        <w:tc>
          <w:tcPr>
            <w:tcW w:w="3120" w:type="dxa"/>
            <w:vAlign w:val="center"/>
          </w:tcPr>
          <w:p w14:paraId="230CD5B0">
            <w:pPr>
              <w:pStyle w:val="256"/>
              <w:tabs>
                <w:tab w:val="left" w:pos="735"/>
                <w:tab w:val="left" w:pos="840"/>
              </w:tabs>
              <w:kinsoku w:val="0"/>
              <w:overflowPunct w:val="0"/>
              <w:adjustRightInd w:val="0"/>
              <w:snapToGrid w:val="0"/>
              <w:spacing w:line="400" w:lineRule="exact"/>
              <w:ind w:right="103"/>
              <w:jc w:val="left"/>
              <w:rPr>
                <w:rFonts w:cs="Times New Roman"/>
                <w:szCs w:val="21"/>
              </w:rPr>
            </w:pPr>
            <w:r>
              <w:rPr>
                <w:rFonts w:cs="Times New Roman"/>
                <w:szCs w:val="21"/>
                <w:u w:val="single"/>
              </w:rPr>
              <w:tab/>
            </w:r>
            <w:r>
              <w:rPr>
                <w:rFonts w:hint="eastAsia"/>
                <w:spacing w:val="1"/>
                <w:szCs w:val="21"/>
              </w:rPr>
              <w:t>等主要材料、设备单据所列费用</w:t>
            </w:r>
            <w:r>
              <w:rPr>
                <w:rFonts w:hint="eastAsia"/>
                <w:szCs w:val="21"/>
              </w:rPr>
              <w:t>的</w:t>
            </w:r>
            <w:r>
              <w:rPr>
                <w:rFonts w:cs="Times New Roman"/>
                <w:szCs w:val="21"/>
                <w:u w:val="single"/>
              </w:rPr>
              <w:tab/>
            </w:r>
            <w:r>
              <w:rPr>
                <w:rFonts w:hint="eastAsia" w:cs="Times New Roman"/>
                <w:szCs w:val="21"/>
                <w:u w:val="single"/>
                <w:lang w:val="en-US" w:eastAsia="zh-CN"/>
              </w:rPr>
              <w:t xml:space="preserve">  </w:t>
            </w:r>
            <w:r>
              <w:rPr>
                <w:rFonts w:cs="Times New Roman"/>
                <w:szCs w:val="21"/>
              </w:rPr>
              <w:t>%</w:t>
            </w:r>
          </w:p>
        </w:tc>
        <w:tc>
          <w:tcPr>
            <w:tcW w:w="530" w:type="dxa"/>
          </w:tcPr>
          <w:p w14:paraId="3D538D5E">
            <w:pPr>
              <w:adjustRightInd w:val="0"/>
              <w:snapToGrid w:val="0"/>
              <w:spacing w:line="400" w:lineRule="exact"/>
              <w:rPr>
                <w:rFonts w:ascii="宋体" w:hAnsi="宋体"/>
                <w:szCs w:val="21"/>
              </w:rPr>
            </w:pPr>
          </w:p>
        </w:tc>
      </w:tr>
      <w:tr w14:paraId="70F7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7418B949">
            <w:pPr>
              <w:pStyle w:val="256"/>
              <w:kinsoku w:val="0"/>
              <w:overflowPunct w:val="0"/>
              <w:adjustRightInd w:val="0"/>
              <w:snapToGrid w:val="0"/>
              <w:spacing w:line="400" w:lineRule="exact"/>
              <w:jc w:val="center"/>
              <w:rPr>
                <w:rFonts w:cs="Times New Roman"/>
                <w:szCs w:val="21"/>
              </w:rPr>
            </w:pPr>
            <w:r>
              <w:rPr>
                <w:rFonts w:cs="Times New Roman"/>
                <w:szCs w:val="21"/>
              </w:rPr>
              <w:t>13</w:t>
            </w:r>
          </w:p>
        </w:tc>
        <w:tc>
          <w:tcPr>
            <w:tcW w:w="1935" w:type="dxa"/>
            <w:vAlign w:val="center"/>
          </w:tcPr>
          <w:p w14:paraId="5120B069">
            <w:pPr>
              <w:adjustRightInd w:val="0"/>
              <w:snapToGrid w:val="0"/>
              <w:spacing w:line="400" w:lineRule="exact"/>
              <w:jc w:val="center"/>
              <w:rPr>
                <w:szCs w:val="21"/>
              </w:rPr>
            </w:pPr>
            <w:r>
              <w:rPr>
                <w:rFonts w:hint="eastAsia"/>
                <w:szCs w:val="21"/>
              </w:rPr>
              <w:t>进度付款证书</w:t>
            </w:r>
          </w:p>
          <w:p w14:paraId="5C2CFA29">
            <w:pPr>
              <w:adjustRightInd w:val="0"/>
              <w:snapToGrid w:val="0"/>
              <w:spacing w:line="400" w:lineRule="exact"/>
              <w:jc w:val="center"/>
              <w:rPr>
                <w:szCs w:val="21"/>
              </w:rPr>
            </w:pPr>
            <w:r>
              <w:rPr>
                <w:rFonts w:hint="eastAsia"/>
                <w:szCs w:val="21"/>
              </w:rPr>
              <w:t>最低限额</w:t>
            </w:r>
          </w:p>
        </w:tc>
        <w:tc>
          <w:tcPr>
            <w:tcW w:w="2685" w:type="dxa"/>
            <w:gridSpan w:val="2"/>
            <w:vAlign w:val="center"/>
          </w:tcPr>
          <w:p w14:paraId="6DA21041">
            <w:pPr>
              <w:pStyle w:val="256"/>
              <w:kinsoku w:val="0"/>
              <w:overflowPunct w:val="0"/>
              <w:adjustRightInd w:val="0"/>
              <w:snapToGrid w:val="0"/>
              <w:spacing w:line="400" w:lineRule="exact"/>
              <w:ind w:left="102"/>
              <w:jc w:val="center"/>
              <w:rPr>
                <w:rFonts w:cs="Times New Roman"/>
                <w:szCs w:val="21"/>
              </w:rPr>
            </w:pPr>
            <w:r>
              <w:rPr>
                <w:rFonts w:cs="Times New Roman"/>
                <w:spacing w:val="-1"/>
                <w:szCs w:val="21"/>
              </w:rPr>
              <w:t>17.3.</w:t>
            </w:r>
            <w:r>
              <w:rPr>
                <w:rFonts w:hint="eastAsia" w:cs="Times New Roman"/>
                <w:spacing w:val="-1"/>
                <w:szCs w:val="21"/>
              </w:rPr>
              <w:t>4</w:t>
            </w:r>
            <w:r>
              <w:rPr>
                <w:rFonts w:hint="eastAsia"/>
                <w:spacing w:val="-1"/>
                <w:szCs w:val="21"/>
              </w:rPr>
              <w:t>（</w:t>
            </w:r>
            <w:r>
              <w:rPr>
                <w:rFonts w:cs="Times New Roman"/>
                <w:spacing w:val="-1"/>
                <w:szCs w:val="21"/>
              </w:rPr>
              <w:t>1</w:t>
            </w:r>
            <w:r>
              <w:rPr>
                <w:rFonts w:hint="eastAsia"/>
                <w:spacing w:val="-1"/>
                <w:szCs w:val="21"/>
              </w:rPr>
              <w:t>）</w:t>
            </w:r>
          </w:p>
        </w:tc>
        <w:tc>
          <w:tcPr>
            <w:tcW w:w="3120" w:type="dxa"/>
            <w:vAlign w:val="center"/>
          </w:tcPr>
          <w:p w14:paraId="7FF60B4B">
            <w:pPr>
              <w:pStyle w:val="256"/>
              <w:tabs>
                <w:tab w:val="left" w:pos="524"/>
                <w:tab w:val="left" w:pos="2483"/>
              </w:tabs>
              <w:kinsoku w:val="0"/>
              <w:overflowPunct w:val="0"/>
              <w:adjustRightInd w:val="0"/>
              <w:snapToGrid w:val="0"/>
              <w:spacing w:line="400" w:lineRule="exact"/>
              <w:jc w:val="left"/>
              <w:rPr>
                <w:rFonts w:cs="Times New Roman"/>
                <w:szCs w:val="21"/>
              </w:rPr>
            </w:pPr>
            <w:r>
              <w:rPr>
                <w:rFonts w:cs="Times New Roman"/>
                <w:szCs w:val="21"/>
                <w:u w:val="single"/>
              </w:rPr>
              <w:tab/>
            </w:r>
            <w:r>
              <w:rPr>
                <w:rFonts w:cs="Times New Roman"/>
                <w:spacing w:val="-2"/>
                <w:szCs w:val="21"/>
              </w:rPr>
              <w:t>%</w:t>
            </w:r>
            <w:r>
              <w:rPr>
                <w:rFonts w:hint="eastAsia"/>
                <w:spacing w:val="-2"/>
                <w:szCs w:val="21"/>
              </w:rPr>
              <w:t>签约合同价或</w:t>
            </w:r>
            <w:r>
              <w:rPr>
                <w:rFonts w:cs="Times New Roman"/>
                <w:spacing w:val="-2"/>
                <w:szCs w:val="21"/>
                <w:u w:val="single"/>
              </w:rPr>
              <w:t xml:space="preserve">   </w:t>
            </w:r>
            <w:r>
              <w:rPr>
                <w:rFonts w:hint="eastAsia"/>
                <w:szCs w:val="21"/>
              </w:rPr>
              <w:t>万元</w:t>
            </w:r>
          </w:p>
        </w:tc>
        <w:tc>
          <w:tcPr>
            <w:tcW w:w="530" w:type="dxa"/>
          </w:tcPr>
          <w:p w14:paraId="5F727FAD">
            <w:pPr>
              <w:adjustRightInd w:val="0"/>
              <w:snapToGrid w:val="0"/>
              <w:spacing w:line="400" w:lineRule="exact"/>
              <w:rPr>
                <w:rFonts w:ascii="宋体" w:hAnsi="宋体"/>
                <w:szCs w:val="21"/>
              </w:rPr>
            </w:pPr>
          </w:p>
        </w:tc>
      </w:tr>
      <w:tr w14:paraId="4E24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188FDE5B">
            <w:pPr>
              <w:pStyle w:val="256"/>
              <w:kinsoku w:val="0"/>
              <w:overflowPunct w:val="0"/>
              <w:adjustRightInd w:val="0"/>
              <w:snapToGrid w:val="0"/>
              <w:spacing w:line="400" w:lineRule="exact"/>
              <w:jc w:val="center"/>
              <w:rPr>
                <w:rFonts w:cs="Times New Roman"/>
                <w:szCs w:val="21"/>
              </w:rPr>
            </w:pPr>
            <w:r>
              <w:rPr>
                <w:rFonts w:cs="Times New Roman"/>
                <w:szCs w:val="21"/>
              </w:rPr>
              <w:t>14</w:t>
            </w:r>
          </w:p>
        </w:tc>
        <w:tc>
          <w:tcPr>
            <w:tcW w:w="1935" w:type="dxa"/>
            <w:vAlign w:val="center"/>
          </w:tcPr>
          <w:p w14:paraId="4DEB3D7F">
            <w:pPr>
              <w:adjustRightInd w:val="0"/>
              <w:snapToGrid w:val="0"/>
              <w:spacing w:line="400" w:lineRule="exact"/>
              <w:jc w:val="center"/>
              <w:rPr>
                <w:szCs w:val="21"/>
              </w:rPr>
            </w:pPr>
            <w:r>
              <w:rPr>
                <w:rFonts w:hint="eastAsia"/>
                <w:szCs w:val="21"/>
              </w:rPr>
              <w:t>逾期付款违约金的利率</w:t>
            </w:r>
          </w:p>
        </w:tc>
        <w:tc>
          <w:tcPr>
            <w:tcW w:w="2685" w:type="dxa"/>
            <w:gridSpan w:val="2"/>
            <w:vAlign w:val="center"/>
          </w:tcPr>
          <w:p w14:paraId="573602A3">
            <w:pPr>
              <w:pStyle w:val="256"/>
              <w:kinsoku w:val="0"/>
              <w:overflowPunct w:val="0"/>
              <w:adjustRightInd w:val="0"/>
              <w:snapToGrid w:val="0"/>
              <w:spacing w:line="400" w:lineRule="exact"/>
              <w:ind w:left="102"/>
              <w:jc w:val="center"/>
              <w:rPr>
                <w:rFonts w:cs="Times New Roman"/>
                <w:szCs w:val="21"/>
              </w:rPr>
            </w:pPr>
            <w:r>
              <w:rPr>
                <w:rFonts w:cs="Times New Roman"/>
                <w:spacing w:val="-1"/>
                <w:szCs w:val="21"/>
              </w:rPr>
              <w:t>17.3.</w:t>
            </w:r>
            <w:r>
              <w:rPr>
                <w:rFonts w:hint="eastAsia" w:cs="Times New Roman"/>
                <w:spacing w:val="-1"/>
                <w:szCs w:val="21"/>
              </w:rPr>
              <w:t>4</w:t>
            </w:r>
            <w:r>
              <w:rPr>
                <w:rFonts w:hint="eastAsia"/>
                <w:spacing w:val="-1"/>
                <w:szCs w:val="21"/>
              </w:rPr>
              <w:t>（</w:t>
            </w:r>
            <w:r>
              <w:rPr>
                <w:rFonts w:cs="Times New Roman"/>
                <w:spacing w:val="-1"/>
                <w:szCs w:val="21"/>
              </w:rPr>
              <w:t>2</w:t>
            </w:r>
            <w:r>
              <w:rPr>
                <w:rFonts w:hint="eastAsia"/>
                <w:spacing w:val="-1"/>
                <w:szCs w:val="21"/>
              </w:rPr>
              <w:t>）</w:t>
            </w:r>
          </w:p>
        </w:tc>
        <w:tc>
          <w:tcPr>
            <w:tcW w:w="3120" w:type="dxa"/>
            <w:vAlign w:val="center"/>
          </w:tcPr>
          <w:p w14:paraId="25637B4A">
            <w:pPr>
              <w:pStyle w:val="256"/>
              <w:tabs>
                <w:tab w:val="left" w:pos="628"/>
              </w:tabs>
              <w:kinsoku w:val="0"/>
              <w:overflowPunct w:val="0"/>
              <w:adjustRightInd w:val="0"/>
              <w:snapToGrid w:val="0"/>
              <w:spacing w:line="400" w:lineRule="exact"/>
              <w:ind w:left="102"/>
              <w:rPr>
                <w:rFonts w:cs="Times New Roman"/>
                <w:szCs w:val="21"/>
              </w:rPr>
            </w:pPr>
            <w:r>
              <w:rPr>
                <w:rFonts w:cs="Times New Roman"/>
                <w:szCs w:val="21"/>
                <w:u w:val="single"/>
              </w:rPr>
              <w:tab/>
            </w:r>
            <w:r>
              <w:rPr>
                <w:rFonts w:cs="Times New Roman"/>
                <w:spacing w:val="-1"/>
                <w:szCs w:val="21"/>
              </w:rPr>
              <w:t>‰/</w:t>
            </w:r>
            <w:r>
              <w:rPr>
                <w:rFonts w:hint="eastAsia"/>
                <w:spacing w:val="-1"/>
                <w:szCs w:val="21"/>
              </w:rPr>
              <w:t>天</w:t>
            </w:r>
          </w:p>
        </w:tc>
        <w:tc>
          <w:tcPr>
            <w:tcW w:w="530" w:type="dxa"/>
          </w:tcPr>
          <w:p w14:paraId="4D7985D6">
            <w:pPr>
              <w:adjustRightInd w:val="0"/>
              <w:snapToGrid w:val="0"/>
              <w:spacing w:line="400" w:lineRule="exact"/>
              <w:rPr>
                <w:rFonts w:ascii="宋体" w:hAnsi="宋体"/>
                <w:szCs w:val="21"/>
              </w:rPr>
            </w:pPr>
          </w:p>
        </w:tc>
      </w:tr>
      <w:tr w14:paraId="2EB4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7D4142C6">
            <w:pPr>
              <w:pStyle w:val="256"/>
              <w:kinsoku w:val="0"/>
              <w:overflowPunct w:val="0"/>
              <w:adjustRightInd w:val="0"/>
              <w:snapToGrid w:val="0"/>
              <w:spacing w:line="400" w:lineRule="exact"/>
              <w:ind w:left="2"/>
              <w:jc w:val="center"/>
              <w:rPr>
                <w:rFonts w:cs="Times New Roman"/>
                <w:szCs w:val="21"/>
              </w:rPr>
            </w:pPr>
            <w:r>
              <w:rPr>
                <w:rFonts w:cs="Times New Roman"/>
                <w:spacing w:val="-4"/>
                <w:szCs w:val="21"/>
              </w:rPr>
              <w:t>15</w:t>
            </w:r>
          </w:p>
        </w:tc>
        <w:tc>
          <w:tcPr>
            <w:tcW w:w="1935" w:type="dxa"/>
            <w:vAlign w:val="center"/>
          </w:tcPr>
          <w:p w14:paraId="4E11174D">
            <w:pPr>
              <w:adjustRightInd w:val="0"/>
              <w:snapToGrid w:val="0"/>
              <w:spacing w:line="400" w:lineRule="exact"/>
              <w:jc w:val="center"/>
              <w:rPr>
                <w:szCs w:val="21"/>
              </w:rPr>
            </w:pPr>
            <w:r>
              <w:rPr>
                <w:rFonts w:hint="eastAsia"/>
                <w:szCs w:val="21"/>
              </w:rPr>
              <w:t>质量保证金金额</w:t>
            </w:r>
          </w:p>
        </w:tc>
        <w:tc>
          <w:tcPr>
            <w:tcW w:w="2685" w:type="dxa"/>
            <w:gridSpan w:val="2"/>
            <w:vAlign w:val="center"/>
          </w:tcPr>
          <w:p w14:paraId="75ED9D1D">
            <w:pPr>
              <w:pStyle w:val="256"/>
              <w:kinsoku w:val="0"/>
              <w:overflowPunct w:val="0"/>
              <w:adjustRightInd w:val="0"/>
              <w:snapToGrid w:val="0"/>
              <w:spacing w:line="400" w:lineRule="exact"/>
              <w:jc w:val="center"/>
              <w:rPr>
                <w:rFonts w:cs="Times New Roman"/>
                <w:szCs w:val="21"/>
              </w:rPr>
            </w:pPr>
            <w:r>
              <w:rPr>
                <w:rFonts w:cs="Times New Roman"/>
                <w:szCs w:val="21"/>
              </w:rPr>
              <w:t>17.4.1</w:t>
            </w:r>
          </w:p>
        </w:tc>
        <w:tc>
          <w:tcPr>
            <w:tcW w:w="3120" w:type="dxa"/>
            <w:vAlign w:val="center"/>
          </w:tcPr>
          <w:p w14:paraId="63093945">
            <w:pPr>
              <w:pStyle w:val="256"/>
              <w:kinsoku w:val="0"/>
              <w:overflowPunct w:val="0"/>
              <w:adjustRightInd w:val="0"/>
              <w:snapToGrid w:val="0"/>
              <w:spacing w:line="400" w:lineRule="exact"/>
              <w:ind w:left="102" w:right="97"/>
              <w:rPr>
                <w:rFonts w:cs="Times New Roman"/>
                <w:szCs w:val="21"/>
              </w:rPr>
            </w:pPr>
            <w:r>
              <w:rPr>
                <w:rFonts w:ascii="宋体" w:hAnsi="宋体" w:cs="宋体"/>
                <w:szCs w:val="21"/>
                <w:u w:val="single"/>
              </w:rPr>
              <w:t xml:space="preserve">     </w:t>
            </w:r>
            <w:r>
              <w:rPr>
                <w:rFonts w:ascii="宋体" w:hAnsi="宋体" w:cs="宋体"/>
                <w:szCs w:val="21"/>
              </w:rPr>
              <w:t>%</w:t>
            </w:r>
            <w:r>
              <w:rPr>
                <w:rFonts w:hint="eastAsia" w:ascii="宋体" w:hAnsi="宋体" w:cs="宋体"/>
                <w:szCs w:val="21"/>
                <w:lang w:val="en-US" w:eastAsia="zh-CN"/>
              </w:rPr>
              <w:t>勘察设计费用总额、</w:t>
            </w:r>
            <w:r>
              <w:rPr>
                <w:rFonts w:ascii="宋体" w:hAnsi="宋体" w:cs="宋体"/>
                <w:szCs w:val="21"/>
                <w:u w:val="single"/>
              </w:rPr>
              <w:t xml:space="preserve">     </w:t>
            </w:r>
            <w:r>
              <w:rPr>
                <w:rFonts w:cs="Times New Roman"/>
                <w:szCs w:val="21"/>
                <w:u w:val="single"/>
              </w:rPr>
              <w:tab/>
            </w:r>
            <w:r>
              <w:rPr>
                <w:rFonts w:hint="eastAsia" w:cs="Times New Roman"/>
                <w:szCs w:val="21"/>
                <w:u w:val="single"/>
                <w:lang w:val="en-US" w:eastAsia="zh-CN"/>
              </w:rPr>
              <w:t xml:space="preserve"> </w:t>
            </w:r>
            <w:r>
              <w:rPr>
                <w:rFonts w:cs="Times New Roman"/>
                <w:szCs w:val="21"/>
                <w:u w:val="single"/>
              </w:rPr>
              <w:t xml:space="preserve"> </w:t>
            </w:r>
            <w:r>
              <w:rPr>
                <w:rFonts w:cs="Times New Roman"/>
                <w:spacing w:val="-4"/>
                <w:szCs w:val="21"/>
              </w:rPr>
              <w:t>%</w:t>
            </w:r>
            <w:r>
              <w:rPr>
                <w:rFonts w:hint="eastAsia" w:ascii="宋体" w:hAnsi="宋体" w:cs="宋体"/>
                <w:szCs w:val="21"/>
              </w:rPr>
              <w:t>工程价款结算总额</w:t>
            </w:r>
          </w:p>
        </w:tc>
        <w:tc>
          <w:tcPr>
            <w:tcW w:w="530" w:type="dxa"/>
          </w:tcPr>
          <w:p w14:paraId="52DA7C2B">
            <w:pPr>
              <w:adjustRightInd w:val="0"/>
              <w:snapToGrid w:val="0"/>
              <w:spacing w:line="400" w:lineRule="exact"/>
              <w:rPr>
                <w:rFonts w:ascii="宋体" w:hAnsi="宋体"/>
                <w:szCs w:val="21"/>
              </w:rPr>
            </w:pPr>
          </w:p>
        </w:tc>
      </w:tr>
      <w:tr w14:paraId="1694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2" w:type="dxa"/>
            <w:vAlign w:val="center"/>
          </w:tcPr>
          <w:p w14:paraId="5FFCB25F">
            <w:pPr>
              <w:pStyle w:val="256"/>
              <w:kinsoku w:val="0"/>
              <w:overflowPunct w:val="0"/>
              <w:adjustRightInd w:val="0"/>
              <w:snapToGrid w:val="0"/>
              <w:spacing w:line="400" w:lineRule="exact"/>
              <w:jc w:val="center"/>
              <w:rPr>
                <w:rFonts w:cs="Times New Roman"/>
                <w:szCs w:val="21"/>
              </w:rPr>
            </w:pPr>
            <w:r>
              <w:rPr>
                <w:rFonts w:cs="Times New Roman"/>
                <w:szCs w:val="21"/>
              </w:rPr>
              <w:t>16</w:t>
            </w:r>
          </w:p>
        </w:tc>
        <w:tc>
          <w:tcPr>
            <w:tcW w:w="1935" w:type="dxa"/>
            <w:vAlign w:val="center"/>
          </w:tcPr>
          <w:p w14:paraId="70DA3D8D">
            <w:pPr>
              <w:adjustRightInd w:val="0"/>
              <w:snapToGrid w:val="0"/>
              <w:spacing w:line="400" w:lineRule="exact"/>
              <w:jc w:val="center"/>
              <w:rPr>
                <w:szCs w:val="21"/>
              </w:rPr>
            </w:pPr>
            <w:r>
              <w:rPr>
                <w:rFonts w:hint="eastAsia"/>
                <w:szCs w:val="21"/>
              </w:rPr>
              <w:t>保修期</w:t>
            </w:r>
          </w:p>
        </w:tc>
        <w:tc>
          <w:tcPr>
            <w:tcW w:w="2685" w:type="dxa"/>
            <w:gridSpan w:val="2"/>
            <w:vAlign w:val="center"/>
          </w:tcPr>
          <w:p w14:paraId="48970C18">
            <w:pPr>
              <w:pStyle w:val="256"/>
              <w:kinsoku w:val="0"/>
              <w:overflowPunct w:val="0"/>
              <w:adjustRightInd w:val="0"/>
              <w:snapToGrid w:val="0"/>
              <w:spacing w:line="400" w:lineRule="exact"/>
              <w:ind w:left="140"/>
              <w:jc w:val="center"/>
              <w:rPr>
                <w:rFonts w:cs="Times New Roman"/>
                <w:szCs w:val="21"/>
              </w:rPr>
            </w:pPr>
            <w:r>
              <w:rPr>
                <w:rFonts w:cs="Times New Roman"/>
                <w:spacing w:val="-1"/>
                <w:szCs w:val="21"/>
              </w:rPr>
              <w:t>19.7</w:t>
            </w:r>
            <w:r>
              <w:rPr>
                <w:rFonts w:hint="eastAsia"/>
                <w:spacing w:val="-1"/>
                <w:szCs w:val="21"/>
              </w:rPr>
              <w:t>（</w:t>
            </w:r>
            <w:r>
              <w:rPr>
                <w:rFonts w:cs="Times New Roman"/>
                <w:spacing w:val="-1"/>
                <w:szCs w:val="21"/>
              </w:rPr>
              <w:t>1</w:t>
            </w:r>
            <w:r>
              <w:rPr>
                <w:rFonts w:hint="eastAsia"/>
                <w:spacing w:val="-1"/>
                <w:szCs w:val="21"/>
              </w:rPr>
              <w:t>）</w:t>
            </w:r>
          </w:p>
        </w:tc>
        <w:tc>
          <w:tcPr>
            <w:tcW w:w="3120" w:type="dxa"/>
            <w:vAlign w:val="center"/>
          </w:tcPr>
          <w:p w14:paraId="373D31B8">
            <w:pPr>
              <w:pStyle w:val="256"/>
              <w:tabs>
                <w:tab w:val="left" w:pos="2728"/>
              </w:tabs>
              <w:kinsoku w:val="0"/>
              <w:overflowPunct w:val="0"/>
              <w:adjustRightInd w:val="0"/>
              <w:snapToGrid w:val="0"/>
              <w:spacing w:line="400" w:lineRule="exact"/>
              <w:rPr>
                <w:rFonts w:cs="Times New Roman"/>
                <w:szCs w:val="21"/>
              </w:rPr>
            </w:pPr>
            <w:r>
              <w:rPr>
                <w:rFonts w:hint="eastAsia"/>
                <w:spacing w:val="-2"/>
                <w:szCs w:val="21"/>
              </w:rPr>
              <w:t>自实际交工日期起计算</w:t>
            </w:r>
            <w:r>
              <w:rPr>
                <w:rFonts w:cs="Times New Roman"/>
                <w:spacing w:val="-2"/>
                <w:szCs w:val="21"/>
                <w:u w:val="single"/>
              </w:rPr>
              <w:t xml:space="preserve">  </w:t>
            </w:r>
            <w:r>
              <w:rPr>
                <w:rFonts w:hint="eastAsia" w:cs="Times New Roman"/>
                <w:spacing w:val="-2"/>
                <w:szCs w:val="21"/>
                <w:u w:val="single"/>
                <w:lang w:val="en-US" w:eastAsia="zh-CN"/>
              </w:rPr>
              <w:t xml:space="preserve"> </w:t>
            </w:r>
            <w:r>
              <w:rPr>
                <w:rFonts w:cs="Times New Roman"/>
                <w:spacing w:val="-2"/>
                <w:szCs w:val="21"/>
                <w:u w:val="single"/>
              </w:rPr>
              <w:t xml:space="preserve"> </w:t>
            </w:r>
            <w:r>
              <w:rPr>
                <w:rFonts w:hint="eastAsia"/>
                <w:szCs w:val="21"/>
              </w:rPr>
              <w:t>个月</w:t>
            </w:r>
          </w:p>
        </w:tc>
        <w:tc>
          <w:tcPr>
            <w:tcW w:w="530" w:type="dxa"/>
          </w:tcPr>
          <w:p w14:paraId="371ECABF">
            <w:pPr>
              <w:adjustRightInd w:val="0"/>
              <w:snapToGrid w:val="0"/>
              <w:spacing w:line="400" w:lineRule="exact"/>
              <w:rPr>
                <w:rFonts w:ascii="宋体" w:hAnsi="宋体"/>
                <w:szCs w:val="21"/>
              </w:rPr>
            </w:pPr>
          </w:p>
        </w:tc>
      </w:tr>
    </w:tbl>
    <w:p w14:paraId="01BE7CBA">
      <w:pPr>
        <w:rPr>
          <w:rFonts w:ascii="宋体" w:hAnsi="宋体"/>
        </w:rPr>
        <w:sectPr>
          <w:footerReference r:id="rId20" w:type="even"/>
          <w:footnotePr>
            <w:numFmt w:val="decimalEnclosedCircleChinese"/>
            <w:numRestart w:val="eachPage"/>
          </w:footnotePr>
          <w:type w:val="continuous"/>
          <w:pgSz w:w="11900" w:h="16838"/>
          <w:pgMar w:top="1418" w:right="1418" w:bottom="1418" w:left="1701" w:header="851" w:footer="624" w:gutter="0"/>
          <w:cols w:space="720" w:num="1"/>
          <w:docGrid w:linePitch="286" w:charSpace="0"/>
        </w:sectPr>
      </w:pPr>
    </w:p>
    <w:p w14:paraId="7D0180F6">
      <w:pPr>
        <w:pStyle w:val="265"/>
        <w:kinsoku w:val="0"/>
        <w:overflowPunct w:val="0"/>
        <w:ind w:left="18"/>
        <w:rPr>
          <w:lang w:eastAsia="zh-CN"/>
        </w:rPr>
      </w:pPr>
      <w:bookmarkStart w:id="872" w:name="_TOC_250034"/>
      <w:bookmarkEnd w:id="872"/>
    </w:p>
    <w:p w14:paraId="7E8D03B5">
      <w:pPr>
        <w:pStyle w:val="37"/>
        <w:rPr>
          <w:rFonts w:hint="eastAsia" w:ascii="宋体" w:hAnsi="宋体" w:cs="宋体"/>
          <w:sz w:val="21"/>
          <w:szCs w:val="21"/>
        </w:rPr>
      </w:pPr>
      <w:r>
        <w:rPr>
          <w:rFonts w:hint="eastAsia" w:ascii="宋体" w:hAnsi="宋体" w:cs="宋体"/>
          <w:sz w:val="21"/>
          <w:szCs w:val="21"/>
        </w:rPr>
        <w:t>注：涉及“交（竣）工”，</w:t>
      </w:r>
      <w:r>
        <w:rPr>
          <w:rFonts w:hint="eastAsia" w:ascii="宋体" w:hAnsi="宋体" w:cs="宋体"/>
          <w:sz w:val="21"/>
          <w:szCs w:val="21"/>
          <w:lang w:val="en-US" w:eastAsia="zh-CN"/>
        </w:rPr>
        <w:t>仅</w:t>
      </w:r>
      <w:r>
        <w:rPr>
          <w:rFonts w:hint="eastAsia" w:ascii="宋体" w:hAnsi="宋体" w:cs="宋体"/>
          <w:sz w:val="21"/>
          <w:szCs w:val="21"/>
        </w:rPr>
        <w:t>适用于房建工程施工。</w:t>
      </w:r>
    </w:p>
    <w:p w14:paraId="2A4A5B48">
      <w:pPr>
        <w:kinsoku w:val="0"/>
        <w:overflowPunct w:val="0"/>
        <w:ind w:left="18"/>
      </w:pPr>
      <w:r>
        <w:br w:type="page"/>
      </w:r>
    </w:p>
    <w:p w14:paraId="5D2B18B7">
      <w:pPr>
        <w:pStyle w:val="265"/>
        <w:kinsoku w:val="0"/>
        <w:overflowPunct w:val="0"/>
        <w:ind w:left="18"/>
        <w:rPr>
          <w:rFonts w:ascii="黑体" w:hAnsi="黑体" w:eastAsia="黑体"/>
          <w:b w:val="0"/>
          <w:lang w:eastAsia="zh-CN"/>
        </w:rPr>
      </w:pPr>
      <w:r>
        <w:rPr>
          <w:rFonts w:hint="eastAsia" w:ascii="黑体" w:hAnsi="黑体" w:eastAsia="黑体"/>
          <w:b w:val="0"/>
          <w:lang w:eastAsia="zh-CN"/>
        </w:rPr>
        <w:t>二、授权委托书或法定代表人身份证明</w:t>
      </w:r>
    </w:p>
    <w:p w14:paraId="4267E541">
      <w:pPr>
        <w:pStyle w:val="20"/>
        <w:kinsoku w:val="0"/>
        <w:overflowPunct w:val="0"/>
        <w:spacing w:before="11"/>
        <w:rPr>
          <w:rFonts w:cs="黑体"/>
          <w:sz w:val="28"/>
          <w:szCs w:val="28"/>
        </w:rPr>
      </w:pPr>
    </w:p>
    <w:p w14:paraId="7E78FA19">
      <w:pPr>
        <w:pStyle w:val="20"/>
        <w:kinsoku w:val="0"/>
        <w:overflowPunct w:val="0"/>
        <w:ind w:left="3180" w:right="3165"/>
        <w:jc w:val="center"/>
        <w:rPr>
          <w:rFonts w:ascii="黑体" w:hAnsi="黑体" w:eastAsia="黑体" w:cs="黑体"/>
          <w:sz w:val="14"/>
          <w:szCs w:val="14"/>
        </w:rPr>
      </w:pPr>
      <w:bookmarkStart w:id="873" w:name="bookmark293"/>
      <w:bookmarkEnd w:id="873"/>
      <w:r>
        <w:rPr>
          <w:rFonts w:ascii="黑体" w:hAnsi="黑体" w:eastAsia="黑体" w:cs="黑体"/>
          <w:bCs/>
          <w:spacing w:val="-1"/>
          <w:sz w:val="28"/>
          <w:szCs w:val="28"/>
        </w:rPr>
        <w:t xml:space="preserve"> </w:t>
      </w:r>
      <w:r>
        <w:rPr>
          <w:rFonts w:hint="eastAsia" w:ascii="黑体" w:hAnsi="黑体" w:eastAsia="黑体" w:cs="黑体"/>
          <w:spacing w:val="-1"/>
          <w:sz w:val="28"/>
          <w:szCs w:val="28"/>
        </w:rPr>
        <w:t>授权委托书</w:t>
      </w:r>
    </w:p>
    <w:p w14:paraId="3E034B03">
      <w:pPr>
        <w:pStyle w:val="20"/>
        <w:kinsoku w:val="0"/>
        <w:overflowPunct w:val="0"/>
        <w:spacing w:before="9"/>
        <w:rPr>
          <w:rFonts w:cs="黑体"/>
          <w:b/>
          <w:bCs/>
        </w:rPr>
      </w:pPr>
    </w:p>
    <w:p w14:paraId="754D9403">
      <w:pPr>
        <w:pStyle w:val="20"/>
        <w:kinsoku w:val="0"/>
        <w:overflowPunct w:val="0"/>
        <w:spacing w:before="9"/>
        <w:rPr>
          <w:rFonts w:cs="黑体"/>
          <w:b/>
          <w:bCs/>
        </w:rPr>
      </w:pPr>
    </w:p>
    <w:p w14:paraId="267C7420">
      <w:pPr>
        <w:spacing w:line="360" w:lineRule="auto"/>
        <w:ind w:firstLine="480" w:firstLineChars="200"/>
        <w:rPr>
          <w:rFonts w:ascii="宋体" w:hAnsi="宋体" w:cs="宋体"/>
          <w:sz w:val="24"/>
        </w:rPr>
      </w:pPr>
      <w:r>
        <w:rPr>
          <w:rFonts w:hint="eastAsia" w:ascii="宋体" w:hAnsi="宋体" w:cs="宋体"/>
          <w:sz w:val="24"/>
        </w:rPr>
        <w:t>本人</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（姓名</w:t>
      </w:r>
      <w:r>
        <w:rPr>
          <w:rFonts w:ascii="宋体" w:hAnsi="宋体" w:cs="宋体"/>
          <w:sz w:val="24"/>
        </w:rPr>
        <w:t>）</w:t>
      </w:r>
      <w:r>
        <w:rPr>
          <w:rFonts w:hint="eastAsia" w:ascii="宋体" w:hAnsi="宋体" w:cs="宋体"/>
          <w:sz w:val="24"/>
        </w:rPr>
        <w:t>系</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（投标人名称）的法定代表人，现委托</w:t>
      </w:r>
    </w:p>
    <w:p w14:paraId="71890F38">
      <w:pPr>
        <w:spacing w:line="360" w:lineRule="auto"/>
        <w:rPr>
          <w:rFonts w:ascii="宋体" w:hAnsi="宋体" w:cs="宋体"/>
          <w:sz w:val="24"/>
        </w:rPr>
      </w:pPr>
      <w:r>
        <w:rPr>
          <w:rFonts w:ascii="宋体" w:hAnsi="宋体" w:cs="宋体"/>
          <w:sz w:val="24"/>
          <w:u w:val="single"/>
        </w:rPr>
        <w:t xml:space="preserve">         </w:t>
      </w:r>
      <w:r>
        <w:rPr>
          <w:rFonts w:hint="eastAsia" w:ascii="宋体" w:hAnsi="宋体" w:cs="宋体"/>
          <w:sz w:val="24"/>
        </w:rPr>
        <w:t>（姓名）为我方代理人。代理人根据授权，以我方名义签署、澄清确认、递交、撤回、修改</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（招标项目名称）</w:t>
      </w:r>
      <w:r>
        <w:rPr>
          <w:rFonts w:hint="eastAsia" w:ascii="宋体" w:hAnsi="宋体" w:cs="宋体"/>
          <w:sz w:val="24"/>
          <w:lang w:val="en-US" w:eastAsia="zh-CN"/>
        </w:rPr>
        <w:t>设计施工总承包</w:t>
      </w:r>
      <w:r>
        <w:rPr>
          <w:rFonts w:ascii="宋体" w:hAnsi="宋体" w:cs="宋体"/>
          <w:sz w:val="24"/>
          <w:u w:val="single"/>
        </w:rPr>
        <w:t xml:space="preserve">    </w:t>
      </w:r>
      <w:r>
        <w:rPr>
          <w:rFonts w:hint="eastAsia" w:ascii="宋体" w:hAnsi="宋体" w:cs="宋体"/>
          <w:sz w:val="24"/>
        </w:rPr>
        <w:t>标段投标文件、签订合同和处理有关事宜，其法律后果由我方承担。</w:t>
      </w:r>
    </w:p>
    <w:p w14:paraId="5C23C448">
      <w:pPr>
        <w:spacing w:line="360" w:lineRule="auto"/>
        <w:ind w:firstLine="480" w:firstLineChars="200"/>
        <w:rPr>
          <w:rFonts w:ascii="宋体" w:hAnsi="宋体" w:cs="宋体"/>
          <w:sz w:val="24"/>
        </w:rPr>
      </w:pPr>
      <w:r>
        <w:rPr>
          <w:rFonts w:hint="eastAsia" w:ascii="宋体" w:hAnsi="宋体" w:cs="宋体"/>
          <w:sz w:val="24"/>
        </w:rPr>
        <w:t>委托期限：自本委托书签署之日起至投标有效期期满。</w:t>
      </w:r>
      <w:r>
        <w:rPr>
          <w:rFonts w:ascii="宋体" w:hAnsi="宋体" w:cs="宋体"/>
          <w:sz w:val="24"/>
        </w:rPr>
        <w:t xml:space="preserve"> </w:t>
      </w:r>
    </w:p>
    <w:p w14:paraId="2ADCDC53">
      <w:pPr>
        <w:spacing w:line="360" w:lineRule="auto"/>
        <w:ind w:firstLine="480" w:firstLineChars="200"/>
        <w:rPr>
          <w:rFonts w:ascii="宋体" w:hAnsi="宋体" w:cs="宋体"/>
          <w:sz w:val="24"/>
        </w:rPr>
      </w:pPr>
      <w:r>
        <w:rPr>
          <w:rFonts w:hint="eastAsia" w:ascii="宋体" w:hAnsi="宋体" w:cs="宋体"/>
          <w:sz w:val="24"/>
        </w:rPr>
        <w:t>代理人无转委托权。</w:t>
      </w:r>
    </w:p>
    <w:p w14:paraId="14E6C64C">
      <w:pPr>
        <w:spacing w:line="360" w:lineRule="auto"/>
        <w:ind w:firstLine="480" w:firstLineChars="200"/>
        <w:rPr>
          <w:rFonts w:hint="eastAsia" w:ascii="宋体" w:hAnsi="宋体" w:cs="宋体"/>
          <w:sz w:val="24"/>
        </w:rPr>
      </w:pPr>
    </w:p>
    <w:p w14:paraId="6BFFD7A2">
      <w:pPr>
        <w:spacing w:line="360" w:lineRule="auto"/>
        <w:ind w:firstLine="480" w:firstLineChars="200"/>
        <w:rPr>
          <w:rFonts w:ascii="宋体" w:hAnsi="宋体" w:cs="宋体"/>
          <w:sz w:val="24"/>
        </w:rPr>
      </w:pPr>
      <w:r>
        <w:rPr>
          <w:rFonts w:hint="eastAsia" w:ascii="宋体" w:hAnsi="宋体" w:cs="宋体"/>
          <w:sz w:val="24"/>
        </w:rPr>
        <w:t>附：法定代表人身份证、委托代理人身份证原件原色扫描件。</w:t>
      </w:r>
    </w:p>
    <w:p w14:paraId="5FE965CD">
      <w:pPr>
        <w:spacing w:line="360" w:lineRule="auto"/>
        <w:jc w:val="left"/>
        <w:rPr>
          <w:rFonts w:ascii="宋体" w:hAnsi="宋体"/>
          <w:sz w:val="24"/>
        </w:rPr>
      </w:pPr>
    </w:p>
    <w:p w14:paraId="74495D98">
      <w:pPr>
        <w:spacing w:line="360" w:lineRule="auto"/>
        <w:jc w:val="left"/>
        <w:rPr>
          <w:rFonts w:ascii="宋体" w:hAnsi="宋体"/>
          <w:sz w:val="24"/>
        </w:rPr>
      </w:pPr>
    </w:p>
    <w:p w14:paraId="5C62B3C8">
      <w:pPr>
        <w:spacing w:line="360" w:lineRule="auto"/>
        <w:ind w:firstLine="2760" w:firstLineChars="1150"/>
        <w:jc w:val="left"/>
        <w:rPr>
          <w:rFonts w:ascii="宋体" w:hAnsi="宋体"/>
          <w:sz w:val="24"/>
        </w:rPr>
      </w:pPr>
      <w:r>
        <w:rPr>
          <w:rFonts w:hint="eastAsia" w:ascii="宋体" w:hAnsi="宋体"/>
          <w:sz w:val="24"/>
        </w:rPr>
        <w:t>投</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人：</w:t>
      </w:r>
      <w:r>
        <w:rPr>
          <w:rFonts w:hint="eastAsia" w:ascii="宋体" w:hAnsi="宋体"/>
          <w:sz w:val="24"/>
          <w:u w:val="single"/>
          <w:lang w:val="en-US" w:eastAsia="zh-CN"/>
        </w:rPr>
        <w:t xml:space="preserve">      </w:t>
      </w:r>
      <w:r>
        <w:rPr>
          <w:rFonts w:ascii="宋体" w:hAnsi="宋体"/>
          <w:sz w:val="24"/>
          <w:u w:val="single"/>
        </w:rPr>
        <w:t xml:space="preserve">（全称）     </w:t>
      </w:r>
      <w:r>
        <w:rPr>
          <w:rFonts w:ascii="宋体" w:hAnsi="宋体"/>
          <w:sz w:val="24"/>
        </w:rPr>
        <w:t>（盖单位电子印章）</w:t>
      </w:r>
    </w:p>
    <w:p w14:paraId="0A4C73E4">
      <w:pPr>
        <w:spacing w:line="360" w:lineRule="auto"/>
        <w:ind w:left="2520" w:leftChars="1200" w:firstLine="240" w:firstLineChars="100"/>
        <w:jc w:val="left"/>
        <w:rPr>
          <w:rFonts w:ascii="宋体" w:hAnsi="宋体"/>
          <w:sz w:val="24"/>
        </w:rPr>
      </w:pPr>
      <w:r>
        <w:rPr>
          <w:rFonts w:hint="eastAsia" w:ascii="宋体" w:hAnsi="宋体"/>
          <w:sz w:val="24"/>
        </w:rPr>
        <w:t>法定代表人：</w:t>
      </w:r>
      <w:r>
        <w:rPr>
          <w:rFonts w:ascii="宋体" w:hAnsi="宋体"/>
          <w:sz w:val="24"/>
          <w:u w:val="single"/>
        </w:rPr>
        <w:t xml:space="preserve">     </w:t>
      </w:r>
      <w:r>
        <w:rPr>
          <w:rFonts w:ascii="宋体" w:hAnsi="宋体"/>
          <w:sz w:val="24"/>
        </w:rPr>
        <w:t>（</w:t>
      </w:r>
      <w:r>
        <w:rPr>
          <w:rFonts w:hint="eastAsia"/>
          <w:sz w:val="24"/>
        </w:rPr>
        <w:t>个人电子签名章或个人电子印章</w:t>
      </w:r>
      <w:r>
        <w:rPr>
          <w:rFonts w:ascii="宋体" w:hAnsi="宋体"/>
          <w:sz w:val="24"/>
        </w:rPr>
        <w:t xml:space="preserve">）     </w:t>
      </w:r>
    </w:p>
    <w:p w14:paraId="261A08BF">
      <w:pPr>
        <w:spacing w:line="360" w:lineRule="auto"/>
        <w:ind w:left="2520" w:leftChars="1200" w:firstLine="240" w:firstLineChars="100"/>
        <w:jc w:val="left"/>
        <w:rPr>
          <w:rFonts w:ascii="宋体" w:hAnsi="宋体"/>
          <w:sz w:val="24"/>
        </w:rPr>
      </w:pPr>
      <w:r>
        <w:rPr>
          <w:rFonts w:hint="eastAsia" w:ascii="宋体" w:hAnsi="宋体"/>
          <w:sz w:val="24"/>
        </w:rPr>
        <w:t>身份证号码：</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ascii="宋体" w:hAnsi="宋体"/>
          <w:sz w:val="24"/>
        </w:rPr>
        <w:tab/>
      </w:r>
    </w:p>
    <w:p w14:paraId="09CCA1EF">
      <w:pPr>
        <w:spacing w:line="360" w:lineRule="auto"/>
        <w:ind w:left="2520" w:leftChars="1200" w:firstLine="240" w:firstLineChars="100"/>
        <w:jc w:val="left"/>
        <w:rPr>
          <w:rFonts w:ascii="宋体" w:hAnsi="宋体"/>
          <w:sz w:val="24"/>
        </w:rPr>
      </w:pPr>
      <w:r>
        <w:rPr>
          <w:rFonts w:hint="eastAsia" w:ascii="宋体" w:hAnsi="宋体"/>
          <w:sz w:val="24"/>
        </w:rPr>
        <w:t>委托代理人：</w:t>
      </w:r>
      <w:r>
        <w:rPr>
          <w:rFonts w:ascii="宋体" w:hAnsi="宋体"/>
          <w:sz w:val="24"/>
          <w:u w:val="single"/>
        </w:rPr>
        <w:t xml:space="preserve">      </w:t>
      </w:r>
      <w:r>
        <w:rPr>
          <w:rFonts w:ascii="宋体" w:hAnsi="宋体"/>
          <w:sz w:val="24"/>
        </w:rPr>
        <w:t>（</w:t>
      </w:r>
      <w:r>
        <w:rPr>
          <w:rFonts w:hint="eastAsia"/>
          <w:sz w:val="24"/>
        </w:rPr>
        <w:t>个人电子签名章或个人电子印章</w:t>
      </w:r>
      <w:r>
        <w:rPr>
          <w:rFonts w:ascii="宋体" w:hAnsi="宋体"/>
          <w:sz w:val="24"/>
        </w:rPr>
        <w:t>）</w:t>
      </w:r>
    </w:p>
    <w:p w14:paraId="70E7E0AF">
      <w:pPr>
        <w:spacing w:line="360" w:lineRule="auto"/>
        <w:ind w:firstLine="2760" w:firstLineChars="1150"/>
        <w:jc w:val="left"/>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14:paraId="58D7F23E">
      <w:pPr>
        <w:pStyle w:val="20"/>
        <w:tabs>
          <w:tab w:val="left" w:pos="5602"/>
          <w:tab w:val="left" w:pos="6922"/>
          <w:tab w:val="left" w:pos="8058"/>
        </w:tabs>
        <w:kinsoku w:val="0"/>
        <w:overflowPunct w:val="0"/>
        <w:spacing w:before="112"/>
        <w:ind w:firstLine="4618"/>
        <w:rPr>
          <w:sz w:val="33"/>
          <w:szCs w:val="33"/>
        </w:rPr>
      </w:pPr>
      <w:r>
        <w:rPr>
          <w:u w:val="single"/>
        </w:rPr>
        <w:t xml:space="preserve"> </w:t>
      </w:r>
      <w:r>
        <w:rPr>
          <w:u w:val="single"/>
        </w:rPr>
        <w:tab/>
      </w:r>
      <w:r>
        <w:rPr>
          <w:rFonts w:hint="eastAsia"/>
        </w:rPr>
        <w:t>年</w:t>
      </w:r>
      <w:r>
        <w:rPr>
          <w:u w:val="single"/>
        </w:rPr>
        <w:t xml:space="preserve">    </w:t>
      </w:r>
      <w:r>
        <w:rPr>
          <w:rFonts w:hint="eastAsia"/>
        </w:rPr>
        <w:t>月</w:t>
      </w:r>
      <w:r>
        <w:rPr>
          <w:u w:val="single"/>
        </w:rPr>
        <w:tab/>
      </w:r>
      <w:r>
        <w:rPr>
          <w:rFonts w:hint="eastAsia"/>
        </w:rPr>
        <w:t>日</w:t>
      </w:r>
    </w:p>
    <w:p w14:paraId="5EC78608">
      <w:pPr>
        <w:spacing w:line="360" w:lineRule="auto"/>
        <w:jc w:val="left"/>
        <w:rPr>
          <w:rFonts w:ascii="宋体" w:hAnsi="宋体" w:cs="宋体"/>
          <w:szCs w:val="21"/>
        </w:rPr>
      </w:pPr>
    </w:p>
    <w:p w14:paraId="2A9E2F14">
      <w:pPr>
        <w:spacing w:line="360" w:lineRule="auto"/>
        <w:ind w:firstLine="0" w:firstLineChars="0"/>
        <w:jc w:val="left"/>
        <w:rPr>
          <w:rFonts w:hint="eastAsia" w:ascii="宋体" w:hAnsi="宋体" w:cs="宋体"/>
          <w:szCs w:val="21"/>
        </w:rPr>
      </w:pPr>
    </w:p>
    <w:p w14:paraId="1589E995">
      <w:pPr>
        <w:spacing w:line="360" w:lineRule="auto"/>
        <w:ind w:firstLine="0" w:firstLineChars="0"/>
        <w:jc w:val="left"/>
        <w:rPr>
          <w:rFonts w:ascii="宋体" w:hAnsi="宋体" w:cs="宋体"/>
          <w:szCs w:val="21"/>
        </w:rPr>
      </w:pPr>
      <w:r>
        <w:rPr>
          <w:rFonts w:hint="eastAsia" w:ascii="宋体" w:hAnsi="宋体" w:cs="宋体"/>
          <w:szCs w:val="21"/>
        </w:rPr>
        <w:t>注：</w:t>
      </w:r>
      <w:r>
        <w:rPr>
          <w:rFonts w:ascii="宋体" w:hAnsi="宋体" w:cs="宋体"/>
          <w:szCs w:val="21"/>
        </w:rPr>
        <w:t>1.如果投标文件由委托代理人签署，则投标人须提交授权委托书，授权委托书须满足下列要求：</w:t>
      </w:r>
    </w:p>
    <w:p w14:paraId="00B88290">
      <w:pPr>
        <w:spacing w:line="360" w:lineRule="auto"/>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1）投标人须在授权委托书上加盖投标人单位电子印章；</w:t>
      </w:r>
    </w:p>
    <w:p w14:paraId="605194ED">
      <w:pPr>
        <w:spacing w:line="360" w:lineRule="auto"/>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2）法定代表人和委托代理人必须在授权书上加盖个人电子签名章或个人电子印章；</w:t>
      </w:r>
    </w:p>
    <w:p w14:paraId="0F02FA83">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w:t>
      </w:r>
      <w:r>
        <w:rPr>
          <w:rFonts w:ascii="宋体" w:hAnsi="宋体" w:cs="宋体"/>
          <w:szCs w:val="21"/>
        </w:rPr>
        <w:t>3）委托代理人只能是一个人，且不能再授予他人，否则其授权无效</w:t>
      </w:r>
      <w:r>
        <w:rPr>
          <w:rFonts w:hint="eastAsia" w:ascii="宋体" w:hAnsi="宋体" w:cs="宋体"/>
          <w:szCs w:val="21"/>
          <w:lang w:eastAsia="zh-CN"/>
        </w:rPr>
        <w:t>。</w:t>
      </w:r>
    </w:p>
    <w:p w14:paraId="0B3367E8">
      <w:pPr>
        <w:spacing w:line="360" w:lineRule="auto"/>
        <w:ind w:firstLine="420" w:firstLineChars="200"/>
        <w:jc w:val="left"/>
        <w:rPr>
          <w:rFonts w:ascii="宋体" w:hAnsi="宋体" w:cs="宋体"/>
          <w:szCs w:val="21"/>
        </w:rPr>
      </w:pPr>
      <w:r>
        <w:rPr>
          <w:rFonts w:ascii="宋体" w:hAnsi="宋体" w:cs="宋体"/>
          <w:szCs w:val="21"/>
        </w:rPr>
        <w:t>2.如果由投标人的委托代理人签署投标文件，则</w:t>
      </w:r>
      <w:r>
        <w:rPr>
          <w:rFonts w:hint="eastAsia" w:ascii="宋体" w:hAnsi="宋体" w:cs="宋体"/>
          <w:szCs w:val="21"/>
          <w:lang w:val="en-US" w:eastAsia="zh-CN"/>
        </w:rPr>
        <w:t>无须</w:t>
      </w:r>
      <w:r>
        <w:rPr>
          <w:rFonts w:ascii="宋体" w:hAnsi="宋体" w:cs="宋体"/>
          <w:szCs w:val="21"/>
        </w:rPr>
        <w:t>提供法定代表人身份证明。</w:t>
      </w:r>
    </w:p>
    <w:p w14:paraId="7C25E010">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允许联合体投标时，</w:t>
      </w:r>
      <w:r>
        <w:rPr>
          <w:rFonts w:ascii="宋体" w:hAnsi="宋体" w:cs="宋体"/>
          <w:szCs w:val="21"/>
        </w:rPr>
        <w:t>以联合体形式投标的，本授权委托书由联合体牵头人提供，且由联合体牵头人的法定代表人或其委托代理人按上述规定加盖个人电子签名章或个人电子印章并加盖联合体牵头人单位电子印章。</w:t>
      </w:r>
    </w:p>
    <w:p w14:paraId="123A6158">
      <w:pPr>
        <w:spacing w:line="360" w:lineRule="auto"/>
        <w:ind w:firstLine="420" w:firstLineChars="200"/>
        <w:jc w:val="center"/>
        <w:rPr>
          <w:rFonts w:ascii="黑体" w:hAnsi="黑体" w:eastAsia="黑体" w:cs="黑体"/>
          <w:spacing w:val="-1"/>
          <w:sz w:val="28"/>
          <w:szCs w:val="28"/>
        </w:rPr>
      </w:pPr>
      <w:bookmarkStart w:id="874" w:name="bookmark294"/>
      <w:bookmarkEnd w:id="874"/>
      <w:r>
        <w:rPr>
          <w:rFonts w:ascii="宋体" w:hAnsi="宋体" w:cs="宋体"/>
          <w:szCs w:val="21"/>
        </w:rPr>
        <w:br w:type="page"/>
      </w:r>
      <w:r>
        <w:rPr>
          <w:rFonts w:hint="eastAsia" w:ascii="黑体" w:hAnsi="黑体" w:eastAsia="黑体" w:cs="黑体"/>
          <w:spacing w:val="-1"/>
          <w:sz w:val="28"/>
          <w:szCs w:val="28"/>
        </w:rPr>
        <w:t>法定代表人身份证明</w:t>
      </w:r>
    </w:p>
    <w:p w14:paraId="6BF41008">
      <w:pPr>
        <w:pStyle w:val="20"/>
        <w:kinsoku w:val="0"/>
        <w:overflowPunct w:val="0"/>
        <w:spacing w:line="360" w:lineRule="auto"/>
        <w:rPr>
          <w:rFonts w:cs="黑体"/>
          <w:b/>
        </w:rPr>
      </w:pPr>
    </w:p>
    <w:p w14:paraId="7D029FCD">
      <w:pPr>
        <w:pStyle w:val="20"/>
        <w:kinsoku w:val="0"/>
        <w:overflowPunct w:val="0"/>
        <w:spacing w:before="9" w:line="360" w:lineRule="auto"/>
        <w:rPr>
          <w:rFonts w:cs="黑体"/>
        </w:rPr>
      </w:pPr>
    </w:p>
    <w:p w14:paraId="2AD031F4">
      <w:pPr>
        <w:pStyle w:val="20"/>
        <w:tabs>
          <w:tab w:val="left" w:pos="3959"/>
          <w:tab w:val="left" w:pos="5040"/>
          <w:tab w:val="left" w:pos="5400"/>
          <w:tab w:val="left" w:pos="7145"/>
          <w:tab w:val="left" w:pos="8880"/>
        </w:tabs>
        <w:kinsoku w:val="0"/>
        <w:overflowPunct w:val="0"/>
        <w:spacing w:line="360" w:lineRule="auto"/>
        <w:ind w:left="0" w:right="203"/>
        <w:rPr>
          <w:spacing w:val="1"/>
        </w:rPr>
      </w:pPr>
      <w:r>
        <w:rPr>
          <w:rFonts w:hint="eastAsia"/>
          <w:spacing w:val="-1"/>
        </w:rPr>
        <w:t>投标人名称：</w:t>
      </w:r>
      <w:r>
        <w:rPr>
          <w:u w:val="single"/>
        </w:rPr>
        <w:t xml:space="preserve"> </w:t>
      </w:r>
      <w:r>
        <w:rPr>
          <w:u w:val="single"/>
        </w:rPr>
        <w:tab/>
      </w:r>
      <w:r>
        <w:rPr>
          <w:u w:val="single"/>
        </w:rPr>
        <w:tab/>
      </w:r>
      <w:r>
        <w:t xml:space="preserve"> </w:t>
      </w:r>
      <w:r>
        <w:rPr>
          <w:spacing w:val="1"/>
        </w:rPr>
        <w:t xml:space="preserve">                           </w:t>
      </w:r>
    </w:p>
    <w:p w14:paraId="52EAD1CF">
      <w:pPr>
        <w:pStyle w:val="20"/>
        <w:tabs>
          <w:tab w:val="left" w:pos="4319"/>
          <w:tab w:val="left" w:pos="5639"/>
          <w:tab w:val="left" w:pos="7379"/>
          <w:tab w:val="left" w:pos="8521"/>
        </w:tabs>
        <w:kinsoku w:val="0"/>
        <w:overflowPunct w:val="0"/>
        <w:spacing w:line="360" w:lineRule="auto"/>
        <w:ind w:left="0" w:right="203"/>
        <w:rPr>
          <w:u w:val="single"/>
        </w:rPr>
      </w:pPr>
      <w:r>
        <w:rPr>
          <w:rFonts w:hint="eastAsia"/>
          <w:spacing w:val="-1"/>
        </w:rPr>
        <w:t>姓名：</w:t>
      </w:r>
      <w:r>
        <w:t xml:space="preserve">  </w:t>
      </w:r>
      <w:r>
        <w:rPr>
          <w:spacing w:val="119"/>
          <w:u w:val="single"/>
        </w:rPr>
        <w:t xml:space="preserve"> </w:t>
      </w:r>
      <w:r>
        <w:rPr>
          <w:rFonts w:hint="eastAsia" w:cs="宋体"/>
          <w:u w:val="single"/>
        </w:rPr>
        <w:t>（法定代表人签字）</w:t>
      </w:r>
      <w:r>
        <w:rPr>
          <w:spacing w:val="119"/>
          <w:u w:val="single"/>
        </w:rPr>
        <w:t xml:space="preserve"> </w:t>
      </w:r>
      <w:r>
        <w:rPr>
          <w:rFonts w:hint="eastAsia"/>
        </w:rPr>
        <w:t>性别：</w:t>
      </w:r>
      <w:r>
        <w:rPr>
          <w:u w:val="single"/>
        </w:rPr>
        <w:tab/>
      </w:r>
      <w:r>
        <w:rPr>
          <w:rFonts w:hint="eastAsia"/>
        </w:rPr>
        <w:t>年龄：</w:t>
      </w:r>
      <w:r>
        <w:rPr>
          <w:u w:val="single"/>
        </w:rPr>
        <w:tab/>
      </w:r>
      <w:r>
        <w:rPr>
          <w:rFonts w:hint="eastAsia"/>
        </w:rPr>
        <w:t>职务：</w:t>
      </w:r>
      <w:r>
        <w:rPr>
          <w:u w:val="single"/>
        </w:rPr>
        <w:t xml:space="preserve"> </w:t>
      </w:r>
      <w:r>
        <w:rPr>
          <w:u w:val="single"/>
        </w:rPr>
        <w:tab/>
      </w:r>
    </w:p>
    <w:p w14:paraId="3A476070">
      <w:pPr>
        <w:pStyle w:val="20"/>
        <w:tabs>
          <w:tab w:val="left" w:pos="4319"/>
          <w:tab w:val="left" w:pos="5639"/>
          <w:tab w:val="left" w:pos="7379"/>
          <w:tab w:val="left" w:pos="8521"/>
        </w:tabs>
        <w:kinsoku w:val="0"/>
        <w:overflowPunct w:val="0"/>
        <w:spacing w:line="360" w:lineRule="auto"/>
        <w:ind w:left="0" w:right="203"/>
      </w:pPr>
      <w:r>
        <w:rPr>
          <w:rFonts w:hint="eastAsia"/>
        </w:rPr>
        <w:t>系</w:t>
      </w:r>
      <w:r>
        <w:rPr>
          <w:u w:val="single"/>
        </w:rPr>
        <w:tab/>
      </w:r>
      <w:r>
        <w:rPr>
          <w:u w:val="single"/>
        </w:rPr>
        <w:t xml:space="preserve"> </w:t>
      </w:r>
      <w:r>
        <w:rPr>
          <w:rFonts w:hint="eastAsia"/>
        </w:rPr>
        <w:t>（投标人名称）的法定代表人。</w:t>
      </w:r>
    </w:p>
    <w:p w14:paraId="7AE9A015">
      <w:pPr>
        <w:pStyle w:val="20"/>
        <w:kinsoku w:val="0"/>
        <w:overflowPunct w:val="0"/>
        <w:spacing w:before="29" w:line="360" w:lineRule="auto"/>
        <w:ind w:left="664"/>
      </w:pPr>
      <w:r>
        <w:rPr>
          <w:rFonts w:hint="eastAsia"/>
        </w:rPr>
        <w:t>特此证明。</w:t>
      </w:r>
    </w:p>
    <w:p w14:paraId="339203FB">
      <w:pPr>
        <w:pStyle w:val="20"/>
        <w:kinsoku w:val="0"/>
        <w:overflowPunct w:val="0"/>
        <w:spacing w:before="13" w:line="360" w:lineRule="auto"/>
        <w:rPr>
          <w:sz w:val="21"/>
          <w:szCs w:val="21"/>
        </w:rPr>
      </w:pPr>
    </w:p>
    <w:p w14:paraId="226B59F0">
      <w:pPr>
        <w:pStyle w:val="20"/>
        <w:kinsoku w:val="0"/>
        <w:overflowPunct w:val="0"/>
        <w:spacing w:line="360" w:lineRule="auto"/>
        <w:ind w:left="0"/>
      </w:pPr>
      <w:r>
        <w:rPr>
          <w:rFonts w:hint="eastAsia"/>
        </w:rPr>
        <w:t>附：法定代表人身份证原件原色扫描件。</w:t>
      </w:r>
    </w:p>
    <w:p w14:paraId="434AE706">
      <w:pPr>
        <w:pStyle w:val="20"/>
        <w:kinsoku w:val="0"/>
        <w:overflowPunct w:val="0"/>
        <w:rPr>
          <w:sz w:val="20"/>
          <w:szCs w:val="20"/>
        </w:rPr>
      </w:pPr>
    </w:p>
    <w:p w14:paraId="6E539193">
      <w:pPr>
        <w:pStyle w:val="20"/>
        <w:kinsoku w:val="0"/>
        <w:overflowPunct w:val="0"/>
        <w:rPr>
          <w:sz w:val="20"/>
          <w:szCs w:val="20"/>
        </w:rPr>
      </w:pPr>
    </w:p>
    <w:p w14:paraId="59848754">
      <w:pPr>
        <w:pStyle w:val="20"/>
        <w:kinsoku w:val="0"/>
        <w:overflowPunct w:val="0"/>
        <w:rPr>
          <w:sz w:val="20"/>
          <w:szCs w:val="20"/>
        </w:rPr>
      </w:pPr>
    </w:p>
    <w:p w14:paraId="041DBD64">
      <w:pPr>
        <w:pStyle w:val="20"/>
        <w:kinsoku w:val="0"/>
        <w:overflowPunct w:val="0"/>
        <w:spacing w:before="3"/>
        <w:rPr>
          <w:sz w:val="17"/>
          <w:szCs w:val="17"/>
        </w:rPr>
      </w:pPr>
    </w:p>
    <w:p w14:paraId="6A9F80DB">
      <w:pPr>
        <w:pStyle w:val="20"/>
        <w:tabs>
          <w:tab w:val="left" w:pos="6305"/>
        </w:tabs>
        <w:kinsoku w:val="0"/>
        <w:overflowPunct w:val="0"/>
        <w:ind w:left="3305"/>
      </w:pPr>
      <w:r>
        <w:rPr>
          <w:rFonts w:hint="eastAsia"/>
        </w:rPr>
        <w:t>投标人：</w:t>
      </w:r>
      <w:r>
        <w:rPr>
          <w:rFonts w:hint="eastAsia"/>
          <w:u w:val="single"/>
        </w:rPr>
        <w:t>（全称）</w:t>
      </w:r>
      <w:r>
        <w:rPr>
          <w:u w:val="single"/>
        </w:rPr>
        <w:tab/>
      </w:r>
      <w:r>
        <w:rPr>
          <w:rFonts w:hint="eastAsia"/>
        </w:rPr>
        <w:t>（盖单位电子印章）</w:t>
      </w:r>
    </w:p>
    <w:p w14:paraId="1F5396BF">
      <w:pPr>
        <w:pStyle w:val="20"/>
        <w:tabs>
          <w:tab w:val="left" w:pos="5585"/>
          <w:tab w:val="left" w:pos="6545"/>
          <w:tab w:val="left" w:pos="7200"/>
        </w:tabs>
        <w:kinsoku w:val="0"/>
        <w:overflowPunct w:val="0"/>
        <w:spacing w:before="125"/>
        <w:ind w:left="604" w:firstLine="5409" w:firstLineChars="2254"/>
      </w:pPr>
      <w:r>
        <w:rPr>
          <w:u w:val="single"/>
        </w:rPr>
        <w:t xml:space="preserve"> </w:t>
      </w:r>
      <w:r>
        <w:rPr>
          <w:u w:val="single"/>
        </w:rPr>
        <w:tab/>
      </w:r>
      <w:r>
        <w:rPr>
          <w:rFonts w:hint="eastAsia"/>
          <w:u w:val="single"/>
          <w:lang w:val="en-US" w:eastAsia="zh-CN"/>
        </w:rPr>
        <w:t xml:space="preserve"> </w:t>
      </w:r>
      <w:r>
        <w:rPr>
          <w:rFonts w:hint="eastAsia"/>
        </w:rPr>
        <w:t>年</w:t>
      </w:r>
      <w:r>
        <w:rPr>
          <w:u w:val="single"/>
        </w:rPr>
        <w:tab/>
      </w:r>
      <w:r>
        <w:rPr>
          <w:rFonts w:hint="eastAsia"/>
          <w:u w:val="single"/>
          <w:lang w:val="en-US" w:eastAsia="zh-CN"/>
        </w:rPr>
        <w:t xml:space="preserve">  </w:t>
      </w:r>
      <w:r>
        <w:rPr>
          <w:rFonts w:hint="eastAsia"/>
        </w:rPr>
        <w:t>月</w:t>
      </w:r>
      <w:r>
        <w:rPr>
          <w:u w:val="single"/>
        </w:rPr>
        <w:tab/>
      </w:r>
      <w:r>
        <w:rPr>
          <w:rFonts w:hint="eastAsia"/>
          <w:u w:val="single"/>
          <w:lang w:val="en-US" w:eastAsia="zh-CN"/>
        </w:rPr>
        <w:t xml:space="preserve">  </w:t>
      </w:r>
      <w:r>
        <w:rPr>
          <w:rFonts w:hint="eastAsia"/>
        </w:rPr>
        <w:t>日</w:t>
      </w:r>
    </w:p>
    <w:p w14:paraId="12171E49">
      <w:pPr>
        <w:pStyle w:val="20"/>
        <w:kinsoku w:val="0"/>
        <w:overflowPunct w:val="0"/>
        <w:rPr>
          <w:rFonts w:hint="eastAsia" w:eastAsia="宋体"/>
          <w:lang w:val="en-US" w:eastAsia="zh-CN"/>
        </w:rPr>
      </w:pPr>
      <w:r>
        <w:rPr>
          <w:rFonts w:hint="eastAsia"/>
          <w:lang w:val="en-US" w:eastAsia="zh-CN"/>
        </w:rPr>
        <w:t xml:space="preserve"> </w:t>
      </w:r>
    </w:p>
    <w:p w14:paraId="6D03F96D">
      <w:pPr>
        <w:pStyle w:val="20"/>
        <w:kinsoku w:val="0"/>
        <w:overflowPunct w:val="0"/>
      </w:pPr>
    </w:p>
    <w:p w14:paraId="2A7EDD88">
      <w:pPr>
        <w:pStyle w:val="20"/>
        <w:kinsoku w:val="0"/>
        <w:overflowPunct w:val="0"/>
      </w:pPr>
    </w:p>
    <w:p w14:paraId="70CA7521">
      <w:pPr>
        <w:pStyle w:val="20"/>
        <w:kinsoku w:val="0"/>
        <w:overflowPunct w:val="0"/>
      </w:pPr>
    </w:p>
    <w:p w14:paraId="4C0B4461">
      <w:pPr>
        <w:pStyle w:val="20"/>
        <w:kinsoku w:val="0"/>
        <w:overflowPunct w:val="0"/>
      </w:pPr>
    </w:p>
    <w:p w14:paraId="1246CE9C">
      <w:pPr>
        <w:pStyle w:val="20"/>
        <w:kinsoku w:val="0"/>
        <w:overflowPunct w:val="0"/>
        <w:spacing w:before="10"/>
        <w:rPr>
          <w:sz w:val="25"/>
          <w:szCs w:val="25"/>
        </w:rPr>
      </w:pPr>
    </w:p>
    <w:p w14:paraId="4F7BEE65">
      <w:pPr>
        <w:pStyle w:val="299"/>
        <w:spacing w:line="360" w:lineRule="auto"/>
        <w:ind w:firstLine="0" w:firstLineChars="0"/>
        <w:rPr>
          <w:rFonts w:ascii="宋体" w:hAnsi="宋体" w:cs="宋体"/>
          <w:szCs w:val="21"/>
        </w:rPr>
      </w:pPr>
      <w:r>
        <w:rPr>
          <w:rFonts w:hint="eastAsia" w:ascii="宋体" w:hAnsi="宋体" w:cs="宋体"/>
          <w:szCs w:val="21"/>
        </w:rPr>
        <w:t>注：</w:t>
      </w:r>
      <w:r>
        <w:rPr>
          <w:rFonts w:ascii="宋体" w:hAnsi="宋体" w:cs="宋体"/>
          <w:szCs w:val="21"/>
        </w:rPr>
        <w:t>1.如果投标文件由法定代表人签署，则投标人须提交法定代表人身份证明，法定代表人身份证明须满足下列要求：</w:t>
      </w:r>
    </w:p>
    <w:p w14:paraId="5A5FA57B">
      <w:pPr>
        <w:pStyle w:val="299"/>
        <w:spacing w:line="360" w:lineRule="auto"/>
        <w:ind w:firstLine="420" w:firstLineChars="200"/>
        <w:rPr>
          <w:rFonts w:ascii="宋体" w:hAnsi="宋体" w:cs="宋体"/>
          <w:szCs w:val="21"/>
        </w:rPr>
      </w:pPr>
      <w:r>
        <w:rPr>
          <w:rFonts w:hint="eastAsia" w:ascii="宋体" w:hAnsi="宋体" w:cs="宋体"/>
          <w:szCs w:val="21"/>
        </w:rPr>
        <w:t>（1）法定代表人签字指加盖法定代表人个人电子签名章或个人电子印章。</w:t>
      </w:r>
    </w:p>
    <w:p w14:paraId="7A024346">
      <w:pPr>
        <w:pStyle w:val="299"/>
        <w:spacing w:line="360" w:lineRule="auto"/>
        <w:ind w:firstLine="420" w:firstLineChars="200"/>
        <w:rPr>
          <w:rFonts w:ascii="宋体" w:hAnsi="宋体" w:cs="宋体"/>
          <w:szCs w:val="21"/>
        </w:rPr>
      </w:pPr>
      <w:r>
        <w:rPr>
          <w:rFonts w:hint="eastAsia"/>
        </w:rPr>
        <w:t>（2）投标人须在法定代表人身份证明上加盖投标人单位电子印章。</w:t>
      </w:r>
    </w:p>
    <w:p w14:paraId="66010F65">
      <w:pPr>
        <w:pStyle w:val="299"/>
        <w:adjustRightInd w:val="0"/>
        <w:snapToGrid w:val="0"/>
        <w:spacing w:line="360" w:lineRule="auto"/>
        <w:ind w:firstLine="420" w:firstLineChars="200"/>
        <w:rPr>
          <w:rFonts w:ascii="宋体" w:hAnsi="宋体" w:cs="宋体"/>
          <w:szCs w:val="21"/>
        </w:rPr>
      </w:pPr>
      <w:r>
        <w:rPr>
          <w:rFonts w:ascii="宋体" w:hAnsi="宋体" w:cs="宋体"/>
          <w:szCs w:val="21"/>
        </w:rPr>
        <w:t>2.如果由投标人的法定代表人亲自签署投标文件，则</w:t>
      </w:r>
      <w:r>
        <w:rPr>
          <w:rFonts w:hint="eastAsia" w:ascii="宋体" w:hAnsi="宋体" w:cs="宋体"/>
          <w:szCs w:val="21"/>
          <w:lang w:val="en-US" w:eastAsia="zh-CN"/>
        </w:rPr>
        <w:t>无须</w:t>
      </w:r>
      <w:r>
        <w:rPr>
          <w:rFonts w:ascii="宋体" w:hAnsi="宋体" w:cs="宋体"/>
          <w:szCs w:val="21"/>
        </w:rPr>
        <w:t>提交授权委托书。</w:t>
      </w:r>
    </w:p>
    <w:p w14:paraId="16697C09">
      <w:pPr>
        <w:pStyle w:val="20"/>
        <w:kinsoku w:val="0"/>
        <w:overflowPunct w:val="0"/>
        <w:spacing w:line="360" w:lineRule="auto"/>
        <w:ind w:firstLine="420" w:firstLineChars="200"/>
        <w:rPr>
          <w:spacing w:val="-3"/>
          <w:sz w:val="21"/>
          <w:szCs w:val="21"/>
        </w:rPr>
      </w:pPr>
      <w:r>
        <w:rPr>
          <w:rFonts w:cs="宋体"/>
          <w:sz w:val="21"/>
          <w:szCs w:val="21"/>
        </w:rPr>
        <w:t>3.</w:t>
      </w:r>
      <w:r>
        <w:rPr>
          <w:rFonts w:hint="eastAsia" w:cs="宋体"/>
          <w:sz w:val="21"/>
          <w:szCs w:val="21"/>
        </w:rPr>
        <w:t>允许联合体投标时，</w:t>
      </w:r>
      <w:r>
        <w:rPr>
          <w:rFonts w:cs="宋体"/>
          <w:sz w:val="21"/>
          <w:szCs w:val="21"/>
        </w:rPr>
        <w:t>以联合体形式投标的，法定代表人身份证明由联合体牵头人提供，且由联合体牵头人的法定代表人加盖其个人电子签名章或个人电子印章并加盖联合体牵头人单位电子印章。</w:t>
      </w:r>
    </w:p>
    <w:p w14:paraId="0AF7FD00">
      <w:pPr>
        <w:pStyle w:val="20"/>
        <w:kinsoku w:val="0"/>
        <w:overflowPunct w:val="0"/>
        <w:ind w:left="604"/>
        <w:rPr>
          <w:spacing w:val="-3"/>
          <w:sz w:val="21"/>
          <w:szCs w:val="21"/>
        </w:rPr>
        <w:sectPr>
          <w:headerReference r:id="rId21" w:type="even"/>
          <w:footerReference r:id="rId22" w:type="even"/>
          <w:footnotePr>
            <w:numFmt w:val="decimalEnclosedCircleChinese"/>
            <w:numRestart w:val="eachPage"/>
          </w:footnotePr>
          <w:type w:val="continuous"/>
          <w:pgSz w:w="11900" w:h="16838"/>
          <w:pgMar w:top="1418" w:right="1418" w:bottom="1418" w:left="1701" w:header="851" w:footer="624" w:gutter="0"/>
          <w:cols w:space="720" w:num="1"/>
          <w:docGrid w:linePitch="312" w:charSpace="0"/>
        </w:sectPr>
      </w:pPr>
    </w:p>
    <w:p w14:paraId="6C045E7B">
      <w:pPr>
        <w:pStyle w:val="20"/>
        <w:kinsoku w:val="0"/>
        <w:overflowPunct w:val="0"/>
        <w:spacing w:before="14"/>
        <w:jc w:val="center"/>
        <w:rPr>
          <w:rFonts w:ascii="黑体" w:hAnsi="黑体" w:eastAsia="黑体"/>
          <w:sz w:val="30"/>
          <w:szCs w:val="30"/>
        </w:rPr>
      </w:pPr>
      <w:r>
        <w:rPr>
          <w:sz w:val="15"/>
          <w:szCs w:val="15"/>
        </w:rPr>
        <w:br w:type="page"/>
      </w:r>
      <w:r>
        <w:rPr>
          <w:rFonts w:hint="eastAsia" w:ascii="黑体" w:hAnsi="黑体" w:eastAsia="黑体" w:cs="黑体"/>
          <w:bCs/>
          <w:spacing w:val="-1"/>
          <w:sz w:val="30"/>
          <w:szCs w:val="30"/>
        </w:rPr>
        <w:t>三</w:t>
      </w:r>
      <w:r>
        <w:rPr>
          <w:rFonts w:hint="eastAsia" w:ascii="黑体" w:hAnsi="黑体" w:eastAsia="黑体" w:cs="黑体"/>
          <w:spacing w:val="-1"/>
          <w:sz w:val="30"/>
          <w:szCs w:val="30"/>
        </w:rPr>
        <w:t>、</w:t>
      </w:r>
      <w:r>
        <w:rPr>
          <w:rFonts w:ascii="黑体" w:hAnsi="黑体" w:eastAsia="黑体"/>
          <w:sz w:val="30"/>
          <w:szCs w:val="30"/>
        </w:rPr>
        <w:t>联合体协议书</w:t>
      </w:r>
    </w:p>
    <w:p w14:paraId="3C762033">
      <w:pPr>
        <w:pStyle w:val="299"/>
        <w:spacing w:line="360" w:lineRule="auto"/>
      </w:pPr>
    </w:p>
    <w:p w14:paraId="4B48DAB1">
      <w:pPr>
        <w:adjustRightInd w:val="0"/>
        <w:snapToGrid w:val="0"/>
        <w:spacing w:line="360" w:lineRule="auto"/>
        <w:ind w:firstLine="480" w:firstLineChars="200"/>
        <w:jc w:val="left"/>
        <w:rPr>
          <w:rFonts w:ascii="宋体" w:hAnsi="宋体"/>
          <w:sz w:val="24"/>
        </w:rPr>
      </w:pP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ascii="宋体" w:hAnsi="宋体"/>
          <w:sz w:val="24"/>
        </w:rPr>
        <w:t>（</w:t>
      </w:r>
      <w:r>
        <w:rPr>
          <w:rFonts w:hint="eastAsia" w:ascii="宋体" w:hAnsi="宋体"/>
          <w:sz w:val="24"/>
        </w:rPr>
        <w:t>所有成员单位名称</w:t>
      </w:r>
      <w:r>
        <w:rPr>
          <w:rFonts w:ascii="宋体" w:hAnsi="宋体"/>
          <w:sz w:val="24"/>
        </w:rPr>
        <w:t>）</w:t>
      </w:r>
      <w:r>
        <w:rPr>
          <w:rFonts w:hint="eastAsia" w:ascii="宋体" w:hAnsi="宋体"/>
          <w:sz w:val="24"/>
        </w:rPr>
        <w:t>自愿组成联合体，共同参加</w:t>
      </w:r>
      <w:r>
        <w:rPr>
          <w:rFonts w:ascii="宋体" w:hAnsi="宋体"/>
          <w:sz w:val="24"/>
          <w:u w:val="single"/>
        </w:rPr>
        <w:t xml:space="preserve"> </w:t>
      </w:r>
      <w:r>
        <w:rPr>
          <w:spacing w:val="-1"/>
          <w:sz w:val="24"/>
          <w:u w:val="single"/>
        </w:rPr>
        <w:tab/>
      </w:r>
      <w:r>
        <w:rPr>
          <w:spacing w:val="-1"/>
          <w:sz w:val="24"/>
          <w:u w:val="single"/>
        </w:rPr>
        <w:tab/>
      </w:r>
      <w:r>
        <w:rPr>
          <w:rFonts w:hint="eastAsia"/>
          <w:sz w:val="24"/>
        </w:rPr>
        <w:t>（招标项目名称）</w:t>
      </w:r>
      <w:r>
        <w:rPr>
          <w:rFonts w:hint="eastAsia"/>
          <w:sz w:val="24"/>
          <w:lang w:val="en-US" w:eastAsia="zh-CN"/>
        </w:rPr>
        <w:t>设计施工总承包</w:t>
      </w:r>
      <w:r>
        <w:rPr>
          <w:sz w:val="24"/>
          <w:u w:val="single"/>
        </w:rPr>
        <w:tab/>
      </w:r>
      <w:r>
        <w:rPr>
          <w:sz w:val="24"/>
          <w:u w:val="single"/>
        </w:rPr>
        <w:t xml:space="preserve">   </w:t>
      </w:r>
      <w:r>
        <w:rPr>
          <w:rFonts w:hint="eastAsia"/>
          <w:sz w:val="24"/>
        </w:rPr>
        <w:t>标段</w:t>
      </w:r>
      <w:r>
        <w:rPr>
          <w:rFonts w:hint="eastAsia" w:ascii="宋体" w:hAnsi="宋体"/>
          <w:sz w:val="24"/>
        </w:rPr>
        <w:t>投标。现就联合体投标事宜订立如下协议。</w:t>
      </w:r>
    </w:p>
    <w:p w14:paraId="5FC59372">
      <w:pPr>
        <w:adjustRightInd w:val="0"/>
        <w:snapToGrid w:val="0"/>
        <w:spacing w:line="360" w:lineRule="auto"/>
        <w:ind w:firstLine="480" w:firstLineChars="200"/>
        <w:jc w:val="left"/>
        <w:rPr>
          <w:rFonts w:ascii="宋体" w:hAnsi="宋体"/>
          <w:sz w:val="24"/>
        </w:rPr>
      </w:pPr>
      <w:r>
        <w:rPr>
          <w:rFonts w:ascii="宋体" w:hAnsi="宋体"/>
          <w:sz w:val="24"/>
        </w:rPr>
        <w:t xml:space="preserve">1. </w:t>
      </w:r>
      <w:r>
        <w:rPr>
          <w:rFonts w:ascii="宋体" w:hAnsi="宋体"/>
          <w:sz w:val="24"/>
          <w:u w:val="single"/>
        </w:rPr>
        <w:tab/>
      </w:r>
      <w:r>
        <w:rPr>
          <w:rFonts w:ascii="宋体" w:hAnsi="宋体"/>
          <w:sz w:val="24"/>
          <w:u w:val="single"/>
        </w:rPr>
        <w:t xml:space="preserve">      </w:t>
      </w:r>
      <w:r>
        <w:rPr>
          <w:rFonts w:ascii="宋体" w:hAnsi="宋体"/>
          <w:sz w:val="24"/>
        </w:rPr>
        <w:t>（</w:t>
      </w:r>
      <w:r>
        <w:rPr>
          <w:rFonts w:hint="eastAsia" w:ascii="宋体" w:hAnsi="宋体"/>
          <w:sz w:val="24"/>
        </w:rPr>
        <w:t>某成员单位名称</w:t>
      </w:r>
      <w:r>
        <w:rPr>
          <w:rFonts w:ascii="宋体" w:hAnsi="宋体"/>
          <w:sz w:val="24"/>
        </w:rPr>
        <w:t>）</w:t>
      </w:r>
      <w:r>
        <w:rPr>
          <w:rFonts w:hint="eastAsia" w:ascii="宋体" w:hAnsi="宋体"/>
          <w:sz w:val="24"/>
        </w:rPr>
        <w:t>为牵头人。</w:t>
      </w:r>
    </w:p>
    <w:p w14:paraId="24C0CA8C">
      <w:pPr>
        <w:adjustRightInd w:val="0"/>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联合体各成员授权牵头人代表联合体参加投标活动，签署文件，提交和接收相关的资料、信息及指示，进行合同谈判活动，负责合同实施阶段的组织和协调工作，以及处理与本招标项目有关的一切事宜。</w:t>
      </w:r>
    </w:p>
    <w:p w14:paraId="752460C8">
      <w:pPr>
        <w:adjustRightInd w:val="0"/>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联合体牵头人在本项目中签署的一切文件和处理的一切事宜，联合体各成员均予以承认。联合体各成员将严格按照招标文件、投标文件的合同的要求全面履行义务，并向招标人承担连带责任。</w:t>
      </w:r>
    </w:p>
    <w:p w14:paraId="22DDDD45">
      <w:pPr>
        <w:adjustRightInd w:val="0"/>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w:t>
      </w:r>
      <w:r>
        <w:rPr>
          <w:rFonts w:hint="eastAsia" w:ascii="宋体" w:hAnsi="宋体"/>
          <w:sz w:val="24"/>
          <w:u w:val="single"/>
        </w:rPr>
        <w:t>牵头人名称</w:t>
      </w:r>
      <w:r>
        <w:rPr>
          <w:rFonts w:ascii="宋体" w:hAnsi="宋体"/>
          <w:sz w:val="24"/>
          <w:u w:val="single"/>
        </w:rPr>
        <w:t>）</w:t>
      </w:r>
      <w:r>
        <w:rPr>
          <w:rFonts w:hint="eastAsia" w:ascii="宋体" w:hAnsi="宋体"/>
          <w:sz w:val="24"/>
        </w:rPr>
        <w:t>承担</w:t>
      </w:r>
      <w:r>
        <w:rPr>
          <w:rFonts w:ascii="宋体" w:hAnsi="宋体"/>
          <w:sz w:val="24"/>
          <w:u w:val="single"/>
        </w:rPr>
        <w:t xml:space="preserve">      </w:t>
      </w:r>
      <w:r>
        <w:rPr>
          <w:rFonts w:ascii="宋体" w:hAnsi="宋体"/>
          <w:sz w:val="24"/>
          <w:u w:val="single"/>
        </w:rPr>
        <w:tab/>
      </w:r>
      <w:r>
        <w:rPr>
          <w:rFonts w:hint="eastAsia" w:ascii="宋体" w:hAnsi="宋体"/>
          <w:sz w:val="24"/>
        </w:rPr>
        <w:t>，</w:t>
      </w:r>
      <w:r>
        <w:rPr>
          <w:rFonts w:ascii="宋体" w:hAnsi="宋体"/>
          <w:sz w:val="24"/>
        </w:rPr>
        <w:t xml:space="preserve"> </w:t>
      </w:r>
      <w:r>
        <w:rPr>
          <w:rFonts w:hint="eastAsia" w:ascii="宋体" w:hAnsi="宋体"/>
          <w:sz w:val="24"/>
        </w:rPr>
        <w:t>占总工程量的</w:t>
      </w:r>
      <w:r>
        <w:rPr>
          <w:rFonts w:ascii="宋体" w:hAnsi="宋体"/>
          <w:sz w:val="24"/>
          <w:u w:val="single"/>
        </w:rPr>
        <w:t xml:space="preserve">   </w:t>
      </w:r>
      <w:r>
        <w:rPr>
          <w:rFonts w:ascii="宋体" w:hAnsi="宋体"/>
          <w:sz w:val="24"/>
          <w:u w:val="single"/>
        </w:rPr>
        <w:tab/>
      </w:r>
      <w:r>
        <w:rPr>
          <w:rFonts w:ascii="宋体" w:hAnsi="宋体"/>
          <w:sz w:val="24"/>
        </w:rPr>
        <w:t>%</w:t>
      </w:r>
      <w:r>
        <w:rPr>
          <w:rFonts w:hint="eastAsia" w:ascii="宋体" w:hAnsi="宋体"/>
          <w:sz w:val="24"/>
        </w:rPr>
        <w:t>；</w:t>
      </w:r>
      <w:r>
        <w:rPr>
          <w:rFonts w:ascii="宋体" w:hAnsi="宋体"/>
          <w:sz w:val="24"/>
          <w:u w:val="single"/>
        </w:rPr>
        <w:t>（</w:t>
      </w:r>
      <w:r>
        <w:rPr>
          <w:rFonts w:hint="eastAsia" w:ascii="宋体" w:hAnsi="宋体"/>
          <w:sz w:val="24"/>
          <w:u w:val="single"/>
        </w:rPr>
        <w:t>成员一名称</w:t>
      </w:r>
      <w:r>
        <w:rPr>
          <w:rFonts w:ascii="宋体" w:hAnsi="宋体"/>
          <w:sz w:val="24"/>
          <w:u w:val="single"/>
        </w:rPr>
        <w:t>）</w:t>
      </w:r>
      <w:r>
        <w:rPr>
          <w:rFonts w:hint="eastAsia" w:ascii="宋体" w:hAnsi="宋体"/>
          <w:sz w:val="24"/>
        </w:rPr>
        <w:t>承担</w:t>
      </w:r>
      <w:r>
        <w:rPr>
          <w:rFonts w:ascii="宋体" w:hAnsi="宋体"/>
          <w:sz w:val="24"/>
          <w:u w:val="single"/>
        </w:rPr>
        <w:t xml:space="preserve">      </w:t>
      </w:r>
      <w:r>
        <w:rPr>
          <w:rFonts w:ascii="宋体" w:hAnsi="宋体"/>
          <w:sz w:val="24"/>
          <w:u w:val="single"/>
        </w:rPr>
        <w:tab/>
      </w:r>
      <w:r>
        <w:rPr>
          <w:rFonts w:hint="eastAsia" w:ascii="宋体" w:hAnsi="宋体"/>
          <w:sz w:val="24"/>
        </w:rPr>
        <w:t>，占总工程量的</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p>
    <w:p w14:paraId="316FECE8">
      <w:pPr>
        <w:adjustRightInd w:val="0"/>
        <w:snapToGrid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投标工作和联合体在中标后工程实施过程中的有关费用按各自承担的工作量分摊。</w:t>
      </w:r>
    </w:p>
    <w:p w14:paraId="09593DAE">
      <w:pPr>
        <w:adjustRightInd w:val="0"/>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本协议书自所有成员单位法定代表人签字并加盖单位章之日起生效，合同履行完毕后自动失效。</w:t>
      </w:r>
    </w:p>
    <w:p w14:paraId="4BFD0CDB">
      <w:pPr>
        <w:adjustRightInd w:val="0"/>
        <w:snapToGrid w:val="0"/>
        <w:spacing w:line="360" w:lineRule="auto"/>
        <w:ind w:firstLine="480" w:firstLineChars="200"/>
        <w:jc w:val="left"/>
        <w:rPr>
          <w:rFonts w:ascii="宋体" w:hAnsi="宋体"/>
          <w:sz w:val="24"/>
        </w:rPr>
      </w:pPr>
      <w:r>
        <w:rPr>
          <w:rFonts w:ascii="宋体" w:hAnsi="宋体"/>
          <w:sz w:val="24"/>
        </w:rPr>
        <w:t>7.</w:t>
      </w:r>
      <w:r>
        <w:rPr>
          <w:rFonts w:hint="eastAsia" w:ascii="宋体" w:hAnsi="宋体"/>
          <w:sz w:val="24"/>
        </w:rPr>
        <w:t>本协议书一式</w:t>
      </w:r>
      <w:r>
        <w:rPr>
          <w:rFonts w:ascii="宋体" w:hAnsi="宋体"/>
          <w:sz w:val="24"/>
          <w:u w:val="single"/>
        </w:rPr>
        <w:t xml:space="preserve">    </w:t>
      </w:r>
      <w:r>
        <w:rPr>
          <w:rFonts w:hint="eastAsia" w:ascii="宋体" w:hAnsi="宋体"/>
          <w:sz w:val="24"/>
        </w:rPr>
        <w:t>份，联合体成员和招标人各执一份。</w:t>
      </w:r>
    </w:p>
    <w:p w14:paraId="054D07CF">
      <w:pPr>
        <w:adjustRightInd w:val="0"/>
        <w:snapToGrid w:val="0"/>
        <w:spacing w:line="360" w:lineRule="auto"/>
        <w:ind w:firstLine="1680" w:firstLineChars="700"/>
        <w:jc w:val="left"/>
        <w:rPr>
          <w:rFonts w:ascii="宋体" w:hAnsi="宋体"/>
          <w:sz w:val="24"/>
        </w:rPr>
      </w:pPr>
    </w:p>
    <w:p w14:paraId="73455116">
      <w:pPr>
        <w:adjustRightInd w:val="0"/>
        <w:snapToGrid w:val="0"/>
        <w:spacing w:line="360" w:lineRule="auto"/>
        <w:ind w:firstLine="1680" w:firstLineChars="700"/>
        <w:jc w:val="left"/>
        <w:rPr>
          <w:rFonts w:ascii="宋体" w:hAnsi="宋体"/>
          <w:sz w:val="24"/>
        </w:rPr>
      </w:pPr>
      <w:r>
        <w:rPr>
          <w:rFonts w:hint="eastAsia" w:ascii="宋体" w:hAnsi="宋体"/>
          <w:sz w:val="24"/>
        </w:rPr>
        <w:t>联合体牵头人名称：</w:t>
      </w:r>
      <w:r>
        <w:rPr>
          <w:rFonts w:ascii="宋体" w:hAnsi="宋体"/>
          <w:sz w:val="24"/>
          <w:u w:val="single"/>
        </w:rPr>
        <w:t xml:space="preserve">  （全称） </w:t>
      </w:r>
      <w:r>
        <w:rPr>
          <w:rFonts w:ascii="宋体" w:hAnsi="宋体"/>
          <w:sz w:val="24"/>
        </w:rPr>
        <w:t>（盖单位电子印章</w:t>
      </w:r>
      <w:r>
        <w:rPr>
          <w:rFonts w:hint="eastAsia"/>
          <w:sz w:val="24"/>
        </w:rPr>
        <w:t>／盖单位章</w:t>
      </w:r>
      <w:r>
        <w:rPr>
          <w:rFonts w:ascii="宋体" w:hAnsi="宋体"/>
          <w:sz w:val="24"/>
        </w:rPr>
        <w:t>）</w:t>
      </w:r>
    </w:p>
    <w:p w14:paraId="329BC18B">
      <w:pPr>
        <w:adjustRightInd w:val="0"/>
        <w:snapToGrid w:val="0"/>
        <w:spacing w:line="360" w:lineRule="auto"/>
        <w:ind w:firstLine="1680" w:firstLineChars="700"/>
        <w:jc w:val="left"/>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rPr>
        <w:t>（</w:t>
      </w:r>
      <w:r>
        <w:rPr>
          <w:rFonts w:hint="eastAsia"/>
          <w:sz w:val="24"/>
        </w:rPr>
        <w:t>个人电子签名章或个人电子印章／签字</w:t>
      </w:r>
      <w:r>
        <w:rPr>
          <w:rFonts w:hint="eastAsia" w:ascii="宋体" w:hAnsi="宋体"/>
          <w:sz w:val="24"/>
        </w:rPr>
        <w:t>）</w:t>
      </w:r>
    </w:p>
    <w:p w14:paraId="6F35D791">
      <w:pPr>
        <w:adjustRightInd w:val="0"/>
        <w:snapToGrid w:val="0"/>
        <w:spacing w:line="360" w:lineRule="auto"/>
        <w:ind w:firstLine="1680" w:firstLineChars="700"/>
        <w:jc w:val="left"/>
        <w:rPr>
          <w:rFonts w:ascii="宋体" w:hAnsi="宋体"/>
          <w:sz w:val="24"/>
        </w:rPr>
      </w:pPr>
      <w:r>
        <w:rPr>
          <w:rFonts w:hint="eastAsia" w:ascii="宋体" w:hAnsi="宋体"/>
          <w:sz w:val="24"/>
        </w:rPr>
        <w:t>联合体成员名称：</w:t>
      </w:r>
      <w:r>
        <w:rPr>
          <w:rFonts w:ascii="宋体" w:hAnsi="宋体"/>
          <w:sz w:val="24"/>
          <w:u w:val="single"/>
        </w:rPr>
        <w:t xml:space="preserve">   （全称）  </w:t>
      </w:r>
      <w:r>
        <w:rPr>
          <w:rFonts w:ascii="宋体" w:hAnsi="宋体"/>
          <w:sz w:val="24"/>
        </w:rPr>
        <w:t>（盖单位电子印章</w:t>
      </w:r>
      <w:r>
        <w:rPr>
          <w:rFonts w:hint="eastAsia"/>
          <w:sz w:val="24"/>
        </w:rPr>
        <w:t>／盖单位章</w:t>
      </w:r>
      <w:r>
        <w:rPr>
          <w:rFonts w:ascii="宋体" w:hAnsi="宋体"/>
          <w:sz w:val="24"/>
        </w:rPr>
        <w:t>）</w:t>
      </w:r>
    </w:p>
    <w:p w14:paraId="613BD8A4">
      <w:pPr>
        <w:adjustRightInd w:val="0"/>
        <w:snapToGrid w:val="0"/>
        <w:spacing w:line="360" w:lineRule="auto"/>
        <w:ind w:firstLine="1680" w:firstLineChars="700"/>
        <w:jc w:val="left"/>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u w:val="single"/>
        </w:rPr>
        <w:t xml:space="preserve">      </w:t>
      </w:r>
      <w:r>
        <w:rPr>
          <w:rFonts w:hint="eastAsia" w:ascii="宋体" w:hAnsi="宋体"/>
          <w:sz w:val="24"/>
        </w:rPr>
        <w:t>（</w:t>
      </w:r>
      <w:r>
        <w:rPr>
          <w:rFonts w:hint="eastAsia"/>
          <w:sz w:val="24"/>
        </w:rPr>
        <w:t>个人电子签名章或个人电子印章／签字</w:t>
      </w:r>
      <w:r>
        <w:rPr>
          <w:rFonts w:hint="eastAsia" w:ascii="宋体" w:hAnsi="宋体"/>
          <w:sz w:val="24"/>
        </w:rPr>
        <w:t>）</w:t>
      </w:r>
    </w:p>
    <w:p w14:paraId="308642BA">
      <w:pPr>
        <w:adjustRightInd w:val="0"/>
        <w:snapToGrid w:val="0"/>
        <w:spacing w:line="360" w:lineRule="auto"/>
        <w:ind w:firstLine="2040" w:firstLineChars="850"/>
        <w:jc w:val="left"/>
        <w:rPr>
          <w:rFonts w:ascii="宋体" w:hAnsi="宋体" w:cs="宋体"/>
          <w:sz w:val="24"/>
        </w:rPr>
      </w:pPr>
      <w:r>
        <w:rPr>
          <w:rFonts w:hint="eastAsia" w:ascii="宋体" w:hAnsi="宋体" w:cs="宋体"/>
          <w:sz w:val="24"/>
        </w:rPr>
        <w:t>……</w:t>
      </w:r>
    </w:p>
    <w:p w14:paraId="007D3ADB">
      <w:pPr>
        <w:adjustRightInd w:val="0"/>
        <w:snapToGrid w:val="0"/>
        <w:spacing w:line="360" w:lineRule="auto"/>
        <w:ind w:firstLine="4320" w:firstLineChars="1800"/>
        <w:jc w:val="left"/>
        <w:rPr>
          <w:rFonts w:ascii="宋体" w:hAnsi="宋体" w:cs="宋体"/>
        </w:rPr>
      </w:pP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4E21AD7B">
      <w:pPr>
        <w:pStyle w:val="299"/>
        <w:adjustRightInd w:val="0"/>
        <w:snapToGrid w:val="0"/>
        <w:spacing w:line="360" w:lineRule="auto"/>
        <w:rPr>
          <w:sz w:val="15"/>
          <w:szCs w:val="15"/>
        </w:rPr>
      </w:pPr>
    </w:p>
    <w:p w14:paraId="3E7956F4">
      <w:pPr>
        <w:snapToGrid w:val="0"/>
        <w:spacing w:line="360" w:lineRule="auto"/>
        <w:rPr>
          <w:rFonts w:hint="eastAsia" w:ascii="宋体" w:hAnsi="宋体" w:cs="宋体"/>
          <w:szCs w:val="21"/>
        </w:rPr>
      </w:pPr>
      <w:r>
        <w:rPr>
          <w:rFonts w:hint="eastAsia" w:ascii="宋体" w:hAnsi="宋体" w:cs="宋体"/>
        </w:rPr>
        <w:t>注：1.若联合体协议书采用线下签署方式，投标人应按上述格式填写完成并签字盖章后再附</w:t>
      </w:r>
      <w:r>
        <w:rPr>
          <w:rFonts w:hint="eastAsia" w:ascii="宋体" w:hAnsi="宋体" w:cs="宋体"/>
          <w:szCs w:val="21"/>
        </w:rPr>
        <w:t>原件原色扫描件。</w:t>
      </w:r>
    </w:p>
    <w:p w14:paraId="1D3413D9">
      <w:pPr>
        <w:snapToGrid w:val="0"/>
        <w:spacing w:line="360" w:lineRule="auto"/>
        <w:ind w:left="567" w:leftChars="200" w:hanging="147" w:hangingChars="70"/>
        <w:rPr>
          <w:rFonts w:hint="eastAsia" w:ascii="宋体" w:hAnsi="宋体" w:cs="宋体"/>
          <w:szCs w:val="21"/>
        </w:rPr>
      </w:pPr>
      <w:r>
        <w:rPr>
          <w:rFonts w:hint="eastAsia" w:ascii="宋体" w:hAnsi="宋体" w:cs="宋体"/>
          <w:szCs w:val="21"/>
        </w:rPr>
        <w:t>2.若联合体协议书采用线上电子签署方式，投标人应按上述格式填写并完成电子签章。</w:t>
      </w:r>
    </w:p>
    <w:p w14:paraId="1FCE7258">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3.对于联合体牵头单位或成员单位，联合体协议书采用线上电子签署方式时指加盖联合体牵头人单位电子印章，采用线下签署方式时指加盖联合体牵头人单位章。</w:t>
      </w:r>
    </w:p>
    <w:p w14:paraId="75A6A353">
      <w:pPr>
        <w:snapToGrid w:val="0"/>
        <w:spacing w:line="360" w:lineRule="auto"/>
        <w:ind w:left="0" w:leftChars="0" w:firstLine="420" w:firstLineChars="200"/>
        <w:rPr>
          <w:rFonts w:hint="eastAsia" w:ascii="宋体" w:hAnsi="宋体" w:cs="宋体"/>
          <w:szCs w:val="21"/>
        </w:rPr>
      </w:pPr>
      <w:r>
        <w:rPr>
          <w:rFonts w:hint="eastAsia" w:ascii="宋体" w:hAnsi="宋体" w:cs="宋体"/>
          <w:szCs w:val="21"/>
        </w:rPr>
        <w:t>4.对于法定代表人，联合体协议书采用线上电子签署方式时指联合体牵头人法定代表人个人电子签名章或个人电子印章，采用线下签署方式时指联合体牵头人法定代表人签字。</w:t>
      </w:r>
    </w:p>
    <w:p w14:paraId="3D3901A8">
      <w:pPr>
        <w:pStyle w:val="20"/>
        <w:kinsoku w:val="0"/>
        <w:overflowPunct w:val="0"/>
        <w:spacing w:before="14" w:line="360" w:lineRule="auto"/>
        <w:ind w:left="693" w:firstLine="2849"/>
        <w:rPr>
          <w:rFonts w:ascii="黑体" w:hAnsi="黑体" w:eastAsia="黑体" w:cs="黑体"/>
          <w:spacing w:val="-1"/>
          <w:sz w:val="30"/>
          <w:szCs w:val="30"/>
        </w:rPr>
      </w:pPr>
      <w:r>
        <w:rPr>
          <w:sz w:val="15"/>
          <w:szCs w:val="15"/>
        </w:rPr>
        <w:br w:type="page"/>
      </w:r>
      <w:r>
        <w:rPr>
          <w:rFonts w:hint="eastAsia" w:ascii="黑体" w:hAnsi="黑体" w:eastAsia="黑体" w:cs="黑体"/>
          <w:bCs/>
          <w:spacing w:val="-1"/>
          <w:sz w:val="30"/>
          <w:szCs w:val="30"/>
        </w:rPr>
        <w:t>四</w:t>
      </w:r>
      <w:r>
        <w:rPr>
          <w:rFonts w:hint="eastAsia" w:ascii="黑体" w:hAnsi="黑体" w:eastAsia="黑体" w:cs="黑体"/>
          <w:spacing w:val="-1"/>
          <w:sz w:val="30"/>
          <w:szCs w:val="30"/>
        </w:rPr>
        <w:t>、投标保证金</w:t>
      </w:r>
    </w:p>
    <w:p w14:paraId="21C71148">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现金</w:t>
      </w:r>
      <w:r>
        <w:rPr>
          <w:rFonts w:hint="eastAsia" w:ascii="宋体" w:hAnsi="宋体" w:cs="Times New Roman"/>
          <w:kern w:val="2"/>
          <w:sz w:val="24"/>
          <w:szCs w:val="24"/>
          <w:lang w:val="en-US" w:eastAsia="zh-CN" w:bidi="ar-SA"/>
        </w:rPr>
        <w:t>、支票</w:t>
      </w:r>
      <w:r>
        <w:rPr>
          <w:rFonts w:hint="eastAsia" w:ascii="宋体" w:hAnsi="宋体" w:eastAsia="宋体" w:cs="Times New Roman"/>
          <w:kern w:val="2"/>
          <w:sz w:val="24"/>
          <w:szCs w:val="24"/>
          <w:lang w:val="en-US" w:eastAsia="zh-CN" w:bidi="ar-SA"/>
        </w:rPr>
        <w:t>转账：</w:t>
      </w:r>
    </w:p>
    <w:p w14:paraId="294FDF91">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投标人通过“乐山市公共资源交易服务平台电子招投标系统”生成子账号，将投标保证金通过网银在线或者线下柜台转账方式，从基本账户进行一次性足额缴纳支付（以到达收款银行时间为准）。转</w:t>
      </w:r>
      <w:r>
        <w:rPr>
          <w:rFonts w:hint="eastAsia" w:ascii="宋体" w:hAnsi="宋体" w:cs="Times New Roman"/>
          <w:kern w:val="2"/>
          <w:sz w:val="24"/>
          <w:szCs w:val="24"/>
          <w:lang w:val="en-US" w:eastAsia="zh-CN" w:bidi="ar-SA"/>
        </w:rPr>
        <w:t>账</w:t>
      </w:r>
      <w:r>
        <w:rPr>
          <w:rFonts w:hint="eastAsia" w:ascii="宋体" w:hAnsi="宋体" w:eastAsia="宋体" w:cs="Times New Roman"/>
          <w:kern w:val="2"/>
          <w:sz w:val="24"/>
          <w:szCs w:val="24"/>
          <w:lang w:val="en-US" w:eastAsia="zh-CN" w:bidi="ar-SA"/>
        </w:rPr>
        <w:t>的投标保证金应在投标截止时间前到达系统指定账户。</w:t>
      </w:r>
    </w:p>
    <w:p w14:paraId="6F31513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投标人通过银行电汇或现金或支票转账方式由投标人的基本账户（或基本存款账户）转入招标人指定的账户，且须在投标截止时间前（宜在投标截止期前一天）到账。投标人须将电汇回执单或现金转账凭证或支票转账回执单原件原色扫描件装入投标文件。</w:t>
      </w:r>
    </w:p>
    <w:p w14:paraId="43167CD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招标人指定的开户银行及账号如下：</w:t>
      </w:r>
    </w:p>
    <w:p w14:paraId="3A4C49DD">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账户名称：</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p>
    <w:p w14:paraId="35A004B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开户银行：</w:t>
      </w:r>
      <w:r>
        <w:rPr>
          <w:rFonts w:hint="eastAsia" w:ascii="宋体" w:hAnsi="宋体" w:eastAsia="宋体" w:cs="Times New Roman"/>
          <w:kern w:val="2"/>
          <w:sz w:val="24"/>
          <w:szCs w:val="24"/>
          <w:u w:val="single"/>
          <w:lang w:val="en-US" w:eastAsia="zh-CN" w:bidi="ar-SA"/>
        </w:rPr>
        <w:t xml:space="preserve">                </w:t>
      </w:r>
    </w:p>
    <w:p w14:paraId="632FF136">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账    号：</w:t>
      </w:r>
      <w:r>
        <w:rPr>
          <w:rFonts w:hint="eastAsia" w:ascii="宋体" w:hAnsi="宋体" w:eastAsia="宋体" w:cs="Times New Roman"/>
          <w:kern w:val="2"/>
          <w:sz w:val="24"/>
          <w:szCs w:val="24"/>
          <w:u w:val="single"/>
          <w:lang w:val="en-US" w:eastAsia="zh-CN" w:bidi="ar-SA"/>
        </w:rPr>
        <w:t xml:space="preserve">                </w:t>
      </w:r>
    </w:p>
    <w:p w14:paraId="5297BC2F">
      <w:pPr>
        <w:spacing w:line="360" w:lineRule="auto"/>
        <w:ind w:firstLine="960" w:firstLineChars="4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□其他账号：</w:t>
      </w:r>
      <w:r>
        <w:rPr>
          <w:rFonts w:hint="eastAsia" w:ascii="宋体" w:hAnsi="宋体" w:eastAsia="宋体" w:cs="Times New Roman"/>
          <w:kern w:val="2"/>
          <w:sz w:val="24"/>
          <w:szCs w:val="24"/>
          <w:u w:val="single"/>
          <w:lang w:val="en-US" w:eastAsia="zh-CN" w:bidi="ar-SA"/>
        </w:rPr>
        <w:t xml:space="preserve">              </w:t>
      </w:r>
    </w:p>
    <w:p w14:paraId="3B0D3CB3">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保险保单</w:t>
      </w:r>
    </w:p>
    <w:p w14:paraId="46B1F95E">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保险保单按乐住建发(2020)4号和乐人保财险(2018)3号执行,投标人通过“乐山市公共资源交易服务平台电子招投标系统”在线购买保险保单。购买保险保单到账时间应在投标截止时间前。</w:t>
      </w:r>
    </w:p>
    <w:p w14:paraId="7EDCDA7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银行电子保函</w:t>
      </w:r>
    </w:p>
    <w:p w14:paraId="41796BA0">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投标人通过“乐山市公共资源交易服务平台电子招投标系统”在线申办银行电子保函。银行电子保函的生效时间最迟不晚于投标截止时间，在投标有效期内保持有效。</w:t>
      </w:r>
    </w:p>
    <w:p w14:paraId="450DB98B">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第三方担保保函</w:t>
      </w:r>
    </w:p>
    <w:p w14:paraId="3AB6B04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投标人通过</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乐山市公共资源交易服务中心电子招投标系统</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在线申办第三方担保保函。第三方担保保函的生效时间最迟不晚于投标截止时间，在投标有效期内保持有效</w:t>
      </w:r>
      <w:r>
        <w:rPr>
          <w:rFonts w:hint="eastAsia" w:ascii="宋体" w:hAnsi="宋体" w:cs="Times New Roman"/>
          <w:kern w:val="2"/>
          <w:sz w:val="24"/>
          <w:szCs w:val="24"/>
          <w:lang w:val="en-US" w:eastAsia="zh-CN" w:bidi="ar-SA"/>
        </w:rPr>
        <w:t>。</w:t>
      </w:r>
    </w:p>
    <w:p w14:paraId="43373A96">
      <w:pPr>
        <w:spacing w:line="360" w:lineRule="auto"/>
        <w:ind w:firstLine="0" w:firstLineChars="0"/>
        <w:rPr>
          <w:rFonts w:hint="eastAsia" w:ascii="宋体" w:hAnsi="宋体" w:eastAsia="宋体" w:cs="Times New Roman"/>
          <w:kern w:val="2"/>
          <w:sz w:val="21"/>
          <w:szCs w:val="21"/>
          <w:lang w:val="en-US" w:eastAsia="zh-CN" w:bidi="ar-SA"/>
        </w:rPr>
      </w:pPr>
    </w:p>
    <w:p w14:paraId="296455CF">
      <w:pPr>
        <w:spacing w:line="400" w:lineRule="exact"/>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注:1.采用现金</w:t>
      </w:r>
      <w:r>
        <w:rPr>
          <w:rFonts w:hint="eastAsia" w:ascii="宋体" w:hAnsi="宋体" w:cs="Times New Roman"/>
          <w:kern w:val="2"/>
          <w:sz w:val="21"/>
          <w:szCs w:val="21"/>
          <w:lang w:val="en-US" w:eastAsia="zh-CN" w:bidi="ar-SA"/>
        </w:rPr>
        <w:t>、支票</w:t>
      </w:r>
      <w:r>
        <w:rPr>
          <w:rFonts w:hint="eastAsia" w:ascii="宋体" w:hAnsi="宋体" w:eastAsia="宋体" w:cs="Times New Roman"/>
          <w:kern w:val="2"/>
          <w:sz w:val="21"/>
          <w:szCs w:val="21"/>
          <w:lang w:val="en-US" w:eastAsia="zh-CN" w:bidi="ar-SA"/>
        </w:rPr>
        <w:t>转账方式缴纳投标保证金的，投标人应附银行给投标人的转账回单扫描件、人民银行颁发的基本存款账户开户许可证或基本存款账户信息证明材料扫描件。</w:t>
      </w:r>
    </w:p>
    <w:p w14:paraId="0E44BF1E">
      <w:pPr>
        <w:spacing w:line="360" w:lineRule="auto"/>
        <w:ind w:firstLine="420" w:firstLineChars="200"/>
        <w:jc w:val="left"/>
        <w:rPr>
          <w:rFonts w:ascii="黑体" w:hAnsi="黑体" w:eastAsia="黑体" w:cs="黑体"/>
          <w:b/>
          <w:spacing w:val="-1"/>
          <w:sz w:val="32"/>
          <w:szCs w:val="32"/>
        </w:rPr>
      </w:pPr>
      <w:r>
        <w:rPr>
          <w:rFonts w:hint="eastAsia" w:ascii="宋体" w:hAnsi="宋体" w:eastAsia="宋体" w:cs="Times New Roman"/>
          <w:kern w:val="2"/>
          <w:sz w:val="21"/>
          <w:szCs w:val="21"/>
          <w:lang w:val="en-US" w:eastAsia="zh-CN" w:bidi="ar-SA"/>
        </w:rPr>
        <w:t>2.采用电子保险保单、银行电子保函</w:t>
      </w:r>
      <w:r>
        <w:rPr>
          <w:rFonts w:hint="eastAsia" w:ascii="宋体" w:hAnsi="宋体" w:cs="Times New Roman"/>
          <w:kern w:val="2"/>
          <w:sz w:val="21"/>
          <w:szCs w:val="21"/>
          <w:lang w:val="en-US" w:eastAsia="zh-CN" w:bidi="ar-SA"/>
        </w:rPr>
        <w:t>、第三方担保保函</w:t>
      </w:r>
      <w:r>
        <w:rPr>
          <w:rFonts w:hint="eastAsia" w:ascii="宋体" w:hAnsi="宋体" w:eastAsia="宋体" w:cs="Times New Roman"/>
          <w:kern w:val="2"/>
          <w:sz w:val="21"/>
          <w:szCs w:val="21"/>
          <w:lang w:val="en-US" w:eastAsia="zh-CN" w:bidi="ar-SA"/>
        </w:rPr>
        <w:t>方式缴纳投标保证金的，投标保证金缴纳证明以开标系统中打印出的投标保证金一览表到账名单为准，投标人无需将电子保险保单、银行电子保函</w:t>
      </w:r>
      <w:r>
        <w:rPr>
          <w:rFonts w:hint="eastAsia" w:ascii="宋体" w:hAnsi="宋体" w:cs="Times New Roman"/>
          <w:kern w:val="2"/>
          <w:sz w:val="21"/>
          <w:szCs w:val="21"/>
          <w:lang w:val="en-US" w:eastAsia="zh-CN" w:bidi="ar-SA"/>
        </w:rPr>
        <w:t>、</w:t>
      </w:r>
      <w:r>
        <w:rPr>
          <w:rFonts w:hint="eastAsia" w:cs="Courier New" w:asciiTheme="minorEastAsia" w:hAnsiTheme="minorEastAsia" w:eastAsiaTheme="minorEastAsia"/>
          <w:szCs w:val="21"/>
        </w:rPr>
        <w:t>第三方担保保函</w:t>
      </w:r>
      <w:r>
        <w:rPr>
          <w:rFonts w:hint="eastAsia" w:ascii="宋体" w:hAnsi="宋体" w:eastAsia="宋体" w:cs="Times New Roman"/>
          <w:kern w:val="2"/>
          <w:sz w:val="21"/>
          <w:szCs w:val="21"/>
          <w:lang w:val="en-US" w:eastAsia="zh-CN" w:bidi="ar-SA"/>
        </w:rPr>
        <w:t>扫描件附入投标文件中。</w:t>
      </w:r>
      <w:r>
        <w:rPr>
          <w:rFonts w:ascii="黑体" w:hAnsi="黑体" w:eastAsia="黑体" w:cs="黑体"/>
          <w:b/>
          <w:spacing w:val="-1"/>
          <w:sz w:val="32"/>
          <w:szCs w:val="32"/>
        </w:rPr>
        <w:br w:type="page"/>
      </w:r>
    </w:p>
    <w:p w14:paraId="430C73F8">
      <w:pPr>
        <w:pStyle w:val="20"/>
        <w:kinsoku w:val="0"/>
        <w:overflowPunct w:val="0"/>
        <w:spacing w:before="14"/>
        <w:ind w:left="2279" w:right="2078"/>
        <w:jc w:val="center"/>
        <w:rPr>
          <w:rFonts w:ascii="黑体" w:hAnsi="黑体" w:eastAsia="黑体" w:cs="黑体"/>
          <w:spacing w:val="-1"/>
          <w:sz w:val="30"/>
          <w:szCs w:val="30"/>
        </w:rPr>
      </w:pPr>
      <w:r>
        <w:rPr>
          <w:rFonts w:hint="eastAsia" w:ascii="黑体" w:hAnsi="黑体" w:eastAsia="黑体" w:cs="黑体"/>
          <w:spacing w:val="-1"/>
          <w:sz w:val="30"/>
          <w:szCs w:val="30"/>
        </w:rPr>
        <w:t>五、设计施工总承包方案</w:t>
      </w:r>
    </w:p>
    <w:p w14:paraId="258B5CBD">
      <w:pPr>
        <w:pStyle w:val="20"/>
        <w:kinsoku w:val="0"/>
        <w:overflowPunct w:val="0"/>
        <w:rPr>
          <w:sz w:val="30"/>
          <w:szCs w:val="30"/>
        </w:rPr>
      </w:pPr>
    </w:p>
    <w:p w14:paraId="35A68E00">
      <w:pPr>
        <w:pStyle w:val="20"/>
        <w:kinsoku w:val="0"/>
        <w:overflowPunct w:val="0"/>
        <w:spacing w:before="8"/>
        <w:rPr>
          <w:sz w:val="21"/>
          <w:szCs w:val="21"/>
        </w:rPr>
      </w:pPr>
    </w:p>
    <w:p w14:paraId="7724D77B">
      <w:pPr>
        <w:tabs>
          <w:tab w:val="left" w:pos="5220"/>
          <w:tab w:val="left" w:pos="5400"/>
          <w:tab w:val="left" w:pos="5580"/>
        </w:tabs>
        <w:autoSpaceDE w:val="0"/>
        <w:autoSpaceDN w:val="0"/>
        <w:adjustRightInd w:val="0"/>
        <w:spacing w:before="120" w:beforeLines="50" w:after="360" w:afterLines="150" w:line="360" w:lineRule="auto"/>
        <w:ind w:firstLine="480" w:firstLineChars="200"/>
        <w:rPr>
          <w:sz w:val="24"/>
        </w:rPr>
      </w:pPr>
      <w:r>
        <w:rPr>
          <w:rFonts w:hint="eastAsia"/>
          <w:sz w:val="24"/>
        </w:rPr>
        <w:t>施工图设计施工总承包方案主要内容包括但不限于以下内容（文字宜精炼、内容具有针对性）：</w:t>
      </w:r>
    </w:p>
    <w:p w14:paraId="6C8FD8D8">
      <w:pPr>
        <w:spacing w:line="360" w:lineRule="auto"/>
        <w:ind w:firstLine="484" w:firstLineChars="202"/>
        <w:jc w:val="left"/>
        <w:rPr>
          <w:rFonts w:ascii="宋体" w:hAnsi="宋体"/>
          <w:sz w:val="24"/>
        </w:rPr>
      </w:pPr>
      <w:r>
        <w:rPr>
          <w:rFonts w:ascii="宋体" w:hAnsi="宋体"/>
          <w:sz w:val="24"/>
        </w:rPr>
        <w:t xml:space="preserve">1. </w:t>
      </w:r>
      <w:r>
        <w:rPr>
          <w:rFonts w:hint="eastAsia" w:ascii="宋体" w:hAnsi="宋体"/>
          <w:sz w:val="24"/>
        </w:rPr>
        <w:t>项目管理机构的组建</w:t>
      </w:r>
    </w:p>
    <w:p w14:paraId="389496EE">
      <w:pPr>
        <w:spacing w:line="360" w:lineRule="auto"/>
        <w:ind w:firstLine="484" w:firstLineChars="202"/>
        <w:jc w:val="left"/>
        <w:rPr>
          <w:rFonts w:ascii="宋体" w:hAnsi="宋体"/>
          <w:sz w:val="24"/>
        </w:rPr>
      </w:pPr>
      <w:r>
        <w:rPr>
          <w:rFonts w:ascii="宋体" w:hAnsi="宋体"/>
          <w:sz w:val="24"/>
        </w:rPr>
        <w:t xml:space="preserve">2. </w:t>
      </w:r>
      <w:r>
        <w:rPr>
          <w:rFonts w:hint="eastAsia" w:ascii="宋体" w:hAnsi="宋体"/>
          <w:sz w:val="24"/>
        </w:rPr>
        <w:t>总体实施方案</w:t>
      </w:r>
    </w:p>
    <w:p w14:paraId="3B83D507">
      <w:pPr>
        <w:spacing w:line="360" w:lineRule="auto"/>
        <w:ind w:firstLine="484" w:firstLineChars="202"/>
        <w:jc w:val="left"/>
        <w:rPr>
          <w:rFonts w:ascii="宋体" w:hAnsi="宋体"/>
          <w:sz w:val="24"/>
        </w:rPr>
      </w:pPr>
      <w:r>
        <w:rPr>
          <w:rFonts w:ascii="宋体" w:hAnsi="宋体"/>
          <w:sz w:val="24"/>
        </w:rPr>
        <w:t xml:space="preserve">3. </w:t>
      </w:r>
      <w:r>
        <w:rPr>
          <w:rFonts w:hint="eastAsia" w:ascii="宋体" w:hAnsi="宋体"/>
          <w:sz w:val="24"/>
        </w:rPr>
        <w:t>施工图勘察设计阶段组织实施方案</w:t>
      </w:r>
    </w:p>
    <w:p w14:paraId="39B6ABFE">
      <w:pPr>
        <w:spacing w:line="360" w:lineRule="auto"/>
        <w:ind w:firstLine="484" w:firstLineChars="202"/>
        <w:jc w:val="left"/>
        <w:rPr>
          <w:rFonts w:ascii="宋体" w:hAnsi="宋体"/>
          <w:sz w:val="24"/>
        </w:rPr>
      </w:pPr>
      <w:r>
        <w:rPr>
          <w:rFonts w:ascii="宋体" w:hAnsi="宋体"/>
          <w:sz w:val="24"/>
        </w:rPr>
        <w:t xml:space="preserve">4. </w:t>
      </w:r>
      <w:r>
        <w:rPr>
          <w:rFonts w:hint="eastAsia" w:ascii="宋体" w:hAnsi="宋体"/>
          <w:sz w:val="24"/>
        </w:rPr>
        <w:t>施工阶段组织实施方案</w:t>
      </w:r>
    </w:p>
    <w:p w14:paraId="0BF3F3B1">
      <w:pPr>
        <w:spacing w:line="360" w:lineRule="auto"/>
        <w:ind w:firstLine="484" w:firstLineChars="202"/>
        <w:jc w:val="left"/>
        <w:rPr>
          <w:rFonts w:ascii="宋体" w:hAnsi="宋体"/>
          <w:sz w:val="24"/>
        </w:rPr>
      </w:pPr>
      <w:r>
        <w:rPr>
          <w:rFonts w:ascii="宋体" w:hAnsi="宋体"/>
          <w:sz w:val="24"/>
        </w:rPr>
        <w:t xml:space="preserve">5. </w:t>
      </w:r>
      <w:r>
        <w:rPr>
          <w:rFonts w:hint="eastAsia" w:ascii="宋体" w:hAnsi="宋体"/>
          <w:sz w:val="24"/>
        </w:rPr>
        <w:t>施工阶段的技术服务实施方案</w:t>
      </w:r>
    </w:p>
    <w:p w14:paraId="29B69B24">
      <w:pPr>
        <w:spacing w:line="360" w:lineRule="auto"/>
        <w:ind w:firstLine="484" w:firstLineChars="202"/>
        <w:jc w:val="left"/>
        <w:rPr>
          <w:rFonts w:ascii="宋体" w:hAnsi="宋体"/>
          <w:sz w:val="24"/>
        </w:rPr>
      </w:pPr>
      <w:r>
        <w:rPr>
          <w:rFonts w:ascii="宋体" w:hAnsi="宋体"/>
          <w:sz w:val="24"/>
        </w:rPr>
        <w:t xml:space="preserve">6. </w:t>
      </w:r>
      <w:r>
        <w:rPr>
          <w:rFonts w:hint="eastAsia" w:ascii="宋体" w:hAnsi="宋体"/>
          <w:sz w:val="24"/>
        </w:rPr>
        <w:t>项目实施与设计施工进度计划</w:t>
      </w:r>
    </w:p>
    <w:p w14:paraId="6479EBE8">
      <w:pPr>
        <w:spacing w:line="360" w:lineRule="auto"/>
        <w:ind w:firstLine="484" w:firstLineChars="202"/>
        <w:jc w:val="left"/>
        <w:rPr>
          <w:rFonts w:ascii="宋体" w:hAnsi="宋体"/>
          <w:sz w:val="24"/>
        </w:rPr>
      </w:pPr>
      <w:r>
        <w:rPr>
          <w:rFonts w:ascii="宋体" w:hAnsi="宋体"/>
          <w:sz w:val="24"/>
        </w:rPr>
        <w:t xml:space="preserve">7. </w:t>
      </w:r>
      <w:r>
        <w:rPr>
          <w:rFonts w:hint="eastAsia" w:ascii="宋体" w:hAnsi="宋体"/>
          <w:sz w:val="24"/>
        </w:rPr>
        <w:t>质量管理体系</w:t>
      </w:r>
    </w:p>
    <w:p w14:paraId="7CD3022F">
      <w:pPr>
        <w:spacing w:line="360" w:lineRule="auto"/>
        <w:ind w:firstLine="484" w:firstLineChars="202"/>
        <w:jc w:val="left"/>
        <w:rPr>
          <w:rFonts w:ascii="宋体" w:hAnsi="宋体"/>
          <w:sz w:val="24"/>
        </w:rPr>
      </w:pPr>
      <w:r>
        <w:rPr>
          <w:rFonts w:ascii="宋体" w:hAnsi="宋体"/>
          <w:sz w:val="24"/>
        </w:rPr>
        <w:t xml:space="preserve">8. </w:t>
      </w:r>
      <w:r>
        <w:rPr>
          <w:rFonts w:hint="eastAsia" w:ascii="宋体" w:hAnsi="宋体"/>
          <w:sz w:val="24"/>
        </w:rPr>
        <w:t>对初步设计的优化建议</w:t>
      </w:r>
    </w:p>
    <w:p w14:paraId="07B3C86F">
      <w:pPr>
        <w:spacing w:line="360" w:lineRule="auto"/>
        <w:ind w:firstLine="484" w:firstLineChars="202"/>
        <w:jc w:val="left"/>
      </w:pPr>
      <w:r>
        <w:rPr>
          <w:rFonts w:hint="eastAsia" w:ascii="宋体" w:hAnsi="宋体"/>
          <w:sz w:val="24"/>
        </w:rPr>
        <w:t xml:space="preserve">9. 其他应说明的事项 </w:t>
      </w:r>
    </w:p>
    <w:p w14:paraId="1644D8C7">
      <w:pPr>
        <w:spacing w:line="360" w:lineRule="auto"/>
        <w:ind w:firstLine="484" w:firstLineChars="202"/>
        <w:jc w:val="left"/>
        <w:rPr>
          <w:rFonts w:ascii="宋体" w:hAnsi="宋体"/>
          <w:sz w:val="24"/>
        </w:rPr>
      </w:pPr>
      <w:r>
        <w:rPr>
          <w:rFonts w:hint="eastAsia" w:ascii="宋体" w:hAnsi="宋体"/>
          <w:sz w:val="24"/>
        </w:rPr>
        <w:t>10</w:t>
      </w:r>
      <w:r>
        <w:rPr>
          <w:rFonts w:ascii="宋体" w:hAnsi="宋体"/>
          <w:sz w:val="24"/>
        </w:rPr>
        <w:t xml:space="preserve">. </w:t>
      </w:r>
      <w:r>
        <w:rPr>
          <w:rFonts w:hint="eastAsia" w:ascii="宋体" w:hAnsi="宋体"/>
          <w:sz w:val="24"/>
        </w:rPr>
        <w:t>……</w:t>
      </w:r>
    </w:p>
    <w:p w14:paraId="7B55FDBA">
      <w:pPr>
        <w:pStyle w:val="20"/>
        <w:kinsoku w:val="0"/>
        <w:overflowPunct w:val="0"/>
        <w:spacing w:line="360" w:lineRule="auto"/>
        <w:ind w:left="624"/>
      </w:pPr>
    </w:p>
    <w:p w14:paraId="530097A2">
      <w:pPr>
        <w:pStyle w:val="20"/>
        <w:tabs>
          <w:tab w:val="left" w:pos="2044"/>
        </w:tabs>
        <w:kinsoku w:val="0"/>
        <w:overflowPunct w:val="0"/>
        <w:spacing w:before="27"/>
        <w:ind w:left="1084"/>
      </w:pPr>
      <w:bookmarkStart w:id="875" w:name="bookmark298"/>
      <w:bookmarkEnd w:id="875"/>
    </w:p>
    <w:p w14:paraId="2E554DE7">
      <w:pPr>
        <w:pStyle w:val="20"/>
        <w:tabs>
          <w:tab w:val="left" w:pos="2044"/>
        </w:tabs>
        <w:kinsoku w:val="0"/>
        <w:overflowPunct w:val="0"/>
        <w:spacing w:before="27"/>
        <w:ind w:left="1084"/>
      </w:pPr>
    </w:p>
    <w:p w14:paraId="1799C50A">
      <w:pPr>
        <w:pStyle w:val="20"/>
        <w:tabs>
          <w:tab w:val="left" w:pos="2044"/>
        </w:tabs>
        <w:kinsoku w:val="0"/>
        <w:overflowPunct w:val="0"/>
        <w:spacing w:before="27"/>
        <w:ind w:left="1084"/>
      </w:pPr>
    </w:p>
    <w:p w14:paraId="3B35504C">
      <w:pPr>
        <w:pStyle w:val="20"/>
        <w:tabs>
          <w:tab w:val="left" w:pos="2044"/>
        </w:tabs>
        <w:kinsoku w:val="0"/>
        <w:overflowPunct w:val="0"/>
        <w:spacing w:before="27"/>
        <w:ind w:left="1084"/>
      </w:pPr>
    </w:p>
    <w:p w14:paraId="3B765A4B">
      <w:pPr>
        <w:pStyle w:val="37"/>
        <w:spacing w:line="360" w:lineRule="auto"/>
        <w:ind w:firstLine="0" w:firstLineChars="0"/>
        <w:rPr>
          <w:rFonts w:hint="eastAsia" w:ascii="宋体" w:hAnsi="宋体" w:cs="宋体"/>
          <w:sz w:val="21"/>
          <w:szCs w:val="21"/>
        </w:rPr>
      </w:pPr>
      <w:r>
        <w:rPr>
          <w:rFonts w:hint="eastAsia" w:ascii="宋体" w:hAnsi="宋体" w:cs="宋体"/>
          <w:sz w:val="21"/>
          <w:szCs w:val="21"/>
        </w:rPr>
        <w:t>注：</w:t>
      </w:r>
      <w:r>
        <w:rPr>
          <w:rFonts w:hint="eastAsia" w:ascii="宋体" w:hAnsi="宋体" w:cs="宋体"/>
          <w:sz w:val="21"/>
          <w:szCs w:val="21"/>
          <w:lang w:val="en-US" w:eastAsia="zh-CN"/>
        </w:rPr>
        <w:t>1.</w:t>
      </w:r>
      <w:r>
        <w:rPr>
          <w:rFonts w:hint="eastAsia" w:ascii="宋体" w:hAnsi="宋体" w:cs="宋体"/>
          <w:sz w:val="21"/>
          <w:szCs w:val="21"/>
        </w:rPr>
        <w:t>招标范围包含机电工程施工时，应增加技术建议书对实施机电工程的下述方面进行阐述：</w:t>
      </w:r>
    </w:p>
    <w:p w14:paraId="7E4F7A2F">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a.系统培训计划；</w:t>
      </w:r>
    </w:p>
    <w:p w14:paraId="2E8E374D">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b.售后服务措施；</w:t>
      </w:r>
    </w:p>
    <w:p w14:paraId="2C526008">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c.投标人的技术方案和说明；</w:t>
      </w:r>
    </w:p>
    <w:p w14:paraId="60F68584">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d.对关键机电设备、重要设备的免费维护期的承诺；</w:t>
      </w:r>
    </w:p>
    <w:p w14:paraId="6509DD9F">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e.顺利接入四川省公路机电系统的测试承诺；</w:t>
      </w:r>
    </w:p>
    <w:p w14:paraId="24DDBA4F">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f.投标人的合理化建议（如对招标设备的规格、性能、材质、配套货物提出更为合理的替代方案等，如有）；</w:t>
      </w:r>
    </w:p>
    <w:p w14:paraId="2DBA0FB2">
      <w:pPr>
        <w:pStyle w:val="37"/>
        <w:spacing w:line="360" w:lineRule="auto"/>
        <w:ind w:firstLine="424" w:firstLineChars="202"/>
        <w:rPr>
          <w:rFonts w:hint="eastAsia" w:ascii="宋体" w:hAnsi="宋体" w:cs="宋体"/>
          <w:sz w:val="21"/>
          <w:szCs w:val="21"/>
        </w:rPr>
      </w:pPr>
      <w:r>
        <w:rPr>
          <w:rFonts w:hint="eastAsia" w:ascii="宋体" w:hAnsi="宋体" w:cs="宋体"/>
          <w:sz w:val="21"/>
          <w:szCs w:val="21"/>
        </w:rPr>
        <w:t>g.提供备品备件、测试设备和专用工具的价格优惠承诺。</w:t>
      </w:r>
    </w:p>
    <w:p w14:paraId="594FDC7B">
      <w:pPr>
        <w:pStyle w:val="48"/>
        <w:ind w:left="0" w:leftChars="0" w:firstLine="420" w:firstLineChars="200"/>
        <w:rPr>
          <w:rFonts w:hint="eastAsia" w:ascii="宋体" w:hAnsi="宋体" w:cs="宋体"/>
          <w:szCs w:val="21"/>
        </w:rPr>
      </w:pPr>
      <w:r>
        <w:rPr>
          <w:rFonts w:hint="eastAsia" w:ascii="宋体" w:hAnsi="宋体" w:cs="宋体"/>
          <w:szCs w:val="21"/>
          <w:lang w:val="en-US" w:eastAsia="zh-CN"/>
        </w:rPr>
        <w:t>2.设计施工总承包方案</w:t>
      </w:r>
      <w:r>
        <w:rPr>
          <w:rFonts w:hint="eastAsia" w:ascii="宋体" w:hAnsi="宋体" w:cs="宋体"/>
          <w:szCs w:val="21"/>
        </w:rPr>
        <w:t>中不得出现投标人的名称和其他可识别投标人身份的文字、符号、标识等。</w:t>
      </w:r>
    </w:p>
    <w:p w14:paraId="66BB0D93">
      <w:pPr>
        <w:pStyle w:val="20"/>
        <w:tabs>
          <w:tab w:val="left" w:pos="2044"/>
        </w:tabs>
        <w:kinsoku w:val="0"/>
        <w:overflowPunct w:val="0"/>
        <w:spacing w:before="27"/>
        <w:ind w:left="1084"/>
      </w:pPr>
    </w:p>
    <w:p w14:paraId="5DCC9FDE">
      <w:pPr>
        <w:pStyle w:val="20"/>
        <w:tabs>
          <w:tab w:val="left" w:pos="2044"/>
        </w:tabs>
        <w:kinsoku w:val="0"/>
        <w:overflowPunct w:val="0"/>
        <w:spacing w:before="27"/>
        <w:sectPr>
          <w:headerReference r:id="rId23" w:type="even"/>
          <w:footerReference r:id="rId24" w:type="even"/>
          <w:footnotePr>
            <w:numFmt w:val="decimalEnclosedCircleChinese"/>
            <w:numRestart w:val="eachPage"/>
          </w:footnotePr>
          <w:type w:val="continuous"/>
          <w:pgSz w:w="11900" w:h="16838"/>
          <w:pgMar w:top="1418" w:right="1418" w:bottom="1418" w:left="1701" w:header="851" w:footer="624" w:gutter="0"/>
          <w:cols w:space="720" w:num="1"/>
          <w:docGrid w:linePitch="286" w:charSpace="0"/>
        </w:sectPr>
      </w:pPr>
    </w:p>
    <w:p w14:paraId="43B94BCC">
      <w:pPr>
        <w:pStyle w:val="20"/>
        <w:kinsoku w:val="0"/>
        <w:overflowPunct w:val="0"/>
        <w:spacing w:before="13"/>
        <w:rPr>
          <w:rFonts w:cs="黑体"/>
          <w:sz w:val="3"/>
          <w:szCs w:val="3"/>
        </w:rPr>
      </w:pPr>
    </w:p>
    <w:p w14:paraId="4410150D">
      <w:pPr>
        <w:pStyle w:val="20"/>
        <w:kinsoku w:val="0"/>
        <w:overflowPunct w:val="0"/>
        <w:spacing w:before="14"/>
        <w:ind w:left="224"/>
        <w:jc w:val="center"/>
        <w:rPr>
          <w:rFonts w:ascii="黑体" w:hAnsi="黑体" w:eastAsia="黑体" w:cs="黑体"/>
          <w:spacing w:val="-1"/>
          <w:sz w:val="30"/>
          <w:szCs w:val="30"/>
        </w:rPr>
      </w:pPr>
      <w:bookmarkStart w:id="876" w:name="bookmark300"/>
      <w:bookmarkEnd w:id="876"/>
      <w:bookmarkStart w:id="877" w:name="bookmark301"/>
      <w:bookmarkEnd w:id="877"/>
      <w:bookmarkStart w:id="878" w:name="bookmark303"/>
      <w:bookmarkEnd w:id="878"/>
      <w:bookmarkStart w:id="879" w:name="bookmark304"/>
      <w:bookmarkEnd w:id="879"/>
      <w:bookmarkStart w:id="880" w:name="bookmark302"/>
      <w:bookmarkEnd w:id="880"/>
      <w:r>
        <w:rPr>
          <w:rFonts w:cs="黑体"/>
          <w:spacing w:val="-1"/>
          <w:sz w:val="28"/>
          <w:szCs w:val="28"/>
        </w:rPr>
        <w:br w:type="page"/>
      </w:r>
      <w:r>
        <w:rPr>
          <w:rFonts w:hint="eastAsia" w:ascii="黑体" w:hAnsi="黑体" w:eastAsia="黑体" w:cs="黑体"/>
          <w:spacing w:val="-1"/>
          <w:sz w:val="30"/>
          <w:szCs w:val="30"/>
        </w:rPr>
        <w:t>六、项目管理机构</w:t>
      </w:r>
    </w:p>
    <w:p w14:paraId="7D71F8C7">
      <w:pPr>
        <w:pStyle w:val="20"/>
        <w:kinsoku w:val="0"/>
        <w:overflowPunct w:val="0"/>
        <w:spacing w:before="11"/>
        <w:rPr>
          <w:rFonts w:cs="黑体"/>
          <w:sz w:val="19"/>
          <w:szCs w:val="19"/>
        </w:rPr>
      </w:pPr>
    </w:p>
    <w:p w14:paraId="4A7020C7">
      <w:pPr>
        <w:pStyle w:val="20"/>
        <w:kinsoku w:val="0"/>
        <w:overflowPunct w:val="0"/>
        <w:spacing w:line="200" w:lineRule="atLeast"/>
        <w:ind w:left="129"/>
        <w:rPr>
          <w:rFonts w:cs="黑体"/>
          <w:sz w:val="20"/>
          <w:szCs w:val="20"/>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7"/>
      </w:tblGrid>
      <w:tr w14:paraId="39ED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3" w:hRule="atLeast"/>
        </w:trPr>
        <w:tc>
          <w:tcPr>
            <w:tcW w:w="9380" w:type="dxa"/>
          </w:tcPr>
          <w:p w14:paraId="05A64F78">
            <w:pPr>
              <w:pStyle w:val="20"/>
              <w:kinsoku w:val="0"/>
              <w:overflowPunct w:val="0"/>
              <w:spacing w:line="360" w:lineRule="auto"/>
              <w:rPr>
                <w:rFonts w:cs="黑体"/>
                <w:sz w:val="21"/>
                <w:szCs w:val="21"/>
              </w:rPr>
            </w:pPr>
          </w:p>
          <w:p w14:paraId="2389C580">
            <w:pPr>
              <w:pStyle w:val="20"/>
              <w:kinsoku w:val="0"/>
              <w:overflowPunct w:val="0"/>
              <w:spacing w:line="360" w:lineRule="auto"/>
              <w:rPr>
                <w:rFonts w:cs="黑体"/>
                <w:sz w:val="21"/>
                <w:szCs w:val="21"/>
              </w:rPr>
            </w:pPr>
            <w:r>
              <w:rPr>
                <w:rFonts w:hint="eastAsia" w:cs="黑体"/>
                <w:sz w:val="21"/>
                <w:szCs w:val="21"/>
              </w:rPr>
              <w:t>拟为承包本标段工程设立的组织机构：</w:t>
            </w:r>
          </w:p>
        </w:tc>
      </w:tr>
      <w:tr w14:paraId="021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8" w:hRule="atLeast"/>
        </w:trPr>
        <w:tc>
          <w:tcPr>
            <w:tcW w:w="9380" w:type="dxa"/>
          </w:tcPr>
          <w:p w14:paraId="4E4B281E">
            <w:pPr>
              <w:pStyle w:val="20"/>
              <w:kinsoku w:val="0"/>
              <w:overflowPunct w:val="0"/>
              <w:spacing w:line="200" w:lineRule="atLeast"/>
              <w:rPr>
                <w:rFonts w:cs="黑体"/>
                <w:sz w:val="21"/>
                <w:szCs w:val="21"/>
              </w:rPr>
            </w:pPr>
          </w:p>
          <w:p w14:paraId="108D34E1">
            <w:pPr>
              <w:pStyle w:val="20"/>
              <w:kinsoku w:val="0"/>
              <w:overflowPunct w:val="0"/>
              <w:spacing w:line="200" w:lineRule="atLeast"/>
              <w:rPr>
                <w:rFonts w:cs="黑体"/>
                <w:sz w:val="21"/>
                <w:szCs w:val="21"/>
              </w:rPr>
            </w:pPr>
            <w:r>
              <w:rPr>
                <w:rFonts w:hint="eastAsia" w:cs="黑体"/>
                <w:sz w:val="21"/>
                <w:szCs w:val="21"/>
              </w:rPr>
              <w:t>说明：</w:t>
            </w:r>
          </w:p>
        </w:tc>
      </w:tr>
    </w:tbl>
    <w:p w14:paraId="5B5C153C">
      <w:pPr>
        <w:pStyle w:val="20"/>
        <w:kinsoku w:val="0"/>
        <w:overflowPunct w:val="0"/>
        <w:spacing w:line="200" w:lineRule="atLeast"/>
        <w:ind w:left="129"/>
        <w:rPr>
          <w:rFonts w:cs="黑体"/>
          <w:sz w:val="20"/>
          <w:szCs w:val="20"/>
        </w:rPr>
        <w:sectPr>
          <w:headerReference r:id="rId25" w:type="default"/>
          <w:headerReference r:id="rId26" w:type="even"/>
          <w:footnotePr>
            <w:numFmt w:val="decimalEnclosedCircleChinese"/>
            <w:numRestart w:val="eachPage"/>
          </w:footnotePr>
          <w:type w:val="continuous"/>
          <w:pgSz w:w="11900" w:h="16838"/>
          <w:pgMar w:top="1418" w:right="1418" w:bottom="1418" w:left="1701" w:header="851" w:footer="624" w:gutter="0"/>
          <w:cols w:space="720" w:num="1"/>
          <w:docGrid w:linePitch="312" w:charSpace="0"/>
        </w:sectPr>
      </w:pPr>
    </w:p>
    <w:p w14:paraId="174B50E8">
      <w:pPr>
        <w:pStyle w:val="20"/>
        <w:kinsoku w:val="0"/>
        <w:overflowPunct w:val="0"/>
        <w:spacing w:before="14"/>
        <w:jc w:val="center"/>
        <w:rPr>
          <w:rFonts w:ascii="黑体" w:hAnsi="黑体" w:eastAsia="黑体" w:cs="黑体"/>
          <w:spacing w:val="-1"/>
          <w:sz w:val="30"/>
          <w:szCs w:val="30"/>
        </w:rPr>
      </w:pPr>
      <w:bookmarkStart w:id="881" w:name="bookmark308"/>
      <w:bookmarkEnd w:id="881"/>
      <w:r>
        <w:rPr>
          <w:rFonts w:cs="黑体"/>
          <w:spacing w:val="-1"/>
          <w:sz w:val="28"/>
          <w:szCs w:val="28"/>
        </w:rPr>
        <w:br w:type="page"/>
      </w:r>
      <w:r>
        <w:rPr>
          <w:rFonts w:hint="eastAsia" w:ascii="黑体" w:hAnsi="黑体" w:eastAsia="黑体" w:cs="黑体"/>
          <w:spacing w:val="-1"/>
          <w:sz w:val="30"/>
          <w:szCs w:val="30"/>
        </w:rPr>
        <w:t>七、拟分包专项工程情况表（如有）</w:t>
      </w:r>
    </w:p>
    <w:p w14:paraId="45C42376">
      <w:pPr>
        <w:pStyle w:val="20"/>
        <w:kinsoku w:val="0"/>
        <w:overflowPunct w:val="0"/>
        <w:rPr>
          <w:rFonts w:cs="黑体"/>
          <w:sz w:val="20"/>
          <w:szCs w:val="20"/>
        </w:rPr>
      </w:pPr>
    </w:p>
    <w:p w14:paraId="38EB201D">
      <w:pPr>
        <w:pStyle w:val="20"/>
        <w:kinsoku w:val="0"/>
        <w:overflowPunct w:val="0"/>
        <w:spacing w:before="12"/>
        <w:rPr>
          <w:rFonts w:cs="黑体"/>
          <w:sz w:val="16"/>
          <w:szCs w:val="16"/>
        </w:rPr>
      </w:pP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1"/>
        <w:gridCol w:w="2061"/>
        <w:gridCol w:w="1889"/>
        <w:gridCol w:w="2269"/>
      </w:tblGrid>
      <w:tr w14:paraId="45067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jc w:val="center"/>
        </w:trPr>
        <w:tc>
          <w:tcPr>
            <w:tcW w:w="2441" w:type="dxa"/>
          </w:tcPr>
          <w:p w14:paraId="36323F4B">
            <w:pPr>
              <w:pStyle w:val="256"/>
              <w:kinsoku w:val="0"/>
              <w:overflowPunct w:val="0"/>
              <w:spacing w:before="106"/>
              <w:ind w:left="147"/>
              <w:rPr>
                <w:szCs w:val="21"/>
              </w:rPr>
            </w:pPr>
            <w:r>
              <w:rPr>
                <w:rFonts w:hint="eastAsia"/>
                <w:spacing w:val="-2"/>
                <w:szCs w:val="21"/>
              </w:rPr>
              <w:t>拟分包的工程项目</w:t>
            </w:r>
          </w:p>
        </w:tc>
        <w:tc>
          <w:tcPr>
            <w:tcW w:w="2061" w:type="dxa"/>
          </w:tcPr>
          <w:p w14:paraId="1244ECC8">
            <w:pPr>
              <w:pStyle w:val="256"/>
              <w:kinsoku w:val="0"/>
              <w:overflowPunct w:val="0"/>
              <w:spacing w:before="106"/>
              <w:jc w:val="center"/>
              <w:rPr>
                <w:szCs w:val="21"/>
              </w:rPr>
            </w:pPr>
            <w:r>
              <w:rPr>
                <w:rFonts w:hint="eastAsia"/>
                <w:spacing w:val="-2"/>
                <w:szCs w:val="21"/>
              </w:rPr>
              <w:t>主要工程内容</w:t>
            </w:r>
          </w:p>
        </w:tc>
        <w:tc>
          <w:tcPr>
            <w:tcW w:w="1889" w:type="dxa"/>
          </w:tcPr>
          <w:p w14:paraId="2569A150">
            <w:pPr>
              <w:pStyle w:val="256"/>
              <w:kinsoku w:val="0"/>
              <w:overflowPunct w:val="0"/>
              <w:spacing w:before="106"/>
              <w:ind w:left="102"/>
              <w:rPr>
                <w:szCs w:val="21"/>
              </w:rPr>
            </w:pPr>
            <w:r>
              <w:rPr>
                <w:rFonts w:hint="eastAsia"/>
                <w:spacing w:val="-2"/>
                <w:szCs w:val="21"/>
              </w:rPr>
              <w:t>预计造价（万元）</w:t>
            </w:r>
          </w:p>
        </w:tc>
        <w:tc>
          <w:tcPr>
            <w:tcW w:w="2269" w:type="dxa"/>
          </w:tcPr>
          <w:p w14:paraId="25B97896">
            <w:pPr>
              <w:pStyle w:val="256"/>
              <w:kinsoku w:val="0"/>
              <w:overflowPunct w:val="0"/>
              <w:spacing w:before="106"/>
              <w:jc w:val="center"/>
              <w:rPr>
                <w:szCs w:val="21"/>
              </w:rPr>
            </w:pPr>
            <w:r>
              <w:rPr>
                <w:rFonts w:hint="eastAsia"/>
                <w:szCs w:val="21"/>
              </w:rPr>
              <w:t>备</w:t>
            </w:r>
            <w:r>
              <w:rPr>
                <w:szCs w:val="21"/>
              </w:rPr>
              <w:t xml:space="preserve"> </w:t>
            </w:r>
            <w:r>
              <w:rPr>
                <w:rFonts w:hint="eastAsia"/>
                <w:szCs w:val="21"/>
              </w:rPr>
              <w:t>注</w:t>
            </w:r>
          </w:p>
        </w:tc>
      </w:tr>
      <w:tr w14:paraId="057BF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jc w:val="center"/>
        </w:trPr>
        <w:tc>
          <w:tcPr>
            <w:tcW w:w="2441" w:type="dxa"/>
          </w:tcPr>
          <w:p w14:paraId="38FBCB24">
            <w:pPr>
              <w:rPr>
                <w:rFonts w:ascii="宋体" w:hAnsi="宋体"/>
                <w:szCs w:val="21"/>
              </w:rPr>
            </w:pPr>
          </w:p>
        </w:tc>
        <w:tc>
          <w:tcPr>
            <w:tcW w:w="2061" w:type="dxa"/>
          </w:tcPr>
          <w:p w14:paraId="798D6FF2">
            <w:pPr>
              <w:rPr>
                <w:rFonts w:ascii="宋体" w:hAnsi="宋体"/>
                <w:szCs w:val="21"/>
              </w:rPr>
            </w:pPr>
          </w:p>
        </w:tc>
        <w:tc>
          <w:tcPr>
            <w:tcW w:w="1889" w:type="dxa"/>
          </w:tcPr>
          <w:p w14:paraId="072C0838">
            <w:pPr>
              <w:rPr>
                <w:rFonts w:ascii="宋体" w:hAnsi="宋体"/>
                <w:szCs w:val="21"/>
              </w:rPr>
            </w:pPr>
          </w:p>
        </w:tc>
        <w:tc>
          <w:tcPr>
            <w:tcW w:w="2269" w:type="dxa"/>
            <w:vMerge w:val="restart"/>
            <w:vAlign w:val="center"/>
          </w:tcPr>
          <w:p w14:paraId="1DD3DD4E">
            <w:pPr>
              <w:pStyle w:val="256"/>
              <w:kinsoku w:val="0"/>
              <w:overflowPunct w:val="0"/>
              <w:spacing w:line="360" w:lineRule="auto"/>
              <w:ind w:left="102" w:right="96"/>
              <w:rPr>
                <w:szCs w:val="21"/>
              </w:rPr>
            </w:pPr>
            <w:r>
              <w:rPr>
                <w:rFonts w:hint="eastAsia"/>
                <w:spacing w:val="3"/>
                <w:szCs w:val="21"/>
              </w:rPr>
              <w:t>注：若无分包计划，则投</w:t>
            </w:r>
            <w:r>
              <w:rPr>
                <w:spacing w:val="26"/>
                <w:szCs w:val="21"/>
              </w:rPr>
              <w:t xml:space="preserve"> </w:t>
            </w:r>
            <w:r>
              <w:rPr>
                <w:rFonts w:hint="eastAsia"/>
                <w:spacing w:val="-2"/>
                <w:szCs w:val="21"/>
              </w:rPr>
              <w:t>标人应在本表填写</w:t>
            </w:r>
            <w:r>
              <w:rPr>
                <w:spacing w:val="-2"/>
                <w:szCs w:val="21"/>
              </w:rPr>
              <w:t>“</w:t>
            </w:r>
            <w:r>
              <w:rPr>
                <w:rFonts w:hint="eastAsia"/>
                <w:spacing w:val="-2"/>
                <w:szCs w:val="21"/>
              </w:rPr>
              <w:t>无</w:t>
            </w:r>
            <w:r>
              <w:rPr>
                <w:spacing w:val="-2"/>
                <w:szCs w:val="21"/>
              </w:rPr>
              <w:t>”</w:t>
            </w:r>
          </w:p>
        </w:tc>
      </w:tr>
      <w:tr w14:paraId="5B46A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jc w:val="center"/>
        </w:trPr>
        <w:tc>
          <w:tcPr>
            <w:tcW w:w="2441" w:type="dxa"/>
          </w:tcPr>
          <w:p w14:paraId="6A91BE94">
            <w:pPr>
              <w:rPr>
                <w:rFonts w:ascii="宋体" w:hAnsi="宋体"/>
                <w:szCs w:val="21"/>
              </w:rPr>
            </w:pPr>
          </w:p>
        </w:tc>
        <w:tc>
          <w:tcPr>
            <w:tcW w:w="2061" w:type="dxa"/>
          </w:tcPr>
          <w:p w14:paraId="533C7788">
            <w:pPr>
              <w:rPr>
                <w:rFonts w:ascii="宋体" w:hAnsi="宋体"/>
                <w:szCs w:val="21"/>
              </w:rPr>
            </w:pPr>
          </w:p>
        </w:tc>
        <w:tc>
          <w:tcPr>
            <w:tcW w:w="1889" w:type="dxa"/>
          </w:tcPr>
          <w:p w14:paraId="49783D6F">
            <w:pPr>
              <w:rPr>
                <w:rFonts w:ascii="宋体" w:hAnsi="宋体"/>
                <w:szCs w:val="21"/>
              </w:rPr>
            </w:pPr>
          </w:p>
        </w:tc>
        <w:tc>
          <w:tcPr>
            <w:tcW w:w="2269" w:type="dxa"/>
            <w:vMerge w:val="continue"/>
          </w:tcPr>
          <w:p w14:paraId="4BA949C2">
            <w:pPr>
              <w:rPr>
                <w:rFonts w:ascii="宋体" w:hAnsi="宋体"/>
                <w:szCs w:val="21"/>
              </w:rPr>
            </w:pPr>
          </w:p>
        </w:tc>
      </w:tr>
      <w:tr w14:paraId="5CB74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759D3964">
            <w:pPr>
              <w:rPr>
                <w:rFonts w:ascii="宋体" w:hAnsi="宋体"/>
                <w:szCs w:val="21"/>
              </w:rPr>
            </w:pPr>
          </w:p>
        </w:tc>
        <w:tc>
          <w:tcPr>
            <w:tcW w:w="2061" w:type="dxa"/>
          </w:tcPr>
          <w:p w14:paraId="043D0D23">
            <w:pPr>
              <w:rPr>
                <w:rFonts w:ascii="宋体" w:hAnsi="宋体"/>
                <w:szCs w:val="21"/>
              </w:rPr>
            </w:pPr>
          </w:p>
        </w:tc>
        <w:tc>
          <w:tcPr>
            <w:tcW w:w="1889" w:type="dxa"/>
          </w:tcPr>
          <w:p w14:paraId="779C8E0B">
            <w:pPr>
              <w:rPr>
                <w:rFonts w:ascii="宋体" w:hAnsi="宋体"/>
                <w:szCs w:val="21"/>
              </w:rPr>
            </w:pPr>
          </w:p>
        </w:tc>
        <w:tc>
          <w:tcPr>
            <w:tcW w:w="2269" w:type="dxa"/>
            <w:vMerge w:val="continue"/>
          </w:tcPr>
          <w:p w14:paraId="56C1C226">
            <w:pPr>
              <w:rPr>
                <w:rFonts w:ascii="宋体" w:hAnsi="宋体"/>
                <w:szCs w:val="21"/>
              </w:rPr>
            </w:pPr>
          </w:p>
        </w:tc>
      </w:tr>
      <w:tr w14:paraId="5F42F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exact"/>
          <w:jc w:val="center"/>
        </w:trPr>
        <w:tc>
          <w:tcPr>
            <w:tcW w:w="2441" w:type="dxa"/>
          </w:tcPr>
          <w:p w14:paraId="3DA39D58">
            <w:pPr>
              <w:rPr>
                <w:rFonts w:ascii="宋体" w:hAnsi="宋体"/>
                <w:szCs w:val="21"/>
              </w:rPr>
            </w:pPr>
          </w:p>
        </w:tc>
        <w:tc>
          <w:tcPr>
            <w:tcW w:w="2061" w:type="dxa"/>
          </w:tcPr>
          <w:p w14:paraId="46D2AE82">
            <w:pPr>
              <w:rPr>
                <w:rFonts w:ascii="宋体" w:hAnsi="宋体"/>
                <w:szCs w:val="21"/>
              </w:rPr>
            </w:pPr>
          </w:p>
        </w:tc>
        <w:tc>
          <w:tcPr>
            <w:tcW w:w="1889" w:type="dxa"/>
          </w:tcPr>
          <w:p w14:paraId="41E07084">
            <w:pPr>
              <w:rPr>
                <w:rFonts w:ascii="宋体" w:hAnsi="宋体"/>
                <w:szCs w:val="21"/>
              </w:rPr>
            </w:pPr>
          </w:p>
        </w:tc>
        <w:tc>
          <w:tcPr>
            <w:tcW w:w="2269" w:type="dxa"/>
            <w:vMerge w:val="continue"/>
          </w:tcPr>
          <w:p w14:paraId="475CE212">
            <w:pPr>
              <w:rPr>
                <w:rFonts w:ascii="宋体" w:hAnsi="宋体"/>
                <w:szCs w:val="21"/>
              </w:rPr>
            </w:pPr>
          </w:p>
        </w:tc>
      </w:tr>
      <w:tr w14:paraId="1E125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exact"/>
          <w:jc w:val="center"/>
        </w:trPr>
        <w:tc>
          <w:tcPr>
            <w:tcW w:w="2441" w:type="dxa"/>
          </w:tcPr>
          <w:p w14:paraId="43B6B8F1">
            <w:pPr>
              <w:rPr>
                <w:rFonts w:ascii="宋体" w:hAnsi="宋体"/>
                <w:szCs w:val="21"/>
              </w:rPr>
            </w:pPr>
          </w:p>
        </w:tc>
        <w:tc>
          <w:tcPr>
            <w:tcW w:w="2061" w:type="dxa"/>
          </w:tcPr>
          <w:p w14:paraId="5351B0AF">
            <w:pPr>
              <w:rPr>
                <w:rFonts w:ascii="宋体" w:hAnsi="宋体"/>
                <w:szCs w:val="21"/>
              </w:rPr>
            </w:pPr>
          </w:p>
        </w:tc>
        <w:tc>
          <w:tcPr>
            <w:tcW w:w="1889" w:type="dxa"/>
          </w:tcPr>
          <w:p w14:paraId="66923C85">
            <w:pPr>
              <w:rPr>
                <w:rFonts w:ascii="宋体" w:hAnsi="宋体"/>
                <w:szCs w:val="21"/>
              </w:rPr>
            </w:pPr>
          </w:p>
        </w:tc>
        <w:tc>
          <w:tcPr>
            <w:tcW w:w="2269" w:type="dxa"/>
            <w:vMerge w:val="continue"/>
          </w:tcPr>
          <w:p w14:paraId="33F7B7F0">
            <w:pPr>
              <w:rPr>
                <w:rFonts w:ascii="宋体" w:hAnsi="宋体"/>
                <w:szCs w:val="21"/>
              </w:rPr>
            </w:pPr>
          </w:p>
        </w:tc>
      </w:tr>
      <w:tr w14:paraId="37658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747E1E95">
            <w:pPr>
              <w:rPr>
                <w:rFonts w:ascii="宋体" w:hAnsi="宋体"/>
                <w:szCs w:val="21"/>
              </w:rPr>
            </w:pPr>
          </w:p>
        </w:tc>
        <w:tc>
          <w:tcPr>
            <w:tcW w:w="2061" w:type="dxa"/>
          </w:tcPr>
          <w:p w14:paraId="07CA7465">
            <w:pPr>
              <w:rPr>
                <w:rFonts w:ascii="宋体" w:hAnsi="宋体"/>
                <w:szCs w:val="21"/>
              </w:rPr>
            </w:pPr>
          </w:p>
        </w:tc>
        <w:tc>
          <w:tcPr>
            <w:tcW w:w="1889" w:type="dxa"/>
          </w:tcPr>
          <w:p w14:paraId="1FBE060C">
            <w:pPr>
              <w:rPr>
                <w:rFonts w:ascii="宋体" w:hAnsi="宋体"/>
                <w:szCs w:val="21"/>
              </w:rPr>
            </w:pPr>
          </w:p>
        </w:tc>
        <w:tc>
          <w:tcPr>
            <w:tcW w:w="2269" w:type="dxa"/>
            <w:vMerge w:val="continue"/>
          </w:tcPr>
          <w:p w14:paraId="66BE0654">
            <w:pPr>
              <w:rPr>
                <w:rFonts w:ascii="宋体" w:hAnsi="宋体"/>
                <w:szCs w:val="21"/>
              </w:rPr>
            </w:pPr>
          </w:p>
        </w:tc>
      </w:tr>
      <w:tr w14:paraId="6D815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3FCE1870">
            <w:pPr>
              <w:rPr>
                <w:rFonts w:ascii="宋体" w:hAnsi="宋体"/>
                <w:szCs w:val="21"/>
              </w:rPr>
            </w:pPr>
          </w:p>
        </w:tc>
        <w:tc>
          <w:tcPr>
            <w:tcW w:w="2061" w:type="dxa"/>
          </w:tcPr>
          <w:p w14:paraId="398872EC">
            <w:pPr>
              <w:rPr>
                <w:rFonts w:ascii="宋体" w:hAnsi="宋体"/>
                <w:szCs w:val="21"/>
              </w:rPr>
            </w:pPr>
          </w:p>
        </w:tc>
        <w:tc>
          <w:tcPr>
            <w:tcW w:w="1889" w:type="dxa"/>
          </w:tcPr>
          <w:p w14:paraId="37861995">
            <w:pPr>
              <w:rPr>
                <w:rFonts w:ascii="宋体" w:hAnsi="宋体"/>
                <w:szCs w:val="21"/>
              </w:rPr>
            </w:pPr>
          </w:p>
        </w:tc>
        <w:tc>
          <w:tcPr>
            <w:tcW w:w="2269" w:type="dxa"/>
            <w:vMerge w:val="continue"/>
          </w:tcPr>
          <w:p w14:paraId="4AE49536">
            <w:pPr>
              <w:rPr>
                <w:rFonts w:ascii="宋体" w:hAnsi="宋体"/>
                <w:szCs w:val="21"/>
              </w:rPr>
            </w:pPr>
          </w:p>
        </w:tc>
      </w:tr>
      <w:tr w14:paraId="4E36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jc w:val="center"/>
        </w:trPr>
        <w:tc>
          <w:tcPr>
            <w:tcW w:w="2441" w:type="dxa"/>
          </w:tcPr>
          <w:p w14:paraId="31C2B352">
            <w:pPr>
              <w:rPr>
                <w:rFonts w:ascii="宋体" w:hAnsi="宋体"/>
                <w:szCs w:val="21"/>
              </w:rPr>
            </w:pPr>
          </w:p>
        </w:tc>
        <w:tc>
          <w:tcPr>
            <w:tcW w:w="2061" w:type="dxa"/>
          </w:tcPr>
          <w:p w14:paraId="5E6B13EB">
            <w:pPr>
              <w:rPr>
                <w:rFonts w:ascii="宋体" w:hAnsi="宋体"/>
                <w:szCs w:val="21"/>
              </w:rPr>
            </w:pPr>
          </w:p>
        </w:tc>
        <w:tc>
          <w:tcPr>
            <w:tcW w:w="1889" w:type="dxa"/>
          </w:tcPr>
          <w:p w14:paraId="283C8F34">
            <w:pPr>
              <w:rPr>
                <w:rFonts w:ascii="宋体" w:hAnsi="宋体"/>
                <w:szCs w:val="21"/>
              </w:rPr>
            </w:pPr>
          </w:p>
        </w:tc>
        <w:tc>
          <w:tcPr>
            <w:tcW w:w="2269" w:type="dxa"/>
            <w:vMerge w:val="continue"/>
          </w:tcPr>
          <w:p w14:paraId="6234493D">
            <w:pPr>
              <w:rPr>
                <w:rFonts w:ascii="宋体" w:hAnsi="宋体"/>
                <w:szCs w:val="21"/>
              </w:rPr>
            </w:pPr>
          </w:p>
        </w:tc>
      </w:tr>
      <w:tr w14:paraId="601C0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3EDD168A">
            <w:pPr>
              <w:rPr>
                <w:rFonts w:ascii="宋体" w:hAnsi="宋体"/>
                <w:szCs w:val="21"/>
              </w:rPr>
            </w:pPr>
          </w:p>
        </w:tc>
        <w:tc>
          <w:tcPr>
            <w:tcW w:w="2061" w:type="dxa"/>
          </w:tcPr>
          <w:p w14:paraId="48ED3879">
            <w:pPr>
              <w:rPr>
                <w:rFonts w:ascii="宋体" w:hAnsi="宋体"/>
                <w:szCs w:val="21"/>
              </w:rPr>
            </w:pPr>
          </w:p>
        </w:tc>
        <w:tc>
          <w:tcPr>
            <w:tcW w:w="1889" w:type="dxa"/>
          </w:tcPr>
          <w:p w14:paraId="53426D30">
            <w:pPr>
              <w:rPr>
                <w:rFonts w:ascii="宋体" w:hAnsi="宋体"/>
                <w:szCs w:val="21"/>
              </w:rPr>
            </w:pPr>
          </w:p>
        </w:tc>
        <w:tc>
          <w:tcPr>
            <w:tcW w:w="2269" w:type="dxa"/>
            <w:vMerge w:val="continue"/>
          </w:tcPr>
          <w:p w14:paraId="2139BECA">
            <w:pPr>
              <w:rPr>
                <w:rFonts w:ascii="宋体" w:hAnsi="宋体"/>
                <w:szCs w:val="21"/>
              </w:rPr>
            </w:pPr>
          </w:p>
        </w:tc>
      </w:tr>
      <w:tr w14:paraId="37378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0430168E">
            <w:pPr>
              <w:rPr>
                <w:rFonts w:ascii="宋体" w:hAnsi="宋体"/>
                <w:szCs w:val="21"/>
              </w:rPr>
            </w:pPr>
          </w:p>
        </w:tc>
        <w:tc>
          <w:tcPr>
            <w:tcW w:w="2061" w:type="dxa"/>
          </w:tcPr>
          <w:p w14:paraId="343FB9F5">
            <w:pPr>
              <w:rPr>
                <w:rFonts w:ascii="宋体" w:hAnsi="宋体"/>
                <w:szCs w:val="21"/>
              </w:rPr>
            </w:pPr>
          </w:p>
        </w:tc>
        <w:tc>
          <w:tcPr>
            <w:tcW w:w="1889" w:type="dxa"/>
          </w:tcPr>
          <w:p w14:paraId="2DDF83F7">
            <w:pPr>
              <w:rPr>
                <w:rFonts w:ascii="宋体" w:hAnsi="宋体"/>
                <w:szCs w:val="21"/>
              </w:rPr>
            </w:pPr>
          </w:p>
        </w:tc>
        <w:tc>
          <w:tcPr>
            <w:tcW w:w="2269" w:type="dxa"/>
            <w:vMerge w:val="continue"/>
          </w:tcPr>
          <w:p w14:paraId="4A357565">
            <w:pPr>
              <w:rPr>
                <w:rFonts w:ascii="宋体" w:hAnsi="宋体"/>
                <w:szCs w:val="21"/>
              </w:rPr>
            </w:pPr>
          </w:p>
        </w:tc>
      </w:tr>
      <w:tr w14:paraId="6A55D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jc w:val="center"/>
        </w:trPr>
        <w:tc>
          <w:tcPr>
            <w:tcW w:w="2441" w:type="dxa"/>
          </w:tcPr>
          <w:p w14:paraId="5CAEFEE5">
            <w:pPr>
              <w:rPr>
                <w:rFonts w:ascii="宋体" w:hAnsi="宋体"/>
                <w:szCs w:val="21"/>
              </w:rPr>
            </w:pPr>
          </w:p>
        </w:tc>
        <w:tc>
          <w:tcPr>
            <w:tcW w:w="2061" w:type="dxa"/>
          </w:tcPr>
          <w:p w14:paraId="31628670">
            <w:pPr>
              <w:rPr>
                <w:rFonts w:ascii="宋体" w:hAnsi="宋体"/>
                <w:szCs w:val="21"/>
              </w:rPr>
            </w:pPr>
          </w:p>
        </w:tc>
        <w:tc>
          <w:tcPr>
            <w:tcW w:w="1889" w:type="dxa"/>
          </w:tcPr>
          <w:p w14:paraId="71FA76F0">
            <w:pPr>
              <w:rPr>
                <w:rFonts w:ascii="宋体" w:hAnsi="宋体"/>
                <w:szCs w:val="21"/>
              </w:rPr>
            </w:pPr>
          </w:p>
        </w:tc>
        <w:tc>
          <w:tcPr>
            <w:tcW w:w="2269" w:type="dxa"/>
            <w:vMerge w:val="continue"/>
          </w:tcPr>
          <w:p w14:paraId="1512F187">
            <w:pPr>
              <w:rPr>
                <w:rFonts w:ascii="宋体" w:hAnsi="宋体"/>
                <w:szCs w:val="21"/>
              </w:rPr>
            </w:pPr>
          </w:p>
        </w:tc>
      </w:tr>
      <w:tr w14:paraId="06DC2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3759BB60">
            <w:pPr>
              <w:rPr>
                <w:rFonts w:ascii="宋体" w:hAnsi="宋体"/>
                <w:szCs w:val="21"/>
              </w:rPr>
            </w:pPr>
          </w:p>
        </w:tc>
        <w:tc>
          <w:tcPr>
            <w:tcW w:w="2061" w:type="dxa"/>
          </w:tcPr>
          <w:p w14:paraId="11D55C4F">
            <w:pPr>
              <w:rPr>
                <w:rFonts w:ascii="宋体" w:hAnsi="宋体"/>
                <w:szCs w:val="21"/>
              </w:rPr>
            </w:pPr>
          </w:p>
        </w:tc>
        <w:tc>
          <w:tcPr>
            <w:tcW w:w="1889" w:type="dxa"/>
          </w:tcPr>
          <w:p w14:paraId="18508687">
            <w:pPr>
              <w:rPr>
                <w:rFonts w:ascii="宋体" w:hAnsi="宋体"/>
                <w:szCs w:val="21"/>
              </w:rPr>
            </w:pPr>
          </w:p>
        </w:tc>
        <w:tc>
          <w:tcPr>
            <w:tcW w:w="2269" w:type="dxa"/>
            <w:vMerge w:val="continue"/>
          </w:tcPr>
          <w:p w14:paraId="282F4829">
            <w:pPr>
              <w:rPr>
                <w:rFonts w:ascii="宋体" w:hAnsi="宋体"/>
                <w:szCs w:val="21"/>
              </w:rPr>
            </w:pPr>
          </w:p>
        </w:tc>
      </w:tr>
      <w:tr w14:paraId="554B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15A3FADE">
            <w:pPr>
              <w:rPr>
                <w:rFonts w:ascii="宋体" w:hAnsi="宋体"/>
                <w:szCs w:val="21"/>
              </w:rPr>
            </w:pPr>
          </w:p>
        </w:tc>
        <w:tc>
          <w:tcPr>
            <w:tcW w:w="2061" w:type="dxa"/>
          </w:tcPr>
          <w:p w14:paraId="4889ED2C">
            <w:pPr>
              <w:rPr>
                <w:rFonts w:ascii="宋体" w:hAnsi="宋体"/>
                <w:szCs w:val="21"/>
              </w:rPr>
            </w:pPr>
          </w:p>
        </w:tc>
        <w:tc>
          <w:tcPr>
            <w:tcW w:w="1889" w:type="dxa"/>
          </w:tcPr>
          <w:p w14:paraId="4F7C3EE0">
            <w:pPr>
              <w:rPr>
                <w:rFonts w:ascii="宋体" w:hAnsi="宋体"/>
                <w:szCs w:val="21"/>
              </w:rPr>
            </w:pPr>
          </w:p>
        </w:tc>
        <w:tc>
          <w:tcPr>
            <w:tcW w:w="2269" w:type="dxa"/>
            <w:vMerge w:val="continue"/>
          </w:tcPr>
          <w:p w14:paraId="4CB8227B">
            <w:pPr>
              <w:rPr>
                <w:rFonts w:ascii="宋体" w:hAnsi="宋体"/>
                <w:szCs w:val="21"/>
              </w:rPr>
            </w:pPr>
          </w:p>
        </w:tc>
      </w:tr>
      <w:tr w14:paraId="114D1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jc w:val="center"/>
        </w:trPr>
        <w:tc>
          <w:tcPr>
            <w:tcW w:w="2441" w:type="dxa"/>
          </w:tcPr>
          <w:p w14:paraId="320659A5">
            <w:pPr>
              <w:rPr>
                <w:rFonts w:ascii="宋体" w:hAnsi="宋体"/>
                <w:szCs w:val="21"/>
              </w:rPr>
            </w:pPr>
          </w:p>
        </w:tc>
        <w:tc>
          <w:tcPr>
            <w:tcW w:w="2061" w:type="dxa"/>
          </w:tcPr>
          <w:p w14:paraId="2D5DAA43">
            <w:pPr>
              <w:rPr>
                <w:rFonts w:ascii="宋体" w:hAnsi="宋体"/>
                <w:szCs w:val="21"/>
              </w:rPr>
            </w:pPr>
          </w:p>
        </w:tc>
        <w:tc>
          <w:tcPr>
            <w:tcW w:w="1889" w:type="dxa"/>
          </w:tcPr>
          <w:p w14:paraId="23F24EED">
            <w:pPr>
              <w:rPr>
                <w:rFonts w:ascii="宋体" w:hAnsi="宋体"/>
                <w:szCs w:val="21"/>
              </w:rPr>
            </w:pPr>
          </w:p>
        </w:tc>
        <w:tc>
          <w:tcPr>
            <w:tcW w:w="2269" w:type="dxa"/>
            <w:vMerge w:val="continue"/>
          </w:tcPr>
          <w:p w14:paraId="6F5E525F">
            <w:pPr>
              <w:rPr>
                <w:rFonts w:ascii="宋体" w:hAnsi="宋体"/>
                <w:szCs w:val="21"/>
              </w:rPr>
            </w:pPr>
          </w:p>
        </w:tc>
      </w:tr>
      <w:tr w14:paraId="3B47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75B3BF79">
            <w:pPr>
              <w:rPr>
                <w:rFonts w:ascii="宋体" w:hAnsi="宋体"/>
                <w:szCs w:val="21"/>
              </w:rPr>
            </w:pPr>
          </w:p>
        </w:tc>
        <w:tc>
          <w:tcPr>
            <w:tcW w:w="2061" w:type="dxa"/>
          </w:tcPr>
          <w:p w14:paraId="2747B921">
            <w:pPr>
              <w:rPr>
                <w:rFonts w:ascii="宋体" w:hAnsi="宋体"/>
                <w:szCs w:val="21"/>
              </w:rPr>
            </w:pPr>
          </w:p>
        </w:tc>
        <w:tc>
          <w:tcPr>
            <w:tcW w:w="1889" w:type="dxa"/>
          </w:tcPr>
          <w:p w14:paraId="2F318F97">
            <w:pPr>
              <w:rPr>
                <w:rFonts w:ascii="宋体" w:hAnsi="宋体"/>
                <w:szCs w:val="21"/>
              </w:rPr>
            </w:pPr>
          </w:p>
        </w:tc>
        <w:tc>
          <w:tcPr>
            <w:tcW w:w="2269" w:type="dxa"/>
            <w:vMerge w:val="continue"/>
          </w:tcPr>
          <w:p w14:paraId="219DE6A5">
            <w:pPr>
              <w:rPr>
                <w:rFonts w:ascii="宋体" w:hAnsi="宋体"/>
                <w:szCs w:val="21"/>
              </w:rPr>
            </w:pPr>
          </w:p>
        </w:tc>
      </w:tr>
      <w:tr w14:paraId="2B792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35262E69">
            <w:pPr>
              <w:rPr>
                <w:rFonts w:ascii="宋体" w:hAnsi="宋体"/>
                <w:szCs w:val="21"/>
              </w:rPr>
            </w:pPr>
          </w:p>
        </w:tc>
        <w:tc>
          <w:tcPr>
            <w:tcW w:w="2061" w:type="dxa"/>
          </w:tcPr>
          <w:p w14:paraId="238CBF5A">
            <w:pPr>
              <w:rPr>
                <w:rFonts w:ascii="宋体" w:hAnsi="宋体"/>
                <w:szCs w:val="21"/>
              </w:rPr>
            </w:pPr>
          </w:p>
        </w:tc>
        <w:tc>
          <w:tcPr>
            <w:tcW w:w="1889" w:type="dxa"/>
          </w:tcPr>
          <w:p w14:paraId="5537DF61">
            <w:pPr>
              <w:rPr>
                <w:rFonts w:ascii="宋体" w:hAnsi="宋体"/>
                <w:szCs w:val="21"/>
              </w:rPr>
            </w:pPr>
          </w:p>
        </w:tc>
        <w:tc>
          <w:tcPr>
            <w:tcW w:w="2269" w:type="dxa"/>
            <w:vMerge w:val="continue"/>
          </w:tcPr>
          <w:p w14:paraId="1B4E1232">
            <w:pPr>
              <w:rPr>
                <w:rFonts w:ascii="宋体" w:hAnsi="宋体"/>
                <w:szCs w:val="21"/>
              </w:rPr>
            </w:pPr>
          </w:p>
        </w:tc>
      </w:tr>
      <w:tr w14:paraId="4FB47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jc w:val="center"/>
        </w:trPr>
        <w:tc>
          <w:tcPr>
            <w:tcW w:w="2441" w:type="dxa"/>
          </w:tcPr>
          <w:p w14:paraId="0FF6EF41">
            <w:pPr>
              <w:rPr>
                <w:rFonts w:ascii="宋体" w:hAnsi="宋体"/>
                <w:szCs w:val="21"/>
              </w:rPr>
            </w:pPr>
          </w:p>
        </w:tc>
        <w:tc>
          <w:tcPr>
            <w:tcW w:w="2061" w:type="dxa"/>
          </w:tcPr>
          <w:p w14:paraId="055B4B0F">
            <w:pPr>
              <w:rPr>
                <w:rFonts w:ascii="宋体" w:hAnsi="宋体"/>
                <w:szCs w:val="21"/>
              </w:rPr>
            </w:pPr>
          </w:p>
        </w:tc>
        <w:tc>
          <w:tcPr>
            <w:tcW w:w="1889" w:type="dxa"/>
          </w:tcPr>
          <w:p w14:paraId="22D9BCEB">
            <w:pPr>
              <w:rPr>
                <w:rFonts w:ascii="宋体" w:hAnsi="宋体"/>
                <w:szCs w:val="21"/>
              </w:rPr>
            </w:pPr>
          </w:p>
        </w:tc>
        <w:tc>
          <w:tcPr>
            <w:tcW w:w="2269" w:type="dxa"/>
            <w:vMerge w:val="continue"/>
          </w:tcPr>
          <w:p w14:paraId="1D750871">
            <w:pPr>
              <w:rPr>
                <w:rFonts w:ascii="宋体" w:hAnsi="宋体"/>
                <w:szCs w:val="21"/>
              </w:rPr>
            </w:pPr>
          </w:p>
        </w:tc>
      </w:tr>
      <w:tr w14:paraId="2E597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5E06F1B4">
            <w:pPr>
              <w:rPr>
                <w:rFonts w:ascii="宋体" w:hAnsi="宋体"/>
                <w:szCs w:val="21"/>
              </w:rPr>
            </w:pPr>
          </w:p>
        </w:tc>
        <w:tc>
          <w:tcPr>
            <w:tcW w:w="2061" w:type="dxa"/>
          </w:tcPr>
          <w:p w14:paraId="20F22E09">
            <w:pPr>
              <w:rPr>
                <w:rFonts w:ascii="宋体" w:hAnsi="宋体"/>
                <w:szCs w:val="21"/>
              </w:rPr>
            </w:pPr>
          </w:p>
        </w:tc>
        <w:tc>
          <w:tcPr>
            <w:tcW w:w="1889" w:type="dxa"/>
          </w:tcPr>
          <w:p w14:paraId="0E59C699">
            <w:pPr>
              <w:rPr>
                <w:rFonts w:ascii="宋体" w:hAnsi="宋体"/>
                <w:szCs w:val="21"/>
              </w:rPr>
            </w:pPr>
          </w:p>
        </w:tc>
        <w:tc>
          <w:tcPr>
            <w:tcW w:w="2269" w:type="dxa"/>
            <w:vMerge w:val="continue"/>
          </w:tcPr>
          <w:p w14:paraId="0524ACBF">
            <w:pPr>
              <w:rPr>
                <w:rFonts w:ascii="宋体" w:hAnsi="宋体"/>
                <w:szCs w:val="21"/>
              </w:rPr>
            </w:pPr>
          </w:p>
        </w:tc>
      </w:tr>
      <w:tr w14:paraId="70ECF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jc w:val="center"/>
        </w:trPr>
        <w:tc>
          <w:tcPr>
            <w:tcW w:w="2441" w:type="dxa"/>
          </w:tcPr>
          <w:p w14:paraId="595625BF">
            <w:pPr>
              <w:rPr>
                <w:rFonts w:ascii="宋体" w:hAnsi="宋体"/>
                <w:szCs w:val="21"/>
              </w:rPr>
            </w:pPr>
          </w:p>
        </w:tc>
        <w:tc>
          <w:tcPr>
            <w:tcW w:w="2061" w:type="dxa"/>
          </w:tcPr>
          <w:p w14:paraId="06252410">
            <w:pPr>
              <w:rPr>
                <w:rFonts w:ascii="宋体" w:hAnsi="宋体"/>
                <w:szCs w:val="21"/>
              </w:rPr>
            </w:pPr>
          </w:p>
        </w:tc>
        <w:tc>
          <w:tcPr>
            <w:tcW w:w="1889" w:type="dxa"/>
          </w:tcPr>
          <w:p w14:paraId="694FA610">
            <w:pPr>
              <w:rPr>
                <w:rFonts w:ascii="宋体" w:hAnsi="宋体"/>
                <w:szCs w:val="21"/>
              </w:rPr>
            </w:pPr>
          </w:p>
        </w:tc>
        <w:tc>
          <w:tcPr>
            <w:tcW w:w="2269" w:type="dxa"/>
            <w:vMerge w:val="continue"/>
          </w:tcPr>
          <w:p w14:paraId="4FA9619B">
            <w:pPr>
              <w:rPr>
                <w:rFonts w:ascii="宋体" w:hAnsi="宋体"/>
                <w:szCs w:val="21"/>
              </w:rPr>
            </w:pPr>
          </w:p>
        </w:tc>
      </w:tr>
      <w:tr w14:paraId="481A0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jc w:val="center"/>
        </w:trPr>
        <w:tc>
          <w:tcPr>
            <w:tcW w:w="4502" w:type="dxa"/>
            <w:gridSpan w:val="2"/>
          </w:tcPr>
          <w:p w14:paraId="360E91D5">
            <w:pPr>
              <w:pStyle w:val="256"/>
              <w:kinsoku w:val="0"/>
              <w:overflowPunct w:val="0"/>
              <w:spacing w:before="111"/>
              <w:ind w:left="850"/>
              <w:rPr>
                <w:szCs w:val="21"/>
              </w:rPr>
            </w:pPr>
            <w:r>
              <w:rPr>
                <w:rFonts w:hint="eastAsia"/>
                <w:spacing w:val="-2"/>
                <w:szCs w:val="21"/>
              </w:rPr>
              <w:t>拟分包专项工程造价合计（万元）</w:t>
            </w:r>
          </w:p>
        </w:tc>
        <w:tc>
          <w:tcPr>
            <w:tcW w:w="1889" w:type="dxa"/>
          </w:tcPr>
          <w:p w14:paraId="39DF509A">
            <w:pPr>
              <w:rPr>
                <w:rFonts w:ascii="宋体" w:hAnsi="宋体"/>
                <w:szCs w:val="21"/>
              </w:rPr>
            </w:pPr>
          </w:p>
        </w:tc>
        <w:tc>
          <w:tcPr>
            <w:tcW w:w="2269" w:type="dxa"/>
            <w:vMerge w:val="continue"/>
          </w:tcPr>
          <w:p w14:paraId="5AFC6F5C">
            <w:pPr>
              <w:rPr>
                <w:rFonts w:ascii="宋体" w:hAnsi="宋体"/>
                <w:szCs w:val="21"/>
              </w:rPr>
            </w:pPr>
          </w:p>
        </w:tc>
      </w:tr>
    </w:tbl>
    <w:p w14:paraId="7FCA315A">
      <w:pPr>
        <w:rPr>
          <w:rFonts w:ascii="宋体" w:hAnsi="宋体"/>
        </w:rPr>
        <w:sectPr>
          <w:footnotePr>
            <w:numFmt w:val="decimalEnclosedCircleChinese"/>
            <w:numRestart w:val="eachPage"/>
          </w:footnotePr>
          <w:type w:val="continuous"/>
          <w:pgSz w:w="11900" w:h="16838"/>
          <w:pgMar w:top="1417" w:right="1418" w:bottom="1417" w:left="1701" w:header="850" w:footer="624" w:gutter="0"/>
          <w:cols w:space="720" w:num="1"/>
          <w:docGrid w:linePitch="312" w:charSpace="0"/>
        </w:sectPr>
      </w:pPr>
    </w:p>
    <w:p w14:paraId="0E688CF4">
      <w:pPr>
        <w:pStyle w:val="20"/>
        <w:kinsoku w:val="0"/>
        <w:overflowPunct w:val="0"/>
        <w:spacing w:before="12"/>
        <w:rPr>
          <w:rFonts w:cs="黑体"/>
          <w:sz w:val="28"/>
          <w:szCs w:val="28"/>
        </w:rPr>
      </w:pPr>
    </w:p>
    <w:p w14:paraId="5606AA91">
      <w:pPr>
        <w:pStyle w:val="20"/>
        <w:kinsoku w:val="0"/>
        <w:overflowPunct w:val="0"/>
        <w:spacing w:before="14" w:line="360" w:lineRule="auto"/>
        <w:ind w:left="1615" w:right="1631"/>
        <w:jc w:val="center"/>
        <w:rPr>
          <w:rFonts w:ascii="黑体" w:hAnsi="黑体" w:eastAsia="黑体" w:cs="黑体"/>
          <w:spacing w:val="-1"/>
          <w:sz w:val="30"/>
          <w:szCs w:val="30"/>
        </w:rPr>
      </w:pPr>
      <w:bookmarkStart w:id="882" w:name="bookmark310"/>
      <w:bookmarkEnd w:id="882"/>
      <w:bookmarkStart w:id="883" w:name="bookmark309"/>
      <w:bookmarkEnd w:id="883"/>
      <w:r>
        <w:rPr>
          <w:rFonts w:cs="黑体"/>
          <w:spacing w:val="-1"/>
          <w:sz w:val="28"/>
          <w:szCs w:val="28"/>
        </w:rPr>
        <w:br w:type="page"/>
      </w:r>
      <w:r>
        <w:rPr>
          <w:rFonts w:hint="eastAsia" w:ascii="黑体" w:hAnsi="黑体" w:eastAsia="黑体" w:cs="黑体"/>
          <w:spacing w:val="-1"/>
          <w:sz w:val="30"/>
          <w:szCs w:val="30"/>
        </w:rPr>
        <w:t>八、资格审查资料</w:t>
      </w:r>
    </w:p>
    <w:p w14:paraId="6277C51F">
      <w:pPr>
        <w:pStyle w:val="20"/>
        <w:kinsoku w:val="0"/>
        <w:overflowPunct w:val="0"/>
        <w:spacing w:line="360" w:lineRule="auto"/>
        <w:ind w:right="20"/>
        <w:jc w:val="center"/>
        <w:rPr>
          <w:rFonts w:ascii="黑体" w:hAnsi="黑体" w:eastAsia="黑体" w:cs="黑体"/>
          <w:sz w:val="28"/>
          <w:szCs w:val="28"/>
        </w:rPr>
      </w:pPr>
      <w:bookmarkStart w:id="884" w:name="bookmark311"/>
      <w:bookmarkEnd w:id="884"/>
      <w:r>
        <w:rPr>
          <w:rFonts w:hint="eastAsia" w:ascii="黑体" w:hAnsi="黑体" w:eastAsia="黑体" w:cs="黑体"/>
          <w:sz w:val="28"/>
          <w:szCs w:val="28"/>
        </w:rPr>
        <w:t>（一）投标人基本情况表</w:t>
      </w:r>
    </w:p>
    <w:tbl>
      <w:tblPr>
        <w:tblStyle w:val="49"/>
        <w:tblW w:w="8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31"/>
        <w:gridCol w:w="851"/>
        <w:gridCol w:w="708"/>
        <w:gridCol w:w="993"/>
        <w:gridCol w:w="992"/>
        <w:gridCol w:w="850"/>
        <w:gridCol w:w="993"/>
      </w:tblGrid>
      <w:tr w14:paraId="38620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vAlign w:val="center"/>
          </w:tcPr>
          <w:p w14:paraId="26091170">
            <w:pPr>
              <w:pStyle w:val="256"/>
              <w:spacing w:line="400" w:lineRule="exact"/>
              <w:jc w:val="center"/>
              <w:rPr>
                <w:szCs w:val="21"/>
              </w:rPr>
            </w:pPr>
            <w:r>
              <w:rPr>
                <w:rFonts w:hint="eastAsia"/>
                <w:szCs w:val="21"/>
              </w:rPr>
              <w:t>投标人名称</w:t>
            </w:r>
          </w:p>
        </w:tc>
        <w:tc>
          <w:tcPr>
            <w:tcW w:w="5387" w:type="dxa"/>
            <w:gridSpan w:val="6"/>
            <w:vAlign w:val="center"/>
          </w:tcPr>
          <w:p w14:paraId="53137F3F">
            <w:pPr>
              <w:spacing w:line="400" w:lineRule="exact"/>
              <w:rPr>
                <w:rFonts w:ascii="宋体" w:hAnsi="宋体"/>
                <w:szCs w:val="21"/>
              </w:rPr>
            </w:pPr>
          </w:p>
        </w:tc>
      </w:tr>
      <w:tr w14:paraId="5DF35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vAlign w:val="center"/>
          </w:tcPr>
          <w:p w14:paraId="6A24D818">
            <w:pPr>
              <w:pStyle w:val="256"/>
              <w:spacing w:line="400" w:lineRule="exact"/>
              <w:jc w:val="center"/>
              <w:rPr>
                <w:szCs w:val="21"/>
              </w:rPr>
            </w:pPr>
            <w:r>
              <w:rPr>
                <w:rFonts w:hint="eastAsia"/>
                <w:szCs w:val="21"/>
              </w:rPr>
              <w:t>单位统一社会信用代码</w:t>
            </w:r>
          </w:p>
        </w:tc>
        <w:tc>
          <w:tcPr>
            <w:tcW w:w="5387" w:type="dxa"/>
            <w:gridSpan w:val="6"/>
            <w:vAlign w:val="center"/>
          </w:tcPr>
          <w:p w14:paraId="68526AB0">
            <w:pPr>
              <w:spacing w:line="400" w:lineRule="exact"/>
              <w:rPr>
                <w:rFonts w:ascii="宋体" w:hAnsi="宋体"/>
                <w:szCs w:val="21"/>
              </w:rPr>
            </w:pPr>
          </w:p>
        </w:tc>
      </w:tr>
      <w:tr w14:paraId="050BD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vAlign w:val="center"/>
          </w:tcPr>
          <w:p w14:paraId="640823CB">
            <w:pPr>
              <w:pStyle w:val="256"/>
              <w:spacing w:line="400" w:lineRule="exact"/>
              <w:jc w:val="center"/>
              <w:rPr>
                <w:szCs w:val="21"/>
              </w:rPr>
            </w:pPr>
            <w:r>
              <w:rPr>
                <w:rFonts w:hint="eastAsia"/>
                <w:szCs w:val="21"/>
              </w:rPr>
              <w:t>法定代表人</w:t>
            </w:r>
          </w:p>
        </w:tc>
        <w:tc>
          <w:tcPr>
            <w:tcW w:w="851" w:type="dxa"/>
            <w:vAlign w:val="center"/>
          </w:tcPr>
          <w:p w14:paraId="38ACBC7C">
            <w:pPr>
              <w:pStyle w:val="256"/>
              <w:spacing w:line="400" w:lineRule="exact"/>
              <w:jc w:val="center"/>
              <w:rPr>
                <w:szCs w:val="21"/>
              </w:rPr>
            </w:pPr>
            <w:r>
              <w:rPr>
                <w:rFonts w:hint="eastAsia"/>
                <w:szCs w:val="21"/>
              </w:rPr>
              <w:t>姓名</w:t>
            </w:r>
          </w:p>
        </w:tc>
        <w:tc>
          <w:tcPr>
            <w:tcW w:w="708" w:type="dxa"/>
            <w:vAlign w:val="center"/>
          </w:tcPr>
          <w:p w14:paraId="311A7009">
            <w:pPr>
              <w:spacing w:line="400" w:lineRule="exact"/>
              <w:rPr>
                <w:rFonts w:ascii="宋体" w:hAnsi="宋体"/>
                <w:szCs w:val="21"/>
              </w:rPr>
            </w:pPr>
          </w:p>
        </w:tc>
        <w:tc>
          <w:tcPr>
            <w:tcW w:w="993" w:type="dxa"/>
            <w:vAlign w:val="center"/>
          </w:tcPr>
          <w:p w14:paraId="58E395FE">
            <w:pPr>
              <w:pStyle w:val="256"/>
              <w:spacing w:line="400" w:lineRule="exact"/>
              <w:jc w:val="center"/>
              <w:rPr>
                <w:szCs w:val="21"/>
              </w:rPr>
            </w:pPr>
            <w:r>
              <w:rPr>
                <w:rFonts w:hint="eastAsia"/>
                <w:szCs w:val="21"/>
              </w:rPr>
              <w:t>技术职称</w:t>
            </w:r>
          </w:p>
        </w:tc>
        <w:tc>
          <w:tcPr>
            <w:tcW w:w="992" w:type="dxa"/>
            <w:vAlign w:val="center"/>
          </w:tcPr>
          <w:p w14:paraId="1B86955A">
            <w:pPr>
              <w:spacing w:line="400" w:lineRule="exact"/>
              <w:rPr>
                <w:rFonts w:ascii="宋体" w:hAnsi="宋体"/>
                <w:szCs w:val="21"/>
              </w:rPr>
            </w:pPr>
          </w:p>
        </w:tc>
        <w:tc>
          <w:tcPr>
            <w:tcW w:w="850" w:type="dxa"/>
            <w:vAlign w:val="center"/>
          </w:tcPr>
          <w:p w14:paraId="59EF959F">
            <w:pPr>
              <w:pStyle w:val="256"/>
              <w:spacing w:line="400" w:lineRule="exact"/>
              <w:jc w:val="center"/>
              <w:rPr>
                <w:szCs w:val="21"/>
              </w:rPr>
            </w:pPr>
            <w:r>
              <w:rPr>
                <w:rFonts w:hint="eastAsia"/>
                <w:szCs w:val="21"/>
              </w:rPr>
              <w:t>电话</w:t>
            </w:r>
          </w:p>
        </w:tc>
        <w:tc>
          <w:tcPr>
            <w:tcW w:w="993" w:type="dxa"/>
            <w:vAlign w:val="center"/>
          </w:tcPr>
          <w:p w14:paraId="5391B084">
            <w:pPr>
              <w:spacing w:line="400" w:lineRule="exact"/>
              <w:rPr>
                <w:rFonts w:ascii="宋体" w:hAnsi="宋体"/>
                <w:szCs w:val="21"/>
              </w:rPr>
            </w:pPr>
          </w:p>
        </w:tc>
      </w:tr>
      <w:tr w14:paraId="571A1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tcBorders>
              <w:right w:val="single" w:color="auto" w:sz="4" w:space="0"/>
            </w:tcBorders>
            <w:vAlign w:val="center"/>
          </w:tcPr>
          <w:p w14:paraId="07F8170B">
            <w:pPr>
              <w:pStyle w:val="256"/>
              <w:spacing w:line="400" w:lineRule="exact"/>
              <w:jc w:val="center"/>
              <w:rPr>
                <w:szCs w:val="21"/>
              </w:rPr>
            </w:pPr>
            <w:r>
              <w:rPr>
                <w:rFonts w:hint="eastAsia"/>
                <w:szCs w:val="21"/>
              </w:rPr>
              <w:t>技术负责人</w:t>
            </w:r>
          </w:p>
        </w:tc>
        <w:tc>
          <w:tcPr>
            <w:tcW w:w="851" w:type="dxa"/>
            <w:tcBorders>
              <w:left w:val="single" w:color="auto" w:sz="4" w:space="0"/>
            </w:tcBorders>
            <w:vAlign w:val="center"/>
          </w:tcPr>
          <w:p w14:paraId="3FC8617F">
            <w:pPr>
              <w:pStyle w:val="256"/>
              <w:spacing w:line="400" w:lineRule="exact"/>
              <w:jc w:val="center"/>
              <w:rPr>
                <w:szCs w:val="21"/>
              </w:rPr>
            </w:pPr>
            <w:r>
              <w:rPr>
                <w:rFonts w:hint="eastAsia"/>
                <w:szCs w:val="21"/>
              </w:rPr>
              <w:t>姓名</w:t>
            </w:r>
          </w:p>
        </w:tc>
        <w:tc>
          <w:tcPr>
            <w:tcW w:w="708" w:type="dxa"/>
            <w:vAlign w:val="center"/>
          </w:tcPr>
          <w:p w14:paraId="6F357E17">
            <w:pPr>
              <w:spacing w:line="400" w:lineRule="exact"/>
              <w:rPr>
                <w:rFonts w:ascii="宋体" w:hAnsi="宋体"/>
                <w:szCs w:val="21"/>
              </w:rPr>
            </w:pPr>
          </w:p>
        </w:tc>
        <w:tc>
          <w:tcPr>
            <w:tcW w:w="993" w:type="dxa"/>
            <w:vAlign w:val="center"/>
          </w:tcPr>
          <w:p w14:paraId="32DB1677">
            <w:pPr>
              <w:pStyle w:val="256"/>
              <w:spacing w:line="400" w:lineRule="exact"/>
              <w:jc w:val="center"/>
              <w:rPr>
                <w:szCs w:val="21"/>
              </w:rPr>
            </w:pPr>
            <w:r>
              <w:rPr>
                <w:rFonts w:hint="eastAsia"/>
                <w:szCs w:val="21"/>
              </w:rPr>
              <w:t>技术职称</w:t>
            </w:r>
          </w:p>
        </w:tc>
        <w:tc>
          <w:tcPr>
            <w:tcW w:w="992" w:type="dxa"/>
            <w:vAlign w:val="center"/>
          </w:tcPr>
          <w:p w14:paraId="4C8A5FBF">
            <w:pPr>
              <w:spacing w:line="400" w:lineRule="exact"/>
              <w:rPr>
                <w:rFonts w:ascii="宋体" w:hAnsi="宋体"/>
                <w:szCs w:val="21"/>
              </w:rPr>
            </w:pPr>
          </w:p>
        </w:tc>
        <w:tc>
          <w:tcPr>
            <w:tcW w:w="850" w:type="dxa"/>
            <w:vAlign w:val="center"/>
          </w:tcPr>
          <w:p w14:paraId="06CA45A0">
            <w:pPr>
              <w:pStyle w:val="256"/>
              <w:spacing w:line="400" w:lineRule="exact"/>
              <w:jc w:val="center"/>
              <w:rPr>
                <w:szCs w:val="21"/>
              </w:rPr>
            </w:pPr>
            <w:r>
              <w:rPr>
                <w:rFonts w:hint="eastAsia"/>
                <w:szCs w:val="21"/>
              </w:rPr>
              <w:t>电话</w:t>
            </w:r>
          </w:p>
        </w:tc>
        <w:tc>
          <w:tcPr>
            <w:tcW w:w="993" w:type="dxa"/>
            <w:vAlign w:val="center"/>
          </w:tcPr>
          <w:p w14:paraId="18FA1D11">
            <w:pPr>
              <w:spacing w:line="400" w:lineRule="exact"/>
              <w:rPr>
                <w:rFonts w:ascii="宋体" w:hAnsi="宋体"/>
                <w:szCs w:val="21"/>
              </w:rPr>
            </w:pPr>
          </w:p>
        </w:tc>
      </w:tr>
      <w:tr w14:paraId="02501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tcBorders>
              <w:right w:val="single" w:color="auto" w:sz="4" w:space="0"/>
            </w:tcBorders>
            <w:vAlign w:val="center"/>
          </w:tcPr>
          <w:p w14:paraId="3C8C5D50">
            <w:pPr>
              <w:pStyle w:val="256"/>
              <w:spacing w:line="400" w:lineRule="exact"/>
              <w:jc w:val="center"/>
              <w:rPr>
                <w:szCs w:val="21"/>
              </w:rPr>
            </w:pPr>
            <w:r>
              <w:rPr>
                <w:rFonts w:hint="eastAsia"/>
                <w:szCs w:val="21"/>
              </w:rPr>
              <w:t>经营范围</w:t>
            </w:r>
          </w:p>
        </w:tc>
        <w:tc>
          <w:tcPr>
            <w:tcW w:w="5387" w:type="dxa"/>
            <w:gridSpan w:val="6"/>
            <w:tcBorders>
              <w:left w:val="single" w:color="auto" w:sz="4" w:space="0"/>
            </w:tcBorders>
            <w:vAlign w:val="center"/>
          </w:tcPr>
          <w:p w14:paraId="5C993C1E">
            <w:pPr>
              <w:spacing w:line="400" w:lineRule="exact"/>
              <w:rPr>
                <w:rFonts w:ascii="宋体" w:hAnsi="宋体"/>
                <w:szCs w:val="21"/>
              </w:rPr>
            </w:pPr>
          </w:p>
        </w:tc>
      </w:tr>
      <w:tr w14:paraId="5E8AE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tcBorders>
              <w:right w:val="single" w:color="auto" w:sz="4" w:space="0"/>
            </w:tcBorders>
            <w:vAlign w:val="center"/>
          </w:tcPr>
          <w:p w14:paraId="4CB17A0E">
            <w:pPr>
              <w:pStyle w:val="256"/>
              <w:spacing w:line="400" w:lineRule="exact"/>
              <w:jc w:val="center"/>
              <w:rPr>
                <w:szCs w:val="21"/>
              </w:rPr>
            </w:pPr>
            <w:r>
              <w:rPr>
                <w:rFonts w:hint="eastAsia"/>
                <w:szCs w:val="21"/>
              </w:rPr>
              <w:t>营业执照</w:t>
            </w:r>
          </w:p>
        </w:tc>
        <w:tc>
          <w:tcPr>
            <w:tcW w:w="5387" w:type="dxa"/>
            <w:gridSpan w:val="6"/>
            <w:tcBorders>
              <w:left w:val="single" w:color="auto" w:sz="4" w:space="0"/>
            </w:tcBorders>
            <w:vAlign w:val="center"/>
          </w:tcPr>
          <w:p w14:paraId="23EC03FF">
            <w:pPr>
              <w:spacing w:line="400" w:lineRule="exact"/>
              <w:ind w:firstLine="105" w:firstLineChars="50"/>
              <w:jc w:val="left"/>
              <w:rPr>
                <w:rFonts w:ascii="宋体" w:hAnsi="宋体"/>
                <w:szCs w:val="21"/>
              </w:rPr>
            </w:pPr>
            <w:r>
              <w:rPr>
                <w:rFonts w:hint="eastAsia" w:ascii="宋体" w:hAnsi="宋体"/>
                <w:szCs w:val="21"/>
              </w:rPr>
              <w:t>附件</w:t>
            </w:r>
            <w:r>
              <w:rPr>
                <w:rFonts w:ascii="宋体" w:hAnsi="宋体"/>
                <w:szCs w:val="21"/>
              </w:rPr>
              <w:t>1.1</w:t>
            </w:r>
          </w:p>
        </w:tc>
      </w:tr>
      <w:tr w14:paraId="4ADEB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tcBorders>
              <w:right w:val="single" w:color="auto" w:sz="4" w:space="0"/>
            </w:tcBorders>
            <w:vAlign w:val="center"/>
          </w:tcPr>
          <w:p w14:paraId="07563B04">
            <w:pPr>
              <w:spacing w:line="400" w:lineRule="exact"/>
              <w:jc w:val="center"/>
              <w:rPr>
                <w:rFonts w:ascii="宋体" w:hAnsi="宋体"/>
                <w:szCs w:val="21"/>
              </w:rPr>
            </w:pPr>
            <w:r>
              <w:rPr>
                <w:rFonts w:hint="eastAsia" w:ascii="宋体" w:hAnsi="宋体" w:cs="宋体"/>
                <w:szCs w:val="21"/>
              </w:rPr>
              <w:t>企业资质证书</w:t>
            </w:r>
          </w:p>
        </w:tc>
        <w:tc>
          <w:tcPr>
            <w:tcW w:w="5387" w:type="dxa"/>
            <w:gridSpan w:val="6"/>
            <w:tcBorders>
              <w:left w:val="single" w:color="auto" w:sz="4" w:space="0"/>
            </w:tcBorders>
            <w:vAlign w:val="center"/>
          </w:tcPr>
          <w:p w14:paraId="6F077A04">
            <w:pPr>
              <w:spacing w:line="400" w:lineRule="exact"/>
              <w:ind w:firstLine="105" w:firstLineChars="50"/>
              <w:rPr>
                <w:rFonts w:ascii="宋体" w:hAnsi="宋体"/>
                <w:szCs w:val="21"/>
              </w:rPr>
            </w:pPr>
            <w:r>
              <w:rPr>
                <w:rFonts w:hint="eastAsia" w:ascii="宋体" w:hAnsi="宋体"/>
                <w:szCs w:val="21"/>
              </w:rPr>
              <w:t>附件</w:t>
            </w:r>
            <w:r>
              <w:rPr>
                <w:rFonts w:ascii="宋体" w:hAnsi="宋体"/>
                <w:szCs w:val="21"/>
              </w:rPr>
              <w:t>1.2</w:t>
            </w:r>
          </w:p>
        </w:tc>
      </w:tr>
      <w:tr w14:paraId="16DAB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tcBorders>
              <w:right w:val="single" w:color="auto" w:sz="4" w:space="0"/>
            </w:tcBorders>
            <w:vAlign w:val="center"/>
          </w:tcPr>
          <w:p w14:paraId="73136868">
            <w:pPr>
              <w:pStyle w:val="256"/>
              <w:spacing w:line="400" w:lineRule="exact"/>
              <w:jc w:val="center"/>
              <w:rPr>
                <w:szCs w:val="21"/>
              </w:rPr>
            </w:pPr>
            <w:r>
              <w:rPr>
                <w:rFonts w:hint="eastAsia"/>
                <w:b/>
                <w:szCs w:val="21"/>
              </w:rPr>
              <w:t>□</w:t>
            </w:r>
            <w:r>
              <w:rPr>
                <w:szCs w:val="21"/>
              </w:rPr>
              <w:t xml:space="preserve"> </w:t>
            </w:r>
            <w:r>
              <w:rPr>
                <w:rFonts w:hint="eastAsia"/>
                <w:szCs w:val="21"/>
              </w:rPr>
              <w:t>安全生产许可证</w:t>
            </w:r>
          </w:p>
        </w:tc>
        <w:tc>
          <w:tcPr>
            <w:tcW w:w="5387" w:type="dxa"/>
            <w:gridSpan w:val="6"/>
            <w:tcBorders>
              <w:left w:val="single" w:color="auto" w:sz="4" w:space="0"/>
              <w:bottom w:val="single" w:color="auto" w:sz="4" w:space="0"/>
            </w:tcBorders>
            <w:vAlign w:val="center"/>
          </w:tcPr>
          <w:p w14:paraId="27446230">
            <w:pPr>
              <w:spacing w:line="400" w:lineRule="exact"/>
              <w:ind w:firstLine="105" w:firstLineChars="50"/>
              <w:rPr>
                <w:rFonts w:ascii="宋体" w:hAnsi="宋体"/>
                <w:szCs w:val="21"/>
              </w:rPr>
            </w:pPr>
            <w:r>
              <w:rPr>
                <w:rFonts w:hint="eastAsia" w:ascii="宋体" w:hAnsi="宋体"/>
                <w:szCs w:val="21"/>
              </w:rPr>
              <w:t>附件</w:t>
            </w:r>
            <w:r>
              <w:rPr>
                <w:rFonts w:ascii="宋体" w:hAnsi="宋体"/>
                <w:szCs w:val="21"/>
              </w:rPr>
              <w:t>1.3</w:t>
            </w:r>
          </w:p>
        </w:tc>
      </w:tr>
      <w:tr w14:paraId="5445E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vAlign w:val="center"/>
          </w:tcPr>
          <w:p w14:paraId="45FD6C50">
            <w:pPr>
              <w:pStyle w:val="256"/>
              <w:spacing w:line="400" w:lineRule="exact"/>
              <w:jc w:val="center"/>
              <w:rPr>
                <w:szCs w:val="21"/>
              </w:rPr>
            </w:pPr>
            <w:r>
              <w:rPr>
                <w:rFonts w:hint="eastAsia"/>
                <w:szCs w:val="21"/>
              </w:rPr>
              <w:t>开户许可证（基本账户或基本存款账户）或基本存款账户信息表</w:t>
            </w:r>
          </w:p>
        </w:tc>
        <w:tc>
          <w:tcPr>
            <w:tcW w:w="5387" w:type="dxa"/>
            <w:gridSpan w:val="6"/>
            <w:tcBorders>
              <w:top w:val="single" w:color="auto" w:sz="4" w:space="0"/>
              <w:bottom w:val="single" w:color="auto" w:sz="4" w:space="0"/>
            </w:tcBorders>
            <w:vAlign w:val="center"/>
          </w:tcPr>
          <w:p w14:paraId="2089E908">
            <w:pPr>
              <w:spacing w:line="400" w:lineRule="exact"/>
              <w:ind w:firstLine="105" w:firstLineChars="50"/>
              <w:jc w:val="left"/>
              <w:rPr>
                <w:rFonts w:ascii="宋体" w:hAnsi="宋体"/>
                <w:szCs w:val="21"/>
              </w:rPr>
            </w:pPr>
            <w:r>
              <w:rPr>
                <w:rFonts w:hint="eastAsia" w:ascii="宋体" w:hAnsi="宋体"/>
                <w:szCs w:val="21"/>
              </w:rPr>
              <w:t>附件</w:t>
            </w:r>
            <w:r>
              <w:rPr>
                <w:rFonts w:ascii="宋体" w:hAnsi="宋体"/>
                <w:szCs w:val="21"/>
              </w:rPr>
              <w:t>1.4</w:t>
            </w:r>
          </w:p>
        </w:tc>
      </w:tr>
      <w:tr w14:paraId="28D1D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vAlign w:val="center"/>
          </w:tcPr>
          <w:p w14:paraId="7B86FC68">
            <w:pPr>
              <w:pStyle w:val="256"/>
              <w:spacing w:line="400" w:lineRule="exact"/>
              <w:ind w:left="109" w:right="89"/>
              <w:jc w:val="center"/>
              <w:rPr>
                <w:szCs w:val="21"/>
              </w:rPr>
            </w:pPr>
            <w:r>
              <w:rPr>
                <w:rFonts w:hint="eastAsia"/>
                <w:szCs w:val="21"/>
              </w:rPr>
              <w:t>投标人关联企业情况</w:t>
            </w:r>
          </w:p>
        </w:tc>
        <w:tc>
          <w:tcPr>
            <w:tcW w:w="5387" w:type="dxa"/>
            <w:gridSpan w:val="6"/>
            <w:vAlign w:val="center"/>
          </w:tcPr>
          <w:p w14:paraId="77093D4D">
            <w:pPr>
              <w:pStyle w:val="256"/>
              <w:spacing w:line="400" w:lineRule="exact"/>
              <w:ind w:left="105" w:leftChars="50" w:right="105" w:rightChars="50"/>
              <w:jc w:val="left"/>
              <w:rPr>
                <w:szCs w:val="21"/>
              </w:rPr>
            </w:pPr>
            <w:r>
              <w:rPr>
                <w:rFonts w:hint="eastAsia"/>
                <w:szCs w:val="21"/>
              </w:rPr>
              <w:t>附件</w:t>
            </w:r>
            <w:r>
              <w:rPr>
                <w:szCs w:val="21"/>
              </w:rPr>
              <w:t>1.5</w:t>
            </w:r>
          </w:p>
        </w:tc>
      </w:tr>
      <w:tr w14:paraId="02048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vAlign w:val="center"/>
          </w:tcPr>
          <w:p w14:paraId="7F26948F">
            <w:pPr>
              <w:pStyle w:val="256"/>
              <w:spacing w:line="400" w:lineRule="exact"/>
              <w:ind w:left="109" w:right="89"/>
              <w:rPr>
                <w:b/>
                <w:szCs w:val="21"/>
              </w:rPr>
            </w:pPr>
            <w:r>
              <w:rPr>
                <w:rFonts w:hint="eastAsia"/>
                <w:b/>
                <w:szCs w:val="21"/>
              </w:rPr>
              <w:t xml:space="preserve">□ </w:t>
            </w:r>
            <w:r>
              <w:rPr>
                <w:rFonts w:hint="eastAsia"/>
                <w:szCs w:val="21"/>
              </w:rPr>
              <w:t>交通运输部</w:t>
            </w:r>
            <w:r>
              <w:rPr>
                <w:rFonts w:hint="eastAsia"/>
                <w:szCs w:val="21"/>
                <w:lang w:eastAsia="zh-CN"/>
              </w:rPr>
              <w:t>“全国公路建设市场监督管理系统”</w:t>
            </w:r>
            <w:r>
              <w:rPr>
                <w:rFonts w:hint="eastAsia"/>
                <w:szCs w:val="21"/>
              </w:rPr>
              <w:t>中的“公路工程设计资质企业名录”、“公路工程施工资质企业名录”网页截图</w:t>
            </w:r>
          </w:p>
        </w:tc>
        <w:tc>
          <w:tcPr>
            <w:tcW w:w="5387" w:type="dxa"/>
            <w:gridSpan w:val="6"/>
            <w:vAlign w:val="center"/>
          </w:tcPr>
          <w:p w14:paraId="10E5C57F">
            <w:pPr>
              <w:pStyle w:val="256"/>
              <w:spacing w:line="400" w:lineRule="exact"/>
              <w:ind w:left="105" w:leftChars="50" w:right="105" w:rightChars="50"/>
              <w:jc w:val="left"/>
              <w:rPr>
                <w:szCs w:val="21"/>
              </w:rPr>
            </w:pPr>
            <w:r>
              <w:rPr>
                <w:rFonts w:hint="eastAsia"/>
                <w:szCs w:val="21"/>
              </w:rPr>
              <w:t>附件</w:t>
            </w:r>
            <w:r>
              <w:rPr>
                <w:szCs w:val="21"/>
              </w:rPr>
              <w:t>1.6</w:t>
            </w:r>
          </w:p>
        </w:tc>
      </w:tr>
      <w:tr w14:paraId="6A402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vAlign w:val="center"/>
          </w:tcPr>
          <w:p w14:paraId="5A84AA5C">
            <w:pPr>
              <w:pStyle w:val="256"/>
              <w:spacing w:line="400" w:lineRule="exact"/>
              <w:ind w:left="109" w:right="89"/>
              <w:rPr>
                <w:szCs w:val="21"/>
              </w:rPr>
            </w:pPr>
            <w:r>
              <w:rPr>
                <w:rFonts w:hint="eastAsia"/>
                <w:b/>
                <w:szCs w:val="21"/>
              </w:rPr>
              <w:t xml:space="preserve">□ </w:t>
            </w:r>
            <w:r>
              <w:rPr>
                <w:rFonts w:hint="eastAsia"/>
                <w:szCs w:val="21"/>
              </w:rPr>
              <w:t>投标人工地试验室母体试验检测机构的资质等级证书、资质认定证书</w:t>
            </w:r>
          </w:p>
        </w:tc>
        <w:tc>
          <w:tcPr>
            <w:tcW w:w="5387" w:type="dxa"/>
            <w:gridSpan w:val="6"/>
            <w:vAlign w:val="center"/>
          </w:tcPr>
          <w:p w14:paraId="0428DF81">
            <w:pPr>
              <w:pStyle w:val="256"/>
              <w:spacing w:line="400" w:lineRule="exact"/>
              <w:ind w:left="105" w:leftChars="50" w:right="105" w:rightChars="50"/>
              <w:jc w:val="left"/>
              <w:rPr>
                <w:szCs w:val="21"/>
              </w:rPr>
            </w:pPr>
            <w:r>
              <w:rPr>
                <w:rFonts w:hint="eastAsia"/>
                <w:szCs w:val="21"/>
              </w:rPr>
              <w:t>附件</w:t>
            </w:r>
            <w:r>
              <w:rPr>
                <w:szCs w:val="21"/>
              </w:rPr>
              <w:t>1.7</w:t>
            </w:r>
          </w:p>
        </w:tc>
      </w:tr>
      <w:tr w14:paraId="46BD7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431" w:type="dxa"/>
            <w:vAlign w:val="center"/>
          </w:tcPr>
          <w:p w14:paraId="4135872F">
            <w:pPr>
              <w:pStyle w:val="256"/>
              <w:spacing w:line="400" w:lineRule="exact"/>
              <w:ind w:left="719" w:right="719"/>
              <w:jc w:val="center"/>
              <w:rPr>
                <w:szCs w:val="21"/>
              </w:rPr>
            </w:pPr>
            <w:r>
              <w:rPr>
                <w:rFonts w:hint="eastAsia"/>
                <w:szCs w:val="21"/>
              </w:rPr>
              <w:t>备  注</w:t>
            </w:r>
          </w:p>
        </w:tc>
        <w:tc>
          <w:tcPr>
            <w:tcW w:w="5387" w:type="dxa"/>
            <w:gridSpan w:val="6"/>
            <w:vAlign w:val="center"/>
          </w:tcPr>
          <w:p w14:paraId="4B273F23">
            <w:pPr>
              <w:spacing w:line="400" w:lineRule="exact"/>
              <w:rPr>
                <w:rFonts w:ascii="宋体" w:hAnsi="宋体"/>
                <w:szCs w:val="21"/>
              </w:rPr>
            </w:pPr>
          </w:p>
        </w:tc>
      </w:tr>
    </w:tbl>
    <w:p w14:paraId="66324A2F">
      <w:pPr>
        <w:pStyle w:val="299"/>
        <w:adjustRightInd w:val="0"/>
        <w:snapToGrid w:val="0"/>
        <w:spacing w:line="360" w:lineRule="exact"/>
        <w:ind w:left="0" w:firstLine="0" w:firstLineChars="0"/>
        <w:rPr>
          <w:rFonts w:hint="eastAsia" w:ascii="宋体" w:hAnsi="宋体" w:cs="宋体"/>
        </w:rPr>
      </w:pPr>
      <w:r>
        <w:rPr>
          <w:rFonts w:hint="eastAsia" w:ascii="宋体" w:hAnsi="宋体" w:cs="宋体"/>
        </w:rPr>
        <w:t>注：1.投标人应在本表后按附件顺序提供企业法人营业执照（附件1.1）、</w:t>
      </w:r>
      <w:r>
        <w:rPr>
          <w:rFonts w:hint="eastAsia" w:ascii="宋体" w:hAnsi="宋体" w:cs="宋体"/>
          <w:b/>
          <w:szCs w:val="21"/>
        </w:rPr>
        <w:t>□</w:t>
      </w:r>
      <w:r>
        <w:rPr>
          <w:rFonts w:hint="eastAsia" w:ascii="宋体" w:hAnsi="宋体" w:cs="宋体"/>
        </w:rPr>
        <w:t>施工资质证书（附件1.2）、</w:t>
      </w:r>
      <w:r>
        <w:rPr>
          <w:rFonts w:hint="eastAsia" w:ascii="宋体" w:hAnsi="宋体" w:cs="宋体"/>
          <w:b/>
          <w:szCs w:val="21"/>
        </w:rPr>
        <w:t>□</w:t>
      </w:r>
      <w:r>
        <w:rPr>
          <w:rFonts w:hint="eastAsia" w:ascii="宋体" w:hAnsi="宋体" w:cs="宋体"/>
        </w:rPr>
        <w:t>安全生产许可证（附件1.3）、开户许可证（基本账户或基本存款账户）或基本存款账户开户信息表（附件1.4）、投标人在国家企业信用信息公示系统中基础信息</w:t>
      </w:r>
      <w:r>
        <w:rPr>
          <w:rFonts w:hint="eastAsia" w:ascii="宋体" w:hAnsi="宋体" w:eastAsia="宋体" w:cs="宋体"/>
          <w:szCs w:val="21"/>
        </w:rPr>
        <w:t>（体现股东及出资详细信息）</w:t>
      </w:r>
      <w:r>
        <w:rPr>
          <w:rFonts w:hint="eastAsia" w:ascii="宋体" w:hAnsi="宋体" w:cs="宋体"/>
        </w:rPr>
        <w:t>的网页截图或</w:t>
      </w:r>
      <w:r>
        <w:rPr>
          <w:rFonts w:hint="eastAsia" w:ascii="宋体" w:hAnsi="宋体" w:eastAsia="宋体" w:cs="宋体"/>
          <w:szCs w:val="21"/>
        </w:rPr>
        <w:t>经登记机关备案的公司章程（体现股东及出资详细信息）</w:t>
      </w:r>
      <w:r>
        <w:rPr>
          <w:rFonts w:hint="eastAsia" w:ascii="宋体" w:hAnsi="宋体" w:cs="宋体"/>
        </w:rPr>
        <w:t>（附件1.5）、</w:t>
      </w:r>
      <w:r>
        <w:rPr>
          <w:rFonts w:hint="eastAsia" w:ascii="宋体" w:hAnsi="宋体" w:cs="宋体"/>
          <w:b/>
          <w:szCs w:val="21"/>
        </w:rPr>
        <w:t>□</w:t>
      </w:r>
      <w:r>
        <w:rPr>
          <w:rFonts w:hint="eastAsia" w:ascii="宋体" w:hAnsi="宋体" w:cs="宋体"/>
          <w:szCs w:val="21"/>
        </w:rPr>
        <w:t>交通运输部“全国公路建设市场监督管理系统”中的“公路工程施工企业资质名录”网页截图</w:t>
      </w:r>
      <w:r>
        <w:rPr>
          <w:rFonts w:hint="eastAsia" w:ascii="宋体" w:hAnsi="宋体" w:cs="宋体"/>
        </w:rPr>
        <w:t>（附件1.6）、</w:t>
      </w:r>
      <w:r>
        <w:rPr>
          <w:rFonts w:hint="eastAsia" w:ascii="宋体" w:hAnsi="宋体" w:cs="宋体"/>
          <w:b/>
          <w:szCs w:val="21"/>
        </w:rPr>
        <w:t>□</w:t>
      </w:r>
      <w:r>
        <w:rPr>
          <w:rFonts w:hint="eastAsia" w:ascii="宋体" w:hAnsi="宋体" w:cs="宋体"/>
          <w:szCs w:val="21"/>
        </w:rPr>
        <w:t>投标人工地试验室母体试验检测机构的资质证书、资质认定证书（附件1.7），除网页截图外的证明材料附件为</w:t>
      </w:r>
      <w:r>
        <w:rPr>
          <w:rFonts w:hint="eastAsia" w:ascii="宋体" w:hAnsi="宋体" w:cs="宋体"/>
        </w:rPr>
        <w:t>原件原色扫描件。</w:t>
      </w:r>
    </w:p>
    <w:p w14:paraId="1EAB52CF">
      <w:pPr>
        <w:pStyle w:val="299"/>
        <w:adjustRightInd w:val="0"/>
        <w:snapToGrid w:val="0"/>
        <w:spacing w:line="360" w:lineRule="exact"/>
        <w:ind w:left="0" w:leftChars="0" w:firstLine="420" w:firstLineChars="200"/>
        <w:rPr>
          <w:rFonts w:hint="eastAsia" w:ascii="宋体" w:hAnsi="宋体" w:cs="宋体"/>
        </w:rPr>
      </w:pPr>
      <w:r>
        <w:rPr>
          <w:rFonts w:hint="eastAsia" w:ascii="宋体" w:hAnsi="宋体" w:cs="宋体"/>
        </w:rPr>
        <w:t>2.</w:t>
      </w:r>
      <w:r>
        <w:rPr>
          <w:rFonts w:hint="eastAsia" w:ascii="宋体" w:hAnsi="宋体" w:cs="宋体"/>
          <w:szCs w:val="21"/>
        </w:rPr>
        <w:t>允许联合体投标时，若</w:t>
      </w:r>
      <w:r>
        <w:rPr>
          <w:rFonts w:hint="eastAsia" w:ascii="宋体" w:hAnsi="宋体" w:cs="宋体"/>
        </w:rPr>
        <w:t>以联合体形式投标的，联合体各成员应分别填写本表，且均应提供资格审查条件要求的上述相应资料。</w:t>
      </w:r>
    </w:p>
    <w:p w14:paraId="4353CE1F">
      <w:pPr>
        <w:pStyle w:val="299"/>
        <w:adjustRightInd w:val="0"/>
        <w:snapToGrid w:val="0"/>
        <w:spacing w:line="360" w:lineRule="exact"/>
        <w:ind w:left="714" w:leftChars="190" w:hanging="315" w:hangingChars="150"/>
        <w:rPr>
          <w:rFonts w:ascii="宋体" w:hAnsi="宋体" w:cs="宋体"/>
        </w:rPr>
      </w:pPr>
      <w:r>
        <w:rPr>
          <w:rFonts w:hint="eastAsia" w:ascii="宋体" w:hAnsi="宋体" w:cs="宋体"/>
        </w:rPr>
        <w:t>3</w:t>
      </w:r>
      <w:r>
        <w:rPr>
          <w:rFonts w:ascii="宋体" w:hAnsi="宋体" w:cs="宋体"/>
        </w:rPr>
        <w:t>.</w:t>
      </w:r>
      <w:r>
        <w:rPr>
          <w:rFonts w:hint="eastAsia" w:ascii="宋体" w:hAnsi="宋体" w:cs="宋体"/>
        </w:rPr>
        <w:t>招标人要求的</w:t>
      </w:r>
      <w:r>
        <w:rPr>
          <w:rFonts w:hint="eastAsia" w:ascii="宋体" w:hAnsi="宋体" w:cs="宋体"/>
          <w:lang w:val="en-US" w:eastAsia="zh-CN"/>
        </w:rPr>
        <w:t>企业</w:t>
      </w:r>
      <w:r>
        <w:rPr>
          <w:rFonts w:hint="eastAsia" w:ascii="宋体" w:hAnsi="宋体" w:cs="宋体"/>
        </w:rPr>
        <w:t>资质有多个时应附全部要求的资质证书。</w:t>
      </w:r>
    </w:p>
    <w:p w14:paraId="76152165">
      <w:pPr>
        <w:pStyle w:val="299"/>
        <w:adjustRightInd w:val="0"/>
        <w:snapToGrid w:val="0"/>
        <w:spacing w:line="360" w:lineRule="exact"/>
        <w:ind w:left="0" w:leftChars="0" w:firstLine="420" w:firstLineChars="200"/>
        <w:rPr>
          <w:rFonts w:ascii="宋体" w:hAnsi="宋体" w:cs="宋体"/>
        </w:rPr>
      </w:pPr>
      <w:r>
        <w:rPr>
          <w:rFonts w:ascii="宋体" w:hAnsi="宋体" w:cs="宋体"/>
        </w:rPr>
        <w:t>4.</w:t>
      </w:r>
      <w:r>
        <w:rPr>
          <w:rFonts w:hint="eastAsia" w:ascii="宋体" w:hAnsi="宋体" w:cs="宋体"/>
        </w:rPr>
        <w:t>a</w:t>
      </w:r>
      <w:r>
        <w:rPr>
          <w:rFonts w:ascii="宋体" w:hAnsi="宋体" w:cs="宋体"/>
        </w:rPr>
        <w:t>.</w:t>
      </w:r>
      <w:r>
        <w:rPr>
          <w:rFonts w:hint="eastAsia" w:ascii="宋体" w:hAnsi="宋体" w:cs="宋体"/>
        </w:rPr>
        <w:t>本项规定仅适用于根据《关于发布公路工程从业企业资质名录的通知》（厅公路字</w:t>
      </w:r>
      <w:r>
        <w:rPr>
          <w:rFonts w:ascii="宋体" w:hAnsi="宋体" w:cs="宋体"/>
        </w:rPr>
        <w:t>〔2011〕114</w:t>
      </w:r>
      <w:r>
        <w:rPr>
          <w:rFonts w:hint="eastAsia" w:ascii="宋体" w:hAnsi="宋体" w:cs="宋体"/>
        </w:rPr>
        <w:t>号）要求，招标人应通过名录对投标人资质条件进行审核的公路施工企业。</w:t>
      </w:r>
    </w:p>
    <w:p w14:paraId="000E3C43">
      <w:pPr>
        <w:pStyle w:val="299"/>
        <w:adjustRightInd w:val="0"/>
        <w:snapToGrid w:val="0"/>
        <w:spacing w:line="360" w:lineRule="exact"/>
        <w:ind w:left="0" w:leftChars="0" w:firstLine="630" w:firstLineChars="300"/>
        <w:rPr>
          <w:rFonts w:ascii="宋体" w:hAnsi="宋体" w:cs="宋体"/>
        </w:rPr>
      </w:pPr>
      <w:r>
        <w:rPr>
          <w:rFonts w:ascii="宋体" w:hAnsi="宋体" w:cs="宋体"/>
        </w:rPr>
        <w:t>b.</w:t>
      </w:r>
      <w:r>
        <w:rPr>
          <w:rFonts w:hint="eastAsia" w:ascii="宋体" w:hAnsi="宋体" w:cs="宋体"/>
        </w:rPr>
        <w:t>投标人名称和资质有变更，与交通运输部“全国公路建设市场监督管理系统”</w:t>
      </w:r>
      <w:r>
        <w:rPr>
          <w:rFonts w:ascii="宋体" w:hAnsi="宋体" w:cs="宋体"/>
        </w:rPr>
        <w:t>中的</w:t>
      </w:r>
      <w:r>
        <w:rPr>
          <w:rFonts w:hint="eastAsia" w:ascii="宋体" w:hAnsi="宋体" w:cs="宋体"/>
        </w:rPr>
        <w:t>“</w:t>
      </w:r>
      <w:r>
        <w:rPr>
          <w:rFonts w:ascii="宋体" w:hAnsi="宋体" w:cs="宋体"/>
        </w:rPr>
        <w:t>公路</w:t>
      </w:r>
      <w:r>
        <w:rPr>
          <w:rFonts w:hint="eastAsia" w:ascii="宋体" w:hAnsi="宋体" w:cs="宋体"/>
        </w:rPr>
        <w:t>工程施工资质</w:t>
      </w:r>
      <w:r>
        <w:rPr>
          <w:rFonts w:ascii="宋体" w:hAnsi="宋体" w:cs="宋体"/>
        </w:rPr>
        <w:t>企业名录</w:t>
      </w:r>
      <w:r>
        <w:rPr>
          <w:rFonts w:hint="eastAsia" w:ascii="宋体" w:hAnsi="宋体" w:cs="宋体"/>
        </w:rPr>
        <w:t>”中的相应企业名称和资质不一致时，投标人应提供相关证明材料。</w:t>
      </w:r>
    </w:p>
    <w:p w14:paraId="60015F6F">
      <w:pPr>
        <w:pStyle w:val="20"/>
        <w:kinsoku w:val="0"/>
        <w:overflowPunct w:val="0"/>
        <w:spacing w:before="189"/>
        <w:jc w:val="center"/>
        <w:rPr>
          <w:rFonts w:ascii="黑体" w:hAnsi="黑体" w:eastAsia="黑体" w:cs="黑体"/>
          <w:sz w:val="28"/>
          <w:szCs w:val="28"/>
        </w:rPr>
      </w:pPr>
      <w:bookmarkStart w:id="885" w:name="bookmark312"/>
      <w:bookmarkEnd w:id="885"/>
      <w:r>
        <w:rPr>
          <w:rFonts w:cs="黑体"/>
        </w:rPr>
        <w:br w:type="page"/>
      </w:r>
      <w:r>
        <w:rPr>
          <w:rFonts w:hint="eastAsia" w:ascii="黑体" w:hAnsi="黑体" w:eastAsia="黑体" w:cs="黑体"/>
          <w:sz w:val="28"/>
          <w:szCs w:val="28"/>
        </w:rPr>
        <w:t>（二）投标人企业组织机构框图</w:t>
      </w:r>
    </w:p>
    <w:p w14:paraId="0375D4CC">
      <w:pPr>
        <w:pStyle w:val="20"/>
        <w:kinsoku w:val="0"/>
        <w:overflowPunct w:val="0"/>
        <w:spacing w:before="10"/>
        <w:rPr>
          <w:rFonts w:cs="黑体"/>
          <w:sz w:val="23"/>
          <w:szCs w:val="23"/>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1"/>
      </w:tblGrid>
      <w:tr w14:paraId="6A8A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jc w:val="center"/>
        </w:trPr>
        <w:tc>
          <w:tcPr>
            <w:tcW w:w="8841" w:type="dxa"/>
          </w:tcPr>
          <w:p w14:paraId="78FE79C0">
            <w:pPr>
              <w:pStyle w:val="20"/>
              <w:kinsoku w:val="0"/>
              <w:overflowPunct w:val="0"/>
              <w:spacing w:line="200" w:lineRule="atLeast"/>
              <w:rPr>
                <w:rFonts w:cs="黑体"/>
                <w:sz w:val="21"/>
                <w:szCs w:val="21"/>
              </w:rPr>
            </w:pPr>
          </w:p>
          <w:p w14:paraId="570B7576">
            <w:pPr>
              <w:pStyle w:val="20"/>
              <w:kinsoku w:val="0"/>
              <w:overflowPunct w:val="0"/>
              <w:spacing w:line="200" w:lineRule="atLeast"/>
              <w:rPr>
                <w:rFonts w:cs="黑体"/>
                <w:sz w:val="21"/>
                <w:szCs w:val="21"/>
              </w:rPr>
            </w:pPr>
            <w:r>
              <w:rPr>
                <w:rFonts w:hint="eastAsia" w:cs="黑体"/>
                <w:sz w:val="21"/>
                <w:szCs w:val="21"/>
              </w:rPr>
              <w:t>投标人企业组织机构（</w:t>
            </w:r>
            <w:r>
              <w:rPr>
                <w:sz w:val="21"/>
                <w:szCs w:val="21"/>
              </w:rPr>
              <w:t>以框图方式表示</w:t>
            </w:r>
            <w:r>
              <w:rPr>
                <w:rFonts w:hint="eastAsia" w:cs="黑体"/>
                <w:sz w:val="21"/>
                <w:szCs w:val="21"/>
              </w:rPr>
              <w:t>）：</w:t>
            </w:r>
          </w:p>
        </w:tc>
      </w:tr>
      <w:tr w14:paraId="0D98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4" w:hRule="atLeast"/>
          <w:jc w:val="center"/>
        </w:trPr>
        <w:tc>
          <w:tcPr>
            <w:tcW w:w="8841" w:type="dxa"/>
          </w:tcPr>
          <w:p w14:paraId="225F040B">
            <w:pPr>
              <w:pStyle w:val="20"/>
              <w:kinsoku w:val="0"/>
              <w:overflowPunct w:val="0"/>
              <w:spacing w:line="200" w:lineRule="atLeast"/>
              <w:rPr>
                <w:rFonts w:cs="黑体"/>
                <w:sz w:val="21"/>
                <w:szCs w:val="21"/>
              </w:rPr>
            </w:pPr>
          </w:p>
          <w:p w14:paraId="54E47E05">
            <w:pPr>
              <w:pStyle w:val="20"/>
              <w:kinsoku w:val="0"/>
              <w:overflowPunct w:val="0"/>
              <w:spacing w:line="200" w:lineRule="atLeast"/>
              <w:rPr>
                <w:rFonts w:cs="黑体"/>
                <w:sz w:val="21"/>
                <w:szCs w:val="21"/>
              </w:rPr>
            </w:pPr>
            <w:r>
              <w:rPr>
                <w:rFonts w:hint="eastAsia" w:cs="黑体"/>
                <w:sz w:val="21"/>
                <w:szCs w:val="21"/>
              </w:rPr>
              <w:t>说明：</w:t>
            </w:r>
          </w:p>
        </w:tc>
      </w:tr>
    </w:tbl>
    <w:p w14:paraId="053828EB">
      <w:pPr>
        <w:spacing w:line="360" w:lineRule="auto"/>
        <w:jc w:val="both"/>
        <w:rPr>
          <w:rFonts w:ascii="宋体" w:hAnsi="宋体" w:cs="宋体"/>
          <w:b/>
          <w:bCs/>
        </w:rPr>
      </w:pPr>
      <w:bookmarkStart w:id="886" w:name="bookmark313"/>
      <w:bookmarkEnd w:id="886"/>
      <w:r>
        <w:rPr>
          <w:rFonts w:hint="eastAsia" w:ascii="宋体" w:hAnsi="宋体" w:cs="宋体"/>
          <w:szCs w:val="21"/>
        </w:rPr>
        <w:t>注：允许联合体投标时，若以联合体形式投标的，联合体各成员应分别填写本表</w:t>
      </w:r>
      <w:r>
        <w:rPr>
          <w:rFonts w:hint="eastAsia" w:ascii="宋体" w:hAnsi="宋体" w:cs="宋体"/>
        </w:rPr>
        <w:t>。</w:t>
      </w:r>
    </w:p>
    <w:p w14:paraId="313F66E0">
      <w:pPr>
        <w:spacing w:line="360" w:lineRule="auto"/>
        <w:jc w:val="left"/>
        <w:rPr>
          <w:b/>
          <w:sz w:val="28"/>
          <w:szCs w:val="28"/>
        </w:rPr>
      </w:pPr>
      <w:r>
        <w:rPr>
          <w:b/>
          <w:sz w:val="28"/>
          <w:szCs w:val="28"/>
        </w:rPr>
        <w:br w:type="page"/>
      </w:r>
    </w:p>
    <w:p w14:paraId="227E47FF">
      <w:pPr>
        <w:spacing w:line="360" w:lineRule="auto"/>
        <w:jc w:val="center"/>
        <w:rPr>
          <w:rFonts w:ascii="黑体" w:hAnsi="黑体" w:eastAsia="黑体"/>
          <w:sz w:val="28"/>
          <w:szCs w:val="28"/>
        </w:rPr>
      </w:pPr>
      <w:r>
        <w:rPr>
          <w:rFonts w:hint="eastAsia" w:ascii="黑体" w:hAnsi="黑体" w:eastAsia="黑体"/>
          <w:sz w:val="28"/>
          <w:szCs w:val="28"/>
        </w:rPr>
        <w:t>（三）近年财务状况</w:t>
      </w:r>
      <w:r>
        <w:rPr>
          <w:rFonts w:hint="eastAsia" w:ascii="黑体" w:hAnsi="黑体" w:eastAsia="黑体"/>
          <w:sz w:val="28"/>
          <w:szCs w:val="28"/>
          <w:lang w:val="en-US" w:eastAsia="zh-CN"/>
        </w:rPr>
        <w:t>表</w:t>
      </w:r>
      <w:r>
        <w:rPr>
          <w:rFonts w:ascii="黑体" w:hAnsi="黑体" w:eastAsia="黑体"/>
          <w:sz w:val="28"/>
          <w:szCs w:val="28"/>
        </w:rPr>
        <w:t xml:space="preserve"> </w:t>
      </w:r>
    </w:p>
    <w:tbl>
      <w:tblPr>
        <w:tblStyle w:val="49"/>
        <w:tblW w:w="8739" w:type="dxa"/>
        <w:tblInd w:w="119" w:type="dxa"/>
        <w:tblLayout w:type="fixed"/>
        <w:tblCellMar>
          <w:top w:w="0" w:type="dxa"/>
          <w:left w:w="0" w:type="dxa"/>
          <w:bottom w:w="0" w:type="dxa"/>
          <w:right w:w="0" w:type="dxa"/>
        </w:tblCellMar>
      </w:tblPr>
      <w:tblGrid>
        <w:gridCol w:w="3850"/>
        <w:gridCol w:w="851"/>
        <w:gridCol w:w="4038"/>
      </w:tblGrid>
      <w:tr w14:paraId="26241371">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38EFBA10">
            <w:pPr>
              <w:pStyle w:val="256"/>
              <w:kinsoku w:val="0"/>
              <w:overflowPunct w:val="0"/>
              <w:spacing w:before="126"/>
              <w:ind w:left="126"/>
              <w:jc w:val="center"/>
            </w:pPr>
            <w:r>
              <w:rPr>
                <w:rFonts w:hint="eastAsia"/>
                <w:spacing w:val="-1"/>
                <w:szCs w:val="21"/>
                <w:lang w:val="en-US" w:eastAsia="zh-CN"/>
              </w:rPr>
              <w:t xml:space="preserve"> </w:t>
            </w:r>
            <w:r>
              <w:rPr>
                <w:rFonts w:hint="eastAsia"/>
                <w:spacing w:val="-1"/>
                <w:szCs w:val="21"/>
              </w:rPr>
              <w:t>项目或指标</w:t>
            </w:r>
          </w:p>
        </w:tc>
        <w:tc>
          <w:tcPr>
            <w:tcW w:w="851" w:type="dxa"/>
            <w:tcBorders>
              <w:top w:val="single" w:color="000000" w:sz="6" w:space="0"/>
              <w:left w:val="single" w:color="000000" w:sz="6" w:space="0"/>
              <w:bottom w:val="single" w:color="000000" w:sz="6" w:space="0"/>
              <w:right w:val="single" w:color="000000" w:sz="6" w:space="0"/>
            </w:tcBorders>
          </w:tcPr>
          <w:p w14:paraId="51019CD3">
            <w:pPr>
              <w:pStyle w:val="256"/>
              <w:kinsoku w:val="0"/>
              <w:overflowPunct w:val="0"/>
              <w:spacing w:before="126"/>
              <w:ind w:left="238"/>
            </w:pPr>
            <w:r>
              <w:rPr>
                <w:rFonts w:hint="eastAsia"/>
                <w:szCs w:val="21"/>
              </w:rPr>
              <w:t>单位</w:t>
            </w:r>
          </w:p>
        </w:tc>
        <w:tc>
          <w:tcPr>
            <w:tcW w:w="4038" w:type="dxa"/>
            <w:tcBorders>
              <w:top w:val="single" w:color="000000" w:sz="6" w:space="0"/>
              <w:left w:val="single" w:color="000000" w:sz="6" w:space="0"/>
              <w:bottom w:val="single" w:color="000000" w:sz="6" w:space="0"/>
              <w:right w:val="single" w:color="000000" w:sz="6" w:space="0"/>
            </w:tcBorders>
          </w:tcPr>
          <w:p w14:paraId="190B2B3D">
            <w:pPr>
              <w:pStyle w:val="256"/>
              <w:tabs>
                <w:tab w:val="left" w:pos="870"/>
              </w:tabs>
              <w:kinsoku w:val="0"/>
              <w:overflowPunct w:val="0"/>
              <w:spacing w:before="126"/>
              <w:ind w:left="239" w:firstLine="1050" w:firstLineChars="500"/>
            </w:pPr>
            <w:r>
              <w:rPr>
                <w:szCs w:val="21"/>
                <w:u w:val="single"/>
              </w:rPr>
              <w:t xml:space="preserve"> </w:t>
            </w:r>
            <w:r>
              <w:rPr>
                <w:szCs w:val="21"/>
                <w:u w:val="single"/>
              </w:rPr>
              <w:tab/>
            </w:r>
            <w:r>
              <w:rPr>
                <w:szCs w:val="21"/>
                <w:u w:val="single"/>
              </w:rPr>
              <w:t xml:space="preserve">     </w:t>
            </w:r>
            <w:r>
              <w:rPr>
                <w:rFonts w:hint="eastAsia"/>
                <w:szCs w:val="21"/>
              </w:rPr>
              <w:t>年</w:t>
            </w:r>
          </w:p>
        </w:tc>
      </w:tr>
      <w:tr w14:paraId="27550009">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6B492558">
            <w:pPr>
              <w:pStyle w:val="256"/>
              <w:kinsoku w:val="0"/>
              <w:overflowPunct w:val="0"/>
              <w:spacing w:before="124"/>
              <w:ind w:left="147"/>
            </w:pPr>
            <w:r>
              <w:rPr>
                <w:rFonts w:hint="eastAsia"/>
                <w:szCs w:val="21"/>
              </w:rPr>
              <w:t>一、</w:t>
            </w:r>
            <w:r>
              <w:rPr>
                <w:spacing w:val="-2"/>
                <w:szCs w:val="21"/>
              </w:rPr>
              <w:t xml:space="preserve"> </w:t>
            </w:r>
            <w:r>
              <w:rPr>
                <w:rFonts w:hint="eastAsia"/>
                <w:spacing w:val="-1"/>
                <w:szCs w:val="21"/>
              </w:rPr>
              <w:t>注册资本</w:t>
            </w:r>
          </w:p>
        </w:tc>
        <w:tc>
          <w:tcPr>
            <w:tcW w:w="851" w:type="dxa"/>
            <w:tcBorders>
              <w:top w:val="single" w:color="000000" w:sz="6" w:space="0"/>
              <w:left w:val="single" w:color="000000" w:sz="6" w:space="0"/>
              <w:bottom w:val="single" w:color="000000" w:sz="6" w:space="0"/>
              <w:right w:val="single" w:color="000000" w:sz="6" w:space="0"/>
            </w:tcBorders>
          </w:tcPr>
          <w:p w14:paraId="722060EF">
            <w:pPr>
              <w:pStyle w:val="256"/>
              <w:kinsoku w:val="0"/>
              <w:overflowPunct w:val="0"/>
              <w:spacing w:before="124"/>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182237B2">
            <w:pPr>
              <w:rPr>
                <w:rFonts w:ascii="宋体" w:hAnsi="宋体"/>
              </w:rPr>
            </w:pPr>
          </w:p>
        </w:tc>
      </w:tr>
      <w:tr w14:paraId="63A9D630">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76B5FF09">
            <w:pPr>
              <w:pStyle w:val="256"/>
              <w:kinsoku w:val="0"/>
              <w:overflowPunct w:val="0"/>
              <w:spacing w:before="124"/>
              <w:ind w:left="147"/>
            </w:pPr>
            <w:r>
              <w:rPr>
                <w:rFonts w:hint="eastAsia"/>
                <w:szCs w:val="21"/>
              </w:rPr>
              <w:t>二、</w:t>
            </w:r>
            <w:r>
              <w:rPr>
                <w:spacing w:val="-2"/>
                <w:szCs w:val="21"/>
              </w:rPr>
              <w:t xml:space="preserve"> </w:t>
            </w:r>
            <w:r>
              <w:rPr>
                <w:rFonts w:hint="eastAsia"/>
                <w:spacing w:val="-1"/>
                <w:szCs w:val="21"/>
              </w:rPr>
              <w:t>净资产</w:t>
            </w:r>
          </w:p>
        </w:tc>
        <w:tc>
          <w:tcPr>
            <w:tcW w:w="851" w:type="dxa"/>
            <w:tcBorders>
              <w:top w:val="single" w:color="000000" w:sz="6" w:space="0"/>
              <w:left w:val="single" w:color="000000" w:sz="6" w:space="0"/>
              <w:bottom w:val="single" w:color="000000" w:sz="6" w:space="0"/>
              <w:right w:val="single" w:color="000000" w:sz="6" w:space="0"/>
            </w:tcBorders>
          </w:tcPr>
          <w:p w14:paraId="139D9B26">
            <w:pPr>
              <w:pStyle w:val="256"/>
              <w:kinsoku w:val="0"/>
              <w:overflowPunct w:val="0"/>
              <w:spacing w:before="124"/>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786DB47C">
            <w:pPr>
              <w:rPr>
                <w:rFonts w:ascii="宋体" w:hAnsi="宋体"/>
              </w:rPr>
            </w:pPr>
          </w:p>
        </w:tc>
      </w:tr>
      <w:tr w14:paraId="3248F2B3">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0F530822">
            <w:pPr>
              <w:pStyle w:val="256"/>
              <w:kinsoku w:val="0"/>
              <w:overflowPunct w:val="0"/>
              <w:spacing w:before="124"/>
              <w:ind w:left="147"/>
            </w:pPr>
            <w:r>
              <w:rPr>
                <w:rFonts w:hint="eastAsia"/>
                <w:szCs w:val="21"/>
              </w:rPr>
              <w:t>三、</w:t>
            </w:r>
            <w:r>
              <w:rPr>
                <w:spacing w:val="-2"/>
                <w:szCs w:val="21"/>
              </w:rPr>
              <w:t xml:space="preserve"> </w:t>
            </w:r>
            <w:r>
              <w:rPr>
                <w:rFonts w:hint="eastAsia"/>
                <w:spacing w:val="-1"/>
                <w:szCs w:val="21"/>
              </w:rPr>
              <w:t>总资产</w:t>
            </w:r>
          </w:p>
        </w:tc>
        <w:tc>
          <w:tcPr>
            <w:tcW w:w="851" w:type="dxa"/>
            <w:tcBorders>
              <w:top w:val="single" w:color="000000" w:sz="6" w:space="0"/>
              <w:left w:val="single" w:color="000000" w:sz="6" w:space="0"/>
              <w:bottom w:val="single" w:color="000000" w:sz="6" w:space="0"/>
              <w:right w:val="single" w:color="000000" w:sz="6" w:space="0"/>
            </w:tcBorders>
          </w:tcPr>
          <w:p w14:paraId="4C64F13B">
            <w:pPr>
              <w:pStyle w:val="256"/>
              <w:kinsoku w:val="0"/>
              <w:overflowPunct w:val="0"/>
              <w:spacing w:before="124"/>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7D6155FE">
            <w:pPr>
              <w:rPr>
                <w:rFonts w:ascii="宋体" w:hAnsi="宋体"/>
              </w:rPr>
            </w:pPr>
          </w:p>
        </w:tc>
      </w:tr>
      <w:tr w14:paraId="1E20A69E">
        <w:tblPrEx>
          <w:tblCellMar>
            <w:top w:w="0" w:type="dxa"/>
            <w:left w:w="0" w:type="dxa"/>
            <w:bottom w:w="0" w:type="dxa"/>
            <w:right w:w="0" w:type="dxa"/>
          </w:tblCellMar>
        </w:tblPrEx>
        <w:trPr>
          <w:trHeight w:val="507" w:hRule="atLeast"/>
        </w:trPr>
        <w:tc>
          <w:tcPr>
            <w:tcW w:w="3850" w:type="dxa"/>
            <w:tcBorders>
              <w:top w:val="single" w:color="000000" w:sz="6" w:space="0"/>
              <w:left w:val="single" w:color="000000" w:sz="6" w:space="0"/>
              <w:bottom w:val="single" w:color="000000" w:sz="6" w:space="0"/>
              <w:right w:val="single" w:color="000000" w:sz="6" w:space="0"/>
            </w:tcBorders>
          </w:tcPr>
          <w:p w14:paraId="00128F8E">
            <w:pPr>
              <w:pStyle w:val="256"/>
              <w:kinsoku w:val="0"/>
              <w:overflowPunct w:val="0"/>
              <w:spacing w:before="124"/>
              <w:ind w:left="147"/>
            </w:pPr>
            <w:r>
              <w:rPr>
                <w:rFonts w:hint="eastAsia"/>
                <w:szCs w:val="21"/>
              </w:rPr>
              <w:t>四、</w:t>
            </w:r>
            <w:r>
              <w:rPr>
                <w:spacing w:val="-2"/>
                <w:szCs w:val="21"/>
              </w:rPr>
              <w:t xml:space="preserve"> </w:t>
            </w:r>
            <w:r>
              <w:rPr>
                <w:rFonts w:hint="eastAsia"/>
                <w:spacing w:val="-1"/>
                <w:szCs w:val="21"/>
              </w:rPr>
              <w:t>固定资产</w:t>
            </w:r>
          </w:p>
        </w:tc>
        <w:tc>
          <w:tcPr>
            <w:tcW w:w="851" w:type="dxa"/>
            <w:tcBorders>
              <w:top w:val="single" w:color="000000" w:sz="6" w:space="0"/>
              <w:left w:val="single" w:color="000000" w:sz="6" w:space="0"/>
              <w:bottom w:val="single" w:color="000000" w:sz="6" w:space="0"/>
              <w:right w:val="single" w:color="000000" w:sz="6" w:space="0"/>
            </w:tcBorders>
          </w:tcPr>
          <w:p w14:paraId="74BCB307">
            <w:pPr>
              <w:pStyle w:val="256"/>
              <w:kinsoku w:val="0"/>
              <w:overflowPunct w:val="0"/>
              <w:spacing w:before="124"/>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22AE019D">
            <w:pPr>
              <w:rPr>
                <w:rFonts w:ascii="宋体" w:hAnsi="宋体"/>
              </w:rPr>
            </w:pPr>
          </w:p>
        </w:tc>
      </w:tr>
      <w:tr w14:paraId="29E60649">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68A4A496">
            <w:pPr>
              <w:pStyle w:val="256"/>
              <w:kinsoku w:val="0"/>
              <w:overflowPunct w:val="0"/>
              <w:spacing w:before="126"/>
              <w:ind w:left="147"/>
            </w:pPr>
            <w:r>
              <w:rPr>
                <w:rFonts w:hint="eastAsia"/>
                <w:szCs w:val="21"/>
              </w:rPr>
              <w:t>五、</w:t>
            </w:r>
            <w:r>
              <w:rPr>
                <w:spacing w:val="-2"/>
                <w:szCs w:val="21"/>
              </w:rPr>
              <w:t xml:space="preserve"> </w:t>
            </w:r>
            <w:r>
              <w:rPr>
                <w:rFonts w:hint="eastAsia"/>
                <w:spacing w:val="-1"/>
                <w:szCs w:val="21"/>
              </w:rPr>
              <w:t>流动资产</w:t>
            </w:r>
          </w:p>
        </w:tc>
        <w:tc>
          <w:tcPr>
            <w:tcW w:w="851" w:type="dxa"/>
            <w:tcBorders>
              <w:top w:val="single" w:color="000000" w:sz="6" w:space="0"/>
              <w:left w:val="single" w:color="000000" w:sz="6" w:space="0"/>
              <w:bottom w:val="single" w:color="000000" w:sz="6" w:space="0"/>
              <w:right w:val="single" w:color="000000" w:sz="6" w:space="0"/>
            </w:tcBorders>
          </w:tcPr>
          <w:p w14:paraId="57B73331">
            <w:pPr>
              <w:pStyle w:val="256"/>
              <w:kinsoku w:val="0"/>
              <w:overflowPunct w:val="0"/>
              <w:spacing w:before="126"/>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184E2F25">
            <w:pPr>
              <w:rPr>
                <w:rFonts w:ascii="宋体" w:hAnsi="宋体"/>
              </w:rPr>
            </w:pPr>
          </w:p>
        </w:tc>
      </w:tr>
      <w:tr w14:paraId="3DDDC607">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2B19C1D5">
            <w:pPr>
              <w:pStyle w:val="256"/>
              <w:kinsoku w:val="0"/>
              <w:overflowPunct w:val="0"/>
              <w:spacing w:before="124"/>
              <w:ind w:left="147"/>
            </w:pPr>
            <w:r>
              <w:rPr>
                <w:rFonts w:hint="eastAsia"/>
                <w:szCs w:val="21"/>
              </w:rPr>
              <w:t>六、</w:t>
            </w:r>
            <w:r>
              <w:rPr>
                <w:spacing w:val="-2"/>
                <w:szCs w:val="21"/>
              </w:rPr>
              <w:t xml:space="preserve"> </w:t>
            </w:r>
            <w:r>
              <w:rPr>
                <w:rFonts w:hint="eastAsia"/>
                <w:spacing w:val="-1"/>
                <w:szCs w:val="21"/>
              </w:rPr>
              <w:t>流动负债</w:t>
            </w:r>
          </w:p>
        </w:tc>
        <w:tc>
          <w:tcPr>
            <w:tcW w:w="851" w:type="dxa"/>
            <w:tcBorders>
              <w:top w:val="single" w:color="000000" w:sz="6" w:space="0"/>
              <w:left w:val="single" w:color="000000" w:sz="6" w:space="0"/>
              <w:bottom w:val="single" w:color="000000" w:sz="6" w:space="0"/>
              <w:right w:val="single" w:color="000000" w:sz="6" w:space="0"/>
            </w:tcBorders>
          </w:tcPr>
          <w:p w14:paraId="38E57731">
            <w:pPr>
              <w:pStyle w:val="256"/>
              <w:kinsoku w:val="0"/>
              <w:overflowPunct w:val="0"/>
              <w:spacing w:before="124"/>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413714E8">
            <w:pPr>
              <w:rPr>
                <w:rFonts w:ascii="宋体" w:hAnsi="宋体"/>
              </w:rPr>
            </w:pPr>
          </w:p>
        </w:tc>
      </w:tr>
      <w:tr w14:paraId="18CF6D03">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5C05092B">
            <w:pPr>
              <w:pStyle w:val="256"/>
              <w:kinsoku w:val="0"/>
              <w:overflowPunct w:val="0"/>
              <w:spacing w:before="124"/>
              <w:ind w:left="147"/>
            </w:pPr>
            <w:r>
              <w:rPr>
                <w:rFonts w:hint="eastAsia"/>
                <w:szCs w:val="21"/>
              </w:rPr>
              <w:t>七、</w:t>
            </w:r>
            <w:r>
              <w:rPr>
                <w:spacing w:val="-2"/>
                <w:szCs w:val="21"/>
              </w:rPr>
              <w:t xml:space="preserve"> </w:t>
            </w:r>
            <w:r>
              <w:rPr>
                <w:rFonts w:hint="eastAsia"/>
                <w:spacing w:val="-1"/>
                <w:szCs w:val="21"/>
              </w:rPr>
              <w:t>负债合计</w:t>
            </w:r>
          </w:p>
        </w:tc>
        <w:tc>
          <w:tcPr>
            <w:tcW w:w="851" w:type="dxa"/>
            <w:tcBorders>
              <w:top w:val="single" w:color="000000" w:sz="6" w:space="0"/>
              <w:left w:val="single" w:color="000000" w:sz="6" w:space="0"/>
              <w:bottom w:val="single" w:color="000000" w:sz="6" w:space="0"/>
              <w:right w:val="single" w:color="000000" w:sz="6" w:space="0"/>
            </w:tcBorders>
          </w:tcPr>
          <w:p w14:paraId="7D4F7EDA">
            <w:pPr>
              <w:pStyle w:val="256"/>
              <w:kinsoku w:val="0"/>
              <w:overflowPunct w:val="0"/>
              <w:spacing w:before="124"/>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7C3E79CB">
            <w:pPr>
              <w:rPr>
                <w:rFonts w:ascii="宋体" w:hAnsi="宋体"/>
              </w:rPr>
            </w:pPr>
          </w:p>
        </w:tc>
      </w:tr>
      <w:tr w14:paraId="12574DD3">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35CD3635">
            <w:pPr>
              <w:pStyle w:val="256"/>
              <w:kinsoku w:val="0"/>
              <w:overflowPunct w:val="0"/>
              <w:spacing w:before="124"/>
              <w:ind w:left="147"/>
            </w:pPr>
            <w:r>
              <w:rPr>
                <w:rFonts w:hint="eastAsia"/>
                <w:szCs w:val="21"/>
              </w:rPr>
              <w:t>八、</w:t>
            </w:r>
            <w:r>
              <w:rPr>
                <w:spacing w:val="-2"/>
                <w:szCs w:val="21"/>
              </w:rPr>
              <w:t xml:space="preserve"> </w:t>
            </w:r>
            <w:r>
              <w:rPr>
                <w:rFonts w:hint="eastAsia"/>
                <w:spacing w:val="-1"/>
                <w:szCs w:val="21"/>
              </w:rPr>
              <w:t>营业收入</w:t>
            </w:r>
          </w:p>
        </w:tc>
        <w:tc>
          <w:tcPr>
            <w:tcW w:w="851" w:type="dxa"/>
            <w:tcBorders>
              <w:top w:val="single" w:color="000000" w:sz="6" w:space="0"/>
              <w:left w:val="single" w:color="000000" w:sz="6" w:space="0"/>
              <w:bottom w:val="single" w:color="000000" w:sz="6" w:space="0"/>
              <w:right w:val="single" w:color="000000" w:sz="6" w:space="0"/>
            </w:tcBorders>
          </w:tcPr>
          <w:p w14:paraId="77FBF9BB">
            <w:pPr>
              <w:pStyle w:val="256"/>
              <w:kinsoku w:val="0"/>
              <w:overflowPunct w:val="0"/>
              <w:spacing w:before="124"/>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504F7BEC">
            <w:pPr>
              <w:rPr>
                <w:rFonts w:ascii="宋体" w:hAnsi="宋体"/>
              </w:rPr>
            </w:pPr>
          </w:p>
        </w:tc>
      </w:tr>
      <w:tr w14:paraId="576C0B87">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763E8F12">
            <w:pPr>
              <w:pStyle w:val="256"/>
              <w:kinsoku w:val="0"/>
              <w:overflowPunct w:val="0"/>
              <w:spacing w:before="124"/>
              <w:ind w:left="147"/>
            </w:pPr>
            <w:r>
              <w:rPr>
                <w:rFonts w:hint="eastAsia"/>
                <w:szCs w:val="21"/>
              </w:rPr>
              <w:t>九、</w:t>
            </w:r>
            <w:r>
              <w:rPr>
                <w:spacing w:val="-2"/>
                <w:szCs w:val="21"/>
              </w:rPr>
              <w:t xml:space="preserve"> </w:t>
            </w:r>
            <w:r>
              <w:rPr>
                <w:rFonts w:hint="eastAsia"/>
                <w:spacing w:val="-1"/>
                <w:szCs w:val="21"/>
              </w:rPr>
              <w:t>净利润</w:t>
            </w:r>
          </w:p>
        </w:tc>
        <w:tc>
          <w:tcPr>
            <w:tcW w:w="851" w:type="dxa"/>
            <w:tcBorders>
              <w:top w:val="single" w:color="000000" w:sz="6" w:space="0"/>
              <w:left w:val="single" w:color="000000" w:sz="6" w:space="0"/>
              <w:bottom w:val="single" w:color="000000" w:sz="6" w:space="0"/>
              <w:right w:val="single" w:color="000000" w:sz="6" w:space="0"/>
            </w:tcBorders>
          </w:tcPr>
          <w:p w14:paraId="4119B2D9">
            <w:pPr>
              <w:pStyle w:val="256"/>
              <w:kinsoku w:val="0"/>
              <w:overflowPunct w:val="0"/>
              <w:spacing w:before="124"/>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18FE5211">
            <w:pPr>
              <w:rPr>
                <w:rFonts w:ascii="宋体" w:hAnsi="宋体"/>
              </w:rPr>
            </w:pPr>
          </w:p>
        </w:tc>
      </w:tr>
      <w:tr w14:paraId="44C37B0B">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164B55D0">
            <w:pPr>
              <w:pStyle w:val="256"/>
              <w:kinsoku w:val="0"/>
              <w:overflowPunct w:val="0"/>
              <w:spacing w:before="126"/>
              <w:ind w:left="147"/>
            </w:pPr>
            <w:r>
              <w:rPr>
                <w:rFonts w:hint="eastAsia"/>
                <w:szCs w:val="21"/>
              </w:rPr>
              <w:t>十、</w:t>
            </w:r>
            <w:r>
              <w:rPr>
                <w:spacing w:val="-2"/>
                <w:szCs w:val="21"/>
              </w:rPr>
              <w:t xml:space="preserve"> </w:t>
            </w:r>
            <w:r>
              <w:rPr>
                <w:rFonts w:hint="eastAsia"/>
                <w:spacing w:val="-1"/>
                <w:szCs w:val="21"/>
              </w:rPr>
              <w:t>现金流量净额</w:t>
            </w:r>
          </w:p>
        </w:tc>
        <w:tc>
          <w:tcPr>
            <w:tcW w:w="851" w:type="dxa"/>
            <w:tcBorders>
              <w:top w:val="single" w:color="000000" w:sz="6" w:space="0"/>
              <w:left w:val="single" w:color="000000" w:sz="6" w:space="0"/>
              <w:bottom w:val="single" w:color="000000" w:sz="6" w:space="0"/>
              <w:right w:val="single" w:color="000000" w:sz="6" w:space="0"/>
            </w:tcBorders>
          </w:tcPr>
          <w:p w14:paraId="55CA6A91">
            <w:pPr>
              <w:pStyle w:val="256"/>
              <w:kinsoku w:val="0"/>
              <w:overflowPunct w:val="0"/>
              <w:spacing w:before="126"/>
              <w:ind w:left="238"/>
            </w:pPr>
            <w:r>
              <w:rPr>
                <w:rFonts w:hint="eastAsia"/>
                <w:szCs w:val="21"/>
              </w:rPr>
              <w:t>万元</w:t>
            </w:r>
          </w:p>
        </w:tc>
        <w:tc>
          <w:tcPr>
            <w:tcW w:w="4038" w:type="dxa"/>
            <w:tcBorders>
              <w:top w:val="single" w:color="000000" w:sz="6" w:space="0"/>
              <w:left w:val="single" w:color="000000" w:sz="6" w:space="0"/>
              <w:bottom w:val="single" w:color="000000" w:sz="6" w:space="0"/>
              <w:right w:val="single" w:color="000000" w:sz="6" w:space="0"/>
            </w:tcBorders>
          </w:tcPr>
          <w:p w14:paraId="67154CD3">
            <w:pPr>
              <w:rPr>
                <w:rFonts w:ascii="宋体" w:hAnsi="宋体"/>
              </w:rPr>
            </w:pPr>
          </w:p>
        </w:tc>
      </w:tr>
      <w:tr w14:paraId="65945867">
        <w:tblPrEx>
          <w:tblCellMar>
            <w:top w:w="0" w:type="dxa"/>
            <w:left w:w="0" w:type="dxa"/>
            <w:bottom w:w="0" w:type="dxa"/>
            <w:right w:w="0" w:type="dxa"/>
          </w:tblCellMar>
        </w:tblPrEx>
        <w:trPr>
          <w:trHeight w:val="524" w:hRule="atLeast"/>
        </w:trPr>
        <w:tc>
          <w:tcPr>
            <w:tcW w:w="3850" w:type="dxa"/>
            <w:tcBorders>
              <w:top w:val="single" w:color="000000" w:sz="6" w:space="0"/>
              <w:left w:val="single" w:color="000000" w:sz="6" w:space="0"/>
              <w:bottom w:val="single" w:color="000000" w:sz="6" w:space="0"/>
              <w:right w:val="single" w:color="000000" w:sz="6" w:space="0"/>
            </w:tcBorders>
          </w:tcPr>
          <w:p w14:paraId="06E08B5E">
            <w:pPr>
              <w:pStyle w:val="256"/>
              <w:kinsoku w:val="0"/>
              <w:overflowPunct w:val="0"/>
              <w:spacing w:before="124"/>
              <w:ind w:left="147"/>
            </w:pPr>
            <w:r>
              <w:rPr>
                <w:rFonts w:hint="eastAsia"/>
                <w:szCs w:val="21"/>
              </w:rPr>
              <w:t>十一、</w:t>
            </w:r>
            <w:r>
              <w:rPr>
                <w:spacing w:val="-2"/>
                <w:szCs w:val="21"/>
              </w:rPr>
              <w:t xml:space="preserve"> </w:t>
            </w:r>
            <w:r>
              <w:rPr>
                <w:rFonts w:hint="eastAsia"/>
                <w:spacing w:val="-2"/>
                <w:szCs w:val="21"/>
              </w:rPr>
              <w:t>主要财务指标</w:t>
            </w:r>
          </w:p>
        </w:tc>
        <w:tc>
          <w:tcPr>
            <w:tcW w:w="851" w:type="dxa"/>
            <w:tcBorders>
              <w:top w:val="single" w:color="000000" w:sz="6" w:space="0"/>
              <w:left w:val="single" w:color="000000" w:sz="6" w:space="0"/>
              <w:bottom w:val="single" w:color="000000" w:sz="6" w:space="0"/>
              <w:right w:val="single" w:color="000000" w:sz="6" w:space="0"/>
            </w:tcBorders>
          </w:tcPr>
          <w:p w14:paraId="359E8389">
            <w:pPr>
              <w:rPr>
                <w:rFonts w:ascii="宋体" w:hAnsi="宋体"/>
              </w:rPr>
            </w:pPr>
          </w:p>
        </w:tc>
        <w:tc>
          <w:tcPr>
            <w:tcW w:w="4038" w:type="dxa"/>
            <w:tcBorders>
              <w:top w:val="single" w:color="000000" w:sz="6" w:space="0"/>
              <w:left w:val="single" w:color="000000" w:sz="6" w:space="0"/>
              <w:bottom w:val="single" w:color="000000" w:sz="6" w:space="0"/>
              <w:right w:val="single" w:color="000000" w:sz="6" w:space="0"/>
            </w:tcBorders>
          </w:tcPr>
          <w:p w14:paraId="73010C39">
            <w:pPr>
              <w:rPr>
                <w:rFonts w:ascii="宋体" w:hAnsi="宋体"/>
              </w:rPr>
            </w:pPr>
          </w:p>
        </w:tc>
      </w:tr>
      <w:tr w14:paraId="6293DA46">
        <w:tblPrEx>
          <w:tblCellMar>
            <w:top w:w="0" w:type="dxa"/>
            <w:left w:w="0" w:type="dxa"/>
            <w:bottom w:w="0" w:type="dxa"/>
            <w:right w:w="0" w:type="dxa"/>
          </w:tblCellMar>
        </w:tblPrEx>
        <w:trPr>
          <w:trHeight w:val="572" w:hRule="atLeast"/>
        </w:trPr>
        <w:tc>
          <w:tcPr>
            <w:tcW w:w="3850" w:type="dxa"/>
            <w:tcBorders>
              <w:top w:val="single" w:color="000000" w:sz="6" w:space="0"/>
              <w:left w:val="single" w:color="000000" w:sz="6" w:space="0"/>
              <w:bottom w:val="single" w:color="000000" w:sz="6" w:space="0"/>
              <w:right w:val="single" w:color="000000" w:sz="6" w:space="0"/>
            </w:tcBorders>
          </w:tcPr>
          <w:p w14:paraId="52210535">
            <w:pPr>
              <w:pStyle w:val="256"/>
              <w:kinsoku w:val="0"/>
              <w:overflowPunct w:val="0"/>
              <w:spacing w:before="126"/>
            </w:pPr>
            <w:r>
              <w:rPr>
                <w:szCs w:val="21"/>
              </w:rPr>
              <w:t xml:space="preserve"> 1.</w:t>
            </w:r>
            <w:r>
              <w:rPr>
                <w:rFonts w:hint="eastAsia"/>
                <w:spacing w:val="-2"/>
                <w:szCs w:val="21"/>
              </w:rPr>
              <w:t>净资产收益率</w:t>
            </w:r>
          </w:p>
        </w:tc>
        <w:tc>
          <w:tcPr>
            <w:tcW w:w="851" w:type="dxa"/>
            <w:tcBorders>
              <w:top w:val="single" w:color="000000" w:sz="6" w:space="0"/>
              <w:left w:val="single" w:color="000000" w:sz="6" w:space="0"/>
              <w:bottom w:val="single" w:color="000000" w:sz="6" w:space="0"/>
              <w:right w:val="single" w:color="000000" w:sz="6" w:space="0"/>
            </w:tcBorders>
          </w:tcPr>
          <w:p w14:paraId="58223F10">
            <w:pPr>
              <w:pStyle w:val="256"/>
              <w:kinsoku w:val="0"/>
              <w:overflowPunct w:val="0"/>
              <w:spacing w:before="173"/>
              <w:ind w:left="14"/>
              <w:jc w:val="center"/>
            </w:pPr>
            <w:r>
              <w:rPr>
                <w:szCs w:val="21"/>
              </w:rPr>
              <w:t>%</w:t>
            </w:r>
          </w:p>
        </w:tc>
        <w:tc>
          <w:tcPr>
            <w:tcW w:w="4038" w:type="dxa"/>
            <w:tcBorders>
              <w:top w:val="single" w:color="000000" w:sz="6" w:space="0"/>
              <w:left w:val="single" w:color="000000" w:sz="6" w:space="0"/>
              <w:bottom w:val="single" w:color="000000" w:sz="6" w:space="0"/>
              <w:right w:val="single" w:color="000000" w:sz="6" w:space="0"/>
            </w:tcBorders>
          </w:tcPr>
          <w:p w14:paraId="1A1B29ED">
            <w:pPr>
              <w:rPr>
                <w:rFonts w:ascii="宋体" w:hAnsi="宋体"/>
              </w:rPr>
            </w:pPr>
          </w:p>
        </w:tc>
      </w:tr>
      <w:tr w14:paraId="0DCE123E">
        <w:tblPrEx>
          <w:tblCellMar>
            <w:top w:w="0" w:type="dxa"/>
            <w:left w:w="0" w:type="dxa"/>
            <w:bottom w:w="0" w:type="dxa"/>
            <w:right w:w="0" w:type="dxa"/>
          </w:tblCellMar>
        </w:tblPrEx>
        <w:trPr>
          <w:trHeight w:val="589" w:hRule="atLeast"/>
        </w:trPr>
        <w:tc>
          <w:tcPr>
            <w:tcW w:w="3850" w:type="dxa"/>
            <w:tcBorders>
              <w:top w:val="single" w:color="000000" w:sz="6" w:space="0"/>
              <w:left w:val="single" w:color="000000" w:sz="6" w:space="0"/>
              <w:bottom w:val="single" w:color="000000" w:sz="6" w:space="0"/>
              <w:right w:val="single" w:color="000000" w:sz="6" w:space="0"/>
            </w:tcBorders>
          </w:tcPr>
          <w:p w14:paraId="7929699D">
            <w:pPr>
              <w:pStyle w:val="256"/>
              <w:kinsoku w:val="0"/>
              <w:overflowPunct w:val="0"/>
              <w:spacing w:before="126"/>
              <w:rPr>
                <w:szCs w:val="21"/>
              </w:rPr>
            </w:pPr>
            <w:r>
              <w:rPr>
                <w:rFonts w:hint="eastAsia"/>
                <w:szCs w:val="21"/>
              </w:rPr>
              <w:t>十二、财务状况附件</w:t>
            </w:r>
          </w:p>
        </w:tc>
        <w:tc>
          <w:tcPr>
            <w:tcW w:w="851" w:type="dxa"/>
            <w:tcBorders>
              <w:top w:val="single" w:color="000000" w:sz="6" w:space="0"/>
              <w:left w:val="single" w:color="000000" w:sz="6" w:space="0"/>
              <w:bottom w:val="single" w:color="000000" w:sz="6" w:space="0"/>
              <w:right w:val="single" w:color="000000" w:sz="6" w:space="0"/>
            </w:tcBorders>
          </w:tcPr>
          <w:p w14:paraId="30C85738">
            <w:pPr>
              <w:pStyle w:val="256"/>
              <w:kinsoku w:val="0"/>
              <w:overflowPunct w:val="0"/>
              <w:spacing w:before="173"/>
              <w:ind w:left="14"/>
              <w:jc w:val="center"/>
              <w:rPr>
                <w:szCs w:val="21"/>
              </w:rPr>
            </w:pPr>
          </w:p>
        </w:tc>
        <w:tc>
          <w:tcPr>
            <w:tcW w:w="4038" w:type="dxa"/>
            <w:tcBorders>
              <w:top w:val="single" w:color="000000" w:sz="6" w:space="0"/>
              <w:left w:val="single" w:color="000000" w:sz="6" w:space="0"/>
              <w:bottom w:val="single" w:color="000000" w:sz="6" w:space="0"/>
              <w:right w:val="single" w:color="000000" w:sz="6" w:space="0"/>
            </w:tcBorders>
            <w:vAlign w:val="center"/>
          </w:tcPr>
          <w:p w14:paraId="6EEE0DBF">
            <w:pPr>
              <w:jc w:val="center"/>
              <w:rPr>
                <w:rFonts w:ascii="宋体" w:hAnsi="宋体"/>
              </w:rPr>
            </w:pPr>
            <w:r>
              <w:rPr>
                <w:rFonts w:hint="eastAsia" w:ascii="宋体" w:hAnsi="宋体"/>
              </w:rPr>
              <w:t>附件</w:t>
            </w:r>
            <w:r>
              <w:rPr>
                <w:rFonts w:ascii="宋体" w:hAnsi="宋体"/>
              </w:rPr>
              <w:t>3</w:t>
            </w:r>
          </w:p>
        </w:tc>
      </w:tr>
    </w:tbl>
    <w:p w14:paraId="09D2D2C0">
      <w:pPr>
        <w:pStyle w:val="20"/>
        <w:kinsoku w:val="0"/>
        <w:overflowPunct w:val="0"/>
        <w:spacing w:line="360" w:lineRule="auto"/>
        <w:jc w:val="left"/>
        <w:rPr>
          <w:rFonts w:hint="eastAsia"/>
          <w:sz w:val="21"/>
          <w:szCs w:val="21"/>
        </w:rPr>
      </w:pPr>
    </w:p>
    <w:p w14:paraId="741869D4">
      <w:pPr>
        <w:pStyle w:val="20"/>
        <w:kinsoku w:val="0"/>
        <w:overflowPunct w:val="0"/>
        <w:spacing w:line="360" w:lineRule="auto"/>
        <w:jc w:val="left"/>
        <w:rPr>
          <w:sz w:val="21"/>
          <w:szCs w:val="21"/>
        </w:rPr>
      </w:pPr>
      <w:r>
        <w:rPr>
          <w:rFonts w:hint="eastAsia"/>
          <w:sz w:val="21"/>
          <w:szCs w:val="21"/>
        </w:rPr>
        <w:t>注：</w:t>
      </w:r>
      <w:r>
        <w:rPr>
          <w:sz w:val="21"/>
          <w:szCs w:val="21"/>
        </w:rPr>
        <w:t>1.投标人</w:t>
      </w:r>
      <w:r>
        <w:rPr>
          <w:rFonts w:hint="eastAsia"/>
          <w:sz w:val="21"/>
          <w:szCs w:val="21"/>
        </w:rPr>
        <w:t>应</w:t>
      </w:r>
      <w:r>
        <w:rPr>
          <w:sz w:val="21"/>
          <w:szCs w:val="21"/>
        </w:rPr>
        <w:t>在</w:t>
      </w:r>
      <w:r>
        <w:rPr>
          <w:rFonts w:hint="eastAsia"/>
          <w:sz w:val="21"/>
          <w:szCs w:val="21"/>
        </w:rPr>
        <w:t>本</w:t>
      </w:r>
      <w:r>
        <w:rPr>
          <w:sz w:val="21"/>
          <w:szCs w:val="21"/>
        </w:rPr>
        <w:t>表后按照要求的内容</w:t>
      </w:r>
      <w:r>
        <w:rPr>
          <w:rFonts w:hint="eastAsia"/>
          <w:sz w:val="21"/>
          <w:szCs w:val="21"/>
        </w:rPr>
        <w:t>提供</w:t>
      </w:r>
      <w:r>
        <w:rPr>
          <w:sz w:val="21"/>
          <w:szCs w:val="21"/>
        </w:rPr>
        <w:t>对应年度的相关财务状况证明材料附件3系列</w:t>
      </w:r>
      <w:r>
        <w:rPr>
          <w:rFonts w:hint="eastAsia"/>
          <w:sz w:val="21"/>
          <w:szCs w:val="21"/>
          <w:lang w:eastAsia="zh-CN"/>
        </w:rPr>
        <w:t>（</w:t>
      </w:r>
      <w:r>
        <w:rPr>
          <w:rFonts w:hint="eastAsia" w:cs="黑体"/>
          <w:sz w:val="21"/>
          <w:szCs w:val="21"/>
        </w:rPr>
        <w:t>设置的财务状况证明材料原则上为单选项</w:t>
      </w:r>
      <w:r>
        <w:rPr>
          <w:rFonts w:hint="eastAsia"/>
          <w:sz w:val="21"/>
          <w:szCs w:val="21"/>
          <w:lang w:eastAsia="zh-CN"/>
        </w:rPr>
        <w:t>）</w:t>
      </w:r>
      <w:r>
        <w:rPr>
          <w:sz w:val="21"/>
          <w:szCs w:val="21"/>
        </w:rPr>
        <w:t>：</w:t>
      </w:r>
    </w:p>
    <w:p w14:paraId="5D038BD4">
      <w:pPr>
        <w:pStyle w:val="20"/>
        <w:kinsoku w:val="0"/>
        <w:overflowPunct w:val="0"/>
        <w:spacing w:line="360" w:lineRule="auto"/>
        <w:ind w:left="0" w:leftChars="0" w:firstLine="422" w:firstLineChars="200"/>
        <w:jc w:val="left"/>
        <w:rPr>
          <w:sz w:val="21"/>
          <w:szCs w:val="21"/>
        </w:rPr>
      </w:pPr>
      <w:r>
        <w:rPr>
          <w:rFonts w:cs="宋体"/>
          <w:b/>
          <w:bCs/>
          <w:sz w:val="21"/>
          <w:szCs w:val="21"/>
        </w:rPr>
        <w:sym w:font="Wingdings 2" w:char="00A3"/>
      </w:r>
      <w:r>
        <w:rPr>
          <w:sz w:val="21"/>
          <w:szCs w:val="21"/>
          <w:u w:val="single"/>
        </w:rPr>
        <w:t xml:space="preserve">     </w:t>
      </w:r>
      <w:r>
        <w:rPr>
          <w:rFonts w:hint="eastAsia"/>
          <w:sz w:val="21"/>
          <w:szCs w:val="21"/>
        </w:rPr>
        <w:t>年度会计师事务所出具的财务审计报告</w:t>
      </w:r>
      <w:r>
        <w:rPr>
          <w:rFonts w:hint="eastAsia" w:cs="宋体"/>
          <w:sz w:val="21"/>
          <w:szCs w:val="21"/>
        </w:rPr>
        <w:t>［</w:t>
      </w:r>
      <w:r>
        <w:rPr>
          <w:rFonts w:hint="eastAsia"/>
          <w:sz w:val="21"/>
          <w:szCs w:val="21"/>
        </w:rPr>
        <w:t>包括资产负债表、现金流量表、利润表和财务情况说明书（或附注）的原件原色扫描件，</w:t>
      </w:r>
      <w:r>
        <w:rPr>
          <w:sz w:val="21"/>
          <w:szCs w:val="21"/>
        </w:rPr>
        <w:t>无须额外提供会计师事务所签署审计报告的注册会计师身份证明、主任会计师身份证明、合伙人身份证明以及主任会计师授权等相关资料</w:t>
      </w:r>
      <w:r>
        <w:rPr>
          <w:rFonts w:hint="eastAsia" w:cs="宋体"/>
          <w:sz w:val="21"/>
          <w:szCs w:val="21"/>
        </w:rPr>
        <w:t>］</w:t>
      </w:r>
      <w:r>
        <w:rPr>
          <w:rFonts w:hint="eastAsia"/>
          <w:sz w:val="21"/>
          <w:szCs w:val="21"/>
        </w:rPr>
        <w:t>。本表所列数据必须与本表各附件中的数据相一致。</w:t>
      </w:r>
    </w:p>
    <w:p w14:paraId="1966B425">
      <w:pPr>
        <w:pStyle w:val="20"/>
        <w:kinsoku w:val="0"/>
        <w:overflowPunct w:val="0"/>
        <w:spacing w:line="360" w:lineRule="auto"/>
        <w:ind w:firstLine="632" w:firstLineChars="300"/>
        <w:jc w:val="left"/>
        <w:rPr>
          <w:sz w:val="21"/>
          <w:szCs w:val="21"/>
        </w:rPr>
      </w:pPr>
      <w:r>
        <w:rPr>
          <w:rFonts w:hint="eastAsia" w:cs="宋体"/>
          <w:b/>
          <w:bCs/>
          <w:sz w:val="21"/>
          <w:szCs w:val="21"/>
        </w:rPr>
        <w:t>□</w:t>
      </w:r>
      <w:r>
        <w:rPr>
          <w:rFonts w:cs="宋体"/>
          <w:sz w:val="21"/>
          <w:szCs w:val="21"/>
          <w:u w:val="single"/>
        </w:rPr>
        <w:t xml:space="preserve">     </w:t>
      </w:r>
      <w:r>
        <w:rPr>
          <w:rFonts w:cs="宋体"/>
          <w:sz w:val="21"/>
          <w:szCs w:val="21"/>
        </w:rPr>
        <w:t>年度</w:t>
      </w:r>
      <w:r>
        <w:rPr>
          <w:rFonts w:hint="eastAsia" w:cs="黑体"/>
          <w:sz w:val="21"/>
          <w:szCs w:val="21"/>
        </w:rPr>
        <w:t>财务状况承诺函（不要求同时提供财务审计报告）</w:t>
      </w:r>
      <w:r>
        <w:rPr>
          <w:rFonts w:hint="eastAsia"/>
          <w:sz w:val="21"/>
          <w:szCs w:val="21"/>
        </w:rPr>
        <w:t>。</w:t>
      </w:r>
    </w:p>
    <w:p w14:paraId="25737039">
      <w:pPr>
        <w:pStyle w:val="20"/>
        <w:numPr>
          <w:ilvl w:val="255"/>
          <w:numId w:val="0"/>
        </w:numPr>
        <w:kinsoku w:val="0"/>
        <w:overflowPunct w:val="0"/>
        <w:spacing w:line="360" w:lineRule="auto"/>
        <w:ind w:left="0" w:leftChars="0" w:firstLine="420" w:firstLineChars="200"/>
        <w:jc w:val="left"/>
        <w:rPr>
          <w:sz w:val="21"/>
          <w:szCs w:val="21"/>
        </w:rPr>
      </w:pPr>
      <w:r>
        <w:rPr>
          <w:rFonts w:hint="eastAsia"/>
          <w:sz w:val="21"/>
          <w:szCs w:val="21"/>
        </w:rPr>
        <w:t>2.因投标人自身原因未提供附件或提供的附件不能与所证明的内容相匹配，造成财务或其他内容不予认可时，投标人自行承担相关责任。</w:t>
      </w:r>
    </w:p>
    <w:p w14:paraId="44BB1BEC">
      <w:pPr>
        <w:pStyle w:val="299"/>
        <w:adjustRightInd w:val="0"/>
        <w:snapToGrid w:val="0"/>
        <w:spacing w:line="360" w:lineRule="auto"/>
        <w:ind w:left="0" w:leftChars="0" w:firstLine="420" w:firstLine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w:t>
      </w:r>
      <w:r>
        <w:rPr>
          <w:rFonts w:hint="eastAsia" w:ascii="宋体" w:hAnsi="宋体" w:cs="宋体"/>
        </w:rPr>
        <w:t>均</w:t>
      </w:r>
      <w:r>
        <w:rPr>
          <w:rFonts w:ascii="宋体" w:hAnsi="宋体" w:cs="宋体"/>
        </w:rPr>
        <w:t>应分</w:t>
      </w:r>
      <w:r>
        <w:rPr>
          <w:rFonts w:hint="eastAsia" w:ascii="宋体" w:hAnsi="宋体" w:cs="宋体"/>
        </w:rPr>
        <w:t>别</w:t>
      </w:r>
      <w:r>
        <w:rPr>
          <w:rFonts w:ascii="宋体" w:hAnsi="宋体" w:cs="宋体"/>
        </w:rPr>
        <w:t>填报</w:t>
      </w:r>
      <w:r>
        <w:rPr>
          <w:rFonts w:hint="eastAsia" w:ascii="宋体" w:hAnsi="宋体" w:cs="宋体"/>
        </w:rPr>
        <w:t>本表并</w:t>
      </w:r>
      <w:r>
        <w:rPr>
          <w:rFonts w:ascii="宋体" w:hAnsi="宋体" w:cs="宋体"/>
        </w:rPr>
        <w:t>提供</w:t>
      </w:r>
      <w:r>
        <w:rPr>
          <w:rFonts w:hint="eastAsia" w:ascii="宋体" w:hAnsi="宋体" w:cs="宋体"/>
        </w:rPr>
        <w:t>上述相应证明材料。</w:t>
      </w:r>
    </w:p>
    <w:p w14:paraId="7318FC51">
      <w:pPr>
        <w:pStyle w:val="20"/>
        <w:numPr>
          <w:ilvl w:val="255"/>
          <w:numId w:val="0"/>
        </w:numPr>
        <w:kinsoku w:val="0"/>
        <w:overflowPunct w:val="0"/>
        <w:spacing w:line="360" w:lineRule="auto"/>
        <w:ind w:firstLine="0" w:firstLineChars="0"/>
        <w:rPr>
          <w:sz w:val="21"/>
          <w:szCs w:val="21"/>
        </w:rPr>
      </w:pPr>
    </w:p>
    <w:p w14:paraId="5FDED0CC">
      <w:pPr>
        <w:pStyle w:val="26"/>
        <w:spacing w:line="360" w:lineRule="auto"/>
        <w:jc w:val="center"/>
        <w:outlineLvl w:val="9"/>
        <w:rPr>
          <w:rFonts w:ascii="黑体" w:hAnsi="黑体" w:eastAsia="黑体"/>
          <w:bCs/>
          <w:sz w:val="24"/>
          <w:szCs w:val="24"/>
        </w:rPr>
      </w:pPr>
      <w:bookmarkStart w:id="887" w:name="_Toc53685815"/>
      <w:r>
        <w:rPr>
          <w:rFonts w:ascii="黑体" w:hAnsi="黑体" w:eastAsia="黑体"/>
          <w:bCs/>
          <w:sz w:val="24"/>
          <w:szCs w:val="24"/>
        </w:rPr>
        <w:br w:type="page"/>
      </w:r>
    </w:p>
    <w:p w14:paraId="79FF2D7F">
      <w:pPr>
        <w:pStyle w:val="26"/>
        <w:spacing w:line="360" w:lineRule="auto"/>
        <w:jc w:val="center"/>
        <w:outlineLvl w:val="1"/>
        <w:rPr>
          <w:rFonts w:ascii="黑体" w:hAnsi="黑体" w:eastAsia="黑体"/>
          <w:sz w:val="24"/>
          <w:szCs w:val="24"/>
        </w:rPr>
      </w:pPr>
      <w:r>
        <w:rPr>
          <w:rFonts w:hint="eastAsia" w:ascii="黑体" w:hAnsi="黑体" w:eastAsia="黑体"/>
          <w:bCs/>
          <w:sz w:val="24"/>
          <w:szCs w:val="24"/>
        </w:rPr>
        <w:t>附件</w:t>
      </w:r>
      <w:r>
        <w:rPr>
          <w:rFonts w:ascii="黑体" w:hAnsi="黑体" w:eastAsia="黑体"/>
          <w:bCs/>
          <w:sz w:val="24"/>
          <w:szCs w:val="24"/>
        </w:rPr>
        <w:t xml:space="preserve">3 </w:t>
      </w:r>
      <w:r>
        <w:rPr>
          <w:rFonts w:hint="eastAsia" w:ascii="黑体" w:hAnsi="黑体" w:eastAsia="黑体"/>
          <w:bCs/>
          <w:sz w:val="24"/>
          <w:szCs w:val="24"/>
        </w:rPr>
        <w:t xml:space="preserve"> </w:t>
      </w:r>
      <w:r>
        <w:rPr>
          <w:rFonts w:ascii="黑体" w:hAnsi="黑体" w:eastAsia="黑体"/>
          <w:bCs/>
          <w:sz w:val="24"/>
          <w:szCs w:val="24"/>
        </w:rPr>
        <w:t xml:space="preserve"> </w:t>
      </w:r>
      <w:r>
        <w:rPr>
          <w:rFonts w:hint="eastAsia" w:ascii="黑体" w:hAnsi="黑体" w:eastAsia="黑体" w:cs="宋体"/>
          <w:b/>
          <w:bCs/>
          <w:sz w:val="24"/>
          <w:szCs w:val="24"/>
        </w:rPr>
        <w:t>□</w:t>
      </w:r>
      <w:r>
        <w:rPr>
          <w:rFonts w:ascii="黑体" w:hAnsi="黑体" w:eastAsia="黑体"/>
          <w:bCs/>
          <w:sz w:val="24"/>
          <w:szCs w:val="24"/>
        </w:rPr>
        <w:t xml:space="preserve"> </w:t>
      </w:r>
      <w:r>
        <w:rPr>
          <w:rFonts w:ascii="黑体" w:hAnsi="黑体" w:eastAsia="黑体"/>
          <w:bCs/>
          <w:sz w:val="24"/>
          <w:szCs w:val="24"/>
          <w:u w:val="single"/>
        </w:rPr>
        <w:t xml:space="preserve">   </w:t>
      </w:r>
      <w:r>
        <w:rPr>
          <w:rFonts w:hint="eastAsia" w:ascii="黑体" w:hAnsi="黑体" w:eastAsia="黑体"/>
          <w:bCs/>
          <w:sz w:val="24"/>
          <w:szCs w:val="24"/>
          <w:u w:val="single"/>
        </w:rPr>
        <w:t xml:space="preserve">  </w:t>
      </w:r>
      <w:r>
        <w:rPr>
          <w:rFonts w:ascii="黑体" w:hAnsi="黑体" w:eastAsia="黑体"/>
          <w:bCs/>
          <w:sz w:val="24"/>
          <w:szCs w:val="24"/>
          <w:u w:val="single"/>
        </w:rPr>
        <w:t xml:space="preserve"> </w:t>
      </w:r>
      <w:r>
        <w:rPr>
          <w:rFonts w:hint="eastAsia" w:ascii="黑体" w:hAnsi="黑体" w:eastAsia="黑体"/>
          <w:bCs/>
          <w:sz w:val="24"/>
          <w:szCs w:val="24"/>
        </w:rPr>
        <w:t>年度会计师事务所出具的财务审计报告</w:t>
      </w:r>
      <w:bookmarkEnd w:id="887"/>
    </w:p>
    <w:p w14:paraId="73BF9B34">
      <w:pPr>
        <w:pStyle w:val="26"/>
        <w:spacing w:line="360" w:lineRule="auto"/>
        <w:ind w:firstLine="420"/>
        <w:jc w:val="center"/>
        <w:outlineLvl w:val="9"/>
        <w:rPr>
          <w:rFonts w:ascii="黑体" w:hAnsi="黑体" w:eastAsia="黑体" w:cs="宋体"/>
          <w:sz w:val="24"/>
          <w:szCs w:val="24"/>
        </w:rPr>
      </w:pPr>
    </w:p>
    <w:p w14:paraId="26A19AC7">
      <w:pPr>
        <w:pStyle w:val="26"/>
        <w:spacing w:line="360" w:lineRule="auto"/>
        <w:ind w:firstLine="2409" w:firstLineChars="1000"/>
        <w:outlineLvl w:val="1"/>
        <w:rPr>
          <w:rFonts w:ascii="黑体" w:hAnsi="黑体" w:eastAsia="黑体"/>
          <w:sz w:val="24"/>
          <w:szCs w:val="24"/>
        </w:rPr>
      </w:pPr>
      <w:bookmarkStart w:id="888" w:name="_Toc53685816"/>
      <w:r>
        <w:rPr>
          <w:rFonts w:hint="eastAsia" w:ascii="黑体" w:hAnsi="黑体" w:eastAsia="黑体" w:cs="宋体"/>
          <w:b/>
          <w:bCs/>
          <w:sz w:val="24"/>
          <w:szCs w:val="24"/>
        </w:rPr>
        <w:t>□</w:t>
      </w:r>
      <w:r>
        <w:rPr>
          <w:rFonts w:ascii="黑体" w:hAnsi="黑体" w:eastAsia="黑体"/>
          <w:sz w:val="24"/>
          <w:szCs w:val="24"/>
        </w:rPr>
        <w:t xml:space="preserve"> </w:t>
      </w:r>
      <w:r>
        <w:rPr>
          <w:rFonts w:ascii="黑体" w:hAnsi="黑体" w:eastAsia="黑体"/>
          <w:sz w:val="24"/>
          <w:szCs w:val="24"/>
          <w:u w:val="single"/>
        </w:rPr>
        <w:t xml:space="preserve">      </w:t>
      </w:r>
      <w:r>
        <w:rPr>
          <w:rFonts w:hint="eastAsia" w:ascii="黑体" w:hAnsi="黑体" w:eastAsia="黑体"/>
          <w:sz w:val="24"/>
          <w:szCs w:val="24"/>
        </w:rPr>
        <w:t>年度财务状况承诺函</w:t>
      </w:r>
      <w:bookmarkEnd w:id="888"/>
    </w:p>
    <w:p w14:paraId="7861773B">
      <w:pPr>
        <w:widowControl/>
        <w:spacing w:line="280" w:lineRule="atLeast"/>
        <w:ind w:left="5" w:leftChars="-28" w:hanging="64" w:hangingChars="27"/>
        <w:jc w:val="center"/>
        <w:rPr>
          <w:rFonts w:ascii="宋体" w:hAnsi="宋体" w:cs="宋体"/>
          <w:kern w:val="0"/>
          <w:sz w:val="24"/>
        </w:rPr>
      </w:pPr>
    </w:p>
    <w:p w14:paraId="7BFDE86B">
      <w:pPr>
        <w:pStyle w:val="26"/>
        <w:spacing w:line="600" w:lineRule="auto"/>
        <w:rPr>
          <w:rFonts w:hAnsi="宋体"/>
          <w:sz w:val="24"/>
          <w:szCs w:val="24"/>
        </w:rPr>
      </w:pPr>
      <w:r>
        <w:rPr>
          <w:rFonts w:hAnsi="宋体"/>
          <w:sz w:val="24"/>
          <w:szCs w:val="24"/>
          <w:u w:val="single"/>
        </w:rPr>
        <w:t xml:space="preserve">       </w:t>
      </w:r>
      <w:r>
        <w:rPr>
          <w:rFonts w:hint="eastAsia" w:hAnsi="宋体"/>
          <w:sz w:val="24"/>
          <w:szCs w:val="24"/>
          <w:u w:val="single"/>
        </w:rPr>
        <w:t>（招标人名称）</w:t>
      </w:r>
      <w:r>
        <w:rPr>
          <w:rFonts w:hAnsi="宋体"/>
          <w:sz w:val="24"/>
          <w:szCs w:val="24"/>
          <w:u w:val="single"/>
        </w:rPr>
        <w:t xml:space="preserve">       </w:t>
      </w:r>
      <w:r>
        <w:rPr>
          <w:rFonts w:hint="eastAsia" w:hAnsi="宋体"/>
          <w:sz w:val="24"/>
          <w:szCs w:val="24"/>
          <w:u w:val="none"/>
          <w:lang w:eastAsia="zh-CN"/>
        </w:rPr>
        <w:t>：</w:t>
      </w:r>
    </w:p>
    <w:p w14:paraId="68FDAE91">
      <w:pPr>
        <w:spacing w:line="360" w:lineRule="auto"/>
        <w:ind w:firstLine="480" w:firstLineChars="200"/>
        <w:jc w:val="left"/>
        <w:rPr>
          <w:rFonts w:ascii="宋体" w:hAnsi="宋体"/>
          <w:sz w:val="24"/>
        </w:rPr>
      </w:pPr>
      <w:r>
        <w:rPr>
          <w:rFonts w:hint="eastAsia" w:ascii="宋体" w:hAnsi="宋体"/>
          <w:sz w:val="24"/>
        </w:rPr>
        <w:t>我方在此承诺：</w:t>
      </w:r>
    </w:p>
    <w:p w14:paraId="4D3C3AFE">
      <w:pPr>
        <w:spacing w:line="360" w:lineRule="auto"/>
        <w:ind w:firstLine="480" w:firstLineChars="200"/>
        <w:jc w:val="left"/>
        <w:rPr>
          <w:sz w:val="24"/>
        </w:rPr>
      </w:pPr>
      <w:r>
        <w:rPr>
          <w:rFonts w:ascii="宋体" w:hAnsi="宋体"/>
          <w:sz w:val="24"/>
        </w:rPr>
        <w:t xml:space="preserve">我方的 </w:t>
      </w:r>
      <w:r>
        <w:rPr>
          <w:rFonts w:ascii="宋体" w:hAnsi="宋体"/>
          <w:sz w:val="24"/>
          <w:u w:val="single"/>
        </w:rPr>
        <w:t xml:space="preserve">     </w:t>
      </w:r>
      <w:r>
        <w:rPr>
          <w:rFonts w:hint="eastAsia" w:ascii="宋体" w:hAnsi="宋体"/>
          <w:sz w:val="24"/>
        </w:rPr>
        <w:t>年度的财务状况已经</w:t>
      </w:r>
      <w:r>
        <w:rPr>
          <w:rFonts w:hint="eastAsia" w:hAnsi="宋体"/>
          <w:sz w:val="24"/>
        </w:rPr>
        <w:t>会计师事务所</w:t>
      </w:r>
      <w:r>
        <w:rPr>
          <w:rFonts w:ascii="宋体" w:hAnsi="宋体"/>
          <w:sz w:val="24"/>
        </w:rPr>
        <w:t>进行了审计并</w:t>
      </w:r>
      <w:r>
        <w:rPr>
          <w:rFonts w:hint="eastAsia" w:hAnsi="宋体"/>
          <w:sz w:val="24"/>
        </w:rPr>
        <w:t>出具了审计报告，且财务状况表中的数据与审计报告一致</w:t>
      </w:r>
      <w:r>
        <w:rPr>
          <w:rFonts w:hint="eastAsia" w:hAnsi="宋体" w:cs="宋体"/>
          <w:kern w:val="0"/>
          <w:sz w:val="24"/>
        </w:rPr>
        <w:t>。</w:t>
      </w:r>
    </w:p>
    <w:p w14:paraId="6EF9485B">
      <w:pPr>
        <w:spacing w:line="360" w:lineRule="auto"/>
        <w:ind w:firstLine="480" w:firstLineChars="200"/>
        <w:rPr>
          <w:rFonts w:hint="eastAsia" w:ascii="宋体" w:hAnsi="宋体" w:eastAsia="宋体" w:cs="仿宋"/>
          <w:sz w:val="24"/>
          <w:lang w:val="en-US" w:eastAsia="zh-CN"/>
        </w:rPr>
      </w:pPr>
      <w:r>
        <w:rPr>
          <w:rFonts w:hint="eastAsia" w:ascii="宋体" w:hAnsi="宋体" w:cs="仿宋"/>
          <w:sz w:val="24"/>
        </w:rPr>
        <w:t>如一经查实上述内容</w:t>
      </w:r>
      <w:r>
        <w:rPr>
          <w:rFonts w:ascii="宋体" w:hAnsi="宋体" w:cs="仿宋"/>
          <w:sz w:val="24"/>
        </w:rPr>
        <w:t>不实，</w:t>
      </w:r>
      <w:r>
        <w:rPr>
          <w:rFonts w:hint="eastAsia" w:ascii="宋体" w:hAnsi="宋体" w:cs="仿宋"/>
          <w:sz w:val="24"/>
        </w:rPr>
        <w:t>将不通过资格审查；在中标候选人确定后发现的，招标人可取消我方中标候选人或中标资格。</w:t>
      </w:r>
    </w:p>
    <w:p w14:paraId="54D685AC">
      <w:pPr>
        <w:spacing w:line="360" w:lineRule="auto"/>
        <w:ind w:firstLine="480" w:firstLineChars="200"/>
        <w:jc w:val="left"/>
        <w:rPr>
          <w:rFonts w:ascii="宋体" w:hAnsi="宋体"/>
          <w:sz w:val="24"/>
        </w:rPr>
      </w:pPr>
      <w:r>
        <w:rPr>
          <w:rFonts w:hint="eastAsia" w:ascii="宋体" w:hAnsi="宋体" w:cs="仿宋"/>
          <w:sz w:val="24"/>
        </w:rPr>
        <w:t>特此承诺。</w:t>
      </w:r>
    </w:p>
    <w:p w14:paraId="278E2C94">
      <w:pPr>
        <w:spacing w:line="360" w:lineRule="auto"/>
        <w:jc w:val="left"/>
        <w:rPr>
          <w:rFonts w:ascii="宋体" w:hAnsi="宋体"/>
          <w:sz w:val="24"/>
        </w:rPr>
      </w:pPr>
    </w:p>
    <w:p w14:paraId="4010508B">
      <w:pPr>
        <w:pStyle w:val="26"/>
        <w:spacing w:line="360" w:lineRule="auto"/>
        <w:ind w:firstLine="1320" w:firstLineChars="550"/>
        <w:rPr>
          <w:rFonts w:hAnsi="宋体" w:cs="宋体"/>
          <w:sz w:val="24"/>
          <w:szCs w:val="24"/>
        </w:rPr>
      </w:pPr>
    </w:p>
    <w:p w14:paraId="36E34C9F">
      <w:pPr>
        <w:pStyle w:val="26"/>
        <w:spacing w:line="360" w:lineRule="auto"/>
        <w:ind w:firstLine="1320" w:firstLineChars="550"/>
        <w:rPr>
          <w:rFonts w:hAnsi="宋体" w:cs="宋体"/>
          <w:sz w:val="24"/>
          <w:szCs w:val="24"/>
        </w:rPr>
      </w:pPr>
    </w:p>
    <w:p w14:paraId="5D466023">
      <w:pPr>
        <w:pStyle w:val="26"/>
        <w:spacing w:line="360" w:lineRule="auto"/>
        <w:ind w:firstLine="1320" w:firstLineChars="550"/>
        <w:rPr>
          <w:rFonts w:hAnsi="宋体" w:cs="宋体"/>
          <w:sz w:val="24"/>
          <w:szCs w:val="24"/>
          <w:u w:val="single"/>
        </w:rPr>
      </w:pPr>
      <w:r>
        <w:rPr>
          <w:rFonts w:hint="eastAsia" w:hAnsi="宋体" w:cs="宋体"/>
          <w:sz w:val="24"/>
          <w:szCs w:val="24"/>
        </w:rPr>
        <w:t>投标人：</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Ansi="宋体" w:cs="宋体"/>
          <w:sz w:val="24"/>
          <w:szCs w:val="24"/>
          <w:u w:val="single"/>
        </w:rPr>
        <w:t xml:space="preserve">    </w:t>
      </w:r>
      <w:r>
        <w:rPr>
          <w:rFonts w:hint="eastAsia" w:hAnsi="宋体" w:cs="宋体"/>
          <w:sz w:val="24"/>
          <w:szCs w:val="24"/>
        </w:rPr>
        <w:t>（盖单位电子印章）</w:t>
      </w:r>
    </w:p>
    <w:p w14:paraId="465C2306">
      <w:pPr>
        <w:spacing w:line="360" w:lineRule="auto"/>
        <w:ind w:firstLine="1320" w:firstLineChars="550"/>
        <w:rPr>
          <w:rFonts w:ascii="宋体" w:hAnsi="宋体" w:cs="宋体"/>
          <w:sz w:val="24"/>
        </w:rPr>
      </w:pPr>
      <w:r>
        <w:rPr>
          <w:rFonts w:hint="eastAsia" w:ascii="宋体" w:hAnsi="宋体" w:cs="宋体"/>
          <w:sz w:val="24"/>
        </w:rPr>
        <w:t>法定代表人</w:t>
      </w:r>
    </w:p>
    <w:p w14:paraId="1B5FD770">
      <w:pPr>
        <w:spacing w:line="360" w:lineRule="auto"/>
        <w:ind w:firstLine="1320" w:firstLineChars="550"/>
        <w:rPr>
          <w:rFonts w:ascii="宋体" w:hAnsi="宋体" w:cs="宋体"/>
          <w:sz w:val="24"/>
        </w:rPr>
      </w:pPr>
      <w:r>
        <w:rPr>
          <w:rFonts w:hint="eastAsia" w:ascii="宋体" w:hAnsi="宋体" w:cs="宋体"/>
          <w:sz w:val="24"/>
        </w:rPr>
        <w:t>或其委托代理人：</w:t>
      </w:r>
      <w:r>
        <w:rPr>
          <w:rFonts w:hint="eastAsia" w:ascii="宋体" w:hAnsi="宋体" w:cs="宋体"/>
          <w:sz w:val="24"/>
          <w:u w:val="single"/>
        </w:rPr>
        <w:t>（职务、姓名）</w:t>
      </w:r>
      <w:r>
        <w:rPr>
          <w:rFonts w:hint="eastAsia" w:ascii="宋体" w:hAnsi="宋体" w:cs="宋体"/>
          <w:sz w:val="24"/>
        </w:rPr>
        <w:t>（个人电子签名章或个人电子印章）</w:t>
      </w:r>
    </w:p>
    <w:p w14:paraId="2C7F7409">
      <w:pPr>
        <w:spacing w:line="360" w:lineRule="auto"/>
        <w:ind w:firstLine="2880" w:firstLineChars="1200"/>
        <w:rPr>
          <w:rFonts w:hint="eastAsia" w:ascii="宋体" w:hAnsi="宋体"/>
          <w:sz w:val="24"/>
          <w:lang w:val="en-US" w:eastAsia="zh-CN"/>
        </w:rPr>
      </w:pPr>
      <w:r>
        <w:rPr>
          <w:rFonts w:hint="eastAsia" w:ascii="宋体" w:hAnsi="宋体"/>
          <w:sz w:val="24"/>
          <w:lang w:val="en-US" w:eastAsia="zh-CN"/>
        </w:rPr>
        <w:t xml:space="preserve">            </w:t>
      </w:r>
    </w:p>
    <w:p w14:paraId="7AD77DD3">
      <w:pPr>
        <w:spacing w:line="360" w:lineRule="auto"/>
        <w:ind w:firstLine="5280" w:firstLineChars="2200"/>
        <w:rPr>
          <w:sz w:val="24"/>
        </w:rPr>
      </w:pP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14:paraId="3BEEF3B9">
      <w:pPr>
        <w:pStyle w:val="20"/>
        <w:kinsoku w:val="0"/>
        <w:overflowPunct w:val="0"/>
        <w:jc w:val="left"/>
      </w:pPr>
    </w:p>
    <w:p w14:paraId="1E7F5400">
      <w:pPr>
        <w:spacing w:line="360" w:lineRule="auto"/>
        <w:ind w:firstLine="0"/>
        <w:rPr>
          <w:rFonts w:hint="eastAsia" w:ascii="宋体" w:hAnsi="宋体"/>
          <w:szCs w:val="21"/>
        </w:rPr>
      </w:pPr>
    </w:p>
    <w:p w14:paraId="7B5ACDBE">
      <w:pPr>
        <w:spacing w:line="360" w:lineRule="auto"/>
        <w:ind w:firstLine="0"/>
        <w:rPr>
          <w:rFonts w:hint="eastAsia" w:ascii="宋体" w:hAnsi="宋体"/>
          <w:szCs w:val="21"/>
        </w:rPr>
      </w:pPr>
    </w:p>
    <w:p w14:paraId="15CA5557">
      <w:pPr>
        <w:spacing w:line="360" w:lineRule="auto"/>
        <w:ind w:firstLine="0"/>
        <w:rPr>
          <w:rFonts w:ascii="宋体" w:hAnsi="宋体"/>
          <w:szCs w:val="21"/>
        </w:rPr>
      </w:pPr>
      <w:r>
        <w:rPr>
          <w:rFonts w:hint="eastAsia" w:ascii="宋体" w:hAnsi="宋体"/>
          <w:szCs w:val="21"/>
        </w:rPr>
        <w:t>注：1</w:t>
      </w:r>
      <w:r>
        <w:rPr>
          <w:rFonts w:ascii="宋体" w:hAnsi="宋体"/>
          <w:szCs w:val="21"/>
        </w:rPr>
        <w:t>.</w:t>
      </w:r>
      <w:r>
        <w:rPr>
          <w:rFonts w:hint="eastAsia" w:ascii="宋体" w:hAnsi="宋体"/>
          <w:szCs w:val="21"/>
        </w:rPr>
        <w:t>以联合体形式投标的，</w:t>
      </w:r>
      <w:r>
        <w:rPr>
          <w:rFonts w:ascii="宋体" w:hAnsi="宋体"/>
          <w:szCs w:val="21"/>
        </w:rPr>
        <w:t>由</w:t>
      </w:r>
      <w:r>
        <w:rPr>
          <w:rFonts w:hint="eastAsia" w:ascii="宋体" w:hAnsi="宋体"/>
          <w:szCs w:val="21"/>
        </w:rPr>
        <w:t>联合体牵头人盖单位电子印章。</w:t>
      </w:r>
    </w:p>
    <w:p w14:paraId="4F5FBCFA">
      <w:pPr>
        <w:spacing w:line="360" w:lineRule="auto"/>
        <w:ind w:firstLine="420"/>
        <w:rPr>
          <w:rFonts w:ascii="宋体" w:hAnsi="宋体"/>
          <w:szCs w:val="21"/>
        </w:rPr>
        <w:sectPr>
          <w:footerReference r:id="rId27" w:type="default"/>
          <w:footerReference r:id="rId28" w:type="even"/>
          <w:footnotePr>
            <w:numFmt w:val="decimalEnclosedCircleChinese"/>
            <w:numRestart w:val="eachPage"/>
          </w:footnotePr>
          <w:type w:val="continuous"/>
          <w:pgSz w:w="11900" w:h="16838"/>
          <w:pgMar w:top="1417" w:right="1417" w:bottom="1417" w:left="1701" w:header="850" w:footer="624" w:gutter="0"/>
          <w:cols w:space="0" w:num="1"/>
          <w:docGrid w:linePitch="312" w:charSpace="0"/>
        </w:sectPr>
      </w:pPr>
      <w:r>
        <w:rPr>
          <w:rFonts w:hint="eastAsia" w:ascii="宋体" w:hAnsi="宋体"/>
          <w:szCs w:val="21"/>
        </w:rPr>
        <w:t>2</w:t>
      </w:r>
      <w:r>
        <w:rPr>
          <w:rFonts w:ascii="宋体" w:hAnsi="宋体"/>
          <w:szCs w:val="21"/>
        </w:rPr>
        <w:t>.</w:t>
      </w:r>
      <w:r>
        <w:rPr>
          <w:rFonts w:hint="eastAsia" w:ascii="宋体" w:hAnsi="宋体"/>
          <w:szCs w:val="21"/>
        </w:rPr>
        <w:t>以联合体形式投标的，由联合体牵头人的法定代表人</w:t>
      </w:r>
      <w:r>
        <w:rPr>
          <w:rFonts w:ascii="宋体" w:hAnsi="宋体"/>
          <w:szCs w:val="21"/>
        </w:rPr>
        <w:t>或其委托</w:t>
      </w:r>
      <w:r>
        <w:rPr>
          <w:rFonts w:hint="eastAsia" w:ascii="宋体" w:hAnsi="宋体"/>
          <w:szCs w:val="21"/>
        </w:rPr>
        <w:t>代理人加盖个人电子签名章或个人电子印章。</w:t>
      </w:r>
    </w:p>
    <w:p w14:paraId="5CDD0CB2">
      <w:pPr>
        <w:pStyle w:val="20"/>
        <w:kinsoku w:val="0"/>
        <w:overflowPunct w:val="0"/>
        <w:spacing w:before="189"/>
        <w:ind w:left="2761"/>
        <w:rPr>
          <w:rFonts w:cs="黑体"/>
        </w:rPr>
        <w:sectPr>
          <w:footerReference r:id="rId29" w:type="default"/>
          <w:footerReference r:id="rId30" w:type="even"/>
          <w:footnotePr>
            <w:numFmt w:val="decimalEnclosedCircleChinese"/>
            <w:numRestart w:val="eachPage"/>
          </w:footnotePr>
          <w:type w:val="continuous"/>
          <w:pgSz w:w="11900" w:h="16838"/>
          <w:pgMar w:top="1418" w:right="1418" w:bottom="1418" w:left="1701" w:header="851" w:footer="624" w:gutter="0"/>
          <w:cols w:space="720" w:num="1"/>
          <w:docGrid w:linePitch="312" w:charSpace="0"/>
        </w:sectPr>
      </w:pPr>
    </w:p>
    <w:p w14:paraId="05EFE6EE">
      <w:pPr>
        <w:pStyle w:val="20"/>
        <w:kinsoku w:val="0"/>
        <w:overflowPunct w:val="0"/>
        <w:spacing w:before="189" w:line="360" w:lineRule="auto"/>
        <w:jc w:val="center"/>
        <w:rPr>
          <w:rFonts w:ascii="黑体" w:hAnsi="黑体" w:eastAsia="黑体" w:cs="黑体"/>
          <w:sz w:val="28"/>
          <w:szCs w:val="28"/>
        </w:rPr>
      </w:pPr>
      <w:bookmarkStart w:id="889" w:name="bookmark314"/>
      <w:bookmarkEnd w:id="889"/>
      <w:r>
        <w:rPr>
          <w:rFonts w:hint="eastAsia" w:ascii="黑体" w:hAnsi="黑体" w:eastAsia="黑体" w:cs="黑体"/>
          <w:sz w:val="28"/>
          <w:szCs w:val="28"/>
        </w:rPr>
        <w:t>（四）近年完成的类似项目情况表</w:t>
      </w:r>
    </w:p>
    <w:p w14:paraId="7B4145FC">
      <w:pPr>
        <w:spacing w:line="360" w:lineRule="auto"/>
        <w:jc w:val="center"/>
        <w:rPr>
          <w:rFonts w:ascii="黑体" w:hAnsi="黑体" w:eastAsia="黑体" w:cs="宋体"/>
          <w:sz w:val="24"/>
        </w:rPr>
      </w:pPr>
      <w:r>
        <w:rPr>
          <w:rFonts w:ascii="黑体" w:hAnsi="黑体" w:eastAsia="黑体" w:cs="宋体"/>
          <w:sz w:val="24"/>
        </w:rPr>
        <w:t>1</w:t>
      </w:r>
      <w:r>
        <w:rPr>
          <w:rFonts w:ascii="黑体" w:hAnsi="黑体" w:eastAsia="黑体" w:cs="宋体"/>
          <w:b/>
          <w:bCs/>
          <w:sz w:val="24"/>
        </w:rPr>
        <w:t>.</w:t>
      </w:r>
      <w:r>
        <w:rPr>
          <w:rFonts w:ascii="黑体" w:hAnsi="黑体" w:eastAsia="黑体" w:cs="宋体"/>
          <w:sz w:val="24"/>
        </w:rPr>
        <w:t xml:space="preserve"> 勘察设计类似项目情况表 </w:t>
      </w:r>
    </w:p>
    <w:p w14:paraId="0FFDACE9">
      <w:pPr>
        <w:spacing w:line="360" w:lineRule="auto"/>
        <w:jc w:val="center"/>
        <w:rPr>
          <w:rFonts w:ascii="黑体" w:hAnsi="黑体" w:eastAsia="黑体" w:cs="宋体"/>
          <w:bCs/>
          <w:sz w:val="24"/>
        </w:rPr>
      </w:pPr>
      <w:r>
        <w:rPr>
          <w:rFonts w:ascii="黑体" w:hAnsi="黑体" w:eastAsia="黑体" w:cs="宋体"/>
          <w:b/>
          <w:sz w:val="24"/>
        </w:rPr>
        <w:t xml:space="preserve">                           </w:t>
      </w:r>
      <w:r>
        <w:rPr>
          <w:rFonts w:hint="eastAsia" w:ascii="黑体" w:hAnsi="黑体" w:eastAsia="黑体" w:cs="宋体"/>
          <w:b/>
          <w:sz w:val="24"/>
        </w:rPr>
        <w:t>□</w:t>
      </w:r>
      <w:r>
        <w:rPr>
          <w:rFonts w:ascii="黑体" w:hAnsi="黑体" w:eastAsia="黑体" w:cs="宋体"/>
          <w:bCs/>
          <w:sz w:val="24"/>
        </w:rPr>
        <w:t xml:space="preserve"> 近年完成的</w:t>
      </w:r>
      <w:r>
        <w:rPr>
          <w:rFonts w:hint="eastAsia" w:ascii="黑体" w:hAnsi="黑体" w:eastAsia="黑体" w:cs="宋体"/>
          <w:bCs/>
          <w:sz w:val="24"/>
        </w:rPr>
        <w:t>公路项目勘察设计情况</w:t>
      </w:r>
      <w:r>
        <w:rPr>
          <w:rFonts w:ascii="黑体" w:hAnsi="黑体" w:eastAsia="黑体" w:cs="宋体"/>
          <w:bCs/>
          <w:sz w:val="24"/>
        </w:rPr>
        <w:t xml:space="preserve">                      </w:t>
      </w:r>
      <w:r>
        <w:rPr>
          <w:rFonts w:hint="eastAsia" w:ascii="黑体" w:hAnsi="黑体" w:eastAsia="黑体" w:cs="宋体"/>
          <w:bCs/>
          <w:sz w:val="24"/>
        </w:rPr>
        <w:t>表</w:t>
      </w:r>
      <w:r>
        <w:rPr>
          <w:rFonts w:ascii="黑体" w:hAnsi="黑体" w:eastAsia="黑体" w:cs="宋体"/>
          <w:bCs/>
          <w:sz w:val="24"/>
        </w:rPr>
        <w:t>1-1</w:t>
      </w:r>
    </w:p>
    <w:tbl>
      <w:tblPr>
        <w:tblStyle w:val="49"/>
        <w:tblW w:w="137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5"/>
        <w:gridCol w:w="1064"/>
        <w:gridCol w:w="1159"/>
        <w:gridCol w:w="873"/>
        <w:gridCol w:w="1118"/>
        <w:gridCol w:w="1186"/>
        <w:gridCol w:w="887"/>
        <w:gridCol w:w="2618"/>
        <w:gridCol w:w="1023"/>
        <w:gridCol w:w="859"/>
        <w:gridCol w:w="1500"/>
        <w:gridCol w:w="968"/>
      </w:tblGrid>
      <w:tr w14:paraId="1182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455" w:type="dxa"/>
            <w:shd w:val="clear" w:color="auto" w:fill="auto"/>
            <w:vAlign w:val="center"/>
          </w:tcPr>
          <w:p w14:paraId="1D1B248E">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序号</w:t>
            </w:r>
          </w:p>
        </w:tc>
        <w:tc>
          <w:tcPr>
            <w:tcW w:w="1064" w:type="dxa"/>
            <w:shd w:val="clear" w:color="auto" w:fill="auto"/>
            <w:tcMar>
              <w:top w:w="0" w:type="dxa"/>
              <w:left w:w="108" w:type="dxa"/>
              <w:bottom w:w="0" w:type="dxa"/>
              <w:right w:w="108" w:type="dxa"/>
            </w:tcMar>
            <w:vAlign w:val="center"/>
          </w:tcPr>
          <w:p w14:paraId="74854D35">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项目业主</w:t>
            </w:r>
          </w:p>
        </w:tc>
        <w:tc>
          <w:tcPr>
            <w:tcW w:w="1159" w:type="dxa"/>
            <w:shd w:val="clear" w:color="auto" w:fill="auto"/>
            <w:tcMar>
              <w:top w:w="0" w:type="dxa"/>
              <w:left w:w="108" w:type="dxa"/>
              <w:bottom w:w="0" w:type="dxa"/>
              <w:right w:w="108" w:type="dxa"/>
            </w:tcMar>
            <w:vAlign w:val="center"/>
          </w:tcPr>
          <w:p w14:paraId="4A0CFF13">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项目名称</w:t>
            </w:r>
          </w:p>
        </w:tc>
        <w:tc>
          <w:tcPr>
            <w:tcW w:w="873" w:type="dxa"/>
            <w:shd w:val="clear" w:color="auto" w:fill="auto"/>
            <w:tcMar>
              <w:top w:w="0" w:type="dxa"/>
              <w:left w:w="108" w:type="dxa"/>
              <w:bottom w:w="0" w:type="dxa"/>
              <w:right w:w="108" w:type="dxa"/>
            </w:tcMar>
            <w:vAlign w:val="center"/>
          </w:tcPr>
          <w:p w14:paraId="744144CC">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标段号</w:t>
            </w:r>
          </w:p>
        </w:tc>
        <w:tc>
          <w:tcPr>
            <w:tcW w:w="1118" w:type="dxa"/>
            <w:shd w:val="clear" w:color="auto" w:fill="auto"/>
            <w:tcMar>
              <w:top w:w="0" w:type="dxa"/>
              <w:left w:w="108" w:type="dxa"/>
              <w:bottom w:w="0" w:type="dxa"/>
              <w:right w:w="108" w:type="dxa"/>
            </w:tcMar>
            <w:vAlign w:val="center"/>
          </w:tcPr>
          <w:p w14:paraId="5847BBD7">
            <w:pPr>
              <w:widowControl/>
              <w:jc w:val="center"/>
              <w:rPr>
                <w:rFonts w:ascii="宋体" w:hAnsi="宋体" w:eastAsia="宋体" w:cs="宋体"/>
                <w:bCs/>
                <w:kern w:val="0"/>
                <w:sz w:val="21"/>
                <w:szCs w:val="21"/>
                <w:lang w:val="en-US" w:eastAsia="zh-CN" w:bidi="ar-SA"/>
              </w:rPr>
            </w:pPr>
            <w:r>
              <w:rPr>
                <w:rFonts w:ascii="宋体" w:hAnsi="宋体" w:cs="宋体"/>
                <w:bCs/>
                <w:kern w:val="0"/>
                <w:szCs w:val="21"/>
              </w:rPr>
              <w:t>批复</w:t>
            </w:r>
            <w:r>
              <w:rPr>
                <w:rFonts w:hint="eastAsia" w:ascii="宋体" w:hAnsi="宋体" w:cs="宋体"/>
                <w:bCs/>
                <w:kern w:val="0"/>
                <w:szCs w:val="21"/>
              </w:rPr>
              <w:t>日期</w:t>
            </w:r>
          </w:p>
        </w:tc>
        <w:tc>
          <w:tcPr>
            <w:tcW w:w="1186" w:type="dxa"/>
            <w:shd w:val="clear" w:color="auto" w:fill="auto"/>
            <w:vAlign w:val="center"/>
          </w:tcPr>
          <w:p w14:paraId="633398E5">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 xml:space="preserve">设计阶段       </w:t>
            </w:r>
          </w:p>
        </w:tc>
        <w:tc>
          <w:tcPr>
            <w:tcW w:w="887" w:type="dxa"/>
            <w:shd w:val="clear" w:color="auto" w:fill="auto"/>
            <w:vAlign w:val="center"/>
          </w:tcPr>
          <w:p w14:paraId="3994F44D">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 xml:space="preserve">项目建设形式        </w:t>
            </w:r>
          </w:p>
        </w:tc>
        <w:tc>
          <w:tcPr>
            <w:tcW w:w="2618" w:type="dxa"/>
            <w:shd w:val="clear" w:color="auto" w:fill="auto"/>
            <w:tcMar>
              <w:top w:w="0" w:type="dxa"/>
              <w:left w:w="108" w:type="dxa"/>
              <w:bottom w:w="0" w:type="dxa"/>
              <w:right w:w="108" w:type="dxa"/>
            </w:tcMar>
            <w:vAlign w:val="center"/>
          </w:tcPr>
          <w:p w14:paraId="578AE7B4">
            <w:pPr>
              <w:jc w:val="center"/>
              <w:rPr>
                <w:rFonts w:ascii="宋体" w:hAnsi="宋体" w:eastAsia="宋体" w:cs="宋体"/>
                <w:bCs/>
                <w:kern w:val="0"/>
                <w:sz w:val="21"/>
                <w:szCs w:val="21"/>
                <w:lang w:val="en-US" w:eastAsia="zh-CN" w:bidi="ar-SA"/>
              </w:rPr>
            </w:pPr>
            <w:r>
              <w:rPr>
                <w:rFonts w:hint="eastAsia" w:ascii="宋体" w:hAnsi="宋体" w:cs="宋体"/>
                <w:bCs/>
                <w:kern w:val="0"/>
                <w:szCs w:val="21"/>
              </w:rPr>
              <w:t>工作内容</w:t>
            </w:r>
          </w:p>
        </w:tc>
        <w:tc>
          <w:tcPr>
            <w:tcW w:w="1023" w:type="dxa"/>
            <w:shd w:val="clear" w:color="auto" w:fill="auto"/>
            <w:vAlign w:val="center"/>
          </w:tcPr>
          <w:p w14:paraId="43FF2EB2">
            <w:pPr>
              <w:widowControl/>
              <w:jc w:val="center"/>
              <w:rPr>
                <w:rFonts w:ascii="宋体" w:hAnsi="宋体" w:cs="宋体"/>
                <w:bCs/>
                <w:kern w:val="0"/>
                <w:szCs w:val="21"/>
              </w:rPr>
            </w:pPr>
            <w:r>
              <w:rPr>
                <w:rFonts w:hint="eastAsia" w:ascii="宋体" w:hAnsi="宋体" w:cs="宋体"/>
                <w:bCs/>
                <w:kern w:val="0"/>
                <w:szCs w:val="21"/>
              </w:rPr>
              <w:t>合同</w:t>
            </w:r>
          </w:p>
          <w:p w14:paraId="1237AAAB">
            <w:pPr>
              <w:widowControl/>
              <w:jc w:val="center"/>
              <w:rPr>
                <w:rFonts w:ascii="宋体" w:hAnsi="宋体" w:cs="宋体"/>
                <w:bCs/>
                <w:kern w:val="0"/>
                <w:szCs w:val="21"/>
              </w:rPr>
            </w:pPr>
            <w:r>
              <w:rPr>
                <w:rFonts w:hint="eastAsia" w:ascii="宋体" w:hAnsi="宋体" w:cs="宋体"/>
                <w:bCs/>
                <w:kern w:val="0"/>
                <w:szCs w:val="21"/>
              </w:rPr>
              <w:t>价格</w:t>
            </w:r>
          </w:p>
          <w:p w14:paraId="65A0BEF7">
            <w:pPr>
              <w:jc w:val="center"/>
              <w:rPr>
                <w:rFonts w:ascii="宋体" w:hAnsi="宋体" w:eastAsia="宋体" w:cs="宋体"/>
                <w:bCs/>
                <w:kern w:val="0"/>
                <w:sz w:val="21"/>
                <w:szCs w:val="21"/>
                <w:lang w:val="en-US" w:eastAsia="zh-CN" w:bidi="ar-SA"/>
              </w:rPr>
            </w:pPr>
            <w:r>
              <w:rPr>
                <w:rFonts w:hint="eastAsia" w:ascii="宋体" w:hAnsi="宋体" w:cs="宋体"/>
                <w:bCs/>
                <w:kern w:val="0"/>
                <w:szCs w:val="21"/>
              </w:rPr>
              <w:t>（万元）</w:t>
            </w:r>
          </w:p>
        </w:tc>
        <w:tc>
          <w:tcPr>
            <w:tcW w:w="859" w:type="dxa"/>
            <w:shd w:val="clear" w:color="auto" w:fill="auto"/>
            <w:tcMar>
              <w:top w:w="0" w:type="dxa"/>
              <w:left w:w="108" w:type="dxa"/>
              <w:bottom w:w="0" w:type="dxa"/>
              <w:right w:w="108" w:type="dxa"/>
            </w:tcMar>
            <w:vAlign w:val="center"/>
          </w:tcPr>
          <w:p w14:paraId="0AC283C4">
            <w:pPr>
              <w:jc w:val="center"/>
              <w:rPr>
                <w:rFonts w:ascii="宋体" w:hAnsi="宋体" w:eastAsia="宋体" w:cs="宋体"/>
                <w:bCs/>
                <w:kern w:val="0"/>
                <w:sz w:val="21"/>
                <w:szCs w:val="21"/>
                <w:lang w:val="en-US" w:eastAsia="zh-CN" w:bidi="ar-SA"/>
              </w:rPr>
            </w:pPr>
            <w:r>
              <w:rPr>
                <w:rFonts w:hint="eastAsia" w:ascii="宋体" w:hAnsi="宋体" w:cs="宋体"/>
                <w:bCs/>
                <w:kern w:val="0"/>
                <w:szCs w:val="21"/>
              </w:rPr>
              <w:t>桥隧比（%）</w:t>
            </w:r>
          </w:p>
        </w:tc>
        <w:tc>
          <w:tcPr>
            <w:tcW w:w="1500" w:type="dxa"/>
            <w:shd w:val="clear" w:color="auto" w:fill="auto"/>
            <w:vAlign w:val="center"/>
          </w:tcPr>
          <w:p w14:paraId="082AE1D6">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承担设计标段路线长度（km）</w:t>
            </w:r>
          </w:p>
        </w:tc>
        <w:tc>
          <w:tcPr>
            <w:tcW w:w="968" w:type="dxa"/>
            <w:vAlign w:val="center"/>
          </w:tcPr>
          <w:p w14:paraId="34FBEBA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业绩证明材料附件</w:t>
            </w:r>
          </w:p>
        </w:tc>
      </w:tr>
      <w:tr w14:paraId="4AFD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455" w:type="dxa"/>
            <w:vAlign w:val="center"/>
          </w:tcPr>
          <w:p w14:paraId="5F8E1D3B">
            <w:pPr>
              <w:jc w:val="center"/>
              <w:rPr>
                <w:rFonts w:cs="宋体" w:asciiTheme="minorEastAsia" w:hAnsiTheme="minorEastAsia" w:eastAsiaTheme="minorEastAsia"/>
                <w:szCs w:val="21"/>
              </w:rPr>
            </w:pPr>
          </w:p>
        </w:tc>
        <w:tc>
          <w:tcPr>
            <w:tcW w:w="1064" w:type="dxa"/>
            <w:tcMar>
              <w:top w:w="0" w:type="dxa"/>
              <w:left w:w="108" w:type="dxa"/>
              <w:bottom w:w="0" w:type="dxa"/>
              <w:right w:w="108" w:type="dxa"/>
            </w:tcMar>
            <w:vAlign w:val="center"/>
          </w:tcPr>
          <w:p w14:paraId="05890EDB">
            <w:pPr>
              <w:jc w:val="center"/>
              <w:rPr>
                <w:rFonts w:cs="宋体" w:asciiTheme="minorEastAsia" w:hAnsiTheme="minorEastAsia" w:eastAsiaTheme="minorEastAsia"/>
                <w:szCs w:val="21"/>
              </w:rPr>
            </w:pPr>
          </w:p>
        </w:tc>
        <w:tc>
          <w:tcPr>
            <w:tcW w:w="1159" w:type="dxa"/>
            <w:tcMar>
              <w:top w:w="0" w:type="dxa"/>
              <w:left w:w="108" w:type="dxa"/>
              <w:bottom w:w="0" w:type="dxa"/>
              <w:right w:w="108" w:type="dxa"/>
            </w:tcMar>
            <w:vAlign w:val="center"/>
          </w:tcPr>
          <w:p w14:paraId="48C7D178">
            <w:pPr>
              <w:jc w:val="center"/>
              <w:rPr>
                <w:rFonts w:cs="宋体" w:asciiTheme="minorEastAsia" w:hAnsiTheme="minorEastAsia" w:eastAsiaTheme="minorEastAsia"/>
                <w:szCs w:val="21"/>
              </w:rPr>
            </w:pPr>
          </w:p>
        </w:tc>
        <w:tc>
          <w:tcPr>
            <w:tcW w:w="873" w:type="dxa"/>
            <w:tcMar>
              <w:top w:w="0" w:type="dxa"/>
              <w:left w:w="108" w:type="dxa"/>
              <w:bottom w:w="0" w:type="dxa"/>
              <w:right w:w="108" w:type="dxa"/>
            </w:tcMar>
            <w:vAlign w:val="center"/>
          </w:tcPr>
          <w:p w14:paraId="6021AA44">
            <w:pPr>
              <w:jc w:val="left"/>
              <w:rPr>
                <w:rFonts w:cs="宋体" w:asciiTheme="minorEastAsia" w:hAnsiTheme="minorEastAsia"/>
                <w:szCs w:val="21"/>
              </w:rPr>
            </w:pPr>
          </w:p>
        </w:tc>
        <w:tc>
          <w:tcPr>
            <w:tcW w:w="1118" w:type="dxa"/>
            <w:tcMar>
              <w:top w:w="0" w:type="dxa"/>
              <w:left w:w="108" w:type="dxa"/>
              <w:bottom w:w="0" w:type="dxa"/>
              <w:right w:w="108" w:type="dxa"/>
            </w:tcMar>
            <w:vAlign w:val="center"/>
          </w:tcPr>
          <w:p w14:paraId="57104C4C">
            <w:pPr>
              <w:jc w:val="center"/>
              <w:rPr>
                <w:rFonts w:cs="宋体" w:asciiTheme="minorEastAsia" w:hAnsiTheme="minorEastAsia" w:eastAsiaTheme="minorEastAsia"/>
                <w:szCs w:val="21"/>
              </w:rPr>
            </w:pPr>
          </w:p>
        </w:tc>
        <w:tc>
          <w:tcPr>
            <w:tcW w:w="1186" w:type="dxa"/>
            <w:shd w:val="clear" w:color="auto" w:fill="auto"/>
            <w:vAlign w:val="center"/>
          </w:tcPr>
          <w:p w14:paraId="4DBE1393">
            <w:pPr>
              <w:widowControl/>
              <w:rPr>
                <w:rFonts w:ascii="宋体" w:hAnsi="宋体"/>
                <w:szCs w:val="21"/>
              </w:rPr>
            </w:pPr>
            <w:r>
              <w:rPr>
                <w:rFonts w:hint="eastAsia" w:ascii="宋体" w:hAnsi="宋体"/>
                <w:szCs w:val="21"/>
                <w:lang w:eastAsia="zh-CN"/>
              </w:rPr>
              <w:t>□</w:t>
            </w:r>
            <w:r>
              <w:rPr>
                <w:rFonts w:hint="eastAsia" w:ascii="宋体" w:hAnsi="宋体"/>
                <w:szCs w:val="21"/>
              </w:rPr>
              <w:t>初步</w:t>
            </w:r>
          </w:p>
          <w:p w14:paraId="2A4CEB0F">
            <w:pPr>
              <w:widowControl/>
              <w:jc w:val="left"/>
              <w:rPr>
                <w:rFonts w:ascii="宋体" w:hAnsi="宋体" w:eastAsia="宋体" w:cs="宋体"/>
                <w:kern w:val="0"/>
                <w:sz w:val="22"/>
                <w:szCs w:val="22"/>
                <w:lang w:val="en-US" w:eastAsia="zh-CN" w:bidi="ar-SA"/>
              </w:rPr>
            </w:pPr>
            <w:r>
              <w:rPr>
                <w:rFonts w:hint="eastAsia" w:ascii="宋体" w:hAnsi="宋体"/>
                <w:szCs w:val="21"/>
              </w:rPr>
              <w:t>□施工图</w:t>
            </w:r>
          </w:p>
        </w:tc>
        <w:tc>
          <w:tcPr>
            <w:tcW w:w="887" w:type="dxa"/>
            <w:shd w:val="clear" w:color="auto" w:fill="auto"/>
            <w:vAlign w:val="center"/>
          </w:tcPr>
          <w:p w14:paraId="49CD3445">
            <w:pPr>
              <w:widowControl/>
              <w:rPr>
                <w:rFonts w:ascii="宋体" w:hAnsi="宋体"/>
                <w:szCs w:val="21"/>
              </w:rPr>
            </w:pPr>
            <w:r>
              <w:rPr>
                <w:rFonts w:hint="eastAsia" w:ascii="宋体" w:hAnsi="宋体"/>
                <w:szCs w:val="21"/>
              </w:rPr>
              <w:t>□新建</w:t>
            </w:r>
          </w:p>
          <w:p w14:paraId="6249D770">
            <w:pPr>
              <w:widowControl/>
              <w:jc w:val="left"/>
              <w:rPr>
                <w:rFonts w:ascii="宋体" w:hAnsi="宋体" w:eastAsia="宋体" w:cs="宋体"/>
                <w:kern w:val="0"/>
                <w:sz w:val="21"/>
                <w:szCs w:val="21"/>
                <w:lang w:val="en-US" w:eastAsia="zh-CN" w:bidi="ar-SA"/>
              </w:rPr>
            </w:pPr>
            <w:r>
              <w:rPr>
                <w:rFonts w:hint="eastAsia" w:ascii="宋体" w:hAnsi="宋体"/>
                <w:szCs w:val="21"/>
              </w:rPr>
              <w:t>□改扩建</w:t>
            </w:r>
          </w:p>
        </w:tc>
        <w:tc>
          <w:tcPr>
            <w:tcW w:w="2618" w:type="dxa"/>
            <w:shd w:val="clear" w:color="auto" w:fill="auto"/>
            <w:tcMar>
              <w:top w:w="0" w:type="dxa"/>
              <w:left w:w="108" w:type="dxa"/>
              <w:bottom w:w="0" w:type="dxa"/>
              <w:right w:w="108" w:type="dxa"/>
            </w:tcMar>
            <w:vAlign w:val="center"/>
          </w:tcPr>
          <w:p w14:paraId="3E388289">
            <w:pPr>
              <w:widowControl/>
              <w:jc w:val="left"/>
              <w:rPr>
                <w:rFonts w:ascii="宋体" w:hAnsi="宋体" w:eastAsia="宋体" w:cs="宋体"/>
                <w:kern w:val="0"/>
                <w:sz w:val="21"/>
                <w:szCs w:val="21"/>
                <w:lang w:val="en-US" w:eastAsia="zh-CN" w:bidi="ar-SA"/>
              </w:rPr>
            </w:pPr>
            <w:r>
              <w:rPr>
                <w:rFonts w:hint="eastAsia" w:ascii="宋体" w:hAnsi="宋体"/>
                <w:szCs w:val="21"/>
              </w:rPr>
              <w:t>□路线、□路基、□路面、□桥涵、□隧道、□路线交叉、□环境保护与景观设计、□安全设施、□交通工程及沿线设施</w:t>
            </w:r>
          </w:p>
        </w:tc>
        <w:tc>
          <w:tcPr>
            <w:tcW w:w="1023" w:type="dxa"/>
            <w:vAlign w:val="center"/>
          </w:tcPr>
          <w:p w14:paraId="33EF9B6F">
            <w:pPr>
              <w:jc w:val="center"/>
              <w:rPr>
                <w:rFonts w:cs="宋体" w:asciiTheme="minorEastAsia" w:hAnsiTheme="minorEastAsia" w:eastAsiaTheme="minorEastAsia"/>
                <w:szCs w:val="21"/>
              </w:rPr>
            </w:pPr>
          </w:p>
        </w:tc>
        <w:tc>
          <w:tcPr>
            <w:tcW w:w="859" w:type="dxa"/>
            <w:tcMar>
              <w:top w:w="0" w:type="dxa"/>
              <w:left w:w="108" w:type="dxa"/>
              <w:bottom w:w="0" w:type="dxa"/>
              <w:right w:w="108" w:type="dxa"/>
            </w:tcMar>
            <w:vAlign w:val="center"/>
          </w:tcPr>
          <w:p w14:paraId="4F1B6C0E">
            <w:pPr>
              <w:jc w:val="center"/>
              <w:rPr>
                <w:rFonts w:cs="宋体" w:asciiTheme="minorEastAsia" w:hAnsiTheme="minorEastAsia" w:eastAsiaTheme="minorEastAsia"/>
                <w:szCs w:val="21"/>
              </w:rPr>
            </w:pPr>
          </w:p>
        </w:tc>
        <w:tc>
          <w:tcPr>
            <w:tcW w:w="1500" w:type="dxa"/>
            <w:vAlign w:val="center"/>
          </w:tcPr>
          <w:p w14:paraId="35A279D5">
            <w:pPr>
              <w:rPr>
                <w:rFonts w:cs="宋体" w:asciiTheme="minorEastAsia" w:hAnsiTheme="minorEastAsia" w:eastAsiaTheme="minorEastAsia"/>
                <w:szCs w:val="21"/>
              </w:rPr>
            </w:pPr>
          </w:p>
        </w:tc>
        <w:tc>
          <w:tcPr>
            <w:tcW w:w="968" w:type="dxa"/>
            <w:vAlign w:val="center"/>
          </w:tcPr>
          <w:p w14:paraId="2435DF6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C1-1.1</w:t>
            </w:r>
          </w:p>
        </w:tc>
      </w:tr>
      <w:tr w14:paraId="6162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455" w:type="dxa"/>
            <w:vAlign w:val="center"/>
          </w:tcPr>
          <w:p w14:paraId="11992F8C">
            <w:pPr>
              <w:jc w:val="center"/>
              <w:rPr>
                <w:rFonts w:cs="宋体" w:asciiTheme="minorEastAsia" w:hAnsiTheme="minorEastAsia" w:eastAsiaTheme="minorEastAsia"/>
                <w:szCs w:val="21"/>
              </w:rPr>
            </w:pPr>
          </w:p>
        </w:tc>
        <w:tc>
          <w:tcPr>
            <w:tcW w:w="1064" w:type="dxa"/>
            <w:tcMar>
              <w:top w:w="0" w:type="dxa"/>
              <w:left w:w="108" w:type="dxa"/>
              <w:bottom w:w="0" w:type="dxa"/>
              <w:right w:w="108" w:type="dxa"/>
            </w:tcMar>
            <w:vAlign w:val="center"/>
          </w:tcPr>
          <w:p w14:paraId="69AFF15D">
            <w:pPr>
              <w:jc w:val="center"/>
              <w:rPr>
                <w:rFonts w:cs="宋体" w:asciiTheme="minorEastAsia" w:hAnsiTheme="minorEastAsia" w:eastAsiaTheme="minorEastAsia"/>
                <w:szCs w:val="21"/>
              </w:rPr>
            </w:pPr>
          </w:p>
        </w:tc>
        <w:tc>
          <w:tcPr>
            <w:tcW w:w="1159" w:type="dxa"/>
            <w:tcMar>
              <w:top w:w="0" w:type="dxa"/>
              <w:left w:w="108" w:type="dxa"/>
              <w:bottom w:w="0" w:type="dxa"/>
              <w:right w:w="108" w:type="dxa"/>
            </w:tcMar>
            <w:vAlign w:val="center"/>
          </w:tcPr>
          <w:p w14:paraId="0EF7CDE7">
            <w:pPr>
              <w:jc w:val="center"/>
              <w:rPr>
                <w:rFonts w:cs="宋体" w:asciiTheme="minorEastAsia" w:hAnsiTheme="minorEastAsia" w:eastAsiaTheme="minorEastAsia"/>
                <w:szCs w:val="21"/>
              </w:rPr>
            </w:pPr>
          </w:p>
        </w:tc>
        <w:tc>
          <w:tcPr>
            <w:tcW w:w="873" w:type="dxa"/>
            <w:tcMar>
              <w:top w:w="0" w:type="dxa"/>
              <w:left w:w="108" w:type="dxa"/>
              <w:bottom w:w="0" w:type="dxa"/>
              <w:right w:w="108" w:type="dxa"/>
            </w:tcMar>
            <w:vAlign w:val="center"/>
          </w:tcPr>
          <w:p w14:paraId="0A381E8F">
            <w:pPr>
              <w:jc w:val="left"/>
              <w:rPr>
                <w:rFonts w:cs="宋体" w:asciiTheme="minorEastAsia" w:hAnsiTheme="minorEastAsia" w:eastAsiaTheme="minorEastAsia"/>
                <w:szCs w:val="21"/>
              </w:rPr>
            </w:pPr>
          </w:p>
        </w:tc>
        <w:tc>
          <w:tcPr>
            <w:tcW w:w="1118" w:type="dxa"/>
            <w:tcMar>
              <w:top w:w="0" w:type="dxa"/>
              <w:left w:w="108" w:type="dxa"/>
              <w:bottom w:w="0" w:type="dxa"/>
              <w:right w:w="108" w:type="dxa"/>
            </w:tcMar>
            <w:vAlign w:val="center"/>
          </w:tcPr>
          <w:p w14:paraId="030413EA">
            <w:pPr>
              <w:jc w:val="center"/>
              <w:rPr>
                <w:rFonts w:cs="宋体" w:asciiTheme="minorEastAsia" w:hAnsiTheme="minorEastAsia" w:eastAsiaTheme="minorEastAsia"/>
                <w:szCs w:val="21"/>
              </w:rPr>
            </w:pPr>
          </w:p>
        </w:tc>
        <w:tc>
          <w:tcPr>
            <w:tcW w:w="1186" w:type="dxa"/>
            <w:shd w:val="clear" w:color="auto" w:fill="auto"/>
            <w:vAlign w:val="center"/>
          </w:tcPr>
          <w:p w14:paraId="0FF9454B">
            <w:pPr>
              <w:widowControl/>
              <w:jc w:val="left"/>
              <w:rPr>
                <w:rFonts w:ascii="宋体" w:hAnsi="宋体"/>
                <w:szCs w:val="21"/>
              </w:rPr>
            </w:pPr>
            <w:r>
              <w:rPr>
                <w:rFonts w:hint="eastAsia" w:ascii="宋体" w:hAnsi="宋体"/>
                <w:szCs w:val="21"/>
              </w:rPr>
              <w:t>□初步</w:t>
            </w:r>
          </w:p>
          <w:p w14:paraId="70C89D29">
            <w:pPr>
              <w:widowControl/>
              <w:jc w:val="left"/>
              <w:rPr>
                <w:rFonts w:ascii="宋体" w:hAnsi="宋体" w:eastAsia="宋体" w:cs="宋体"/>
                <w:kern w:val="0"/>
                <w:sz w:val="22"/>
                <w:szCs w:val="22"/>
                <w:lang w:val="en-US" w:eastAsia="zh-CN" w:bidi="ar-SA"/>
              </w:rPr>
            </w:pPr>
            <w:r>
              <w:rPr>
                <w:rFonts w:hint="eastAsia" w:ascii="宋体" w:hAnsi="宋体"/>
                <w:szCs w:val="21"/>
              </w:rPr>
              <w:t>□施工图</w:t>
            </w:r>
          </w:p>
        </w:tc>
        <w:tc>
          <w:tcPr>
            <w:tcW w:w="887" w:type="dxa"/>
            <w:shd w:val="clear" w:color="auto" w:fill="auto"/>
            <w:vAlign w:val="center"/>
          </w:tcPr>
          <w:p w14:paraId="2F80D851">
            <w:pPr>
              <w:widowControl/>
              <w:rPr>
                <w:rFonts w:ascii="宋体" w:hAnsi="宋体"/>
                <w:szCs w:val="21"/>
              </w:rPr>
            </w:pPr>
            <w:r>
              <w:rPr>
                <w:rFonts w:hint="eastAsia" w:ascii="宋体" w:hAnsi="宋体"/>
                <w:szCs w:val="21"/>
              </w:rPr>
              <w:t>□新建</w:t>
            </w:r>
          </w:p>
          <w:p w14:paraId="53FF4ADF">
            <w:pPr>
              <w:widowControl/>
              <w:jc w:val="left"/>
              <w:rPr>
                <w:rFonts w:ascii="宋体" w:hAnsi="宋体" w:eastAsia="宋体" w:cs="宋体"/>
                <w:kern w:val="0"/>
                <w:sz w:val="21"/>
                <w:szCs w:val="21"/>
                <w:lang w:val="en-US" w:eastAsia="zh-CN" w:bidi="ar-SA"/>
              </w:rPr>
            </w:pPr>
            <w:r>
              <w:rPr>
                <w:rFonts w:hint="eastAsia" w:ascii="宋体" w:hAnsi="宋体"/>
                <w:szCs w:val="21"/>
              </w:rPr>
              <w:t>□改扩建</w:t>
            </w:r>
          </w:p>
        </w:tc>
        <w:tc>
          <w:tcPr>
            <w:tcW w:w="2618" w:type="dxa"/>
            <w:shd w:val="clear" w:color="auto" w:fill="auto"/>
            <w:tcMar>
              <w:top w:w="0" w:type="dxa"/>
              <w:left w:w="108" w:type="dxa"/>
              <w:bottom w:w="0" w:type="dxa"/>
              <w:right w:w="108" w:type="dxa"/>
            </w:tcMar>
            <w:vAlign w:val="center"/>
          </w:tcPr>
          <w:p w14:paraId="57660C15">
            <w:pPr>
              <w:widowControl/>
              <w:jc w:val="left"/>
              <w:rPr>
                <w:rFonts w:ascii="宋体" w:hAnsi="宋体" w:eastAsia="宋体" w:cs="宋体"/>
                <w:kern w:val="0"/>
                <w:sz w:val="21"/>
                <w:szCs w:val="21"/>
                <w:lang w:val="en-US" w:eastAsia="zh-CN" w:bidi="ar-SA"/>
              </w:rPr>
            </w:pPr>
            <w:r>
              <w:rPr>
                <w:rFonts w:hint="eastAsia" w:ascii="宋体" w:hAnsi="宋体"/>
                <w:szCs w:val="21"/>
              </w:rPr>
              <w:t>□路线、□路基、□路面、□桥涵、□隧道、□路线交叉、□环境保护与景观设计、□安全设施、□交通工程及沿线设施</w:t>
            </w:r>
          </w:p>
        </w:tc>
        <w:tc>
          <w:tcPr>
            <w:tcW w:w="1023" w:type="dxa"/>
            <w:vAlign w:val="center"/>
          </w:tcPr>
          <w:p w14:paraId="1DF109BF">
            <w:pPr>
              <w:jc w:val="center"/>
              <w:rPr>
                <w:rFonts w:cs="宋体" w:asciiTheme="minorEastAsia" w:hAnsiTheme="minorEastAsia" w:eastAsiaTheme="minorEastAsia"/>
                <w:szCs w:val="21"/>
              </w:rPr>
            </w:pPr>
          </w:p>
        </w:tc>
        <w:tc>
          <w:tcPr>
            <w:tcW w:w="859" w:type="dxa"/>
            <w:tcMar>
              <w:top w:w="0" w:type="dxa"/>
              <w:left w:w="108" w:type="dxa"/>
              <w:bottom w:w="0" w:type="dxa"/>
              <w:right w:w="108" w:type="dxa"/>
            </w:tcMar>
            <w:vAlign w:val="center"/>
          </w:tcPr>
          <w:p w14:paraId="45AC2C61">
            <w:pPr>
              <w:jc w:val="center"/>
              <w:rPr>
                <w:rFonts w:cs="宋体" w:asciiTheme="minorEastAsia" w:hAnsiTheme="minorEastAsia" w:eastAsiaTheme="minorEastAsia"/>
                <w:szCs w:val="21"/>
              </w:rPr>
            </w:pPr>
          </w:p>
        </w:tc>
        <w:tc>
          <w:tcPr>
            <w:tcW w:w="1500" w:type="dxa"/>
            <w:vAlign w:val="center"/>
          </w:tcPr>
          <w:p w14:paraId="021A962B">
            <w:pPr>
              <w:jc w:val="center"/>
              <w:rPr>
                <w:rFonts w:cs="宋体" w:asciiTheme="minorEastAsia" w:hAnsiTheme="minorEastAsia" w:eastAsiaTheme="minorEastAsia"/>
                <w:szCs w:val="21"/>
              </w:rPr>
            </w:pPr>
          </w:p>
        </w:tc>
        <w:tc>
          <w:tcPr>
            <w:tcW w:w="968" w:type="dxa"/>
            <w:vAlign w:val="center"/>
          </w:tcPr>
          <w:p w14:paraId="7D27BF7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C1-1.2</w:t>
            </w:r>
          </w:p>
        </w:tc>
      </w:tr>
      <w:tr w14:paraId="5918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455" w:type="dxa"/>
            <w:vAlign w:val="center"/>
          </w:tcPr>
          <w:p w14:paraId="3BC852B4">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064" w:type="dxa"/>
            <w:tcMar>
              <w:top w:w="0" w:type="dxa"/>
              <w:left w:w="108" w:type="dxa"/>
              <w:bottom w:w="0" w:type="dxa"/>
              <w:right w:w="108" w:type="dxa"/>
            </w:tcMar>
            <w:vAlign w:val="center"/>
          </w:tcPr>
          <w:p w14:paraId="4E001570">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159" w:type="dxa"/>
            <w:tcMar>
              <w:top w:w="0" w:type="dxa"/>
              <w:left w:w="108" w:type="dxa"/>
              <w:bottom w:w="0" w:type="dxa"/>
              <w:right w:w="108" w:type="dxa"/>
            </w:tcMar>
            <w:vAlign w:val="center"/>
          </w:tcPr>
          <w:p w14:paraId="57CC1B68">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873" w:type="dxa"/>
            <w:tcMar>
              <w:top w:w="0" w:type="dxa"/>
              <w:left w:w="108" w:type="dxa"/>
              <w:bottom w:w="0" w:type="dxa"/>
              <w:right w:w="108" w:type="dxa"/>
            </w:tcMar>
            <w:vAlign w:val="center"/>
          </w:tcPr>
          <w:p w14:paraId="74C370AF">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118" w:type="dxa"/>
            <w:tcMar>
              <w:top w:w="0" w:type="dxa"/>
              <w:left w:w="108" w:type="dxa"/>
              <w:bottom w:w="0" w:type="dxa"/>
              <w:right w:w="108" w:type="dxa"/>
            </w:tcMar>
            <w:vAlign w:val="center"/>
          </w:tcPr>
          <w:p w14:paraId="17DAFFD6">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186" w:type="dxa"/>
            <w:vAlign w:val="center"/>
          </w:tcPr>
          <w:p w14:paraId="7AF40F44">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87" w:type="dxa"/>
            <w:vAlign w:val="center"/>
          </w:tcPr>
          <w:p w14:paraId="1DA3685B">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2618" w:type="dxa"/>
            <w:tcMar>
              <w:top w:w="0" w:type="dxa"/>
              <w:left w:w="108" w:type="dxa"/>
              <w:bottom w:w="0" w:type="dxa"/>
              <w:right w:w="108" w:type="dxa"/>
            </w:tcMar>
            <w:vAlign w:val="center"/>
          </w:tcPr>
          <w:p w14:paraId="2DDDC5C7">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023" w:type="dxa"/>
            <w:vAlign w:val="center"/>
          </w:tcPr>
          <w:p w14:paraId="3DE2836B">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859" w:type="dxa"/>
            <w:tcMar>
              <w:top w:w="0" w:type="dxa"/>
              <w:left w:w="108" w:type="dxa"/>
              <w:bottom w:w="0" w:type="dxa"/>
              <w:right w:w="108" w:type="dxa"/>
            </w:tcMar>
            <w:vAlign w:val="center"/>
          </w:tcPr>
          <w:p w14:paraId="7DE582E6">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500" w:type="dxa"/>
            <w:vAlign w:val="center"/>
          </w:tcPr>
          <w:p w14:paraId="7BB8D718">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68" w:type="dxa"/>
            <w:vAlign w:val="center"/>
          </w:tcPr>
          <w:p w14:paraId="43CE9AF2">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r>
    </w:tbl>
    <w:p w14:paraId="7199EBC6">
      <w:pPr>
        <w:spacing w:line="300" w:lineRule="exact"/>
        <w:rPr>
          <w:rFonts w:hint="eastAsia" w:ascii="宋体" w:hAnsi="宋体" w:cs="宋体"/>
          <w:spacing w:val="-3"/>
        </w:rPr>
      </w:pPr>
      <w:r>
        <w:rPr>
          <w:rFonts w:hint="eastAsia" w:ascii="宋体" w:hAnsi="宋体" w:cs="宋体"/>
        </w:rPr>
        <w:t>注：</w:t>
      </w:r>
      <w:bookmarkStart w:id="890" w:name="_Hlk76739937"/>
      <w:r>
        <w:rPr>
          <w:rFonts w:hint="eastAsia" w:ascii="宋体" w:hAnsi="宋体"/>
        </w:rPr>
        <w:t>1.</w:t>
      </w:r>
      <w:r>
        <w:rPr>
          <w:rFonts w:hint="eastAsia" w:ascii="宋体" w:hAnsi="宋体" w:cs="宋体"/>
          <w:spacing w:val="-3"/>
        </w:rPr>
        <w:t>投标人应</w:t>
      </w:r>
      <w:r>
        <w:rPr>
          <w:rFonts w:hint="eastAsia" w:ascii="宋体" w:hAnsi="宋体" w:cs="宋体"/>
          <w:spacing w:val="-3"/>
          <w:szCs w:val="21"/>
        </w:rPr>
        <w:t>在本表后提供相关</w:t>
      </w:r>
      <w:r>
        <w:rPr>
          <w:rFonts w:hint="eastAsia" w:ascii="宋体" w:hAnsi="宋体" w:cs="宋体"/>
          <w:spacing w:val="-3"/>
        </w:rPr>
        <w:t>业绩证明材料附件</w:t>
      </w:r>
      <w:r>
        <w:rPr>
          <w:rFonts w:hint="eastAsia" w:ascii="宋体" w:hAnsi="宋体" w:cs="宋体"/>
        </w:rPr>
        <w:t>C</w:t>
      </w:r>
      <w:r>
        <w:rPr>
          <w:rFonts w:hint="eastAsia" w:ascii="宋体" w:hAnsi="宋体" w:cs="宋体"/>
          <w:kern w:val="0"/>
          <w:sz w:val="20"/>
          <w:szCs w:val="20"/>
          <w:lang w:val="en-US" w:eastAsia="zh-CN"/>
        </w:rPr>
        <w:t>1-</w:t>
      </w:r>
      <w:r>
        <w:rPr>
          <w:rFonts w:hint="eastAsia" w:ascii="宋体" w:hAnsi="宋体" w:cs="宋体"/>
        </w:rPr>
        <w:t>1系列（公路项目勘察设计业绩）</w:t>
      </w:r>
      <w:r>
        <w:rPr>
          <w:rFonts w:hint="eastAsia" w:ascii="宋体" w:hAnsi="宋体" w:cs="宋体"/>
          <w:spacing w:val="-3"/>
        </w:rPr>
        <w:t>：</w:t>
      </w:r>
    </w:p>
    <w:p w14:paraId="77D66B5D">
      <w:pPr>
        <w:wordWrap w:val="0"/>
        <w:topLinePunct/>
        <w:spacing w:line="300" w:lineRule="exact"/>
        <w:ind w:left="598" w:leftChars="285"/>
        <w:rPr>
          <w:rFonts w:hint="eastAsia" w:ascii="宋体" w:hAnsi="宋体" w:cs="宋体"/>
          <w:spacing w:val="-3"/>
        </w:rPr>
      </w:pPr>
      <w:r>
        <w:rPr>
          <w:rFonts w:hint="eastAsia" w:ascii="宋体" w:hAnsi="宋体" w:cs="宋体"/>
          <w:b/>
          <w:bCs/>
          <w:szCs w:val="21"/>
        </w:rPr>
        <w:sym w:font="Wingdings 2" w:char="00A3"/>
      </w:r>
      <w:r>
        <w:rPr>
          <w:rFonts w:hint="eastAsia" w:ascii="宋体" w:hAnsi="宋体" w:cs="宋体"/>
          <w:b/>
          <w:bCs/>
          <w:szCs w:val="21"/>
        </w:rPr>
        <w:t xml:space="preserve"> </w:t>
      </w:r>
      <w:r>
        <w:rPr>
          <w:rFonts w:hint="eastAsia" w:ascii="宋体" w:hAnsi="宋体" w:cs="宋体"/>
          <w:spacing w:val="-3"/>
        </w:rPr>
        <w:t>在交通运输部“全国公路建设市场监督管理系统”中查询到的企业“业绩信息”相关项目网页截图（</w:t>
      </w:r>
      <w:r>
        <w:rPr>
          <w:rStyle w:val="59"/>
          <w:rFonts w:hint="eastAsia" w:ascii="宋体" w:hAnsi="宋体" w:cs="宋体"/>
          <w:vertAlign w:val="baseline"/>
        </w:rPr>
        <w:t>仅适用于根据《关于发布公路工程从业企业资质名录的通知》（厅公路字〔2011〕114号）要求，招标人应通过名录对投标人资质条件进行审核的公路工程设计企业。</w:t>
      </w:r>
      <w:r>
        <w:rPr>
          <w:rFonts w:hint="eastAsia" w:ascii="宋体" w:hAnsi="宋体" w:cs="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70F398B2">
      <w:pPr>
        <w:spacing w:line="300" w:lineRule="exact"/>
        <w:ind w:left="598" w:leftChars="285"/>
        <w:rPr>
          <w:rFonts w:ascii="宋体" w:hAnsi="宋体" w:cs="宋体"/>
        </w:rPr>
      </w:pPr>
      <w:r>
        <w:rPr>
          <w:rFonts w:hint="eastAsia"/>
          <w:b/>
          <w:bCs/>
          <w:szCs w:val="21"/>
        </w:rPr>
        <w:t xml:space="preserve">□ </w:t>
      </w:r>
      <w:r>
        <w:rPr>
          <w:rFonts w:hint="eastAsia" w:ascii="宋体" w:hAnsi="宋体"/>
          <w:szCs w:val="21"/>
        </w:rPr>
        <w:t>合同协议书和业主（发包人）证明材料（仅适用于尚未在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rPr>
        <w:t>二级、三级公路</w:t>
      </w:r>
      <w:r>
        <w:rPr>
          <w:rFonts w:ascii="宋体" w:hAnsi="宋体"/>
        </w:rPr>
        <w:t>工程项目</w:t>
      </w:r>
      <w:r>
        <w:rPr>
          <w:rFonts w:hint="eastAsia" w:ascii="宋体" w:hAnsi="宋体"/>
          <w:szCs w:val="21"/>
        </w:rPr>
        <w:t>）。</w:t>
      </w:r>
    </w:p>
    <w:bookmarkEnd w:id="890"/>
    <w:p w14:paraId="4E06DF7C">
      <w:pPr>
        <w:widowControl/>
        <w:spacing w:line="300" w:lineRule="exact"/>
        <w:ind w:left="598" w:leftChars="285"/>
        <w:jc w:val="left"/>
        <w:rPr>
          <w:rFonts w:ascii="宋体" w:hAnsi="宋体" w:cs="宋体"/>
          <w:spacing w:val="-3"/>
        </w:rPr>
      </w:pPr>
      <w:bookmarkStart w:id="891" w:name="_Hlk76740042"/>
      <w:r>
        <w:rPr>
          <w:rFonts w:hint="eastAsia"/>
          <w:b/>
          <w:bCs/>
          <w:szCs w:val="21"/>
        </w:rPr>
        <w:t xml:space="preserve">□ </w:t>
      </w:r>
      <w:r>
        <w:rPr>
          <w:rFonts w:hint="eastAsia" w:ascii="宋体" w:hAnsi="宋体" w:cs="宋体"/>
          <w:szCs w:val="21"/>
        </w:rPr>
        <w:t>房建工程或市政类勘察设计项目，可为</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spacing w:val="-3"/>
        </w:rPr>
        <w:t>网页截图。</w:t>
      </w:r>
    </w:p>
    <w:p w14:paraId="4708A7DD">
      <w:pPr>
        <w:spacing w:line="300" w:lineRule="exact"/>
        <w:ind w:firstLine="408" w:firstLineChars="200"/>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79DDE992">
      <w:pPr>
        <w:spacing w:line="30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spacing w:val="-3"/>
        </w:rPr>
        <w:t>.</w:t>
      </w:r>
      <w:r>
        <w:rPr>
          <w:rFonts w:hint="eastAsia" w:ascii="宋体" w:hAnsi="宋体" w:cs="宋体"/>
          <w:spacing w:val="-3"/>
        </w:rPr>
        <w:t>如近年来，投标人法人机构发生合法变更或重组或法人名称变更时，应提供相关部门的合</w:t>
      </w:r>
      <w:r>
        <w:rPr>
          <w:rFonts w:hint="eastAsia" w:ascii="宋体" w:hAnsi="宋体" w:cs="宋体"/>
        </w:rPr>
        <w:t>法批件或其他相</w:t>
      </w:r>
      <w:r>
        <w:rPr>
          <w:rFonts w:hint="eastAsia" w:ascii="宋体" w:hAnsi="宋体" w:cs="宋体"/>
          <w:spacing w:val="-3"/>
        </w:rPr>
        <w:t>关证明材料来证明其所附业绩的继承性。</w:t>
      </w:r>
    </w:p>
    <w:p w14:paraId="0597E573">
      <w:pPr>
        <w:spacing w:line="300" w:lineRule="exact"/>
        <w:ind w:firstLine="420" w:firstLineChars="200"/>
        <w:rPr>
          <w:rFonts w:ascii="宋体" w:hAnsi="宋体"/>
          <w:szCs w:val="21"/>
        </w:rPr>
      </w:pPr>
      <w:r>
        <w:rPr>
          <w:rFonts w:hint="eastAsia" w:ascii="宋体" w:hAnsi="宋体" w:cs="宋体"/>
        </w:rPr>
        <w:t>4</w:t>
      </w:r>
      <w:r>
        <w:rPr>
          <w:rFonts w:hint="eastAsia" w:ascii="宋体" w:hAnsi="宋体" w:cs="宋体"/>
          <w:spacing w:val="-3"/>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批复日期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bookmarkEnd w:id="891"/>
    </w:p>
    <w:p w14:paraId="73B4AF70">
      <w:pPr>
        <w:spacing w:line="300" w:lineRule="exact"/>
        <w:ind w:left="603" w:leftChars="190" w:hanging="204" w:hangingChars="100"/>
        <w:rPr>
          <w:rFonts w:ascii="宋体" w:hAnsi="宋体" w:cs="宋体"/>
        </w:rPr>
      </w:pPr>
      <w:r>
        <w:rPr>
          <w:rFonts w:hint="eastAsia" w:ascii="宋体" w:hAnsi="宋体" w:cs="宋体"/>
          <w:spacing w:val="-3"/>
        </w:rPr>
        <w:t>5</w:t>
      </w:r>
      <w:bookmarkStart w:id="892" w:name="_Hlk76740065"/>
      <w:r>
        <w:rPr>
          <w:rFonts w:hint="eastAsia" w:ascii="宋体" w:hAnsi="宋体" w:cs="宋体"/>
          <w:spacing w:val="-3"/>
        </w:rPr>
        <w:t>.</w:t>
      </w:r>
      <w:r>
        <w:rPr>
          <w:rFonts w:hint="eastAsia" w:ascii="宋体" w:hAnsi="宋体" w:cs="宋体"/>
          <w:szCs w:val="21"/>
        </w:rPr>
        <w:t>允许联合体投标时，若</w:t>
      </w:r>
      <w:r>
        <w:rPr>
          <w:rFonts w:hint="eastAsia" w:ascii="宋体" w:hAnsi="宋体" w:cs="宋体"/>
          <w:spacing w:val="-3"/>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bookmarkEnd w:id="892"/>
    </w:p>
    <w:p w14:paraId="0AA3751C">
      <w:pPr>
        <w:spacing w:line="300" w:lineRule="exact"/>
        <w:ind w:left="603" w:leftChars="190" w:hanging="204" w:hangingChars="100"/>
        <w:rPr>
          <w:rFonts w:ascii="宋体" w:hAnsi="宋体" w:cs="宋体"/>
          <w:spacing w:val="-3"/>
        </w:rPr>
      </w:pPr>
      <w:r>
        <w:rPr>
          <w:rFonts w:ascii="宋体" w:hAnsi="宋体" w:cs="宋体"/>
          <w:spacing w:val="-3"/>
        </w:rPr>
        <w:t xml:space="preserve">6. </w:t>
      </w:r>
      <w:r>
        <w:rPr>
          <w:rFonts w:hint="eastAsia" w:ascii="宋体" w:hAnsi="宋体" w:cs="宋体"/>
          <w:spacing w:val="-3"/>
        </w:rPr>
        <w:t>工作内容可为选择项中的一项或多项，未选择的项，视为不含该项内容；也可采用描述的方式对主要工作内容进行阐述。</w:t>
      </w:r>
    </w:p>
    <w:p w14:paraId="274CBA43">
      <w:pPr>
        <w:spacing w:line="360" w:lineRule="auto"/>
        <w:ind w:firstLine="420" w:firstLineChars="200"/>
        <w:jc w:val="left"/>
        <w:rPr>
          <w:rFonts w:ascii="宋体" w:hAnsi="宋体"/>
        </w:rPr>
      </w:pPr>
      <w:r>
        <w:rPr>
          <w:rFonts w:ascii="宋体" w:hAnsi="宋体"/>
        </w:rPr>
        <w:t xml:space="preserve">                             </w:t>
      </w:r>
    </w:p>
    <w:p w14:paraId="0716A542">
      <w:pPr>
        <w:rPr>
          <w:rFonts w:ascii="黑体" w:hAnsi="黑体" w:eastAsia="黑体" w:cs="宋体"/>
          <w:bCs/>
          <w:sz w:val="24"/>
        </w:rPr>
      </w:pPr>
      <w:r>
        <w:rPr>
          <w:rFonts w:hint="eastAsia" w:ascii="黑体" w:hAnsi="黑体" w:eastAsia="黑体" w:cs="宋体"/>
          <w:bCs/>
          <w:sz w:val="24"/>
        </w:rPr>
        <w:br w:type="page"/>
      </w:r>
    </w:p>
    <w:p w14:paraId="2D50023C">
      <w:pPr>
        <w:spacing w:line="360" w:lineRule="auto"/>
        <w:ind w:firstLine="480" w:firstLineChars="200"/>
        <w:jc w:val="center"/>
        <w:rPr>
          <w:rFonts w:ascii="黑体" w:hAnsi="黑体" w:eastAsia="黑体" w:cs="宋体"/>
          <w:bCs/>
          <w:sz w:val="24"/>
        </w:rPr>
      </w:pPr>
      <w:r>
        <w:rPr>
          <w:rFonts w:hint="eastAsia" w:ascii="黑体" w:hAnsi="黑体" w:eastAsia="黑体" w:cs="宋体"/>
          <w:bCs/>
          <w:sz w:val="24"/>
        </w:rPr>
        <w:t xml:space="preserve">                      </w:t>
      </w:r>
      <w:r>
        <w:rPr>
          <w:rFonts w:hint="eastAsia" w:ascii="黑体" w:hAnsi="黑体" w:eastAsia="黑体" w:cs="宋体"/>
          <w:b/>
          <w:sz w:val="24"/>
        </w:rPr>
        <w:t>□</w:t>
      </w:r>
      <w:r>
        <w:rPr>
          <w:rFonts w:ascii="黑体" w:hAnsi="黑体" w:eastAsia="黑体" w:cs="宋体"/>
          <w:bCs/>
          <w:sz w:val="24"/>
        </w:rPr>
        <w:t xml:space="preserve"> </w:t>
      </w:r>
      <w:r>
        <w:rPr>
          <w:rFonts w:hint="eastAsia" w:ascii="黑体" w:hAnsi="黑体" w:eastAsia="黑体" w:cs="宋体"/>
          <w:bCs/>
          <w:sz w:val="24"/>
        </w:rPr>
        <w:t>近年完成的公路桥梁工程勘察设计情况</w:t>
      </w:r>
      <w:r>
        <w:rPr>
          <w:rFonts w:ascii="黑体" w:hAnsi="黑体" w:eastAsia="黑体" w:cs="宋体"/>
          <w:bCs/>
          <w:sz w:val="24"/>
        </w:rPr>
        <w:t xml:space="preserve">                          </w:t>
      </w:r>
      <w:r>
        <w:rPr>
          <w:rFonts w:hint="eastAsia" w:ascii="黑体" w:hAnsi="黑体" w:eastAsia="黑体" w:cs="宋体"/>
          <w:bCs/>
          <w:sz w:val="24"/>
        </w:rPr>
        <w:t>表</w:t>
      </w:r>
      <w:r>
        <w:rPr>
          <w:rFonts w:ascii="黑体" w:hAnsi="黑体" w:eastAsia="黑体" w:cs="宋体"/>
          <w:bCs/>
          <w:sz w:val="24"/>
        </w:rPr>
        <w:t>1-2</w:t>
      </w:r>
    </w:p>
    <w:tbl>
      <w:tblPr>
        <w:tblStyle w:val="49"/>
        <w:tblW w:w="1382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696"/>
        <w:gridCol w:w="1931"/>
        <w:gridCol w:w="1569"/>
        <w:gridCol w:w="856"/>
        <w:gridCol w:w="1141"/>
        <w:gridCol w:w="1141"/>
        <w:gridCol w:w="1070"/>
        <w:gridCol w:w="1147"/>
        <w:gridCol w:w="1173"/>
        <w:gridCol w:w="1712"/>
        <w:gridCol w:w="1318"/>
      </w:tblGrid>
      <w:tr w14:paraId="785FE5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14:paraId="4AA2126D">
            <w:pPr>
              <w:widowControl/>
              <w:jc w:val="center"/>
              <w:rPr>
                <w:rFonts w:ascii="宋体" w:hAnsi="宋体" w:cs="宋体"/>
                <w:bCs/>
                <w:kern w:val="0"/>
                <w:szCs w:val="21"/>
              </w:rPr>
            </w:pPr>
            <w:r>
              <w:rPr>
                <w:rFonts w:hint="eastAsia" w:ascii="宋体" w:hAnsi="宋体" w:cs="宋体"/>
                <w:bCs/>
                <w:kern w:val="0"/>
                <w:szCs w:val="21"/>
              </w:rPr>
              <w:t>序号</w:t>
            </w:r>
          </w:p>
        </w:tc>
        <w:tc>
          <w:tcPr>
            <w:tcW w:w="1931" w:type="dxa"/>
            <w:tcBorders>
              <w:top w:val="single" w:color="auto" w:sz="4" w:space="0"/>
              <w:left w:val="nil"/>
              <w:bottom w:val="single" w:color="auto" w:sz="4" w:space="0"/>
              <w:right w:val="single" w:color="auto" w:sz="4" w:space="0"/>
            </w:tcBorders>
            <w:vAlign w:val="center"/>
          </w:tcPr>
          <w:p w14:paraId="6263A061">
            <w:pPr>
              <w:widowControl/>
              <w:jc w:val="center"/>
              <w:rPr>
                <w:rFonts w:ascii="宋体" w:hAnsi="宋体" w:cs="宋体"/>
                <w:bCs/>
                <w:kern w:val="0"/>
                <w:szCs w:val="21"/>
              </w:rPr>
            </w:pPr>
            <w:r>
              <w:rPr>
                <w:rFonts w:hint="eastAsia" w:ascii="宋体" w:hAnsi="宋体" w:cs="宋体"/>
                <w:bCs/>
                <w:kern w:val="0"/>
                <w:szCs w:val="21"/>
              </w:rPr>
              <w:t>项目业主</w:t>
            </w:r>
          </w:p>
        </w:tc>
        <w:tc>
          <w:tcPr>
            <w:tcW w:w="1569" w:type="dxa"/>
            <w:tcBorders>
              <w:top w:val="single" w:color="auto" w:sz="4" w:space="0"/>
              <w:left w:val="nil"/>
              <w:bottom w:val="single" w:color="auto" w:sz="4" w:space="0"/>
              <w:right w:val="single" w:color="auto" w:sz="4" w:space="0"/>
            </w:tcBorders>
            <w:vAlign w:val="center"/>
          </w:tcPr>
          <w:p w14:paraId="0F6BE052">
            <w:pPr>
              <w:widowControl/>
              <w:jc w:val="center"/>
              <w:rPr>
                <w:rFonts w:ascii="宋体" w:hAnsi="宋体" w:cs="宋体"/>
                <w:bCs/>
                <w:kern w:val="0"/>
                <w:szCs w:val="21"/>
              </w:rPr>
            </w:pPr>
            <w:r>
              <w:rPr>
                <w:rFonts w:hint="eastAsia" w:ascii="宋体" w:hAnsi="宋体" w:cs="宋体"/>
                <w:bCs/>
                <w:kern w:val="0"/>
                <w:szCs w:val="21"/>
              </w:rPr>
              <w:t>项目名称</w:t>
            </w:r>
          </w:p>
        </w:tc>
        <w:tc>
          <w:tcPr>
            <w:tcW w:w="856" w:type="dxa"/>
            <w:tcBorders>
              <w:top w:val="single" w:color="auto" w:sz="4" w:space="0"/>
              <w:left w:val="nil"/>
              <w:bottom w:val="single" w:color="auto" w:sz="4" w:space="0"/>
              <w:right w:val="single" w:color="auto" w:sz="4" w:space="0"/>
            </w:tcBorders>
            <w:vAlign w:val="center"/>
          </w:tcPr>
          <w:p w14:paraId="76232634">
            <w:pPr>
              <w:jc w:val="center"/>
              <w:rPr>
                <w:rFonts w:ascii="宋体" w:hAnsi="宋体" w:cs="宋体"/>
                <w:bCs/>
                <w:kern w:val="0"/>
                <w:szCs w:val="21"/>
              </w:rPr>
            </w:pPr>
            <w:r>
              <w:rPr>
                <w:rFonts w:ascii="宋体" w:hAnsi="宋体" w:cs="宋体"/>
                <w:bCs/>
                <w:kern w:val="0"/>
                <w:szCs w:val="21"/>
              </w:rPr>
              <w:t>批复</w:t>
            </w:r>
          </w:p>
          <w:p w14:paraId="4F4FB831">
            <w:pPr>
              <w:jc w:val="center"/>
              <w:rPr>
                <w:rFonts w:ascii="宋体" w:hAnsi="宋体" w:cs="宋体"/>
                <w:bCs/>
                <w:kern w:val="0"/>
                <w:szCs w:val="21"/>
              </w:rPr>
            </w:pPr>
            <w:r>
              <w:rPr>
                <w:rFonts w:hint="eastAsia" w:ascii="宋体" w:hAnsi="宋体" w:cs="宋体"/>
                <w:bCs/>
                <w:kern w:val="0"/>
                <w:szCs w:val="21"/>
              </w:rPr>
              <w:t>日期</w:t>
            </w:r>
          </w:p>
        </w:tc>
        <w:tc>
          <w:tcPr>
            <w:tcW w:w="1141" w:type="dxa"/>
            <w:tcBorders>
              <w:top w:val="single" w:color="auto" w:sz="4" w:space="0"/>
              <w:left w:val="nil"/>
              <w:bottom w:val="single" w:color="auto" w:sz="4" w:space="0"/>
              <w:right w:val="single" w:color="auto" w:sz="4" w:space="0"/>
            </w:tcBorders>
            <w:vAlign w:val="center"/>
          </w:tcPr>
          <w:p w14:paraId="463D0296">
            <w:pPr>
              <w:widowControl/>
              <w:jc w:val="center"/>
              <w:rPr>
                <w:rFonts w:ascii="宋体" w:hAnsi="宋体" w:cs="宋体"/>
                <w:bCs/>
                <w:kern w:val="0"/>
                <w:szCs w:val="21"/>
              </w:rPr>
            </w:pPr>
            <w:r>
              <w:rPr>
                <w:rFonts w:hint="eastAsia" w:ascii="宋体" w:hAnsi="宋体" w:cs="宋体"/>
                <w:bCs/>
                <w:kern w:val="0"/>
                <w:szCs w:val="21"/>
              </w:rPr>
              <w:t xml:space="preserve">设计阶段          </w:t>
            </w:r>
          </w:p>
        </w:tc>
        <w:tc>
          <w:tcPr>
            <w:tcW w:w="1141" w:type="dxa"/>
            <w:tcBorders>
              <w:top w:val="single" w:color="auto" w:sz="4" w:space="0"/>
              <w:left w:val="nil"/>
              <w:bottom w:val="single" w:color="auto" w:sz="4" w:space="0"/>
              <w:right w:val="single" w:color="auto" w:sz="4" w:space="0"/>
            </w:tcBorders>
            <w:vAlign w:val="center"/>
          </w:tcPr>
          <w:p w14:paraId="5A005F85">
            <w:pPr>
              <w:widowControl/>
              <w:jc w:val="center"/>
              <w:rPr>
                <w:rFonts w:ascii="宋体" w:hAnsi="宋体" w:cs="宋体"/>
                <w:bCs/>
                <w:kern w:val="0"/>
                <w:szCs w:val="21"/>
              </w:rPr>
            </w:pPr>
            <w:r>
              <w:rPr>
                <w:rFonts w:hint="eastAsia" w:ascii="宋体" w:hAnsi="宋体" w:cs="宋体"/>
                <w:bCs/>
                <w:kern w:val="0"/>
                <w:szCs w:val="21"/>
              </w:rPr>
              <w:t xml:space="preserve">项目建设形式         </w:t>
            </w:r>
          </w:p>
        </w:tc>
        <w:tc>
          <w:tcPr>
            <w:tcW w:w="1070" w:type="dxa"/>
            <w:tcBorders>
              <w:top w:val="single" w:color="auto" w:sz="4" w:space="0"/>
              <w:left w:val="nil"/>
              <w:bottom w:val="single" w:color="auto" w:sz="4" w:space="0"/>
              <w:right w:val="single" w:color="auto" w:sz="4" w:space="0"/>
            </w:tcBorders>
            <w:vAlign w:val="center"/>
          </w:tcPr>
          <w:p w14:paraId="217ABA1E">
            <w:pPr>
              <w:widowControl/>
              <w:jc w:val="center"/>
              <w:rPr>
                <w:rFonts w:ascii="宋体" w:hAnsi="宋体" w:cs="宋体"/>
                <w:bCs/>
                <w:kern w:val="0"/>
                <w:szCs w:val="21"/>
              </w:rPr>
            </w:pPr>
            <w:r>
              <w:rPr>
                <w:rFonts w:hint="eastAsia" w:ascii="宋体" w:hAnsi="宋体" w:cs="宋体"/>
                <w:bCs/>
                <w:kern w:val="0"/>
                <w:szCs w:val="21"/>
              </w:rPr>
              <w:t>桥梁名称</w:t>
            </w:r>
          </w:p>
        </w:tc>
        <w:tc>
          <w:tcPr>
            <w:tcW w:w="1147" w:type="dxa"/>
            <w:tcBorders>
              <w:top w:val="single" w:color="auto" w:sz="4" w:space="0"/>
              <w:left w:val="nil"/>
              <w:bottom w:val="single" w:color="auto" w:sz="4" w:space="0"/>
              <w:right w:val="single" w:color="auto" w:sz="4" w:space="0"/>
            </w:tcBorders>
            <w:vAlign w:val="center"/>
          </w:tcPr>
          <w:p w14:paraId="1495F569">
            <w:pPr>
              <w:widowControl/>
              <w:jc w:val="center"/>
              <w:rPr>
                <w:rFonts w:ascii="宋体" w:hAnsi="宋体" w:cs="宋体"/>
                <w:bCs/>
                <w:kern w:val="0"/>
                <w:szCs w:val="21"/>
              </w:rPr>
            </w:pPr>
            <w:r>
              <w:rPr>
                <w:rFonts w:hint="eastAsia" w:ascii="宋体" w:hAnsi="宋体" w:cs="宋体"/>
                <w:bCs/>
                <w:kern w:val="0"/>
                <w:szCs w:val="21"/>
              </w:rPr>
              <w:t>桥梁</w:t>
            </w:r>
          </w:p>
          <w:p w14:paraId="34C3D5FF">
            <w:pPr>
              <w:widowControl/>
              <w:jc w:val="center"/>
              <w:rPr>
                <w:rFonts w:ascii="宋体" w:hAnsi="宋体" w:cs="宋体"/>
                <w:bCs/>
                <w:kern w:val="0"/>
                <w:szCs w:val="21"/>
              </w:rPr>
            </w:pPr>
            <w:r>
              <w:rPr>
                <w:rFonts w:hint="eastAsia" w:ascii="宋体" w:hAnsi="宋体" w:cs="宋体"/>
                <w:bCs/>
                <w:kern w:val="0"/>
                <w:szCs w:val="21"/>
              </w:rPr>
              <w:t>类型</w:t>
            </w:r>
          </w:p>
        </w:tc>
        <w:tc>
          <w:tcPr>
            <w:tcW w:w="1173" w:type="dxa"/>
            <w:tcBorders>
              <w:top w:val="single" w:color="auto" w:sz="4" w:space="0"/>
              <w:left w:val="nil"/>
              <w:bottom w:val="single" w:color="auto" w:sz="4" w:space="0"/>
              <w:right w:val="single" w:color="auto" w:sz="4" w:space="0"/>
            </w:tcBorders>
            <w:vAlign w:val="center"/>
          </w:tcPr>
          <w:p w14:paraId="55D1C0B2">
            <w:pPr>
              <w:widowControl/>
              <w:jc w:val="center"/>
              <w:rPr>
                <w:rFonts w:ascii="宋体" w:hAnsi="宋体" w:cs="宋体"/>
                <w:bCs/>
                <w:kern w:val="0"/>
                <w:szCs w:val="21"/>
              </w:rPr>
            </w:pPr>
            <w:r>
              <w:rPr>
                <w:rFonts w:hint="eastAsia" w:ascii="宋体" w:hAnsi="宋体" w:cs="宋体"/>
                <w:bCs/>
                <w:kern w:val="0"/>
                <w:szCs w:val="21"/>
              </w:rPr>
              <w:t>桥梁长度（m）</w:t>
            </w:r>
          </w:p>
        </w:tc>
        <w:tc>
          <w:tcPr>
            <w:tcW w:w="1712" w:type="dxa"/>
            <w:tcBorders>
              <w:top w:val="single" w:color="auto" w:sz="4" w:space="0"/>
              <w:left w:val="nil"/>
              <w:bottom w:val="single" w:color="auto" w:sz="4" w:space="0"/>
              <w:right w:val="single" w:color="auto" w:sz="4" w:space="0"/>
            </w:tcBorders>
            <w:vAlign w:val="center"/>
          </w:tcPr>
          <w:p w14:paraId="377B9A70">
            <w:pPr>
              <w:widowControl/>
              <w:jc w:val="center"/>
              <w:rPr>
                <w:rFonts w:ascii="宋体" w:hAnsi="宋体" w:cs="宋体"/>
                <w:bCs/>
                <w:kern w:val="0"/>
                <w:szCs w:val="21"/>
              </w:rPr>
            </w:pPr>
            <w:r>
              <w:rPr>
                <w:rFonts w:hint="eastAsia" w:ascii="宋体" w:hAnsi="宋体" w:cs="宋体"/>
                <w:bCs/>
                <w:kern w:val="0"/>
                <w:szCs w:val="21"/>
              </w:rPr>
              <w:t>最大跨径长度</w:t>
            </w:r>
          </w:p>
          <w:p w14:paraId="4CA3136A">
            <w:pPr>
              <w:widowControl/>
              <w:jc w:val="center"/>
              <w:rPr>
                <w:rFonts w:ascii="宋体" w:hAnsi="宋体" w:cs="宋体"/>
                <w:bCs/>
                <w:kern w:val="0"/>
                <w:szCs w:val="21"/>
              </w:rPr>
            </w:pPr>
            <w:r>
              <w:rPr>
                <w:rFonts w:hint="eastAsia" w:ascii="宋体" w:hAnsi="宋体" w:cs="宋体"/>
                <w:bCs/>
                <w:kern w:val="0"/>
                <w:szCs w:val="21"/>
              </w:rPr>
              <w:t>（m）</w:t>
            </w:r>
          </w:p>
        </w:tc>
        <w:tc>
          <w:tcPr>
            <w:tcW w:w="1318" w:type="dxa"/>
            <w:tcBorders>
              <w:top w:val="single" w:color="auto" w:sz="4" w:space="0"/>
              <w:left w:val="nil"/>
              <w:bottom w:val="single" w:color="auto" w:sz="4" w:space="0"/>
              <w:right w:val="single" w:color="auto" w:sz="4" w:space="0"/>
            </w:tcBorders>
            <w:vAlign w:val="center"/>
          </w:tcPr>
          <w:p w14:paraId="4DF86CCC">
            <w:pPr>
              <w:widowControl/>
              <w:jc w:val="center"/>
              <w:rPr>
                <w:rFonts w:ascii="宋体" w:hAnsi="宋体" w:cs="宋体"/>
                <w:bCs/>
                <w:kern w:val="0"/>
                <w:szCs w:val="21"/>
              </w:rPr>
            </w:pPr>
            <w:r>
              <w:rPr>
                <w:rFonts w:hint="eastAsia" w:ascii="宋体" w:hAnsi="宋体" w:cs="宋体"/>
                <w:bCs/>
                <w:kern w:val="0"/>
                <w:szCs w:val="21"/>
              </w:rPr>
              <w:t>业绩证明材料附件</w:t>
            </w:r>
          </w:p>
        </w:tc>
      </w:tr>
      <w:tr w14:paraId="7B310E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vMerge w:val="restart"/>
            <w:tcBorders>
              <w:top w:val="nil"/>
              <w:left w:val="single" w:color="auto" w:sz="4" w:space="0"/>
              <w:right w:val="single" w:color="auto" w:sz="4" w:space="0"/>
            </w:tcBorders>
            <w:vAlign w:val="center"/>
          </w:tcPr>
          <w:p w14:paraId="14D73004">
            <w:pPr>
              <w:widowControl/>
              <w:jc w:val="center"/>
              <w:rPr>
                <w:rFonts w:ascii="宋体" w:hAnsi="宋体" w:cs="宋体"/>
                <w:kern w:val="0"/>
                <w:sz w:val="20"/>
                <w:szCs w:val="20"/>
              </w:rPr>
            </w:pPr>
          </w:p>
        </w:tc>
        <w:tc>
          <w:tcPr>
            <w:tcW w:w="1931" w:type="dxa"/>
            <w:vMerge w:val="restart"/>
            <w:tcBorders>
              <w:top w:val="nil"/>
              <w:left w:val="nil"/>
              <w:right w:val="single" w:color="auto" w:sz="4" w:space="0"/>
            </w:tcBorders>
            <w:vAlign w:val="center"/>
          </w:tcPr>
          <w:p w14:paraId="4CF2547A">
            <w:pPr>
              <w:widowControl/>
              <w:jc w:val="center"/>
              <w:rPr>
                <w:rFonts w:ascii="宋体" w:hAnsi="宋体" w:cs="宋体"/>
                <w:kern w:val="0"/>
                <w:sz w:val="20"/>
                <w:szCs w:val="20"/>
              </w:rPr>
            </w:pPr>
          </w:p>
        </w:tc>
        <w:tc>
          <w:tcPr>
            <w:tcW w:w="1569" w:type="dxa"/>
            <w:vMerge w:val="restart"/>
            <w:tcBorders>
              <w:top w:val="nil"/>
              <w:left w:val="nil"/>
              <w:right w:val="single" w:color="auto" w:sz="4" w:space="0"/>
            </w:tcBorders>
            <w:vAlign w:val="center"/>
          </w:tcPr>
          <w:p w14:paraId="4F72DFFD">
            <w:pPr>
              <w:widowControl/>
              <w:jc w:val="center"/>
              <w:rPr>
                <w:rFonts w:ascii="宋体" w:hAnsi="宋体" w:cs="宋体"/>
                <w:kern w:val="0"/>
                <w:sz w:val="20"/>
                <w:szCs w:val="20"/>
              </w:rPr>
            </w:pPr>
          </w:p>
        </w:tc>
        <w:tc>
          <w:tcPr>
            <w:tcW w:w="856" w:type="dxa"/>
            <w:vMerge w:val="restart"/>
            <w:tcBorders>
              <w:top w:val="nil"/>
              <w:left w:val="nil"/>
              <w:right w:val="single" w:color="auto" w:sz="4" w:space="0"/>
            </w:tcBorders>
            <w:vAlign w:val="center"/>
          </w:tcPr>
          <w:p w14:paraId="5CF4BFC5">
            <w:pPr>
              <w:widowControl/>
              <w:jc w:val="center"/>
              <w:rPr>
                <w:rFonts w:ascii="宋体" w:hAnsi="宋体" w:cs="宋体"/>
                <w:kern w:val="0"/>
                <w:sz w:val="20"/>
                <w:szCs w:val="20"/>
              </w:rPr>
            </w:pPr>
          </w:p>
        </w:tc>
        <w:tc>
          <w:tcPr>
            <w:tcW w:w="1141" w:type="dxa"/>
            <w:vMerge w:val="restart"/>
            <w:tcBorders>
              <w:top w:val="nil"/>
              <w:left w:val="nil"/>
              <w:right w:val="single" w:color="auto" w:sz="4" w:space="0"/>
            </w:tcBorders>
            <w:vAlign w:val="center"/>
          </w:tcPr>
          <w:p w14:paraId="672ADC58">
            <w:pPr>
              <w:widowControl/>
              <w:rPr>
                <w:szCs w:val="21"/>
              </w:rPr>
            </w:pPr>
            <w:r>
              <w:rPr>
                <w:rFonts w:hint="eastAsia"/>
                <w:szCs w:val="21"/>
              </w:rPr>
              <w:t>□初步</w:t>
            </w:r>
          </w:p>
          <w:p w14:paraId="1B5884CA">
            <w:pPr>
              <w:widowControl/>
              <w:jc w:val="left"/>
              <w:rPr>
                <w:rFonts w:ascii="宋体" w:hAnsi="宋体" w:cs="宋体"/>
                <w:kern w:val="0"/>
                <w:szCs w:val="21"/>
              </w:rPr>
            </w:pPr>
            <w:r>
              <w:rPr>
                <w:rFonts w:hint="eastAsia"/>
                <w:szCs w:val="21"/>
              </w:rPr>
              <w:t>□施工图</w:t>
            </w:r>
          </w:p>
        </w:tc>
        <w:tc>
          <w:tcPr>
            <w:tcW w:w="1141" w:type="dxa"/>
            <w:vMerge w:val="restart"/>
            <w:tcBorders>
              <w:top w:val="nil"/>
              <w:left w:val="nil"/>
              <w:right w:val="single" w:color="auto" w:sz="4" w:space="0"/>
            </w:tcBorders>
            <w:vAlign w:val="center"/>
          </w:tcPr>
          <w:p w14:paraId="1749C7DD">
            <w:pPr>
              <w:widowControl/>
              <w:rPr>
                <w:szCs w:val="21"/>
              </w:rPr>
            </w:pPr>
            <w:r>
              <w:rPr>
                <w:rFonts w:hint="eastAsia"/>
                <w:szCs w:val="21"/>
              </w:rPr>
              <w:t>□新建</w:t>
            </w:r>
          </w:p>
          <w:p w14:paraId="1E57828D">
            <w:pPr>
              <w:widowControl/>
              <w:jc w:val="left"/>
              <w:rPr>
                <w:rFonts w:ascii="宋体" w:hAnsi="宋体" w:cs="宋体"/>
                <w:kern w:val="0"/>
                <w:sz w:val="22"/>
                <w:szCs w:val="22"/>
              </w:rPr>
            </w:pPr>
            <w:r>
              <w:rPr>
                <w:rFonts w:hint="eastAsia"/>
                <w:szCs w:val="21"/>
              </w:rPr>
              <w:t>□改扩建</w:t>
            </w:r>
          </w:p>
        </w:tc>
        <w:tc>
          <w:tcPr>
            <w:tcW w:w="1070" w:type="dxa"/>
            <w:tcBorders>
              <w:top w:val="nil"/>
              <w:left w:val="nil"/>
              <w:bottom w:val="single" w:color="auto" w:sz="4" w:space="0"/>
              <w:right w:val="single" w:color="auto" w:sz="4" w:space="0"/>
            </w:tcBorders>
            <w:vAlign w:val="center"/>
          </w:tcPr>
          <w:p w14:paraId="65B970F7">
            <w:pPr>
              <w:widowControl/>
              <w:jc w:val="left"/>
              <w:rPr>
                <w:rFonts w:ascii="宋体" w:hAnsi="宋体" w:cs="宋体"/>
                <w:kern w:val="0"/>
                <w:sz w:val="22"/>
                <w:szCs w:val="22"/>
              </w:rPr>
            </w:pPr>
          </w:p>
        </w:tc>
        <w:tc>
          <w:tcPr>
            <w:tcW w:w="1147" w:type="dxa"/>
            <w:tcBorders>
              <w:top w:val="nil"/>
              <w:left w:val="nil"/>
              <w:bottom w:val="single" w:color="auto" w:sz="4" w:space="0"/>
              <w:right w:val="single" w:color="auto" w:sz="4" w:space="0"/>
            </w:tcBorders>
            <w:vAlign w:val="center"/>
          </w:tcPr>
          <w:p w14:paraId="3E144DAF">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725F6849">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5E776B76">
            <w:pPr>
              <w:widowControl/>
              <w:jc w:val="left"/>
              <w:rPr>
                <w:rFonts w:ascii="宋体" w:hAnsi="宋体" w:cs="宋体"/>
                <w:kern w:val="0"/>
                <w:sz w:val="20"/>
                <w:szCs w:val="20"/>
              </w:rPr>
            </w:pPr>
            <w:r>
              <w:rPr>
                <w:rFonts w:hint="eastAsia" w:ascii="宋体" w:hAnsi="宋体" w:cs="宋体"/>
                <w:kern w:val="0"/>
                <w:sz w:val="20"/>
                <w:szCs w:val="20"/>
              </w:rPr>
              <w:t>　</w:t>
            </w:r>
          </w:p>
        </w:tc>
        <w:tc>
          <w:tcPr>
            <w:tcW w:w="1318" w:type="dxa"/>
            <w:vMerge w:val="restart"/>
            <w:tcBorders>
              <w:top w:val="nil"/>
              <w:left w:val="nil"/>
              <w:right w:val="single" w:color="auto" w:sz="4" w:space="0"/>
            </w:tcBorders>
            <w:vAlign w:val="center"/>
          </w:tcPr>
          <w:p w14:paraId="67693F91">
            <w:pPr>
              <w:widowControl/>
              <w:ind w:left="-105" w:leftChars="-50"/>
              <w:jc w:val="center"/>
              <w:rPr>
                <w:rFonts w:ascii="宋体" w:hAnsi="宋体" w:cs="宋体"/>
                <w:kern w:val="0"/>
                <w:sz w:val="20"/>
                <w:szCs w:val="20"/>
              </w:rPr>
            </w:pPr>
            <w:r>
              <w:rPr>
                <w:rFonts w:hint="eastAsia" w:ascii="宋体" w:hAnsi="宋体" w:cs="宋体"/>
                <w:kern w:val="0"/>
                <w:sz w:val="20"/>
                <w:szCs w:val="20"/>
              </w:rPr>
              <w:t>附件C</w:t>
            </w:r>
            <w:r>
              <w:rPr>
                <w:rFonts w:hint="eastAsia" w:ascii="宋体" w:hAnsi="宋体" w:cs="宋体"/>
                <w:kern w:val="0"/>
                <w:sz w:val="20"/>
                <w:szCs w:val="20"/>
                <w:lang w:val="en-US" w:eastAsia="zh-CN"/>
              </w:rPr>
              <w:t>1-</w:t>
            </w:r>
            <w:r>
              <w:rPr>
                <w:rFonts w:ascii="宋体" w:hAnsi="宋体" w:cs="宋体"/>
                <w:kern w:val="0"/>
                <w:sz w:val="20"/>
                <w:szCs w:val="20"/>
              </w:rPr>
              <w:t>2</w:t>
            </w:r>
            <w:r>
              <w:rPr>
                <w:rFonts w:hint="eastAsia" w:ascii="宋体" w:hAnsi="宋体" w:cs="宋体"/>
                <w:kern w:val="0"/>
                <w:sz w:val="20"/>
                <w:szCs w:val="20"/>
              </w:rPr>
              <w:t>.1</w:t>
            </w:r>
          </w:p>
        </w:tc>
      </w:tr>
      <w:tr w14:paraId="3C477E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vMerge w:val="continue"/>
            <w:tcBorders>
              <w:left w:val="single" w:color="auto" w:sz="4" w:space="0"/>
              <w:right w:val="single" w:color="auto" w:sz="4" w:space="0"/>
            </w:tcBorders>
            <w:vAlign w:val="center"/>
          </w:tcPr>
          <w:p w14:paraId="3C55E30E">
            <w:pPr>
              <w:widowControl/>
              <w:jc w:val="center"/>
              <w:rPr>
                <w:rFonts w:ascii="宋体" w:hAnsi="宋体" w:cs="宋体"/>
                <w:kern w:val="0"/>
                <w:sz w:val="20"/>
                <w:szCs w:val="20"/>
              </w:rPr>
            </w:pPr>
          </w:p>
        </w:tc>
        <w:tc>
          <w:tcPr>
            <w:tcW w:w="1931" w:type="dxa"/>
            <w:vMerge w:val="continue"/>
            <w:tcBorders>
              <w:left w:val="nil"/>
              <w:right w:val="single" w:color="auto" w:sz="4" w:space="0"/>
            </w:tcBorders>
            <w:vAlign w:val="center"/>
          </w:tcPr>
          <w:p w14:paraId="7BF7C508">
            <w:pPr>
              <w:widowControl/>
              <w:jc w:val="left"/>
              <w:rPr>
                <w:rFonts w:ascii="宋体" w:hAnsi="宋体" w:cs="宋体"/>
                <w:kern w:val="0"/>
                <w:sz w:val="20"/>
                <w:szCs w:val="20"/>
              </w:rPr>
            </w:pPr>
          </w:p>
        </w:tc>
        <w:tc>
          <w:tcPr>
            <w:tcW w:w="1569" w:type="dxa"/>
            <w:vMerge w:val="continue"/>
            <w:tcBorders>
              <w:left w:val="nil"/>
              <w:right w:val="single" w:color="auto" w:sz="4" w:space="0"/>
            </w:tcBorders>
            <w:vAlign w:val="center"/>
          </w:tcPr>
          <w:p w14:paraId="2FAC652B">
            <w:pPr>
              <w:widowControl/>
              <w:jc w:val="left"/>
              <w:rPr>
                <w:rFonts w:ascii="宋体" w:hAnsi="宋体" w:cs="宋体"/>
                <w:kern w:val="0"/>
                <w:sz w:val="20"/>
                <w:szCs w:val="20"/>
              </w:rPr>
            </w:pPr>
          </w:p>
        </w:tc>
        <w:tc>
          <w:tcPr>
            <w:tcW w:w="856" w:type="dxa"/>
            <w:vMerge w:val="continue"/>
            <w:tcBorders>
              <w:left w:val="nil"/>
              <w:right w:val="single" w:color="auto" w:sz="4" w:space="0"/>
            </w:tcBorders>
            <w:vAlign w:val="center"/>
          </w:tcPr>
          <w:p w14:paraId="79E935D7">
            <w:pPr>
              <w:widowControl/>
              <w:jc w:val="left"/>
              <w:rPr>
                <w:rFonts w:ascii="宋体" w:hAnsi="宋体" w:cs="宋体"/>
                <w:kern w:val="0"/>
                <w:sz w:val="20"/>
                <w:szCs w:val="20"/>
              </w:rPr>
            </w:pPr>
          </w:p>
        </w:tc>
        <w:tc>
          <w:tcPr>
            <w:tcW w:w="1141" w:type="dxa"/>
            <w:vMerge w:val="continue"/>
            <w:tcBorders>
              <w:left w:val="nil"/>
              <w:right w:val="single" w:color="auto" w:sz="4" w:space="0"/>
            </w:tcBorders>
            <w:vAlign w:val="center"/>
          </w:tcPr>
          <w:p w14:paraId="2F40DF01">
            <w:pPr>
              <w:widowControl/>
              <w:rPr>
                <w:szCs w:val="21"/>
              </w:rPr>
            </w:pPr>
          </w:p>
        </w:tc>
        <w:tc>
          <w:tcPr>
            <w:tcW w:w="1141" w:type="dxa"/>
            <w:vMerge w:val="continue"/>
            <w:tcBorders>
              <w:left w:val="nil"/>
              <w:right w:val="single" w:color="auto" w:sz="4" w:space="0"/>
            </w:tcBorders>
            <w:vAlign w:val="center"/>
          </w:tcPr>
          <w:p w14:paraId="3FF42418">
            <w:pPr>
              <w:widowControl/>
              <w:rPr>
                <w:szCs w:val="21"/>
              </w:rPr>
            </w:pPr>
          </w:p>
        </w:tc>
        <w:tc>
          <w:tcPr>
            <w:tcW w:w="1070" w:type="dxa"/>
            <w:tcBorders>
              <w:top w:val="nil"/>
              <w:left w:val="nil"/>
              <w:bottom w:val="single" w:color="auto" w:sz="4" w:space="0"/>
              <w:right w:val="single" w:color="auto" w:sz="4" w:space="0"/>
            </w:tcBorders>
            <w:vAlign w:val="center"/>
          </w:tcPr>
          <w:p w14:paraId="1B02F6D5">
            <w:pPr>
              <w:widowControl/>
              <w:jc w:val="left"/>
              <w:rPr>
                <w:rFonts w:ascii="宋体" w:hAnsi="宋体" w:cs="宋体"/>
                <w:kern w:val="0"/>
                <w:sz w:val="20"/>
                <w:szCs w:val="20"/>
              </w:rPr>
            </w:pPr>
          </w:p>
        </w:tc>
        <w:tc>
          <w:tcPr>
            <w:tcW w:w="1147" w:type="dxa"/>
            <w:tcBorders>
              <w:top w:val="nil"/>
              <w:left w:val="nil"/>
              <w:bottom w:val="single" w:color="auto" w:sz="4" w:space="0"/>
              <w:right w:val="single" w:color="auto" w:sz="4" w:space="0"/>
            </w:tcBorders>
            <w:vAlign w:val="center"/>
          </w:tcPr>
          <w:p w14:paraId="6EB4B6C6">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6D58855F">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49D1A303">
            <w:pPr>
              <w:widowControl/>
              <w:jc w:val="left"/>
              <w:rPr>
                <w:rFonts w:ascii="宋体" w:hAnsi="宋体" w:cs="宋体"/>
                <w:kern w:val="0"/>
                <w:sz w:val="20"/>
                <w:szCs w:val="20"/>
              </w:rPr>
            </w:pPr>
          </w:p>
        </w:tc>
        <w:tc>
          <w:tcPr>
            <w:tcW w:w="1318" w:type="dxa"/>
            <w:vMerge w:val="continue"/>
            <w:tcBorders>
              <w:left w:val="nil"/>
              <w:right w:val="single" w:color="auto" w:sz="4" w:space="0"/>
            </w:tcBorders>
            <w:vAlign w:val="center"/>
          </w:tcPr>
          <w:p w14:paraId="1B4D01BF">
            <w:pPr>
              <w:widowControl/>
              <w:rPr>
                <w:rFonts w:ascii="宋体" w:hAnsi="宋体" w:cs="宋体"/>
                <w:kern w:val="0"/>
                <w:sz w:val="20"/>
                <w:szCs w:val="20"/>
              </w:rPr>
            </w:pPr>
          </w:p>
        </w:tc>
      </w:tr>
      <w:tr w14:paraId="48BEA4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vMerge w:val="continue"/>
            <w:tcBorders>
              <w:left w:val="single" w:color="auto" w:sz="4" w:space="0"/>
              <w:bottom w:val="single" w:color="auto" w:sz="4" w:space="0"/>
              <w:right w:val="single" w:color="auto" w:sz="4" w:space="0"/>
            </w:tcBorders>
            <w:vAlign w:val="center"/>
          </w:tcPr>
          <w:p w14:paraId="1A04960B">
            <w:pPr>
              <w:widowControl/>
              <w:jc w:val="center"/>
              <w:rPr>
                <w:rFonts w:ascii="宋体" w:hAnsi="宋体" w:cs="宋体"/>
                <w:kern w:val="0"/>
                <w:sz w:val="20"/>
                <w:szCs w:val="20"/>
              </w:rPr>
            </w:pPr>
          </w:p>
        </w:tc>
        <w:tc>
          <w:tcPr>
            <w:tcW w:w="1931" w:type="dxa"/>
            <w:vMerge w:val="continue"/>
            <w:tcBorders>
              <w:left w:val="nil"/>
              <w:bottom w:val="single" w:color="auto" w:sz="4" w:space="0"/>
              <w:right w:val="single" w:color="auto" w:sz="4" w:space="0"/>
            </w:tcBorders>
            <w:vAlign w:val="center"/>
          </w:tcPr>
          <w:p w14:paraId="76715E52">
            <w:pPr>
              <w:widowControl/>
              <w:jc w:val="left"/>
              <w:rPr>
                <w:rFonts w:ascii="宋体" w:hAnsi="宋体" w:cs="宋体"/>
                <w:kern w:val="0"/>
                <w:sz w:val="20"/>
                <w:szCs w:val="20"/>
              </w:rPr>
            </w:pPr>
          </w:p>
        </w:tc>
        <w:tc>
          <w:tcPr>
            <w:tcW w:w="1569" w:type="dxa"/>
            <w:vMerge w:val="continue"/>
            <w:tcBorders>
              <w:left w:val="nil"/>
              <w:bottom w:val="single" w:color="auto" w:sz="4" w:space="0"/>
              <w:right w:val="single" w:color="auto" w:sz="4" w:space="0"/>
            </w:tcBorders>
            <w:vAlign w:val="center"/>
          </w:tcPr>
          <w:p w14:paraId="7D63D457">
            <w:pPr>
              <w:widowControl/>
              <w:jc w:val="left"/>
              <w:rPr>
                <w:rFonts w:ascii="宋体" w:hAnsi="宋体" w:cs="宋体"/>
                <w:kern w:val="0"/>
                <w:sz w:val="20"/>
                <w:szCs w:val="20"/>
              </w:rPr>
            </w:pPr>
          </w:p>
        </w:tc>
        <w:tc>
          <w:tcPr>
            <w:tcW w:w="856" w:type="dxa"/>
            <w:vMerge w:val="continue"/>
            <w:tcBorders>
              <w:left w:val="nil"/>
              <w:bottom w:val="single" w:color="auto" w:sz="4" w:space="0"/>
              <w:right w:val="single" w:color="auto" w:sz="4" w:space="0"/>
            </w:tcBorders>
            <w:vAlign w:val="center"/>
          </w:tcPr>
          <w:p w14:paraId="7307601D">
            <w:pPr>
              <w:widowControl/>
              <w:jc w:val="left"/>
              <w:rPr>
                <w:rFonts w:ascii="宋体" w:hAnsi="宋体" w:cs="宋体"/>
                <w:kern w:val="0"/>
                <w:sz w:val="20"/>
                <w:szCs w:val="20"/>
              </w:rPr>
            </w:pPr>
          </w:p>
        </w:tc>
        <w:tc>
          <w:tcPr>
            <w:tcW w:w="1141" w:type="dxa"/>
            <w:vMerge w:val="continue"/>
            <w:tcBorders>
              <w:left w:val="nil"/>
              <w:bottom w:val="single" w:color="auto" w:sz="4" w:space="0"/>
              <w:right w:val="single" w:color="auto" w:sz="4" w:space="0"/>
            </w:tcBorders>
            <w:vAlign w:val="center"/>
          </w:tcPr>
          <w:p w14:paraId="54DF95F4">
            <w:pPr>
              <w:widowControl/>
              <w:rPr>
                <w:szCs w:val="21"/>
              </w:rPr>
            </w:pPr>
          </w:p>
        </w:tc>
        <w:tc>
          <w:tcPr>
            <w:tcW w:w="1141" w:type="dxa"/>
            <w:vMerge w:val="continue"/>
            <w:tcBorders>
              <w:left w:val="nil"/>
              <w:bottom w:val="single" w:color="auto" w:sz="4" w:space="0"/>
              <w:right w:val="single" w:color="auto" w:sz="4" w:space="0"/>
            </w:tcBorders>
            <w:vAlign w:val="center"/>
          </w:tcPr>
          <w:p w14:paraId="7952AC91">
            <w:pPr>
              <w:widowControl/>
              <w:rPr>
                <w:szCs w:val="21"/>
              </w:rPr>
            </w:pPr>
          </w:p>
        </w:tc>
        <w:tc>
          <w:tcPr>
            <w:tcW w:w="1070" w:type="dxa"/>
            <w:tcBorders>
              <w:top w:val="nil"/>
              <w:left w:val="nil"/>
              <w:bottom w:val="single" w:color="auto" w:sz="4" w:space="0"/>
              <w:right w:val="single" w:color="auto" w:sz="4" w:space="0"/>
            </w:tcBorders>
            <w:vAlign w:val="center"/>
          </w:tcPr>
          <w:p w14:paraId="297D8B88">
            <w:pPr>
              <w:widowControl/>
              <w:jc w:val="center"/>
              <w:rPr>
                <w:rFonts w:ascii="宋体" w:hAnsi="宋体" w:cs="宋体"/>
                <w:kern w:val="0"/>
                <w:sz w:val="20"/>
                <w:szCs w:val="20"/>
              </w:rPr>
            </w:pPr>
            <w:r>
              <w:rPr>
                <w:rFonts w:ascii="宋体" w:hAnsi="宋体" w:cs="宋体"/>
                <w:kern w:val="0"/>
                <w:szCs w:val="21"/>
              </w:rPr>
              <w:t>…</w:t>
            </w:r>
          </w:p>
        </w:tc>
        <w:tc>
          <w:tcPr>
            <w:tcW w:w="1147" w:type="dxa"/>
            <w:tcBorders>
              <w:top w:val="nil"/>
              <w:left w:val="nil"/>
              <w:bottom w:val="single" w:color="auto" w:sz="4" w:space="0"/>
              <w:right w:val="single" w:color="auto" w:sz="4" w:space="0"/>
            </w:tcBorders>
            <w:vAlign w:val="center"/>
          </w:tcPr>
          <w:p w14:paraId="57BFC8B9">
            <w:pPr>
              <w:widowControl/>
              <w:jc w:val="center"/>
              <w:rPr>
                <w:rFonts w:ascii="宋体" w:hAnsi="宋体" w:cs="宋体"/>
                <w:kern w:val="0"/>
                <w:sz w:val="20"/>
                <w:szCs w:val="20"/>
              </w:rPr>
            </w:pPr>
            <w:r>
              <w:rPr>
                <w:rFonts w:ascii="宋体" w:hAnsi="宋体" w:cs="宋体"/>
                <w:kern w:val="0"/>
                <w:szCs w:val="21"/>
              </w:rPr>
              <w:t>…</w:t>
            </w:r>
          </w:p>
        </w:tc>
        <w:tc>
          <w:tcPr>
            <w:tcW w:w="1173" w:type="dxa"/>
            <w:tcBorders>
              <w:top w:val="nil"/>
              <w:left w:val="nil"/>
              <w:bottom w:val="single" w:color="auto" w:sz="4" w:space="0"/>
              <w:right w:val="single" w:color="auto" w:sz="4" w:space="0"/>
            </w:tcBorders>
            <w:vAlign w:val="center"/>
          </w:tcPr>
          <w:p w14:paraId="6F77066A">
            <w:pPr>
              <w:widowControl/>
              <w:jc w:val="center"/>
              <w:rPr>
                <w:rFonts w:ascii="宋体" w:hAnsi="宋体" w:cs="宋体"/>
                <w:kern w:val="0"/>
                <w:sz w:val="20"/>
                <w:szCs w:val="20"/>
              </w:rPr>
            </w:pPr>
            <w:r>
              <w:rPr>
                <w:rFonts w:ascii="宋体" w:hAnsi="宋体" w:cs="宋体"/>
                <w:kern w:val="0"/>
                <w:szCs w:val="21"/>
              </w:rPr>
              <w:t>…</w:t>
            </w:r>
          </w:p>
        </w:tc>
        <w:tc>
          <w:tcPr>
            <w:tcW w:w="1712" w:type="dxa"/>
            <w:tcBorders>
              <w:top w:val="nil"/>
              <w:left w:val="nil"/>
              <w:bottom w:val="single" w:color="auto" w:sz="4" w:space="0"/>
              <w:right w:val="single" w:color="auto" w:sz="4" w:space="0"/>
            </w:tcBorders>
            <w:vAlign w:val="center"/>
          </w:tcPr>
          <w:p w14:paraId="3420E03C">
            <w:pPr>
              <w:widowControl/>
              <w:jc w:val="center"/>
              <w:rPr>
                <w:rFonts w:ascii="宋体" w:hAnsi="宋体" w:cs="宋体"/>
                <w:kern w:val="0"/>
                <w:sz w:val="20"/>
                <w:szCs w:val="20"/>
              </w:rPr>
            </w:pPr>
            <w:r>
              <w:rPr>
                <w:rFonts w:ascii="宋体" w:hAnsi="宋体" w:cs="宋体"/>
                <w:kern w:val="0"/>
                <w:szCs w:val="21"/>
              </w:rPr>
              <w:t>…</w:t>
            </w:r>
          </w:p>
        </w:tc>
        <w:tc>
          <w:tcPr>
            <w:tcW w:w="1318" w:type="dxa"/>
            <w:vMerge w:val="continue"/>
            <w:tcBorders>
              <w:left w:val="nil"/>
              <w:bottom w:val="single" w:color="auto" w:sz="4" w:space="0"/>
              <w:right w:val="single" w:color="auto" w:sz="4" w:space="0"/>
            </w:tcBorders>
            <w:vAlign w:val="center"/>
          </w:tcPr>
          <w:p w14:paraId="30DDA0F1">
            <w:pPr>
              <w:widowControl/>
              <w:jc w:val="center"/>
              <w:rPr>
                <w:rFonts w:ascii="宋体" w:hAnsi="宋体" w:cs="宋体"/>
                <w:kern w:val="0"/>
                <w:sz w:val="20"/>
                <w:szCs w:val="20"/>
              </w:rPr>
            </w:pPr>
          </w:p>
        </w:tc>
      </w:tr>
      <w:tr w14:paraId="7C23E0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vMerge w:val="restart"/>
            <w:tcBorders>
              <w:top w:val="nil"/>
              <w:left w:val="single" w:color="auto" w:sz="4" w:space="0"/>
              <w:right w:val="single" w:color="auto" w:sz="4" w:space="0"/>
            </w:tcBorders>
            <w:vAlign w:val="center"/>
          </w:tcPr>
          <w:p w14:paraId="515B9A51">
            <w:pPr>
              <w:widowControl/>
              <w:jc w:val="center"/>
              <w:rPr>
                <w:rFonts w:ascii="宋体" w:hAnsi="宋体" w:cs="宋体"/>
                <w:kern w:val="0"/>
                <w:sz w:val="20"/>
                <w:szCs w:val="20"/>
              </w:rPr>
            </w:pPr>
          </w:p>
        </w:tc>
        <w:tc>
          <w:tcPr>
            <w:tcW w:w="1931" w:type="dxa"/>
            <w:vMerge w:val="restart"/>
            <w:tcBorders>
              <w:top w:val="nil"/>
              <w:left w:val="nil"/>
              <w:right w:val="single" w:color="auto" w:sz="4" w:space="0"/>
            </w:tcBorders>
            <w:vAlign w:val="center"/>
          </w:tcPr>
          <w:p w14:paraId="210F4B16">
            <w:pPr>
              <w:widowControl/>
              <w:jc w:val="left"/>
              <w:rPr>
                <w:rFonts w:ascii="宋体" w:hAnsi="宋体" w:cs="宋体"/>
                <w:kern w:val="0"/>
                <w:sz w:val="20"/>
                <w:szCs w:val="20"/>
              </w:rPr>
            </w:pPr>
          </w:p>
        </w:tc>
        <w:tc>
          <w:tcPr>
            <w:tcW w:w="1569" w:type="dxa"/>
            <w:vMerge w:val="restart"/>
            <w:tcBorders>
              <w:top w:val="nil"/>
              <w:left w:val="nil"/>
              <w:right w:val="single" w:color="auto" w:sz="4" w:space="0"/>
            </w:tcBorders>
            <w:vAlign w:val="center"/>
          </w:tcPr>
          <w:p w14:paraId="6AA24080">
            <w:pPr>
              <w:widowControl/>
              <w:jc w:val="left"/>
              <w:rPr>
                <w:rFonts w:ascii="宋体" w:hAnsi="宋体" w:cs="宋体"/>
                <w:kern w:val="0"/>
                <w:sz w:val="20"/>
                <w:szCs w:val="20"/>
              </w:rPr>
            </w:pPr>
          </w:p>
        </w:tc>
        <w:tc>
          <w:tcPr>
            <w:tcW w:w="856" w:type="dxa"/>
            <w:vMerge w:val="restart"/>
            <w:tcBorders>
              <w:top w:val="nil"/>
              <w:left w:val="nil"/>
              <w:right w:val="single" w:color="auto" w:sz="4" w:space="0"/>
            </w:tcBorders>
            <w:vAlign w:val="center"/>
          </w:tcPr>
          <w:p w14:paraId="1265A3EC">
            <w:pPr>
              <w:widowControl/>
              <w:jc w:val="left"/>
              <w:rPr>
                <w:rFonts w:ascii="宋体" w:hAnsi="宋体" w:cs="宋体"/>
                <w:kern w:val="0"/>
                <w:sz w:val="20"/>
                <w:szCs w:val="20"/>
              </w:rPr>
            </w:pPr>
          </w:p>
        </w:tc>
        <w:tc>
          <w:tcPr>
            <w:tcW w:w="1141" w:type="dxa"/>
            <w:vMerge w:val="restart"/>
            <w:tcBorders>
              <w:top w:val="nil"/>
              <w:left w:val="nil"/>
              <w:right w:val="single" w:color="auto" w:sz="4" w:space="0"/>
            </w:tcBorders>
            <w:vAlign w:val="center"/>
          </w:tcPr>
          <w:p w14:paraId="4514337D">
            <w:pPr>
              <w:widowControl/>
              <w:jc w:val="left"/>
              <w:rPr>
                <w:szCs w:val="21"/>
              </w:rPr>
            </w:pPr>
            <w:r>
              <w:rPr>
                <w:rFonts w:hint="eastAsia"/>
                <w:szCs w:val="21"/>
              </w:rPr>
              <w:t>□初步</w:t>
            </w:r>
          </w:p>
          <w:p w14:paraId="58ACAF05">
            <w:pPr>
              <w:widowControl/>
              <w:jc w:val="left"/>
              <w:rPr>
                <w:rFonts w:ascii="宋体" w:hAnsi="宋体" w:cs="宋体"/>
                <w:kern w:val="0"/>
                <w:szCs w:val="21"/>
              </w:rPr>
            </w:pPr>
            <w:r>
              <w:rPr>
                <w:rFonts w:hint="eastAsia"/>
                <w:szCs w:val="21"/>
              </w:rPr>
              <w:t>□施工图</w:t>
            </w:r>
          </w:p>
        </w:tc>
        <w:tc>
          <w:tcPr>
            <w:tcW w:w="1141" w:type="dxa"/>
            <w:vMerge w:val="restart"/>
            <w:tcBorders>
              <w:top w:val="nil"/>
              <w:left w:val="nil"/>
              <w:right w:val="single" w:color="auto" w:sz="4" w:space="0"/>
            </w:tcBorders>
            <w:vAlign w:val="center"/>
          </w:tcPr>
          <w:p w14:paraId="569FE884">
            <w:pPr>
              <w:widowControl/>
              <w:rPr>
                <w:szCs w:val="21"/>
              </w:rPr>
            </w:pPr>
            <w:r>
              <w:rPr>
                <w:rFonts w:hint="eastAsia"/>
                <w:szCs w:val="21"/>
              </w:rPr>
              <w:t>□新建</w:t>
            </w:r>
          </w:p>
          <w:p w14:paraId="35C413CA">
            <w:pPr>
              <w:widowControl/>
              <w:jc w:val="left"/>
              <w:rPr>
                <w:rFonts w:ascii="宋体" w:hAnsi="宋体" w:cs="宋体"/>
                <w:kern w:val="0"/>
                <w:sz w:val="22"/>
                <w:szCs w:val="22"/>
              </w:rPr>
            </w:pPr>
            <w:r>
              <w:rPr>
                <w:rFonts w:hint="eastAsia"/>
                <w:szCs w:val="21"/>
              </w:rPr>
              <w:t>□改扩建</w:t>
            </w:r>
          </w:p>
        </w:tc>
        <w:tc>
          <w:tcPr>
            <w:tcW w:w="1070" w:type="dxa"/>
            <w:tcBorders>
              <w:top w:val="nil"/>
              <w:left w:val="nil"/>
              <w:bottom w:val="single" w:color="auto" w:sz="4" w:space="0"/>
              <w:right w:val="single" w:color="auto" w:sz="4" w:space="0"/>
            </w:tcBorders>
            <w:vAlign w:val="center"/>
          </w:tcPr>
          <w:p w14:paraId="73D4775D">
            <w:pPr>
              <w:widowControl/>
              <w:jc w:val="left"/>
              <w:rPr>
                <w:rFonts w:ascii="宋体" w:hAnsi="宋体" w:cs="宋体"/>
                <w:kern w:val="0"/>
                <w:sz w:val="20"/>
                <w:szCs w:val="20"/>
              </w:rPr>
            </w:pPr>
          </w:p>
        </w:tc>
        <w:tc>
          <w:tcPr>
            <w:tcW w:w="1147" w:type="dxa"/>
            <w:tcBorders>
              <w:top w:val="nil"/>
              <w:left w:val="nil"/>
              <w:bottom w:val="single" w:color="auto" w:sz="4" w:space="0"/>
              <w:right w:val="single" w:color="auto" w:sz="4" w:space="0"/>
            </w:tcBorders>
            <w:vAlign w:val="center"/>
          </w:tcPr>
          <w:p w14:paraId="06D093BB">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0371EE79">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132E2D93">
            <w:pPr>
              <w:widowControl/>
              <w:jc w:val="left"/>
              <w:rPr>
                <w:rFonts w:ascii="宋体" w:hAnsi="宋体" w:cs="宋体"/>
                <w:kern w:val="0"/>
                <w:sz w:val="20"/>
                <w:szCs w:val="20"/>
              </w:rPr>
            </w:pPr>
          </w:p>
        </w:tc>
        <w:tc>
          <w:tcPr>
            <w:tcW w:w="1318" w:type="dxa"/>
            <w:vMerge w:val="restart"/>
            <w:tcBorders>
              <w:top w:val="nil"/>
              <w:left w:val="nil"/>
              <w:right w:val="single" w:color="auto" w:sz="4" w:space="0"/>
            </w:tcBorders>
            <w:vAlign w:val="center"/>
          </w:tcPr>
          <w:p w14:paraId="23F7D8FF">
            <w:pPr>
              <w:widowControl/>
              <w:ind w:left="-105" w:leftChars="-50"/>
              <w:jc w:val="center"/>
              <w:rPr>
                <w:rFonts w:ascii="宋体" w:hAnsi="宋体" w:cs="宋体"/>
                <w:kern w:val="0"/>
                <w:sz w:val="20"/>
                <w:szCs w:val="20"/>
              </w:rPr>
            </w:pPr>
            <w:r>
              <w:rPr>
                <w:rFonts w:hint="eastAsia" w:ascii="宋体" w:hAnsi="宋体" w:cs="宋体"/>
                <w:kern w:val="0"/>
                <w:sz w:val="20"/>
                <w:szCs w:val="20"/>
              </w:rPr>
              <w:t>附件C</w:t>
            </w:r>
            <w:r>
              <w:rPr>
                <w:rFonts w:hint="eastAsia" w:ascii="宋体" w:hAnsi="宋体" w:cs="宋体"/>
                <w:kern w:val="0"/>
                <w:sz w:val="20"/>
                <w:szCs w:val="20"/>
                <w:lang w:val="en-US" w:eastAsia="zh-CN"/>
              </w:rPr>
              <w:t>1-</w:t>
            </w:r>
            <w:r>
              <w:rPr>
                <w:rFonts w:ascii="宋体" w:hAnsi="宋体" w:cs="宋体"/>
                <w:kern w:val="0"/>
                <w:sz w:val="20"/>
                <w:szCs w:val="20"/>
              </w:rPr>
              <w:t>2</w:t>
            </w:r>
            <w:r>
              <w:rPr>
                <w:rFonts w:hint="eastAsia" w:ascii="宋体" w:hAnsi="宋体" w:cs="宋体"/>
                <w:kern w:val="0"/>
                <w:sz w:val="20"/>
                <w:szCs w:val="20"/>
              </w:rPr>
              <w:t>.2</w:t>
            </w:r>
          </w:p>
        </w:tc>
      </w:tr>
      <w:tr w14:paraId="262BA8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vMerge w:val="continue"/>
            <w:tcBorders>
              <w:left w:val="single" w:color="auto" w:sz="4" w:space="0"/>
              <w:right w:val="single" w:color="auto" w:sz="4" w:space="0"/>
            </w:tcBorders>
            <w:vAlign w:val="center"/>
          </w:tcPr>
          <w:p w14:paraId="55EC0861">
            <w:pPr>
              <w:widowControl/>
              <w:jc w:val="center"/>
              <w:rPr>
                <w:rFonts w:ascii="宋体" w:hAnsi="宋体" w:cs="宋体"/>
                <w:kern w:val="0"/>
                <w:sz w:val="20"/>
                <w:szCs w:val="20"/>
              </w:rPr>
            </w:pPr>
          </w:p>
        </w:tc>
        <w:tc>
          <w:tcPr>
            <w:tcW w:w="1931" w:type="dxa"/>
            <w:vMerge w:val="continue"/>
            <w:tcBorders>
              <w:left w:val="nil"/>
              <w:right w:val="single" w:color="auto" w:sz="4" w:space="0"/>
            </w:tcBorders>
            <w:vAlign w:val="center"/>
          </w:tcPr>
          <w:p w14:paraId="500BBA04">
            <w:pPr>
              <w:widowControl/>
              <w:jc w:val="left"/>
              <w:rPr>
                <w:rFonts w:ascii="宋体" w:hAnsi="宋体" w:cs="宋体"/>
                <w:kern w:val="0"/>
                <w:sz w:val="20"/>
                <w:szCs w:val="20"/>
              </w:rPr>
            </w:pPr>
          </w:p>
        </w:tc>
        <w:tc>
          <w:tcPr>
            <w:tcW w:w="1569" w:type="dxa"/>
            <w:vMerge w:val="continue"/>
            <w:tcBorders>
              <w:left w:val="nil"/>
              <w:right w:val="single" w:color="auto" w:sz="4" w:space="0"/>
            </w:tcBorders>
            <w:vAlign w:val="center"/>
          </w:tcPr>
          <w:p w14:paraId="02FEA424">
            <w:pPr>
              <w:widowControl/>
              <w:jc w:val="left"/>
              <w:rPr>
                <w:rFonts w:ascii="宋体" w:hAnsi="宋体" w:cs="宋体"/>
                <w:kern w:val="0"/>
                <w:sz w:val="20"/>
                <w:szCs w:val="20"/>
              </w:rPr>
            </w:pPr>
          </w:p>
        </w:tc>
        <w:tc>
          <w:tcPr>
            <w:tcW w:w="856" w:type="dxa"/>
            <w:vMerge w:val="continue"/>
            <w:tcBorders>
              <w:left w:val="nil"/>
              <w:right w:val="single" w:color="auto" w:sz="4" w:space="0"/>
            </w:tcBorders>
            <w:vAlign w:val="center"/>
          </w:tcPr>
          <w:p w14:paraId="23D57903">
            <w:pPr>
              <w:widowControl/>
              <w:jc w:val="left"/>
              <w:rPr>
                <w:rFonts w:ascii="宋体" w:hAnsi="宋体" w:cs="宋体"/>
                <w:kern w:val="0"/>
                <w:sz w:val="20"/>
                <w:szCs w:val="20"/>
              </w:rPr>
            </w:pPr>
          </w:p>
        </w:tc>
        <w:tc>
          <w:tcPr>
            <w:tcW w:w="1141" w:type="dxa"/>
            <w:vMerge w:val="continue"/>
            <w:tcBorders>
              <w:left w:val="nil"/>
              <w:right w:val="single" w:color="auto" w:sz="4" w:space="0"/>
            </w:tcBorders>
            <w:vAlign w:val="center"/>
          </w:tcPr>
          <w:p w14:paraId="66C00088">
            <w:pPr>
              <w:widowControl/>
              <w:rPr>
                <w:szCs w:val="21"/>
              </w:rPr>
            </w:pPr>
          </w:p>
        </w:tc>
        <w:tc>
          <w:tcPr>
            <w:tcW w:w="1141" w:type="dxa"/>
            <w:vMerge w:val="continue"/>
            <w:tcBorders>
              <w:left w:val="nil"/>
              <w:right w:val="single" w:color="auto" w:sz="4" w:space="0"/>
            </w:tcBorders>
            <w:vAlign w:val="center"/>
          </w:tcPr>
          <w:p w14:paraId="197CD065">
            <w:pPr>
              <w:widowControl/>
              <w:rPr>
                <w:szCs w:val="21"/>
              </w:rPr>
            </w:pPr>
          </w:p>
        </w:tc>
        <w:tc>
          <w:tcPr>
            <w:tcW w:w="1070" w:type="dxa"/>
            <w:tcBorders>
              <w:top w:val="nil"/>
              <w:left w:val="nil"/>
              <w:bottom w:val="single" w:color="auto" w:sz="4" w:space="0"/>
              <w:right w:val="single" w:color="auto" w:sz="4" w:space="0"/>
            </w:tcBorders>
            <w:vAlign w:val="center"/>
          </w:tcPr>
          <w:p w14:paraId="200B2107">
            <w:pPr>
              <w:widowControl/>
              <w:jc w:val="left"/>
              <w:rPr>
                <w:rFonts w:ascii="宋体" w:hAnsi="宋体" w:cs="宋体"/>
                <w:kern w:val="0"/>
                <w:sz w:val="20"/>
                <w:szCs w:val="20"/>
              </w:rPr>
            </w:pPr>
          </w:p>
        </w:tc>
        <w:tc>
          <w:tcPr>
            <w:tcW w:w="1147" w:type="dxa"/>
            <w:tcBorders>
              <w:top w:val="nil"/>
              <w:left w:val="nil"/>
              <w:bottom w:val="single" w:color="auto" w:sz="4" w:space="0"/>
              <w:right w:val="single" w:color="auto" w:sz="4" w:space="0"/>
            </w:tcBorders>
            <w:vAlign w:val="center"/>
          </w:tcPr>
          <w:p w14:paraId="5C70D7AD">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17CD2F4D">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4AB1D4EB">
            <w:pPr>
              <w:widowControl/>
              <w:jc w:val="left"/>
              <w:rPr>
                <w:rFonts w:ascii="宋体" w:hAnsi="宋体" w:cs="宋体"/>
                <w:kern w:val="0"/>
                <w:sz w:val="20"/>
                <w:szCs w:val="20"/>
              </w:rPr>
            </w:pPr>
          </w:p>
        </w:tc>
        <w:tc>
          <w:tcPr>
            <w:tcW w:w="1318" w:type="dxa"/>
            <w:vMerge w:val="continue"/>
            <w:tcBorders>
              <w:left w:val="nil"/>
              <w:right w:val="single" w:color="auto" w:sz="4" w:space="0"/>
            </w:tcBorders>
            <w:vAlign w:val="center"/>
          </w:tcPr>
          <w:p w14:paraId="245C4CD3">
            <w:pPr>
              <w:widowControl/>
              <w:ind w:left="-105" w:leftChars="-50"/>
              <w:jc w:val="center"/>
              <w:rPr>
                <w:rFonts w:ascii="宋体" w:hAnsi="宋体" w:cs="宋体"/>
                <w:kern w:val="0"/>
                <w:sz w:val="20"/>
                <w:szCs w:val="20"/>
              </w:rPr>
            </w:pPr>
          </w:p>
        </w:tc>
      </w:tr>
      <w:tr w14:paraId="7A82E3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vMerge w:val="continue"/>
            <w:tcBorders>
              <w:left w:val="single" w:color="auto" w:sz="4" w:space="0"/>
              <w:bottom w:val="single" w:color="auto" w:sz="4" w:space="0"/>
              <w:right w:val="single" w:color="auto" w:sz="4" w:space="0"/>
            </w:tcBorders>
            <w:vAlign w:val="center"/>
          </w:tcPr>
          <w:p w14:paraId="246C1790">
            <w:pPr>
              <w:widowControl/>
              <w:jc w:val="center"/>
              <w:rPr>
                <w:rFonts w:ascii="宋体" w:hAnsi="宋体" w:cs="宋体"/>
                <w:kern w:val="0"/>
                <w:sz w:val="20"/>
                <w:szCs w:val="20"/>
              </w:rPr>
            </w:pPr>
          </w:p>
        </w:tc>
        <w:tc>
          <w:tcPr>
            <w:tcW w:w="1931" w:type="dxa"/>
            <w:vMerge w:val="continue"/>
            <w:tcBorders>
              <w:left w:val="nil"/>
              <w:bottom w:val="single" w:color="auto" w:sz="4" w:space="0"/>
              <w:right w:val="single" w:color="auto" w:sz="4" w:space="0"/>
            </w:tcBorders>
            <w:vAlign w:val="center"/>
          </w:tcPr>
          <w:p w14:paraId="69C851D4">
            <w:pPr>
              <w:widowControl/>
              <w:jc w:val="left"/>
              <w:rPr>
                <w:rFonts w:ascii="宋体" w:hAnsi="宋体" w:cs="宋体"/>
                <w:kern w:val="0"/>
                <w:sz w:val="20"/>
                <w:szCs w:val="20"/>
              </w:rPr>
            </w:pPr>
          </w:p>
        </w:tc>
        <w:tc>
          <w:tcPr>
            <w:tcW w:w="1569" w:type="dxa"/>
            <w:vMerge w:val="continue"/>
            <w:tcBorders>
              <w:left w:val="nil"/>
              <w:bottom w:val="single" w:color="auto" w:sz="4" w:space="0"/>
              <w:right w:val="single" w:color="auto" w:sz="4" w:space="0"/>
            </w:tcBorders>
            <w:vAlign w:val="center"/>
          </w:tcPr>
          <w:p w14:paraId="3D853E59">
            <w:pPr>
              <w:widowControl/>
              <w:jc w:val="left"/>
              <w:rPr>
                <w:rFonts w:ascii="宋体" w:hAnsi="宋体" w:cs="宋体"/>
                <w:kern w:val="0"/>
                <w:sz w:val="20"/>
                <w:szCs w:val="20"/>
              </w:rPr>
            </w:pPr>
          </w:p>
        </w:tc>
        <w:tc>
          <w:tcPr>
            <w:tcW w:w="856" w:type="dxa"/>
            <w:vMerge w:val="continue"/>
            <w:tcBorders>
              <w:left w:val="nil"/>
              <w:bottom w:val="single" w:color="auto" w:sz="4" w:space="0"/>
              <w:right w:val="single" w:color="auto" w:sz="4" w:space="0"/>
            </w:tcBorders>
            <w:vAlign w:val="center"/>
          </w:tcPr>
          <w:p w14:paraId="4B931798">
            <w:pPr>
              <w:widowControl/>
              <w:jc w:val="left"/>
              <w:rPr>
                <w:rFonts w:ascii="宋体" w:hAnsi="宋体" w:cs="宋体"/>
                <w:kern w:val="0"/>
                <w:sz w:val="20"/>
                <w:szCs w:val="20"/>
              </w:rPr>
            </w:pPr>
          </w:p>
        </w:tc>
        <w:tc>
          <w:tcPr>
            <w:tcW w:w="1141" w:type="dxa"/>
            <w:vMerge w:val="continue"/>
            <w:tcBorders>
              <w:left w:val="nil"/>
              <w:bottom w:val="single" w:color="auto" w:sz="4" w:space="0"/>
              <w:right w:val="single" w:color="auto" w:sz="4" w:space="0"/>
            </w:tcBorders>
            <w:vAlign w:val="center"/>
          </w:tcPr>
          <w:p w14:paraId="0607BCAD">
            <w:pPr>
              <w:widowControl/>
              <w:rPr>
                <w:szCs w:val="21"/>
              </w:rPr>
            </w:pPr>
          </w:p>
        </w:tc>
        <w:tc>
          <w:tcPr>
            <w:tcW w:w="1141" w:type="dxa"/>
            <w:vMerge w:val="continue"/>
            <w:tcBorders>
              <w:left w:val="nil"/>
              <w:bottom w:val="single" w:color="auto" w:sz="4" w:space="0"/>
              <w:right w:val="single" w:color="auto" w:sz="4" w:space="0"/>
            </w:tcBorders>
            <w:vAlign w:val="center"/>
          </w:tcPr>
          <w:p w14:paraId="5759F5CC">
            <w:pPr>
              <w:widowControl/>
              <w:rPr>
                <w:szCs w:val="21"/>
              </w:rPr>
            </w:pPr>
          </w:p>
        </w:tc>
        <w:tc>
          <w:tcPr>
            <w:tcW w:w="1070" w:type="dxa"/>
            <w:tcBorders>
              <w:top w:val="nil"/>
              <w:left w:val="nil"/>
              <w:bottom w:val="single" w:color="auto" w:sz="4" w:space="0"/>
              <w:right w:val="single" w:color="auto" w:sz="4" w:space="0"/>
            </w:tcBorders>
            <w:vAlign w:val="center"/>
          </w:tcPr>
          <w:p w14:paraId="11E44364">
            <w:pPr>
              <w:widowControl/>
              <w:jc w:val="center"/>
              <w:rPr>
                <w:rFonts w:ascii="宋体" w:hAnsi="宋体" w:cs="宋体"/>
                <w:kern w:val="0"/>
                <w:sz w:val="20"/>
                <w:szCs w:val="20"/>
              </w:rPr>
            </w:pPr>
            <w:r>
              <w:rPr>
                <w:rFonts w:ascii="宋体" w:hAnsi="宋体" w:cs="宋体"/>
                <w:kern w:val="0"/>
                <w:szCs w:val="21"/>
              </w:rPr>
              <w:t>…</w:t>
            </w:r>
          </w:p>
        </w:tc>
        <w:tc>
          <w:tcPr>
            <w:tcW w:w="1147" w:type="dxa"/>
            <w:tcBorders>
              <w:top w:val="nil"/>
              <w:left w:val="nil"/>
              <w:bottom w:val="single" w:color="auto" w:sz="4" w:space="0"/>
              <w:right w:val="single" w:color="auto" w:sz="4" w:space="0"/>
            </w:tcBorders>
            <w:vAlign w:val="center"/>
          </w:tcPr>
          <w:p w14:paraId="081B0AD1">
            <w:pPr>
              <w:widowControl/>
              <w:jc w:val="center"/>
              <w:rPr>
                <w:rFonts w:ascii="宋体" w:hAnsi="宋体" w:cs="宋体"/>
                <w:kern w:val="0"/>
                <w:sz w:val="20"/>
                <w:szCs w:val="20"/>
              </w:rPr>
            </w:pPr>
            <w:r>
              <w:rPr>
                <w:rFonts w:ascii="宋体" w:hAnsi="宋体" w:cs="宋体"/>
                <w:kern w:val="0"/>
                <w:szCs w:val="21"/>
              </w:rPr>
              <w:t>…</w:t>
            </w:r>
          </w:p>
        </w:tc>
        <w:tc>
          <w:tcPr>
            <w:tcW w:w="1173" w:type="dxa"/>
            <w:tcBorders>
              <w:top w:val="nil"/>
              <w:left w:val="nil"/>
              <w:bottom w:val="single" w:color="auto" w:sz="4" w:space="0"/>
              <w:right w:val="single" w:color="auto" w:sz="4" w:space="0"/>
            </w:tcBorders>
            <w:vAlign w:val="center"/>
          </w:tcPr>
          <w:p w14:paraId="43674709">
            <w:pPr>
              <w:widowControl/>
              <w:jc w:val="center"/>
              <w:rPr>
                <w:rFonts w:ascii="宋体" w:hAnsi="宋体" w:cs="宋体"/>
                <w:kern w:val="0"/>
                <w:sz w:val="20"/>
                <w:szCs w:val="20"/>
              </w:rPr>
            </w:pPr>
            <w:r>
              <w:rPr>
                <w:rFonts w:ascii="宋体" w:hAnsi="宋体" w:cs="宋体"/>
                <w:kern w:val="0"/>
                <w:szCs w:val="21"/>
              </w:rPr>
              <w:t>…</w:t>
            </w:r>
          </w:p>
        </w:tc>
        <w:tc>
          <w:tcPr>
            <w:tcW w:w="1712" w:type="dxa"/>
            <w:tcBorders>
              <w:top w:val="nil"/>
              <w:left w:val="nil"/>
              <w:bottom w:val="single" w:color="auto" w:sz="4" w:space="0"/>
              <w:right w:val="single" w:color="auto" w:sz="4" w:space="0"/>
            </w:tcBorders>
            <w:vAlign w:val="center"/>
          </w:tcPr>
          <w:p w14:paraId="7D105FA6">
            <w:pPr>
              <w:widowControl/>
              <w:jc w:val="center"/>
              <w:rPr>
                <w:rFonts w:ascii="宋体" w:hAnsi="宋体" w:cs="宋体"/>
                <w:kern w:val="0"/>
                <w:sz w:val="20"/>
                <w:szCs w:val="20"/>
              </w:rPr>
            </w:pPr>
            <w:r>
              <w:rPr>
                <w:rFonts w:ascii="宋体" w:hAnsi="宋体" w:cs="宋体"/>
                <w:kern w:val="0"/>
                <w:szCs w:val="21"/>
              </w:rPr>
              <w:t>…</w:t>
            </w:r>
          </w:p>
        </w:tc>
        <w:tc>
          <w:tcPr>
            <w:tcW w:w="1318" w:type="dxa"/>
            <w:vMerge w:val="continue"/>
            <w:tcBorders>
              <w:left w:val="nil"/>
              <w:bottom w:val="single" w:color="auto" w:sz="4" w:space="0"/>
              <w:right w:val="single" w:color="auto" w:sz="4" w:space="0"/>
            </w:tcBorders>
            <w:vAlign w:val="center"/>
          </w:tcPr>
          <w:p w14:paraId="68F07098">
            <w:pPr>
              <w:widowControl/>
              <w:ind w:left="-105" w:leftChars="-50"/>
              <w:jc w:val="center"/>
              <w:rPr>
                <w:rFonts w:ascii="宋体" w:hAnsi="宋体" w:cs="宋体"/>
                <w:kern w:val="0"/>
                <w:sz w:val="20"/>
                <w:szCs w:val="20"/>
              </w:rPr>
            </w:pPr>
          </w:p>
        </w:tc>
      </w:tr>
      <w:tr w14:paraId="62D293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vMerge w:val="restart"/>
            <w:tcBorders>
              <w:top w:val="nil"/>
              <w:left w:val="single" w:color="auto" w:sz="4" w:space="0"/>
              <w:right w:val="single" w:color="auto" w:sz="4" w:space="0"/>
            </w:tcBorders>
            <w:vAlign w:val="center"/>
          </w:tcPr>
          <w:p w14:paraId="55A6819D">
            <w:pPr>
              <w:widowControl/>
              <w:jc w:val="center"/>
              <w:rPr>
                <w:rFonts w:ascii="宋体" w:hAnsi="宋体" w:cs="宋体"/>
                <w:kern w:val="0"/>
                <w:sz w:val="20"/>
                <w:szCs w:val="20"/>
              </w:rPr>
            </w:pPr>
          </w:p>
        </w:tc>
        <w:tc>
          <w:tcPr>
            <w:tcW w:w="1931" w:type="dxa"/>
            <w:vMerge w:val="restart"/>
            <w:tcBorders>
              <w:top w:val="nil"/>
              <w:left w:val="nil"/>
              <w:right w:val="single" w:color="auto" w:sz="4" w:space="0"/>
            </w:tcBorders>
            <w:vAlign w:val="center"/>
          </w:tcPr>
          <w:p w14:paraId="68D00A68">
            <w:pPr>
              <w:widowControl/>
              <w:jc w:val="left"/>
              <w:rPr>
                <w:rFonts w:ascii="宋体" w:hAnsi="宋体" w:cs="宋体"/>
                <w:kern w:val="0"/>
                <w:sz w:val="20"/>
                <w:szCs w:val="20"/>
              </w:rPr>
            </w:pPr>
            <w:r>
              <w:rPr>
                <w:rFonts w:hint="eastAsia" w:ascii="宋体" w:hAnsi="宋体" w:cs="宋体"/>
                <w:kern w:val="0"/>
                <w:sz w:val="20"/>
                <w:szCs w:val="20"/>
              </w:rPr>
              <w:t>　</w:t>
            </w:r>
          </w:p>
        </w:tc>
        <w:tc>
          <w:tcPr>
            <w:tcW w:w="1569" w:type="dxa"/>
            <w:vMerge w:val="restart"/>
            <w:tcBorders>
              <w:top w:val="nil"/>
              <w:left w:val="nil"/>
              <w:right w:val="single" w:color="auto" w:sz="4" w:space="0"/>
            </w:tcBorders>
            <w:vAlign w:val="center"/>
          </w:tcPr>
          <w:p w14:paraId="33499635">
            <w:pPr>
              <w:widowControl/>
              <w:jc w:val="left"/>
              <w:rPr>
                <w:rFonts w:ascii="宋体" w:hAnsi="宋体" w:cs="宋体"/>
                <w:kern w:val="0"/>
                <w:sz w:val="20"/>
                <w:szCs w:val="20"/>
              </w:rPr>
            </w:pPr>
          </w:p>
        </w:tc>
        <w:tc>
          <w:tcPr>
            <w:tcW w:w="856" w:type="dxa"/>
            <w:vMerge w:val="restart"/>
            <w:tcBorders>
              <w:top w:val="nil"/>
              <w:left w:val="nil"/>
              <w:right w:val="single" w:color="auto" w:sz="4" w:space="0"/>
            </w:tcBorders>
            <w:vAlign w:val="center"/>
          </w:tcPr>
          <w:p w14:paraId="0D46743A">
            <w:pPr>
              <w:widowControl/>
              <w:jc w:val="left"/>
              <w:rPr>
                <w:rFonts w:ascii="宋体" w:hAnsi="宋体" w:cs="宋体"/>
                <w:kern w:val="0"/>
                <w:sz w:val="20"/>
                <w:szCs w:val="20"/>
              </w:rPr>
            </w:pPr>
          </w:p>
        </w:tc>
        <w:tc>
          <w:tcPr>
            <w:tcW w:w="1141" w:type="dxa"/>
            <w:vMerge w:val="restart"/>
            <w:tcBorders>
              <w:top w:val="nil"/>
              <w:left w:val="nil"/>
              <w:right w:val="single" w:color="auto" w:sz="4" w:space="0"/>
            </w:tcBorders>
            <w:vAlign w:val="center"/>
          </w:tcPr>
          <w:p w14:paraId="62A72827">
            <w:pPr>
              <w:widowControl/>
              <w:jc w:val="left"/>
              <w:rPr>
                <w:szCs w:val="21"/>
              </w:rPr>
            </w:pPr>
            <w:r>
              <w:rPr>
                <w:rFonts w:hint="eastAsia"/>
                <w:szCs w:val="21"/>
              </w:rPr>
              <w:t>□初步</w:t>
            </w:r>
          </w:p>
          <w:p w14:paraId="3A435109">
            <w:pPr>
              <w:widowControl/>
              <w:jc w:val="left"/>
              <w:rPr>
                <w:rFonts w:ascii="宋体" w:hAnsi="宋体" w:cs="宋体"/>
                <w:kern w:val="0"/>
                <w:szCs w:val="21"/>
              </w:rPr>
            </w:pPr>
            <w:r>
              <w:rPr>
                <w:rFonts w:hint="eastAsia"/>
                <w:szCs w:val="21"/>
              </w:rPr>
              <w:t>□施工图</w:t>
            </w:r>
          </w:p>
        </w:tc>
        <w:tc>
          <w:tcPr>
            <w:tcW w:w="1141" w:type="dxa"/>
            <w:vMerge w:val="restart"/>
            <w:tcBorders>
              <w:top w:val="nil"/>
              <w:left w:val="nil"/>
              <w:right w:val="single" w:color="auto" w:sz="4" w:space="0"/>
            </w:tcBorders>
            <w:vAlign w:val="center"/>
          </w:tcPr>
          <w:p w14:paraId="18525F17">
            <w:pPr>
              <w:widowControl/>
              <w:rPr>
                <w:szCs w:val="21"/>
              </w:rPr>
            </w:pPr>
            <w:r>
              <w:rPr>
                <w:rFonts w:hint="eastAsia"/>
                <w:szCs w:val="21"/>
              </w:rPr>
              <w:t>□新建</w:t>
            </w:r>
          </w:p>
          <w:p w14:paraId="3A1DC4E7">
            <w:pPr>
              <w:widowControl/>
              <w:jc w:val="left"/>
              <w:rPr>
                <w:rFonts w:ascii="宋体" w:hAnsi="宋体" w:cs="宋体"/>
                <w:kern w:val="0"/>
                <w:sz w:val="22"/>
                <w:szCs w:val="22"/>
              </w:rPr>
            </w:pPr>
            <w:r>
              <w:rPr>
                <w:rFonts w:hint="eastAsia"/>
                <w:szCs w:val="21"/>
              </w:rPr>
              <w:t>□改扩建</w:t>
            </w:r>
          </w:p>
        </w:tc>
        <w:tc>
          <w:tcPr>
            <w:tcW w:w="1070" w:type="dxa"/>
            <w:tcBorders>
              <w:top w:val="nil"/>
              <w:left w:val="nil"/>
              <w:bottom w:val="single" w:color="auto" w:sz="4" w:space="0"/>
              <w:right w:val="single" w:color="auto" w:sz="4" w:space="0"/>
            </w:tcBorders>
            <w:vAlign w:val="center"/>
          </w:tcPr>
          <w:p w14:paraId="2188E040">
            <w:pPr>
              <w:widowControl/>
              <w:jc w:val="left"/>
              <w:rPr>
                <w:rFonts w:ascii="宋体" w:hAnsi="宋体" w:cs="宋体"/>
                <w:kern w:val="0"/>
                <w:sz w:val="20"/>
                <w:szCs w:val="20"/>
              </w:rPr>
            </w:pPr>
            <w:r>
              <w:rPr>
                <w:rFonts w:hint="eastAsia" w:ascii="宋体" w:hAnsi="宋体" w:cs="宋体"/>
                <w:kern w:val="0"/>
                <w:sz w:val="20"/>
                <w:szCs w:val="20"/>
              </w:rPr>
              <w:t>　</w:t>
            </w:r>
          </w:p>
        </w:tc>
        <w:tc>
          <w:tcPr>
            <w:tcW w:w="1147" w:type="dxa"/>
            <w:tcBorders>
              <w:top w:val="nil"/>
              <w:left w:val="nil"/>
              <w:bottom w:val="single" w:color="auto" w:sz="4" w:space="0"/>
              <w:right w:val="single" w:color="auto" w:sz="4" w:space="0"/>
            </w:tcBorders>
            <w:vAlign w:val="center"/>
          </w:tcPr>
          <w:p w14:paraId="1917BAD9">
            <w:pPr>
              <w:widowControl/>
              <w:jc w:val="left"/>
              <w:rPr>
                <w:rFonts w:ascii="宋体" w:hAnsi="宋体" w:cs="宋体"/>
                <w:kern w:val="0"/>
                <w:sz w:val="20"/>
                <w:szCs w:val="20"/>
              </w:rPr>
            </w:pPr>
          </w:p>
        </w:tc>
        <w:tc>
          <w:tcPr>
            <w:tcW w:w="1173" w:type="dxa"/>
            <w:tcBorders>
              <w:top w:val="nil"/>
              <w:left w:val="nil"/>
              <w:bottom w:val="single" w:color="auto" w:sz="4" w:space="0"/>
              <w:right w:val="single" w:color="auto" w:sz="4" w:space="0"/>
            </w:tcBorders>
            <w:vAlign w:val="center"/>
          </w:tcPr>
          <w:p w14:paraId="5E89D973">
            <w:pPr>
              <w:widowControl/>
              <w:jc w:val="left"/>
              <w:rPr>
                <w:rFonts w:ascii="宋体" w:hAnsi="宋体" w:cs="宋体"/>
                <w:kern w:val="0"/>
                <w:sz w:val="20"/>
                <w:szCs w:val="20"/>
              </w:rPr>
            </w:pPr>
          </w:p>
        </w:tc>
        <w:tc>
          <w:tcPr>
            <w:tcW w:w="1712" w:type="dxa"/>
            <w:tcBorders>
              <w:top w:val="nil"/>
              <w:left w:val="nil"/>
              <w:bottom w:val="single" w:color="auto" w:sz="4" w:space="0"/>
              <w:right w:val="single" w:color="auto" w:sz="4" w:space="0"/>
            </w:tcBorders>
            <w:vAlign w:val="center"/>
          </w:tcPr>
          <w:p w14:paraId="1132FACF">
            <w:pPr>
              <w:widowControl/>
              <w:jc w:val="left"/>
              <w:rPr>
                <w:rFonts w:ascii="宋体" w:hAnsi="宋体" w:cs="宋体"/>
                <w:kern w:val="0"/>
                <w:sz w:val="20"/>
                <w:szCs w:val="20"/>
              </w:rPr>
            </w:pPr>
            <w:r>
              <w:rPr>
                <w:rFonts w:hint="eastAsia" w:ascii="宋体" w:hAnsi="宋体" w:cs="宋体"/>
                <w:kern w:val="0"/>
                <w:sz w:val="20"/>
                <w:szCs w:val="20"/>
              </w:rPr>
              <w:t>　</w:t>
            </w:r>
          </w:p>
        </w:tc>
        <w:tc>
          <w:tcPr>
            <w:tcW w:w="1318" w:type="dxa"/>
            <w:vMerge w:val="restart"/>
            <w:tcBorders>
              <w:top w:val="nil"/>
              <w:left w:val="nil"/>
              <w:right w:val="single" w:color="auto" w:sz="4" w:space="0"/>
            </w:tcBorders>
            <w:vAlign w:val="center"/>
          </w:tcPr>
          <w:p w14:paraId="22E035BA">
            <w:pPr>
              <w:widowControl/>
              <w:ind w:left="-105" w:leftChars="-50"/>
              <w:jc w:val="center"/>
              <w:rPr>
                <w:rFonts w:ascii="宋体" w:hAnsi="宋体" w:cs="宋体"/>
                <w:kern w:val="0"/>
                <w:sz w:val="20"/>
                <w:szCs w:val="20"/>
              </w:rPr>
            </w:pPr>
            <w:r>
              <w:rPr>
                <w:rFonts w:hint="eastAsia" w:ascii="宋体" w:hAnsi="宋体" w:cs="宋体"/>
                <w:kern w:val="0"/>
                <w:sz w:val="20"/>
                <w:szCs w:val="20"/>
              </w:rPr>
              <w:t>附件C</w:t>
            </w:r>
            <w:r>
              <w:rPr>
                <w:rFonts w:hint="eastAsia" w:ascii="宋体" w:hAnsi="宋体" w:cs="宋体"/>
                <w:kern w:val="0"/>
                <w:sz w:val="20"/>
                <w:szCs w:val="20"/>
                <w:lang w:val="en-US" w:eastAsia="zh-CN"/>
              </w:rPr>
              <w:t>1-</w:t>
            </w:r>
            <w:r>
              <w:rPr>
                <w:rFonts w:ascii="宋体" w:hAnsi="宋体" w:cs="宋体"/>
                <w:kern w:val="0"/>
                <w:sz w:val="20"/>
                <w:szCs w:val="20"/>
              </w:rPr>
              <w:t>2</w:t>
            </w:r>
            <w:r>
              <w:rPr>
                <w:rFonts w:hint="eastAsia" w:ascii="宋体" w:hAnsi="宋体" w:cs="宋体"/>
                <w:kern w:val="0"/>
                <w:sz w:val="20"/>
                <w:szCs w:val="20"/>
              </w:rPr>
              <w:t>.3</w:t>
            </w:r>
          </w:p>
        </w:tc>
      </w:tr>
      <w:tr w14:paraId="7EE391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vMerge w:val="continue"/>
            <w:tcBorders>
              <w:left w:val="single" w:color="auto" w:sz="4" w:space="0"/>
              <w:right w:val="single" w:color="auto" w:sz="4" w:space="0"/>
            </w:tcBorders>
            <w:vAlign w:val="center"/>
          </w:tcPr>
          <w:p w14:paraId="1FDCB10B">
            <w:pPr>
              <w:widowControl/>
              <w:jc w:val="center"/>
              <w:rPr>
                <w:rFonts w:ascii="宋体" w:hAnsi="宋体" w:cs="宋体"/>
                <w:kern w:val="0"/>
                <w:sz w:val="20"/>
                <w:szCs w:val="20"/>
              </w:rPr>
            </w:pPr>
          </w:p>
        </w:tc>
        <w:tc>
          <w:tcPr>
            <w:tcW w:w="1931" w:type="dxa"/>
            <w:vMerge w:val="continue"/>
            <w:tcBorders>
              <w:left w:val="nil"/>
              <w:right w:val="single" w:color="auto" w:sz="4" w:space="0"/>
            </w:tcBorders>
            <w:vAlign w:val="center"/>
          </w:tcPr>
          <w:p w14:paraId="060F452D">
            <w:pPr>
              <w:widowControl/>
              <w:jc w:val="left"/>
              <w:rPr>
                <w:rFonts w:ascii="宋体" w:hAnsi="宋体" w:cs="宋体"/>
                <w:kern w:val="0"/>
                <w:sz w:val="20"/>
                <w:szCs w:val="20"/>
              </w:rPr>
            </w:pPr>
          </w:p>
        </w:tc>
        <w:tc>
          <w:tcPr>
            <w:tcW w:w="1569" w:type="dxa"/>
            <w:vMerge w:val="continue"/>
            <w:tcBorders>
              <w:left w:val="nil"/>
              <w:right w:val="single" w:color="auto" w:sz="4" w:space="0"/>
            </w:tcBorders>
            <w:vAlign w:val="center"/>
          </w:tcPr>
          <w:p w14:paraId="2796E39A">
            <w:pPr>
              <w:widowControl/>
              <w:jc w:val="left"/>
              <w:rPr>
                <w:rFonts w:ascii="宋体" w:hAnsi="宋体" w:cs="宋体"/>
                <w:kern w:val="0"/>
                <w:sz w:val="20"/>
                <w:szCs w:val="20"/>
              </w:rPr>
            </w:pPr>
          </w:p>
        </w:tc>
        <w:tc>
          <w:tcPr>
            <w:tcW w:w="856" w:type="dxa"/>
            <w:vMerge w:val="continue"/>
            <w:tcBorders>
              <w:left w:val="nil"/>
              <w:right w:val="single" w:color="auto" w:sz="4" w:space="0"/>
            </w:tcBorders>
            <w:vAlign w:val="center"/>
          </w:tcPr>
          <w:p w14:paraId="5F586675">
            <w:pPr>
              <w:widowControl/>
              <w:jc w:val="left"/>
              <w:rPr>
                <w:rFonts w:ascii="宋体" w:hAnsi="宋体" w:cs="宋体"/>
                <w:kern w:val="0"/>
                <w:sz w:val="20"/>
                <w:szCs w:val="20"/>
              </w:rPr>
            </w:pPr>
          </w:p>
        </w:tc>
        <w:tc>
          <w:tcPr>
            <w:tcW w:w="1141" w:type="dxa"/>
            <w:vMerge w:val="continue"/>
            <w:tcBorders>
              <w:left w:val="nil"/>
              <w:right w:val="single" w:color="auto" w:sz="4" w:space="0"/>
            </w:tcBorders>
            <w:vAlign w:val="center"/>
          </w:tcPr>
          <w:p w14:paraId="117FCC49">
            <w:pPr>
              <w:widowControl/>
              <w:jc w:val="left"/>
              <w:rPr>
                <w:szCs w:val="21"/>
              </w:rPr>
            </w:pPr>
          </w:p>
        </w:tc>
        <w:tc>
          <w:tcPr>
            <w:tcW w:w="1141" w:type="dxa"/>
            <w:vMerge w:val="continue"/>
            <w:tcBorders>
              <w:left w:val="nil"/>
              <w:right w:val="single" w:color="auto" w:sz="4" w:space="0"/>
            </w:tcBorders>
            <w:vAlign w:val="center"/>
          </w:tcPr>
          <w:p w14:paraId="2C8D4EC2">
            <w:pPr>
              <w:widowControl/>
              <w:rPr>
                <w:szCs w:val="21"/>
              </w:rPr>
            </w:pPr>
          </w:p>
        </w:tc>
        <w:tc>
          <w:tcPr>
            <w:tcW w:w="1070" w:type="dxa"/>
            <w:tcBorders>
              <w:top w:val="single" w:color="auto" w:sz="4" w:space="0"/>
              <w:left w:val="nil"/>
              <w:bottom w:val="single" w:color="auto" w:sz="4" w:space="0"/>
              <w:right w:val="single" w:color="auto" w:sz="4" w:space="0"/>
            </w:tcBorders>
            <w:vAlign w:val="center"/>
          </w:tcPr>
          <w:p w14:paraId="5740F8BC">
            <w:pPr>
              <w:jc w:val="left"/>
              <w:rPr>
                <w:rFonts w:ascii="宋体" w:hAnsi="宋体" w:cs="宋体"/>
                <w:kern w:val="0"/>
                <w:sz w:val="20"/>
                <w:szCs w:val="20"/>
              </w:rPr>
            </w:pPr>
          </w:p>
        </w:tc>
        <w:tc>
          <w:tcPr>
            <w:tcW w:w="1147" w:type="dxa"/>
            <w:tcBorders>
              <w:top w:val="single" w:color="auto" w:sz="4" w:space="0"/>
              <w:left w:val="nil"/>
              <w:bottom w:val="single" w:color="auto" w:sz="4" w:space="0"/>
              <w:right w:val="single" w:color="auto" w:sz="4" w:space="0"/>
            </w:tcBorders>
            <w:vAlign w:val="center"/>
          </w:tcPr>
          <w:p w14:paraId="7FCE7F77">
            <w:pPr>
              <w:widowControl/>
              <w:jc w:val="left"/>
              <w:rPr>
                <w:rFonts w:ascii="宋体" w:hAnsi="宋体" w:cs="宋体"/>
                <w:kern w:val="0"/>
                <w:sz w:val="20"/>
                <w:szCs w:val="20"/>
              </w:rPr>
            </w:pPr>
          </w:p>
        </w:tc>
        <w:tc>
          <w:tcPr>
            <w:tcW w:w="1173" w:type="dxa"/>
            <w:tcBorders>
              <w:top w:val="single" w:color="auto" w:sz="4" w:space="0"/>
              <w:left w:val="nil"/>
              <w:bottom w:val="single" w:color="auto" w:sz="4" w:space="0"/>
              <w:right w:val="single" w:color="auto" w:sz="4" w:space="0"/>
            </w:tcBorders>
            <w:vAlign w:val="center"/>
          </w:tcPr>
          <w:p w14:paraId="5394A9C4">
            <w:pPr>
              <w:widowControl/>
              <w:jc w:val="left"/>
              <w:rPr>
                <w:rFonts w:ascii="宋体" w:hAnsi="宋体" w:cs="宋体"/>
                <w:kern w:val="0"/>
                <w:sz w:val="20"/>
                <w:szCs w:val="20"/>
              </w:rPr>
            </w:pPr>
          </w:p>
        </w:tc>
        <w:tc>
          <w:tcPr>
            <w:tcW w:w="1712" w:type="dxa"/>
            <w:tcBorders>
              <w:top w:val="single" w:color="auto" w:sz="4" w:space="0"/>
              <w:left w:val="nil"/>
              <w:bottom w:val="single" w:color="auto" w:sz="4" w:space="0"/>
              <w:right w:val="single" w:color="auto" w:sz="4" w:space="0"/>
            </w:tcBorders>
            <w:vAlign w:val="center"/>
          </w:tcPr>
          <w:p w14:paraId="221B127F">
            <w:pPr>
              <w:jc w:val="left"/>
              <w:rPr>
                <w:rFonts w:ascii="宋体" w:hAnsi="宋体" w:cs="宋体"/>
                <w:kern w:val="0"/>
                <w:sz w:val="20"/>
                <w:szCs w:val="20"/>
              </w:rPr>
            </w:pPr>
          </w:p>
        </w:tc>
        <w:tc>
          <w:tcPr>
            <w:tcW w:w="1318" w:type="dxa"/>
            <w:vMerge w:val="continue"/>
            <w:tcBorders>
              <w:left w:val="nil"/>
              <w:right w:val="single" w:color="auto" w:sz="4" w:space="0"/>
            </w:tcBorders>
            <w:vAlign w:val="center"/>
          </w:tcPr>
          <w:p w14:paraId="2256784F">
            <w:pPr>
              <w:widowControl/>
              <w:ind w:left="-105" w:leftChars="-50"/>
              <w:jc w:val="center"/>
              <w:rPr>
                <w:rFonts w:ascii="宋体" w:hAnsi="宋体" w:cs="宋体"/>
                <w:kern w:val="0"/>
                <w:sz w:val="20"/>
                <w:szCs w:val="20"/>
              </w:rPr>
            </w:pPr>
          </w:p>
        </w:tc>
      </w:tr>
      <w:tr w14:paraId="366C34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vMerge w:val="continue"/>
            <w:tcBorders>
              <w:left w:val="single" w:color="auto" w:sz="4" w:space="0"/>
              <w:bottom w:val="single" w:color="auto" w:sz="4" w:space="0"/>
              <w:right w:val="single" w:color="auto" w:sz="4" w:space="0"/>
            </w:tcBorders>
            <w:vAlign w:val="center"/>
          </w:tcPr>
          <w:p w14:paraId="3328E0CB">
            <w:pPr>
              <w:widowControl/>
              <w:jc w:val="center"/>
              <w:rPr>
                <w:rFonts w:ascii="宋体" w:hAnsi="宋体" w:cs="宋体"/>
                <w:kern w:val="0"/>
                <w:sz w:val="20"/>
                <w:szCs w:val="20"/>
              </w:rPr>
            </w:pPr>
          </w:p>
        </w:tc>
        <w:tc>
          <w:tcPr>
            <w:tcW w:w="1931" w:type="dxa"/>
            <w:vMerge w:val="continue"/>
            <w:tcBorders>
              <w:left w:val="nil"/>
              <w:bottom w:val="single" w:color="auto" w:sz="4" w:space="0"/>
              <w:right w:val="single" w:color="auto" w:sz="4" w:space="0"/>
            </w:tcBorders>
            <w:vAlign w:val="center"/>
          </w:tcPr>
          <w:p w14:paraId="577680CF">
            <w:pPr>
              <w:widowControl/>
              <w:jc w:val="left"/>
              <w:rPr>
                <w:rFonts w:ascii="宋体" w:hAnsi="宋体" w:cs="宋体"/>
                <w:kern w:val="0"/>
                <w:sz w:val="20"/>
                <w:szCs w:val="20"/>
              </w:rPr>
            </w:pPr>
          </w:p>
        </w:tc>
        <w:tc>
          <w:tcPr>
            <w:tcW w:w="1569" w:type="dxa"/>
            <w:vMerge w:val="continue"/>
            <w:tcBorders>
              <w:left w:val="nil"/>
              <w:bottom w:val="single" w:color="auto" w:sz="4" w:space="0"/>
              <w:right w:val="single" w:color="auto" w:sz="4" w:space="0"/>
            </w:tcBorders>
            <w:vAlign w:val="center"/>
          </w:tcPr>
          <w:p w14:paraId="1C75A162">
            <w:pPr>
              <w:widowControl/>
              <w:jc w:val="left"/>
              <w:rPr>
                <w:rFonts w:ascii="宋体" w:hAnsi="宋体" w:cs="宋体"/>
                <w:kern w:val="0"/>
                <w:sz w:val="20"/>
                <w:szCs w:val="20"/>
              </w:rPr>
            </w:pPr>
          </w:p>
        </w:tc>
        <w:tc>
          <w:tcPr>
            <w:tcW w:w="856" w:type="dxa"/>
            <w:vMerge w:val="continue"/>
            <w:tcBorders>
              <w:left w:val="nil"/>
              <w:bottom w:val="single" w:color="auto" w:sz="4" w:space="0"/>
              <w:right w:val="single" w:color="auto" w:sz="4" w:space="0"/>
            </w:tcBorders>
            <w:vAlign w:val="center"/>
          </w:tcPr>
          <w:p w14:paraId="02A12E17">
            <w:pPr>
              <w:widowControl/>
              <w:jc w:val="left"/>
              <w:rPr>
                <w:rFonts w:ascii="宋体" w:hAnsi="宋体" w:cs="宋体"/>
                <w:kern w:val="0"/>
                <w:sz w:val="20"/>
                <w:szCs w:val="20"/>
              </w:rPr>
            </w:pPr>
          </w:p>
        </w:tc>
        <w:tc>
          <w:tcPr>
            <w:tcW w:w="1141" w:type="dxa"/>
            <w:vMerge w:val="continue"/>
            <w:tcBorders>
              <w:left w:val="nil"/>
              <w:bottom w:val="single" w:color="auto" w:sz="4" w:space="0"/>
              <w:right w:val="single" w:color="auto" w:sz="4" w:space="0"/>
            </w:tcBorders>
            <w:vAlign w:val="center"/>
          </w:tcPr>
          <w:p w14:paraId="0235B6F9">
            <w:pPr>
              <w:widowControl/>
              <w:jc w:val="left"/>
              <w:rPr>
                <w:szCs w:val="21"/>
              </w:rPr>
            </w:pPr>
          </w:p>
        </w:tc>
        <w:tc>
          <w:tcPr>
            <w:tcW w:w="1141" w:type="dxa"/>
            <w:vMerge w:val="continue"/>
            <w:tcBorders>
              <w:left w:val="nil"/>
              <w:bottom w:val="single" w:color="auto" w:sz="4" w:space="0"/>
              <w:right w:val="single" w:color="auto" w:sz="4" w:space="0"/>
            </w:tcBorders>
            <w:vAlign w:val="center"/>
          </w:tcPr>
          <w:p w14:paraId="623D82DD">
            <w:pPr>
              <w:widowControl/>
              <w:rPr>
                <w:szCs w:val="21"/>
              </w:rPr>
            </w:pPr>
          </w:p>
        </w:tc>
        <w:tc>
          <w:tcPr>
            <w:tcW w:w="1070" w:type="dxa"/>
            <w:tcBorders>
              <w:top w:val="single" w:color="auto" w:sz="4" w:space="0"/>
              <w:left w:val="nil"/>
              <w:bottom w:val="single" w:color="auto" w:sz="4" w:space="0"/>
              <w:right w:val="single" w:color="auto" w:sz="4" w:space="0"/>
            </w:tcBorders>
            <w:vAlign w:val="center"/>
          </w:tcPr>
          <w:p w14:paraId="34C1781D">
            <w:pPr>
              <w:widowControl/>
              <w:jc w:val="center"/>
              <w:rPr>
                <w:rFonts w:ascii="宋体" w:hAnsi="宋体" w:cs="宋体"/>
                <w:kern w:val="0"/>
                <w:sz w:val="20"/>
                <w:szCs w:val="20"/>
              </w:rPr>
            </w:pPr>
            <w:r>
              <w:rPr>
                <w:rFonts w:ascii="宋体" w:hAnsi="宋体" w:cs="宋体"/>
                <w:kern w:val="0"/>
                <w:szCs w:val="21"/>
              </w:rPr>
              <w:t>…</w:t>
            </w:r>
          </w:p>
        </w:tc>
        <w:tc>
          <w:tcPr>
            <w:tcW w:w="1147" w:type="dxa"/>
            <w:tcBorders>
              <w:top w:val="single" w:color="auto" w:sz="4" w:space="0"/>
              <w:left w:val="nil"/>
              <w:bottom w:val="single" w:color="auto" w:sz="4" w:space="0"/>
              <w:right w:val="single" w:color="auto" w:sz="4" w:space="0"/>
            </w:tcBorders>
            <w:vAlign w:val="center"/>
          </w:tcPr>
          <w:p w14:paraId="2A7FDD75">
            <w:pPr>
              <w:widowControl/>
              <w:jc w:val="center"/>
              <w:rPr>
                <w:rFonts w:ascii="宋体" w:hAnsi="宋体" w:cs="宋体"/>
                <w:kern w:val="0"/>
                <w:sz w:val="20"/>
                <w:szCs w:val="20"/>
              </w:rPr>
            </w:pPr>
            <w:r>
              <w:rPr>
                <w:rFonts w:ascii="宋体" w:hAnsi="宋体" w:cs="宋体"/>
                <w:kern w:val="0"/>
                <w:szCs w:val="21"/>
              </w:rPr>
              <w:t>…</w:t>
            </w:r>
          </w:p>
        </w:tc>
        <w:tc>
          <w:tcPr>
            <w:tcW w:w="1173" w:type="dxa"/>
            <w:tcBorders>
              <w:top w:val="single" w:color="auto" w:sz="4" w:space="0"/>
              <w:left w:val="nil"/>
              <w:bottom w:val="single" w:color="auto" w:sz="4" w:space="0"/>
              <w:right w:val="single" w:color="auto" w:sz="4" w:space="0"/>
            </w:tcBorders>
            <w:vAlign w:val="center"/>
          </w:tcPr>
          <w:p w14:paraId="71E571E6">
            <w:pPr>
              <w:widowControl/>
              <w:jc w:val="center"/>
              <w:rPr>
                <w:rFonts w:ascii="宋体" w:hAnsi="宋体" w:cs="宋体"/>
                <w:kern w:val="0"/>
                <w:sz w:val="20"/>
                <w:szCs w:val="20"/>
              </w:rPr>
            </w:pPr>
            <w:r>
              <w:rPr>
                <w:rFonts w:ascii="宋体" w:hAnsi="宋体" w:cs="宋体"/>
                <w:kern w:val="0"/>
                <w:szCs w:val="21"/>
              </w:rPr>
              <w:t>…</w:t>
            </w:r>
          </w:p>
        </w:tc>
        <w:tc>
          <w:tcPr>
            <w:tcW w:w="1712" w:type="dxa"/>
            <w:tcBorders>
              <w:top w:val="single" w:color="auto" w:sz="4" w:space="0"/>
              <w:left w:val="nil"/>
              <w:bottom w:val="single" w:color="auto" w:sz="4" w:space="0"/>
              <w:right w:val="single" w:color="auto" w:sz="4" w:space="0"/>
            </w:tcBorders>
            <w:vAlign w:val="center"/>
          </w:tcPr>
          <w:p w14:paraId="33BD7B5F">
            <w:pPr>
              <w:widowControl/>
              <w:jc w:val="center"/>
              <w:rPr>
                <w:rFonts w:ascii="宋体" w:hAnsi="宋体" w:cs="宋体"/>
                <w:kern w:val="0"/>
                <w:sz w:val="20"/>
                <w:szCs w:val="20"/>
              </w:rPr>
            </w:pPr>
            <w:r>
              <w:rPr>
                <w:rFonts w:ascii="宋体" w:hAnsi="宋体" w:cs="宋体"/>
                <w:kern w:val="0"/>
                <w:szCs w:val="21"/>
              </w:rPr>
              <w:t>…</w:t>
            </w:r>
          </w:p>
        </w:tc>
        <w:tc>
          <w:tcPr>
            <w:tcW w:w="1318" w:type="dxa"/>
            <w:vMerge w:val="continue"/>
            <w:tcBorders>
              <w:left w:val="nil"/>
              <w:bottom w:val="single" w:color="auto" w:sz="4" w:space="0"/>
              <w:right w:val="single" w:color="auto" w:sz="4" w:space="0"/>
            </w:tcBorders>
            <w:vAlign w:val="center"/>
          </w:tcPr>
          <w:p w14:paraId="6D6FCD15">
            <w:pPr>
              <w:widowControl/>
              <w:ind w:left="-105" w:leftChars="-50"/>
              <w:jc w:val="center"/>
              <w:rPr>
                <w:rFonts w:ascii="宋体" w:hAnsi="宋体" w:cs="宋体"/>
                <w:kern w:val="0"/>
                <w:sz w:val="20"/>
                <w:szCs w:val="20"/>
              </w:rPr>
            </w:pPr>
          </w:p>
        </w:tc>
      </w:tr>
      <w:tr w14:paraId="7556D2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696" w:type="dxa"/>
            <w:tcBorders>
              <w:top w:val="nil"/>
              <w:left w:val="single" w:color="auto" w:sz="4" w:space="0"/>
              <w:bottom w:val="single" w:color="auto" w:sz="4" w:space="0"/>
              <w:right w:val="single" w:color="auto" w:sz="4" w:space="0"/>
            </w:tcBorders>
            <w:vAlign w:val="center"/>
          </w:tcPr>
          <w:p w14:paraId="09AD7B89">
            <w:pPr>
              <w:widowControl/>
              <w:jc w:val="center"/>
              <w:rPr>
                <w:rFonts w:ascii="宋体" w:hAnsi="宋体" w:cs="宋体"/>
                <w:kern w:val="0"/>
                <w:sz w:val="20"/>
                <w:szCs w:val="20"/>
              </w:rPr>
            </w:pPr>
            <w:r>
              <w:rPr>
                <w:rFonts w:hint="eastAsia" w:ascii="宋体" w:hAnsi="宋体" w:cs="宋体"/>
                <w:kern w:val="0"/>
                <w:sz w:val="20"/>
                <w:szCs w:val="20"/>
              </w:rPr>
              <w:t>…</w:t>
            </w:r>
          </w:p>
        </w:tc>
        <w:tc>
          <w:tcPr>
            <w:tcW w:w="1931" w:type="dxa"/>
            <w:tcBorders>
              <w:top w:val="nil"/>
              <w:left w:val="nil"/>
              <w:bottom w:val="single" w:color="auto" w:sz="4" w:space="0"/>
              <w:right w:val="single" w:color="auto" w:sz="4" w:space="0"/>
            </w:tcBorders>
            <w:vAlign w:val="center"/>
          </w:tcPr>
          <w:p w14:paraId="61675F96">
            <w:pPr>
              <w:widowControl/>
              <w:jc w:val="center"/>
              <w:rPr>
                <w:rFonts w:ascii="宋体" w:hAnsi="宋体" w:cs="宋体"/>
                <w:kern w:val="0"/>
                <w:sz w:val="20"/>
                <w:szCs w:val="20"/>
              </w:rPr>
            </w:pPr>
            <w:r>
              <w:rPr>
                <w:rFonts w:hint="eastAsia" w:ascii="宋体" w:hAnsi="宋体" w:cs="宋体"/>
                <w:kern w:val="0"/>
                <w:sz w:val="20"/>
                <w:szCs w:val="20"/>
              </w:rPr>
              <w:t>…</w:t>
            </w:r>
          </w:p>
        </w:tc>
        <w:tc>
          <w:tcPr>
            <w:tcW w:w="1569" w:type="dxa"/>
            <w:tcBorders>
              <w:top w:val="nil"/>
              <w:left w:val="nil"/>
              <w:bottom w:val="single" w:color="auto" w:sz="4" w:space="0"/>
              <w:right w:val="single" w:color="auto" w:sz="4" w:space="0"/>
            </w:tcBorders>
            <w:vAlign w:val="center"/>
          </w:tcPr>
          <w:p w14:paraId="7377FA9B">
            <w:pPr>
              <w:widowControl/>
              <w:jc w:val="center"/>
              <w:rPr>
                <w:rFonts w:ascii="宋体" w:hAnsi="宋体" w:cs="宋体"/>
                <w:kern w:val="0"/>
                <w:sz w:val="20"/>
                <w:szCs w:val="20"/>
              </w:rPr>
            </w:pPr>
            <w:r>
              <w:rPr>
                <w:rFonts w:hint="eastAsia" w:ascii="宋体" w:hAnsi="宋体" w:cs="宋体"/>
                <w:kern w:val="0"/>
                <w:sz w:val="20"/>
                <w:szCs w:val="20"/>
              </w:rPr>
              <w:t>…</w:t>
            </w:r>
          </w:p>
        </w:tc>
        <w:tc>
          <w:tcPr>
            <w:tcW w:w="856" w:type="dxa"/>
            <w:tcBorders>
              <w:top w:val="nil"/>
              <w:left w:val="nil"/>
              <w:bottom w:val="single" w:color="auto" w:sz="4" w:space="0"/>
              <w:right w:val="single" w:color="auto" w:sz="4" w:space="0"/>
            </w:tcBorders>
            <w:vAlign w:val="center"/>
          </w:tcPr>
          <w:p w14:paraId="7A4F7E3D">
            <w:pPr>
              <w:widowControl/>
              <w:jc w:val="center"/>
              <w:rPr>
                <w:rFonts w:ascii="宋体" w:hAnsi="宋体" w:cs="宋体"/>
                <w:kern w:val="0"/>
                <w:sz w:val="20"/>
                <w:szCs w:val="20"/>
              </w:rPr>
            </w:pPr>
            <w:r>
              <w:rPr>
                <w:rFonts w:hint="eastAsia" w:ascii="宋体" w:hAnsi="宋体" w:cs="宋体"/>
                <w:kern w:val="0"/>
                <w:sz w:val="20"/>
                <w:szCs w:val="20"/>
              </w:rPr>
              <w:t>…</w:t>
            </w:r>
          </w:p>
        </w:tc>
        <w:tc>
          <w:tcPr>
            <w:tcW w:w="1141" w:type="dxa"/>
            <w:tcBorders>
              <w:top w:val="nil"/>
              <w:left w:val="nil"/>
              <w:bottom w:val="single" w:color="auto" w:sz="4" w:space="0"/>
              <w:right w:val="single" w:color="auto" w:sz="4" w:space="0"/>
            </w:tcBorders>
            <w:vAlign w:val="center"/>
          </w:tcPr>
          <w:p w14:paraId="249E57AF">
            <w:pPr>
              <w:widowControl/>
              <w:jc w:val="center"/>
              <w:rPr>
                <w:rFonts w:ascii="宋体" w:hAnsi="宋体" w:cs="宋体"/>
                <w:kern w:val="0"/>
                <w:sz w:val="20"/>
                <w:szCs w:val="20"/>
              </w:rPr>
            </w:pPr>
            <w:r>
              <w:rPr>
                <w:rFonts w:hint="eastAsia" w:ascii="宋体" w:hAnsi="宋体" w:cs="宋体"/>
                <w:kern w:val="0"/>
                <w:sz w:val="20"/>
                <w:szCs w:val="20"/>
              </w:rPr>
              <w:t>…</w:t>
            </w:r>
          </w:p>
        </w:tc>
        <w:tc>
          <w:tcPr>
            <w:tcW w:w="1141" w:type="dxa"/>
            <w:tcBorders>
              <w:top w:val="nil"/>
              <w:left w:val="nil"/>
              <w:bottom w:val="single" w:color="auto" w:sz="4" w:space="0"/>
              <w:right w:val="single" w:color="auto" w:sz="4" w:space="0"/>
            </w:tcBorders>
            <w:vAlign w:val="center"/>
          </w:tcPr>
          <w:p w14:paraId="0A190D91">
            <w:pPr>
              <w:widowControl/>
              <w:jc w:val="center"/>
              <w:rPr>
                <w:rFonts w:ascii="宋体" w:hAnsi="宋体" w:cs="宋体"/>
                <w:kern w:val="0"/>
                <w:sz w:val="20"/>
                <w:szCs w:val="20"/>
              </w:rPr>
            </w:pPr>
            <w:r>
              <w:rPr>
                <w:rFonts w:hint="eastAsia" w:ascii="宋体" w:hAnsi="宋体" w:cs="宋体"/>
                <w:kern w:val="0"/>
                <w:sz w:val="20"/>
                <w:szCs w:val="20"/>
              </w:rPr>
              <w:t>…</w:t>
            </w:r>
          </w:p>
        </w:tc>
        <w:tc>
          <w:tcPr>
            <w:tcW w:w="1070" w:type="dxa"/>
            <w:tcBorders>
              <w:top w:val="nil"/>
              <w:left w:val="nil"/>
              <w:bottom w:val="single" w:color="auto" w:sz="4" w:space="0"/>
              <w:right w:val="single" w:color="auto" w:sz="4" w:space="0"/>
            </w:tcBorders>
            <w:vAlign w:val="center"/>
          </w:tcPr>
          <w:p w14:paraId="224F7C0E">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tcBorders>
              <w:top w:val="nil"/>
              <w:left w:val="nil"/>
              <w:bottom w:val="single" w:color="auto" w:sz="4" w:space="0"/>
              <w:right w:val="single" w:color="auto" w:sz="4" w:space="0"/>
            </w:tcBorders>
            <w:vAlign w:val="center"/>
          </w:tcPr>
          <w:p w14:paraId="04C52768">
            <w:pPr>
              <w:widowControl/>
              <w:jc w:val="center"/>
              <w:rPr>
                <w:rFonts w:ascii="宋体" w:hAnsi="宋体" w:cs="宋体"/>
                <w:kern w:val="0"/>
                <w:sz w:val="20"/>
                <w:szCs w:val="20"/>
              </w:rPr>
            </w:pPr>
            <w:r>
              <w:rPr>
                <w:rFonts w:hint="eastAsia" w:ascii="宋体" w:hAnsi="宋体" w:cs="宋体"/>
                <w:kern w:val="0"/>
                <w:sz w:val="20"/>
                <w:szCs w:val="20"/>
              </w:rPr>
              <w:t>…</w:t>
            </w:r>
          </w:p>
        </w:tc>
        <w:tc>
          <w:tcPr>
            <w:tcW w:w="1173" w:type="dxa"/>
            <w:tcBorders>
              <w:top w:val="nil"/>
              <w:left w:val="nil"/>
              <w:bottom w:val="single" w:color="auto" w:sz="4" w:space="0"/>
              <w:right w:val="single" w:color="auto" w:sz="4" w:space="0"/>
            </w:tcBorders>
            <w:vAlign w:val="center"/>
          </w:tcPr>
          <w:p w14:paraId="7A238E0B">
            <w:pPr>
              <w:widowControl/>
              <w:jc w:val="center"/>
              <w:rPr>
                <w:rFonts w:ascii="宋体" w:hAnsi="宋体" w:cs="宋体"/>
                <w:kern w:val="0"/>
                <w:sz w:val="20"/>
                <w:szCs w:val="20"/>
              </w:rPr>
            </w:pPr>
            <w:r>
              <w:rPr>
                <w:rFonts w:hint="eastAsia" w:ascii="宋体" w:hAnsi="宋体" w:cs="宋体"/>
                <w:kern w:val="0"/>
                <w:sz w:val="20"/>
                <w:szCs w:val="20"/>
              </w:rPr>
              <w:t>…</w:t>
            </w:r>
          </w:p>
        </w:tc>
        <w:tc>
          <w:tcPr>
            <w:tcW w:w="1712" w:type="dxa"/>
            <w:tcBorders>
              <w:top w:val="nil"/>
              <w:left w:val="nil"/>
              <w:bottom w:val="single" w:color="auto" w:sz="4" w:space="0"/>
              <w:right w:val="single" w:color="auto" w:sz="4" w:space="0"/>
            </w:tcBorders>
            <w:vAlign w:val="center"/>
          </w:tcPr>
          <w:p w14:paraId="60BF3772">
            <w:pPr>
              <w:widowControl/>
              <w:jc w:val="center"/>
              <w:rPr>
                <w:rFonts w:ascii="宋体" w:hAnsi="宋体" w:cs="宋体"/>
                <w:kern w:val="0"/>
                <w:sz w:val="20"/>
                <w:szCs w:val="20"/>
              </w:rPr>
            </w:pPr>
            <w:r>
              <w:rPr>
                <w:rFonts w:hint="eastAsia" w:ascii="宋体" w:hAnsi="宋体" w:cs="宋体"/>
                <w:kern w:val="0"/>
                <w:sz w:val="20"/>
                <w:szCs w:val="20"/>
              </w:rPr>
              <w:t>…</w:t>
            </w:r>
          </w:p>
        </w:tc>
        <w:tc>
          <w:tcPr>
            <w:tcW w:w="1318" w:type="dxa"/>
            <w:tcBorders>
              <w:top w:val="nil"/>
              <w:left w:val="nil"/>
              <w:bottom w:val="single" w:color="auto" w:sz="4" w:space="0"/>
              <w:right w:val="single" w:color="auto" w:sz="4" w:space="0"/>
            </w:tcBorders>
            <w:vAlign w:val="center"/>
          </w:tcPr>
          <w:p w14:paraId="29CFBDCE">
            <w:pPr>
              <w:widowControl/>
              <w:jc w:val="center"/>
              <w:rPr>
                <w:rFonts w:ascii="宋体" w:hAnsi="宋体" w:cs="宋体"/>
                <w:kern w:val="0"/>
                <w:sz w:val="20"/>
                <w:szCs w:val="20"/>
              </w:rPr>
            </w:pPr>
            <w:r>
              <w:rPr>
                <w:rFonts w:hint="eastAsia" w:ascii="宋体" w:hAnsi="宋体" w:cs="宋体"/>
                <w:kern w:val="0"/>
                <w:sz w:val="20"/>
                <w:szCs w:val="20"/>
              </w:rPr>
              <w:t>…</w:t>
            </w:r>
          </w:p>
        </w:tc>
      </w:tr>
    </w:tbl>
    <w:p w14:paraId="15469E90">
      <w:pPr>
        <w:spacing w:line="300" w:lineRule="exact"/>
        <w:rPr>
          <w:rFonts w:ascii="宋体" w:hAnsi="宋体" w:cs="宋体"/>
          <w:spacing w:val="-3"/>
        </w:rPr>
      </w:pPr>
      <w:r>
        <w:rPr>
          <w:rFonts w:hint="eastAsia" w:ascii="宋体" w:hAnsi="宋体" w:cs="宋体"/>
        </w:rPr>
        <w:t>注：</w:t>
      </w:r>
      <w:r>
        <w:rPr>
          <w:rFonts w:hint="eastAsia" w:ascii="宋体" w:hAnsi="宋体"/>
        </w:rPr>
        <w:t>1.</w:t>
      </w:r>
      <w:r>
        <w:rPr>
          <w:rFonts w:hint="eastAsia" w:ascii="宋体" w:hAnsi="宋体" w:cs="宋体"/>
          <w:spacing w:val="-3"/>
        </w:rPr>
        <w:t>投标人应</w:t>
      </w:r>
      <w:r>
        <w:rPr>
          <w:rFonts w:hint="eastAsia" w:ascii="宋体" w:hAnsi="宋体" w:cs="宋体"/>
          <w:spacing w:val="-3"/>
          <w:szCs w:val="21"/>
        </w:rPr>
        <w:t>在本表后提供相关</w:t>
      </w:r>
      <w:r>
        <w:rPr>
          <w:rFonts w:hint="eastAsia" w:ascii="宋体" w:hAnsi="宋体" w:cs="宋体"/>
          <w:spacing w:val="-3"/>
        </w:rPr>
        <w:t>业绩证明材料附件</w:t>
      </w:r>
      <w:r>
        <w:rPr>
          <w:rFonts w:hint="eastAsia" w:ascii="宋体" w:hAnsi="宋体" w:cs="宋体"/>
        </w:rPr>
        <w:t>C</w:t>
      </w:r>
      <w:r>
        <w:rPr>
          <w:rFonts w:hint="eastAsia" w:ascii="宋体" w:hAnsi="宋体" w:cs="宋体"/>
          <w:kern w:val="0"/>
          <w:sz w:val="20"/>
          <w:szCs w:val="20"/>
          <w:lang w:val="en-US" w:eastAsia="zh-CN"/>
        </w:rPr>
        <w:t>1-</w:t>
      </w:r>
      <w:r>
        <w:rPr>
          <w:rFonts w:hint="eastAsia" w:ascii="宋体" w:hAnsi="宋体" w:cs="宋体"/>
        </w:rPr>
        <w:t>2系列（桥梁项目勘察设计业绩）</w:t>
      </w:r>
      <w:r>
        <w:rPr>
          <w:rFonts w:hint="eastAsia" w:ascii="宋体" w:hAnsi="宋体" w:cs="宋体"/>
          <w:spacing w:val="-3"/>
        </w:rPr>
        <w:t>：</w:t>
      </w:r>
    </w:p>
    <w:p w14:paraId="0BE3A78E">
      <w:pPr>
        <w:spacing w:line="300" w:lineRule="exact"/>
        <w:ind w:left="598" w:leftChars="285"/>
        <w:rPr>
          <w:rFonts w:ascii="宋体" w:hAnsi="宋体" w:cs="宋体"/>
          <w:spacing w:val="-3"/>
        </w:rPr>
      </w:pPr>
      <w:r>
        <w:rPr>
          <w:rFonts w:hint="eastAsia"/>
          <w:b/>
          <w:bCs/>
          <w:szCs w:val="21"/>
        </w:rPr>
        <w:sym w:font="Wingdings 2" w:char="00A3"/>
      </w:r>
      <w:r>
        <w:rPr>
          <w:rFonts w:hint="eastAsia"/>
          <w:b/>
          <w:bCs/>
          <w:szCs w:val="21"/>
        </w:rPr>
        <w:t xml:space="preserve"> </w:t>
      </w:r>
      <w:r>
        <w:rPr>
          <w:rFonts w:hint="eastAsia" w:ascii="宋体" w:hAnsi="宋体" w:cs="宋体"/>
          <w:spacing w:val="-3"/>
        </w:rPr>
        <w:t>在交通运输部</w:t>
      </w:r>
      <w:r>
        <w:rPr>
          <w:rFonts w:ascii="宋体" w:hAnsi="宋体" w:cs="宋体"/>
          <w:spacing w:val="-3"/>
        </w:rPr>
        <w:t>“</w:t>
      </w:r>
      <w:r>
        <w:rPr>
          <w:rFonts w:hint="eastAsia" w:ascii="宋体" w:hAnsi="宋体" w:cs="宋体"/>
          <w:spacing w:val="-3"/>
        </w:rPr>
        <w:t>全国公路建设市场监督管理系统</w:t>
      </w:r>
      <w:r>
        <w:rPr>
          <w:rFonts w:ascii="宋体" w:hAnsi="宋体" w:cs="宋体"/>
          <w:spacing w:val="-3"/>
        </w:rPr>
        <w:t>”</w:t>
      </w:r>
      <w:r>
        <w:rPr>
          <w:rFonts w:hint="eastAsia" w:ascii="宋体" w:hAnsi="宋体" w:cs="宋体"/>
          <w:spacing w:val="-3"/>
        </w:rPr>
        <w:t>中查询到的企业</w:t>
      </w:r>
      <w:r>
        <w:rPr>
          <w:rFonts w:ascii="宋体" w:hAnsi="宋体" w:cs="宋体"/>
          <w:spacing w:val="-3"/>
        </w:rPr>
        <w:t>“</w:t>
      </w:r>
      <w:r>
        <w:rPr>
          <w:rFonts w:hint="eastAsia" w:ascii="宋体" w:hAnsi="宋体" w:cs="宋体"/>
          <w:spacing w:val="-3"/>
        </w:rPr>
        <w:t>业绩信息</w:t>
      </w:r>
      <w:r>
        <w:rPr>
          <w:rFonts w:ascii="宋体" w:hAnsi="宋体" w:cs="宋体"/>
          <w:spacing w:val="-3"/>
        </w:rPr>
        <w:t>”</w:t>
      </w:r>
      <w:r>
        <w:rPr>
          <w:rFonts w:hint="eastAsia" w:ascii="宋体" w:hAnsi="宋体" w:cs="宋体"/>
          <w:spacing w:val="-3"/>
        </w:rPr>
        <w:t>相关项目网页截图（</w:t>
      </w:r>
      <w:r>
        <w:rPr>
          <w:rFonts w:hint="eastAsia" w:ascii="宋体" w:hAnsi="宋体" w:cs="宋体"/>
          <w:szCs w:val="21"/>
        </w:rPr>
        <w:t>仅适用于根据《关于发布公路工程从业企业资质名录的通知》（厅公路字〔2011〕114号）要求，招标人应通过名录对投标人资质条件进行审核的公路工程设计企业。</w:t>
      </w:r>
      <w:r>
        <w:rPr>
          <w:rFonts w:hint="eastAsia" w:ascii="宋体" w:hAnsi="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4901EA2C">
      <w:pPr>
        <w:spacing w:line="300" w:lineRule="exact"/>
        <w:ind w:left="598" w:leftChars="285"/>
        <w:rPr>
          <w:rFonts w:ascii="宋体" w:hAnsi="宋体" w:cs="宋体"/>
        </w:rPr>
      </w:pPr>
      <w:r>
        <w:rPr>
          <w:rFonts w:hint="eastAsia"/>
          <w:b/>
          <w:bCs/>
          <w:szCs w:val="21"/>
        </w:rPr>
        <w:t xml:space="preserve">□ </w:t>
      </w:r>
      <w:r>
        <w:rPr>
          <w:rFonts w:hint="eastAsia" w:ascii="宋体" w:hAnsi="宋体"/>
          <w:szCs w:val="21"/>
        </w:rPr>
        <w:t>合同协议书和业主（发包人）证明材料原件原色扫描件（仅适用于尚未在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szCs w:val="21"/>
        </w:rPr>
        <w:t>的</w:t>
      </w:r>
      <w:r>
        <w:rPr>
          <w:rFonts w:hint="eastAsia" w:ascii="宋体" w:hAnsi="宋体"/>
        </w:rPr>
        <w:t>二级、三级公路</w:t>
      </w:r>
      <w:r>
        <w:rPr>
          <w:rFonts w:ascii="宋体" w:hAnsi="宋体"/>
        </w:rPr>
        <w:t>工程项目</w:t>
      </w:r>
      <w:r>
        <w:rPr>
          <w:rFonts w:hint="eastAsia" w:ascii="宋体" w:hAnsi="宋体"/>
          <w:szCs w:val="21"/>
        </w:rPr>
        <w:t>）。</w:t>
      </w:r>
    </w:p>
    <w:p w14:paraId="63C8BD56">
      <w:pPr>
        <w:spacing w:line="300" w:lineRule="exact"/>
        <w:ind w:left="598" w:leftChars="285"/>
        <w:rPr>
          <w:rFonts w:ascii="宋体" w:hAnsi="宋体" w:cs="宋体"/>
        </w:rPr>
      </w:pPr>
      <w:r>
        <w:rPr>
          <w:rFonts w:hint="eastAsia"/>
          <w:b/>
          <w:bCs/>
          <w:szCs w:val="21"/>
        </w:rPr>
        <w:t xml:space="preserve">□ </w:t>
      </w:r>
      <w:r>
        <w:rPr>
          <w:rFonts w:hint="eastAsia" w:ascii="宋体" w:hAnsi="宋体" w:cs="宋体"/>
          <w:szCs w:val="21"/>
        </w:rPr>
        <w:t>市政类勘察设计项目，可为</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spacing w:val="-3"/>
        </w:rPr>
        <w:t>网页截图。</w:t>
      </w:r>
    </w:p>
    <w:p w14:paraId="478C8FA8">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3F8A3A72">
      <w:pPr>
        <w:pStyle w:val="299"/>
        <w:spacing w:line="30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cs="宋体"/>
          <w:spacing w:val="-3"/>
          <w:lang w:bidi="ar"/>
        </w:rPr>
        <w:t>桥梁工程可为合同中包含该设计内容的项目或者单独合同的项目。</w:t>
      </w:r>
    </w:p>
    <w:p w14:paraId="1BC3713C">
      <w:pPr>
        <w:spacing w:line="300" w:lineRule="exact"/>
        <w:ind w:firstLine="420" w:firstLineChars="200"/>
        <w:rPr>
          <w:rFonts w:ascii="宋体" w:hAnsi="宋体" w:cs="宋体"/>
        </w:rPr>
      </w:pPr>
      <w:r>
        <w:rPr>
          <w:rFonts w:hint="eastAsia" w:ascii="宋体" w:hAnsi="宋体" w:cs="宋体"/>
        </w:rPr>
        <w:t>4.</w:t>
      </w:r>
      <w:r>
        <w:rPr>
          <w:rFonts w:hint="eastAsia" w:ascii="宋体" w:hAnsi="宋体" w:cs="宋体"/>
          <w:spacing w:val="-3"/>
        </w:rPr>
        <w:t>桥梁类</w:t>
      </w:r>
      <w:r>
        <w:rPr>
          <w:rFonts w:hint="eastAsia" w:ascii="宋体" w:hAnsi="宋体" w:cs="宋体"/>
        </w:rPr>
        <w:t>型应从“梁式桥、拱式桥、悬索桥、斜拉桥、刚构桥、组合体系桥”中选择填写。</w:t>
      </w:r>
    </w:p>
    <w:p w14:paraId="30FEECBD">
      <w:pPr>
        <w:widowControl/>
        <w:spacing w:line="300" w:lineRule="exact"/>
        <w:ind w:firstLine="408" w:firstLineChars="200"/>
        <w:rPr>
          <w:rFonts w:ascii="宋体" w:hAnsi="宋体" w:cs="宋体"/>
          <w:spacing w:val="-3"/>
        </w:rPr>
      </w:pPr>
      <w:r>
        <w:rPr>
          <w:rFonts w:hint="eastAsia" w:ascii="宋体" w:hAnsi="宋体" w:cs="宋体"/>
          <w:spacing w:val="-3"/>
        </w:rPr>
        <w:t>5.</w:t>
      </w:r>
      <w:r>
        <w:rPr>
          <w:rFonts w:hint="eastAsia" w:ascii="宋体" w:hAnsi="宋体" w:cs="宋体"/>
        </w:rPr>
        <w:t>对于左右幅桥长不相同的桥梁，其桥梁长度以左右幅长度较长的为准；若只有单幅的，则以单幅桥梁长度数据为准。</w:t>
      </w:r>
    </w:p>
    <w:p w14:paraId="74C35D6D">
      <w:pPr>
        <w:spacing w:line="300" w:lineRule="exact"/>
        <w:ind w:firstLine="408" w:firstLineChars="200"/>
        <w:rPr>
          <w:rFonts w:ascii="宋体" w:hAnsi="宋体" w:cs="宋体"/>
          <w:spacing w:val="-3"/>
        </w:rPr>
      </w:pPr>
      <w:r>
        <w:rPr>
          <w:rFonts w:hint="eastAsia" w:ascii="宋体" w:hAnsi="宋体" w:cs="宋体"/>
          <w:spacing w:val="-3"/>
        </w:rPr>
        <w:t>6</w:t>
      </w:r>
      <w:r>
        <w:rPr>
          <w:rFonts w:hint="eastAsia" w:ascii="宋体" w:hAnsi="宋体"/>
          <w:spacing w:val="-3"/>
        </w:rPr>
        <w:t>.</w:t>
      </w:r>
      <w:r>
        <w:rPr>
          <w:rFonts w:hint="eastAsia" w:ascii="宋体" w:hAnsi="宋体" w:cs="宋体"/>
          <w:spacing w:val="-3"/>
        </w:rPr>
        <w:t>如近年来，投标人法人机构发生合法变更或重组或法人名称变更时，应提供相关部门的合</w:t>
      </w:r>
      <w:r>
        <w:rPr>
          <w:rFonts w:ascii="宋体" w:hAnsi="宋体"/>
          <w:spacing w:val="-3"/>
        </w:rPr>
        <w:t xml:space="preserve"> </w:t>
      </w:r>
      <w:r>
        <w:rPr>
          <w:rFonts w:hint="eastAsia" w:ascii="宋体" w:hAnsi="宋体" w:cs="宋体"/>
        </w:rPr>
        <w:t>法批件或其他相</w:t>
      </w:r>
      <w:r>
        <w:rPr>
          <w:rFonts w:hint="eastAsia" w:ascii="宋体" w:hAnsi="宋体" w:cs="宋体"/>
          <w:spacing w:val="-3"/>
        </w:rPr>
        <w:t>关证明材料来证明其所附业绩的继承性。</w:t>
      </w:r>
    </w:p>
    <w:p w14:paraId="171A1A96">
      <w:pPr>
        <w:spacing w:line="300" w:lineRule="exact"/>
        <w:ind w:firstLine="420" w:firstLineChars="200"/>
        <w:rPr>
          <w:rFonts w:ascii="宋体" w:hAnsi="宋体"/>
          <w:szCs w:val="21"/>
        </w:rPr>
      </w:pPr>
      <w:r>
        <w:rPr>
          <w:rFonts w:hint="eastAsia" w:ascii="宋体" w:hAnsi="宋体" w:cs="宋体"/>
        </w:rPr>
        <w:t>7</w:t>
      </w:r>
      <w:r>
        <w:rPr>
          <w:rFonts w:hint="eastAsia" w:ascii="宋体" w:hAnsi="宋体" w:cs="宋体"/>
          <w:spacing w:val="-3"/>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批复</w:t>
      </w:r>
      <w:r>
        <w:rPr>
          <w:rFonts w:hint="eastAsia" w:ascii="宋体" w:hAnsi="宋体" w:cs="宋体"/>
          <w:bCs/>
          <w:kern w:val="0"/>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3250CFB2">
      <w:pPr>
        <w:spacing w:line="300" w:lineRule="exact"/>
        <w:ind w:left="603" w:leftChars="190" w:hanging="204" w:hangingChars="100"/>
        <w:rPr>
          <w:rFonts w:ascii="宋体" w:hAnsi="宋体" w:cs="宋体"/>
          <w:spacing w:val="-3"/>
        </w:rPr>
      </w:pPr>
      <w:r>
        <w:rPr>
          <w:rFonts w:hint="eastAsia" w:ascii="宋体" w:hAnsi="宋体" w:cs="宋体"/>
          <w:spacing w:val="-3"/>
        </w:rPr>
        <w:t>8.</w:t>
      </w:r>
      <w:r>
        <w:rPr>
          <w:rFonts w:hint="eastAsia" w:ascii="宋体" w:hAnsi="宋体" w:cs="宋体"/>
          <w:szCs w:val="21"/>
        </w:rPr>
        <w:t>允许联合体投标时，若</w:t>
      </w:r>
      <w:r>
        <w:rPr>
          <w:rFonts w:hint="eastAsia" w:ascii="宋体" w:hAnsi="宋体" w:cs="宋体"/>
          <w:spacing w:val="-3"/>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r>
        <w:rPr>
          <w:rFonts w:hint="eastAsia" w:ascii="宋体" w:hAnsi="宋体" w:cs="宋体"/>
          <w:spacing w:val="-3"/>
        </w:rPr>
        <w:t>。</w:t>
      </w:r>
    </w:p>
    <w:p w14:paraId="5A7D791E">
      <w:pPr>
        <w:spacing w:line="240" w:lineRule="auto"/>
        <w:jc w:val="left"/>
        <w:rPr>
          <w:rFonts w:ascii="宋体" w:hAnsi="宋体" w:cs="宋体"/>
          <w:b/>
          <w:sz w:val="28"/>
          <w:szCs w:val="28"/>
        </w:rPr>
      </w:pPr>
      <w:r>
        <w:rPr>
          <w:rFonts w:ascii="宋体" w:hAnsi="宋体" w:cs="宋体"/>
          <w:b/>
          <w:sz w:val="28"/>
          <w:szCs w:val="28"/>
        </w:rPr>
        <w:br w:type="page"/>
      </w:r>
    </w:p>
    <w:p w14:paraId="2BDABC51">
      <w:pPr>
        <w:spacing w:line="360" w:lineRule="auto"/>
        <w:jc w:val="center"/>
        <w:rPr>
          <w:rFonts w:ascii="黑体" w:hAnsi="黑体" w:eastAsia="黑体" w:cs="宋体"/>
          <w:sz w:val="24"/>
        </w:rPr>
      </w:pPr>
      <w:r>
        <w:rPr>
          <w:rFonts w:ascii="宋体" w:hAnsi="宋体" w:cs="宋体"/>
          <w:b/>
          <w:sz w:val="28"/>
          <w:szCs w:val="28"/>
        </w:rPr>
        <w:t xml:space="preserve">                      </w:t>
      </w: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公路隧道工程勘察设计情况</w:t>
      </w:r>
      <w:r>
        <w:rPr>
          <w:rFonts w:ascii="黑体" w:hAnsi="黑体" w:eastAsia="黑体" w:cs="宋体"/>
          <w:sz w:val="24"/>
        </w:rPr>
        <w:t xml:space="preserve">                      </w:t>
      </w:r>
      <w:r>
        <w:rPr>
          <w:rFonts w:hint="eastAsia" w:ascii="黑体" w:hAnsi="黑体" w:eastAsia="黑体" w:cs="宋体"/>
          <w:sz w:val="24"/>
        </w:rPr>
        <w:t>表</w:t>
      </w:r>
      <w:r>
        <w:rPr>
          <w:rFonts w:ascii="黑体" w:hAnsi="黑体" w:eastAsia="黑体" w:cs="宋体"/>
          <w:sz w:val="24"/>
        </w:rPr>
        <w:t>1-3</w:t>
      </w:r>
    </w:p>
    <w:tbl>
      <w:tblPr>
        <w:tblStyle w:val="49"/>
        <w:tblW w:w="13736" w:type="dxa"/>
        <w:jc w:val="center"/>
        <w:tblLayout w:type="fixed"/>
        <w:tblCellMar>
          <w:top w:w="0" w:type="dxa"/>
          <w:left w:w="108" w:type="dxa"/>
          <w:bottom w:w="0" w:type="dxa"/>
          <w:right w:w="108" w:type="dxa"/>
        </w:tblCellMar>
      </w:tblPr>
      <w:tblGrid>
        <w:gridCol w:w="1161"/>
        <w:gridCol w:w="1413"/>
        <w:gridCol w:w="1696"/>
        <w:gridCol w:w="1836"/>
        <w:gridCol w:w="1130"/>
        <w:gridCol w:w="1412"/>
        <w:gridCol w:w="1978"/>
        <w:gridCol w:w="1696"/>
        <w:gridCol w:w="1414"/>
      </w:tblGrid>
      <w:tr w14:paraId="793E930A">
        <w:tblPrEx>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vAlign w:val="center"/>
          </w:tcPr>
          <w:p w14:paraId="233A5DF8">
            <w:pPr>
              <w:widowControl/>
              <w:jc w:val="center"/>
              <w:rPr>
                <w:rFonts w:ascii="宋体" w:hAnsi="宋体" w:cs="宋体"/>
                <w:bCs/>
                <w:kern w:val="0"/>
                <w:szCs w:val="21"/>
              </w:rPr>
            </w:pPr>
            <w:r>
              <w:rPr>
                <w:rFonts w:hint="eastAsia" w:ascii="宋体" w:hAnsi="宋体" w:cs="宋体"/>
                <w:bCs/>
                <w:kern w:val="0"/>
                <w:szCs w:val="21"/>
              </w:rPr>
              <w:t>序号</w:t>
            </w:r>
          </w:p>
        </w:tc>
        <w:tc>
          <w:tcPr>
            <w:tcW w:w="1413" w:type="dxa"/>
            <w:tcBorders>
              <w:top w:val="single" w:color="auto" w:sz="4" w:space="0"/>
              <w:left w:val="nil"/>
              <w:bottom w:val="single" w:color="auto" w:sz="4" w:space="0"/>
              <w:right w:val="single" w:color="auto" w:sz="4" w:space="0"/>
            </w:tcBorders>
            <w:vAlign w:val="center"/>
          </w:tcPr>
          <w:p w14:paraId="0783E951">
            <w:pPr>
              <w:widowControl/>
              <w:jc w:val="center"/>
              <w:rPr>
                <w:rFonts w:ascii="宋体" w:hAnsi="宋体" w:cs="宋体"/>
                <w:bCs/>
                <w:kern w:val="0"/>
                <w:szCs w:val="21"/>
              </w:rPr>
            </w:pPr>
            <w:r>
              <w:rPr>
                <w:rFonts w:hint="eastAsia" w:ascii="宋体" w:hAnsi="宋体" w:cs="宋体"/>
                <w:bCs/>
                <w:kern w:val="0"/>
                <w:szCs w:val="21"/>
              </w:rPr>
              <w:t>项目业主</w:t>
            </w:r>
          </w:p>
        </w:tc>
        <w:tc>
          <w:tcPr>
            <w:tcW w:w="1696" w:type="dxa"/>
            <w:tcBorders>
              <w:top w:val="single" w:color="auto" w:sz="4" w:space="0"/>
              <w:left w:val="nil"/>
              <w:bottom w:val="single" w:color="auto" w:sz="4" w:space="0"/>
              <w:right w:val="single" w:color="auto" w:sz="4" w:space="0"/>
            </w:tcBorders>
            <w:vAlign w:val="center"/>
          </w:tcPr>
          <w:p w14:paraId="38EE9D9E">
            <w:pPr>
              <w:widowControl/>
              <w:jc w:val="center"/>
              <w:rPr>
                <w:rFonts w:ascii="宋体" w:hAnsi="宋体" w:cs="宋体"/>
                <w:bCs/>
                <w:kern w:val="0"/>
                <w:szCs w:val="21"/>
              </w:rPr>
            </w:pPr>
            <w:r>
              <w:rPr>
                <w:rFonts w:hint="eastAsia" w:ascii="宋体" w:hAnsi="宋体" w:cs="宋体"/>
                <w:bCs/>
                <w:kern w:val="0"/>
                <w:szCs w:val="21"/>
              </w:rPr>
              <w:t>项目名称</w:t>
            </w:r>
          </w:p>
        </w:tc>
        <w:tc>
          <w:tcPr>
            <w:tcW w:w="1836" w:type="dxa"/>
            <w:tcBorders>
              <w:top w:val="single" w:color="auto" w:sz="4" w:space="0"/>
              <w:left w:val="nil"/>
              <w:bottom w:val="single" w:color="auto" w:sz="4" w:space="0"/>
              <w:right w:val="single" w:color="auto" w:sz="4" w:space="0"/>
            </w:tcBorders>
            <w:vAlign w:val="center"/>
          </w:tcPr>
          <w:p w14:paraId="3F12526A">
            <w:pPr>
              <w:widowControl/>
              <w:jc w:val="center"/>
              <w:rPr>
                <w:rFonts w:ascii="宋体" w:hAnsi="宋体" w:cs="宋体"/>
                <w:bCs/>
                <w:kern w:val="0"/>
                <w:szCs w:val="21"/>
              </w:rPr>
            </w:pPr>
            <w:r>
              <w:rPr>
                <w:rFonts w:ascii="宋体" w:hAnsi="宋体" w:cs="宋体"/>
                <w:bCs/>
                <w:kern w:val="0"/>
                <w:szCs w:val="21"/>
              </w:rPr>
              <w:t>批复</w:t>
            </w:r>
            <w:r>
              <w:rPr>
                <w:rFonts w:hint="eastAsia" w:ascii="宋体" w:hAnsi="宋体" w:cs="宋体"/>
                <w:bCs/>
                <w:kern w:val="0"/>
                <w:szCs w:val="21"/>
              </w:rPr>
              <w:t>日期</w:t>
            </w:r>
          </w:p>
        </w:tc>
        <w:tc>
          <w:tcPr>
            <w:tcW w:w="1130" w:type="dxa"/>
            <w:tcBorders>
              <w:top w:val="single" w:color="auto" w:sz="4" w:space="0"/>
              <w:left w:val="nil"/>
              <w:bottom w:val="single" w:color="auto" w:sz="4" w:space="0"/>
              <w:right w:val="single" w:color="auto" w:sz="4" w:space="0"/>
            </w:tcBorders>
            <w:vAlign w:val="center"/>
          </w:tcPr>
          <w:p w14:paraId="640C0EB1">
            <w:pPr>
              <w:widowControl/>
              <w:jc w:val="center"/>
              <w:rPr>
                <w:rFonts w:ascii="宋体" w:hAnsi="宋体" w:cs="宋体"/>
                <w:bCs/>
                <w:kern w:val="0"/>
                <w:szCs w:val="21"/>
              </w:rPr>
            </w:pPr>
            <w:r>
              <w:rPr>
                <w:rFonts w:hint="eastAsia" w:ascii="宋体" w:hAnsi="宋体" w:cs="宋体"/>
                <w:bCs/>
                <w:kern w:val="0"/>
                <w:szCs w:val="21"/>
              </w:rPr>
              <w:t xml:space="preserve">设计阶段          </w:t>
            </w:r>
          </w:p>
        </w:tc>
        <w:tc>
          <w:tcPr>
            <w:tcW w:w="1412" w:type="dxa"/>
            <w:tcBorders>
              <w:top w:val="single" w:color="auto" w:sz="4" w:space="0"/>
              <w:left w:val="nil"/>
              <w:bottom w:val="single" w:color="auto" w:sz="4" w:space="0"/>
              <w:right w:val="single" w:color="auto" w:sz="4" w:space="0"/>
            </w:tcBorders>
            <w:vAlign w:val="center"/>
          </w:tcPr>
          <w:p w14:paraId="5BD779FB">
            <w:pPr>
              <w:widowControl/>
              <w:jc w:val="center"/>
              <w:rPr>
                <w:rFonts w:ascii="宋体" w:hAnsi="宋体" w:cs="宋体"/>
                <w:bCs/>
                <w:kern w:val="0"/>
                <w:szCs w:val="21"/>
              </w:rPr>
            </w:pPr>
            <w:r>
              <w:rPr>
                <w:rFonts w:hint="eastAsia" w:ascii="宋体" w:hAnsi="宋体" w:cs="宋体"/>
                <w:bCs/>
                <w:kern w:val="0"/>
                <w:szCs w:val="21"/>
              </w:rPr>
              <w:t xml:space="preserve">项目建设形式         </w:t>
            </w:r>
          </w:p>
        </w:tc>
        <w:tc>
          <w:tcPr>
            <w:tcW w:w="1978" w:type="dxa"/>
            <w:tcBorders>
              <w:top w:val="single" w:color="auto" w:sz="4" w:space="0"/>
              <w:left w:val="nil"/>
              <w:bottom w:val="single" w:color="auto" w:sz="4" w:space="0"/>
              <w:right w:val="single" w:color="auto" w:sz="4" w:space="0"/>
            </w:tcBorders>
            <w:vAlign w:val="center"/>
          </w:tcPr>
          <w:p w14:paraId="2EC79F16">
            <w:pPr>
              <w:widowControl/>
              <w:jc w:val="center"/>
              <w:rPr>
                <w:rFonts w:ascii="宋体" w:hAnsi="宋体" w:cs="宋体"/>
                <w:bCs/>
                <w:kern w:val="0"/>
                <w:szCs w:val="21"/>
              </w:rPr>
            </w:pPr>
            <w:r>
              <w:rPr>
                <w:rFonts w:hint="eastAsia" w:ascii="宋体" w:hAnsi="宋体" w:cs="宋体"/>
                <w:bCs/>
                <w:kern w:val="0"/>
                <w:szCs w:val="21"/>
              </w:rPr>
              <w:t xml:space="preserve"> 隧道名称</w:t>
            </w:r>
          </w:p>
        </w:tc>
        <w:tc>
          <w:tcPr>
            <w:tcW w:w="1696" w:type="dxa"/>
            <w:tcBorders>
              <w:top w:val="single" w:color="auto" w:sz="4" w:space="0"/>
              <w:left w:val="nil"/>
              <w:bottom w:val="single" w:color="auto" w:sz="4" w:space="0"/>
              <w:right w:val="single" w:color="auto" w:sz="4" w:space="0"/>
            </w:tcBorders>
            <w:vAlign w:val="center"/>
          </w:tcPr>
          <w:p w14:paraId="2D07BF75">
            <w:pPr>
              <w:widowControl/>
              <w:jc w:val="center"/>
              <w:rPr>
                <w:rFonts w:ascii="宋体" w:hAnsi="宋体" w:cs="宋体"/>
                <w:bCs/>
                <w:kern w:val="0"/>
                <w:szCs w:val="21"/>
              </w:rPr>
            </w:pPr>
            <w:r>
              <w:rPr>
                <w:rFonts w:hint="eastAsia" w:ascii="宋体" w:hAnsi="宋体" w:cs="宋体"/>
                <w:bCs/>
                <w:kern w:val="0"/>
                <w:szCs w:val="21"/>
              </w:rPr>
              <w:t>隧道长度（m）</w:t>
            </w:r>
          </w:p>
        </w:tc>
        <w:tc>
          <w:tcPr>
            <w:tcW w:w="1414" w:type="dxa"/>
            <w:tcBorders>
              <w:top w:val="single" w:color="auto" w:sz="4" w:space="0"/>
              <w:left w:val="nil"/>
              <w:bottom w:val="single" w:color="auto" w:sz="4" w:space="0"/>
              <w:right w:val="single" w:color="auto" w:sz="4" w:space="0"/>
            </w:tcBorders>
            <w:vAlign w:val="center"/>
          </w:tcPr>
          <w:p w14:paraId="411C5300">
            <w:pPr>
              <w:widowControl/>
              <w:jc w:val="center"/>
              <w:rPr>
                <w:rFonts w:ascii="宋体" w:hAnsi="宋体" w:cs="宋体"/>
                <w:bCs/>
                <w:kern w:val="0"/>
                <w:szCs w:val="21"/>
              </w:rPr>
            </w:pPr>
            <w:r>
              <w:rPr>
                <w:rFonts w:hint="eastAsia" w:ascii="宋体" w:hAnsi="宋体" w:cs="宋体"/>
                <w:bCs/>
                <w:kern w:val="0"/>
                <w:szCs w:val="21"/>
              </w:rPr>
              <w:t>业绩证明材料附件</w:t>
            </w:r>
          </w:p>
        </w:tc>
      </w:tr>
      <w:tr w14:paraId="1A676C3B">
        <w:tblPrEx>
          <w:tblCellMar>
            <w:top w:w="0" w:type="dxa"/>
            <w:left w:w="108" w:type="dxa"/>
            <w:bottom w:w="0" w:type="dxa"/>
            <w:right w:w="108" w:type="dxa"/>
          </w:tblCellMar>
        </w:tblPrEx>
        <w:trPr>
          <w:jc w:val="center"/>
        </w:trPr>
        <w:tc>
          <w:tcPr>
            <w:tcW w:w="1161" w:type="dxa"/>
            <w:vMerge w:val="restart"/>
            <w:tcBorders>
              <w:top w:val="nil"/>
              <w:left w:val="single" w:color="auto" w:sz="4" w:space="0"/>
              <w:right w:val="single" w:color="auto" w:sz="4" w:space="0"/>
            </w:tcBorders>
            <w:vAlign w:val="center"/>
          </w:tcPr>
          <w:p w14:paraId="07CD2338">
            <w:pPr>
              <w:widowControl/>
              <w:jc w:val="left"/>
              <w:rPr>
                <w:szCs w:val="21"/>
              </w:rPr>
            </w:pPr>
          </w:p>
        </w:tc>
        <w:tc>
          <w:tcPr>
            <w:tcW w:w="1413" w:type="dxa"/>
            <w:vMerge w:val="restart"/>
            <w:tcBorders>
              <w:top w:val="nil"/>
              <w:left w:val="nil"/>
              <w:right w:val="single" w:color="auto" w:sz="4" w:space="0"/>
            </w:tcBorders>
            <w:vAlign w:val="center"/>
          </w:tcPr>
          <w:p w14:paraId="3E9BDED1">
            <w:pPr>
              <w:widowControl/>
              <w:jc w:val="left"/>
              <w:rPr>
                <w:szCs w:val="21"/>
              </w:rPr>
            </w:pPr>
            <w:r>
              <w:rPr>
                <w:rFonts w:hint="eastAsia"/>
                <w:szCs w:val="21"/>
              </w:rPr>
              <w:t>　</w:t>
            </w:r>
          </w:p>
        </w:tc>
        <w:tc>
          <w:tcPr>
            <w:tcW w:w="1696" w:type="dxa"/>
            <w:vMerge w:val="restart"/>
            <w:tcBorders>
              <w:top w:val="nil"/>
              <w:left w:val="nil"/>
              <w:right w:val="single" w:color="auto" w:sz="4" w:space="0"/>
            </w:tcBorders>
            <w:vAlign w:val="center"/>
          </w:tcPr>
          <w:p w14:paraId="52C0A0BD">
            <w:pPr>
              <w:widowControl/>
              <w:jc w:val="left"/>
              <w:rPr>
                <w:szCs w:val="21"/>
              </w:rPr>
            </w:pPr>
          </w:p>
        </w:tc>
        <w:tc>
          <w:tcPr>
            <w:tcW w:w="1836" w:type="dxa"/>
            <w:vMerge w:val="restart"/>
            <w:tcBorders>
              <w:top w:val="nil"/>
              <w:left w:val="nil"/>
              <w:right w:val="single" w:color="auto" w:sz="4" w:space="0"/>
            </w:tcBorders>
            <w:vAlign w:val="center"/>
          </w:tcPr>
          <w:p w14:paraId="2C1AD20A">
            <w:pPr>
              <w:widowControl/>
              <w:jc w:val="left"/>
              <w:rPr>
                <w:szCs w:val="21"/>
              </w:rPr>
            </w:pPr>
          </w:p>
        </w:tc>
        <w:tc>
          <w:tcPr>
            <w:tcW w:w="1130" w:type="dxa"/>
            <w:vMerge w:val="restart"/>
            <w:tcBorders>
              <w:top w:val="nil"/>
              <w:left w:val="nil"/>
              <w:right w:val="single" w:color="auto" w:sz="4" w:space="0"/>
            </w:tcBorders>
            <w:vAlign w:val="center"/>
          </w:tcPr>
          <w:p w14:paraId="5ABF348E">
            <w:pPr>
              <w:widowControl/>
              <w:jc w:val="left"/>
              <w:rPr>
                <w:szCs w:val="21"/>
              </w:rPr>
            </w:pPr>
            <w:r>
              <w:rPr>
                <w:rFonts w:hint="eastAsia"/>
                <w:szCs w:val="21"/>
              </w:rPr>
              <w:t>□初步</w:t>
            </w:r>
          </w:p>
          <w:p w14:paraId="0840F21A">
            <w:pPr>
              <w:widowControl/>
              <w:jc w:val="left"/>
              <w:rPr>
                <w:szCs w:val="21"/>
              </w:rPr>
            </w:pPr>
            <w:r>
              <w:rPr>
                <w:rFonts w:hint="eastAsia"/>
                <w:szCs w:val="21"/>
              </w:rPr>
              <w:t>□施工图</w:t>
            </w:r>
          </w:p>
        </w:tc>
        <w:tc>
          <w:tcPr>
            <w:tcW w:w="1412" w:type="dxa"/>
            <w:vMerge w:val="restart"/>
            <w:tcBorders>
              <w:top w:val="nil"/>
              <w:left w:val="nil"/>
              <w:right w:val="single" w:color="auto" w:sz="4" w:space="0"/>
            </w:tcBorders>
            <w:vAlign w:val="center"/>
          </w:tcPr>
          <w:p w14:paraId="15E5C04A">
            <w:pPr>
              <w:widowControl/>
              <w:jc w:val="left"/>
              <w:rPr>
                <w:szCs w:val="21"/>
              </w:rPr>
            </w:pPr>
            <w:r>
              <w:rPr>
                <w:rFonts w:hint="eastAsia"/>
                <w:szCs w:val="21"/>
              </w:rPr>
              <w:t>□新建</w:t>
            </w:r>
          </w:p>
          <w:p w14:paraId="58184722">
            <w:pPr>
              <w:widowControl/>
              <w:jc w:val="left"/>
              <w:rPr>
                <w:szCs w:val="21"/>
              </w:rPr>
            </w:pPr>
            <w:r>
              <w:rPr>
                <w:rFonts w:hint="eastAsia"/>
                <w:szCs w:val="21"/>
              </w:rPr>
              <w:t>□改扩建</w:t>
            </w:r>
          </w:p>
        </w:tc>
        <w:tc>
          <w:tcPr>
            <w:tcW w:w="1978" w:type="dxa"/>
            <w:tcBorders>
              <w:top w:val="nil"/>
              <w:left w:val="nil"/>
              <w:bottom w:val="single" w:color="auto" w:sz="4" w:space="0"/>
              <w:right w:val="single" w:color="auto" w:sz="4" w:space="0"/>
            </w:tcBorders>
            <w:vAlign w:val="center"/>
          </w:tcPr>
          <w:p w14:paraId="34EEFF05">
            <w:pPr>
              <w:widowControl/>
              <w:jc w:val="left"/>
              <w:rPr>
                <w:szCs w:val="21"/>
              </w:rPr>
            </w:pPr>
            <w:r>
              <w:rPr>
                <w:rFonts w:hint="eastAsia"/>
                <w:szCs w:val="21"/>
              </w:rPr>
              <w:t>　</w:t>
            </w:r>
          </w:p>
        </w:tc>
        <w:tc>
          <w:tcPr>
            <w:tcW w:w="1696" w:type="dxa"/>
            <w:tcBorders>
              <w:top w:val="nil"/>
              <w:left w:val="nil"/>
              <w:bottom w:val="single" w:color="auto" w:sz="4" w:space="0"/>
              <w:right w:val="single" w:color="auto" w:sz="4" w:space="0"/>
            </w:tcBorders>
            <w:vAlign w:val="center"/>
          </w:tcPr>
          <w:p w14:paraId="1DD207BB">
            <w:pPr>
              <w:widowControl/>
              <w:jc w:val="left"/>
              <w:rPr>
                <w:szCs w:val="21"/>
              </w:rPr>
            </w:pPr>
            <w:r>
              <w:rPr>
                <w:rFonts w:hint="eastAsia"/>
                <w:szCs w:val="21"/>
              </w:rPr>
              <w:t>　</w:t>
            </w:r>
          </w:p>
        </w:tc>
        <w:tc>
          <w:tcPr>
            <w:tcW w:w="1414" w:type="dxa"/>
            <w:vMerge w:val="restart"/>
            <w:tcBorders>
              <w:top w:val="nil"/>
              <w:left w:val="nil"/>
              <w:right w:val="single" w:color="auto" w:sz="4" w:space="0"/>
            </w:tcBorders>
            <w:vAlign w:val="center"/>
          </w:tcPr>
          <w:p w14:paraId="5E2D6879">
            <w:pPr>
              <w:widowControl/>
              <w:jc w:val="center"/>
              <w:rPr>
                <w:rFonts w:hint="eastAsia" w:ascii="宋体" w:hAnsi="宋体" w:cs="宋体"/>
                <w:szCs w:val="21"/>
              </w:rPr>
            </w:pPr>
            <w:r>
              <w:rPr>
                <w:rFonts w:hint="eastAsia" w:ascii="宋体" w:hAnsi="宋体" w:cs="宋体"/>
                <w:szCs w:val="21"/>
              </w:rPr>
              <w:t>附件C</w:t>
            </w:r>
            <w:r>
              <w:rPr>
                <w:rFonts w:hint="eastAsia" w:ascii="宋体" w:hAnsi="宋体" w:cs="宋体"/>
                <w:kern w:val="0"/>
                <w:sz w:val="20"/>
                <w:szCs w:val="20"/>
                <w:lang w:val="en-US" w:eastAsia="zh-CN"/>
              </w:rPr>
              <w:t>1-</w:t>
            </w:r>
            <w:r>
              <w:rPr>
                <w:rFonts w:hint="eastAsia" w:ascii="宋体" w:hAnsi="宋体" w:cs="宋体"/>
                <w:szCs w:val="21"/>
              </w:rPr>
              <w:t>3.1</w:t>
            </w:r>
          </w:p>
        </w:tc>
      </w:tr>
      <w:tr w14:paraId="576F58C2">
        <w:tblPrEx>
          <w:tblCellMar>
            <w:top w:w="0" w:type="dxa"/>
            <w:left w:w="108" w:type="dxa"/>
            <w:bottom w:w="0" w:type="dxa"/>
            <w:right w:w="108" w:type="dxa"/>
          </w:tblCellMar>
        </w:tblPrEx>
        <w:trPr>
          <w:jc w:val="center"/>
        </w:trPr>
        <w:tc>
          <w:tcPr>
            <w:tcW w:w="1161" w:type="dxa"/>
            <w:vMerge w:val="continue"/>
            <w:tcBorders>
              <w:left w:val="single" w:color="auto" w:sz="4" w:space="0"/>
              <w:right w:val="single" w:color="auto" w:sz="4" w:space="0"/>
            </w:tcBorders>
            <w:vAlign w:val="center"/>
          </w:tcPr>
          <w:p w14:paraId="661B7891">
            <w:pPr>
              <w:widowControl/>
              <w:jc w:val="left"/>
              <w:rPr>
                <w:szCs w:val="21"/>
              </w:rPr>
            </w:pPr>
          </w:p>
        </w:tc>
        <w:tc>
          <w:tcPr>
            <w:tcW w:w="1413" w:type="dxa"/>
            <w:vMerge w:val="continue"/>
            <w:tcBorders>
              <w:left w:val="nil"/>
              <w:right w:val="single" w:color="auto" w:sz="4" w:space="0"/>
            </w:tcBorders>
            <w:vAlign w:val="center"/>
          </w:tcPr>
          <w:p w14:paraId="2640D5A0">
            <w:pPr>
              <w:widowControl/>
              <w:jc w:val="left"/>
              <w:rPr>
                <w:szCs w:val="21"/>
              </w:rPr>
            </w:pPr>
          </w:p>
        </w:tc>
        <w:tc>
          <w:tcPr>
            <w:tcW w:w="1696" w:type="dxa"/>
            <w:vMerge w:val="continue"/>
            <w:tcBorders>
              <w:left w:val="nil"/>
              <w:right w:val="single" w:color="auto" w:sz="4" w:space="0"/>
            </w:tcBorders>
            <w:vAlign w:val="center"/>
          </w:tcPr>
          <w:p w14:paraId="76B63DCF">
            <w:pPr>
              <w:widowControl/>
              <w:jc w:val="left"/>
              <w:rPr>
                <w:szCs w:val="21"/>
              </w:rPr>
            </w:pPr>
          </w:p>
        </w:tc>
        <w:tc>
          <w:tcPr>
            <w:tcW w:w="1836" w:type="dxa"/>
            <w:vMerge w:val="continue"/>
            <w:tcBorders>
              <w:left w:val="nil"/>
              <w:right w:val="single" w:color="auto" w:sz="4" w:space="0"/>
            </w:tcBorders>
            <w:vAlign w:val="center"/>
          </w:tcPr>
          <w:p w14:paraId="04CA17AF">
            <w:pPr>
              <w:widowControl/>
              <w:jc w:val="left"/>
              <w:rPr>
                <w:szCs w:val="21"/>
              </w:rPr>
            </w:pPr>
          </w:p>
        </w:tc>
        <w:tc>
          <w:tcPr>
            <w:tcW w:w="1130" w:type="dxa"/>
            <w:vMerge w:val="continue"/>
            <w:tcBorders>
              <w:left w:val="nil"/>
              <w:right w:val="single" w:color="auto" w:sz="4" w:space="0"/>
            </w:tcBorders>
            <w:vAlign w:val="center"/>
          </w:tcPr>
          <w:p w14:paraId="125FA160">
            <w:pPr>
              <w:widowControl/>
              <w:jc w:val="left"/>
              <w:rPr>
                <w:szCs w:val="21"/>
              </w:rPr>
            </w:pPr>
          </w:p>
        </w:tc>
        <w:tc>
          <w:tcPr>
            <w:tcW w:w="1412" w:type="dxa"/>
            <w:vMerge w:val="continue"/>
            <w:tcBorders>
              <w:left w:val="nil"/>
              <w:right w:val="single" w:color="auto" w:sz="4" w:space="0"/>
            </w:tcBorders>
            <w:vAlign w:val="center"/>
          </w:tcPr>
          <w:p w14:paraId="7D392FF8">
            <w:pPr>
              <w:widowControl/>
              <w:jc w:val="left"/>
              <w:rPr>
                <w:szCs w:val="21"/>
              </w:rPr>
            </w:pPr>
          </w:p>
        </w:tc>
        <w:tc>
          <w:tcPr>
            <w:tcW w:w="1978" w:type="dxa"/>
            <w:tcBorders>
              <w:top w:val="nil"/>
              <w:left w:val="nil"/>
              <w:bottom w:val="single" w:color="auto" w:sz="4" w:space="0"/>
              <w:right w:val="single" w:color="auto" w:sz="4" w:space="0"/>
            </w:tcBorders>
            <w:vAlign w:val="center"/>
          </w:tcPr>
          <w:p w14:paraId="621DEF22">
            <w:pPr>
              <w:widowControl/>
              <w:jc w:val="left"/>
              <w:rPr>
                <w:szCs w:val="21"/>
              </w:rPr>
            </w:pPr>
          </w:p>
        </w:tc>
        <w:tc>
          <w:tcPr>
            <w:tcW w:w="1696" w:type="dxa"/>
            <w:tcBorders>
              <w:top w:val="nil"/>
              <w:left w:val="nil"/>
              <w:bottom w:val="single" w:color="auto" w:sz="4" w:space="0"/>
              <w:right w:val="single" w:color="auto" w:sz="4" w:space="0"/>
            </w:tcBorders>
            <w:vAlign w:val="center"/>
          </w:tcPr>
          <w:p w14:paraId="2BFF4F6F">
            <w:pPr>
              <w:widowControl/>
              <w:jc w:val="left"/>
              <w:rPr>
                <w:szCs w:val="21"/>
              </w:rPr>
            </w:pPr>
          </w:p>
        </w:tc>
        <w:tc>
          <w:tcPr>
            <w:tcW w:w="1414" w:type="dxa"/>
            <w:vMerge w:val="continue"/>
            <w:tcBorders>
              <w:left w:val="nil"/>
              <w:right w:val="single" w:color="auto" w:sz="4" w:space="0"/>
            </w:tcBorders>
            <w:vAlign w:val="center"/>
          </w:tcPr>
          <w:p w14:paraId="5E5A6262">
            <w:pPr>
              <w:widowControl/>
              <w:jc w:val="center"/>
              <w:rPr>
                <w:rFonts w:hint="eastAsia" w:ascii="宋体" w:hAnsi="宋体" w:cs="宋体"/>
                <w:szCs w:val="21"/>
              </w:rPr>
            </w:pPr>
          </w:p>
        </w:tc>
      </w:tr>
      <w:tr w14:paraId="3353C149">
        <w:tblPrEx>
          <w:tblCellMar>
            <w:top w:w="0" w:type="dxa"/>
            <w:left w:w="108" w:type="dxa"/>
            <w:bottom w:w="0" w:type="dxa"/>
            <w:right w:w="108" w:type="dxa"/>
          </w:tblCellMar>
        </w:tblPrEx>
        <w:trPr>
          <w:jc w:val="center"/>
        </w:trPr>
        <w:tc>
          <w:tcPr>
            <w:tcW w:w="1161" w:type="dxa"/>
            <w:vMerge w:val="continue"/>
            <w:tcBorders>
              <w:left w:val="single" w:color="auto" w:sz="4" w:space="0"/>
              <w:bottom w:val="single" w:color="auto" w:sz="4" w:space="0"/>
              <w:right w:val="single" w:color="auto" w:sz="4" w:space="0"/>
            </w:tcBorders>
            <w:vAlign w:val="center"/>
          </w:tcPr>
          <w:p w14:paraId="206BC85A">
            <w:pPr>
              <w:widowControl/>
              <w:jc w:val="left"/>
              <w:rPr>
                <w:szCs w:val="21"/>
              </w:rPr>
            </w:pPr>
          </w:p>
        </w:tc>
        <w:tc>
          <w:tcPr>
            <w:tcW w:w="1413" w:type="dxa"/>
            <w:vMerge w:val="continue"/>
            <w:tcBorders>
              <w:left w:val="nil"/>
              <w:bottom w:val="single" w:color="auto" w:sz="4" w:space="0"/>
              <w:right w:val="single" w:color="auto" w:sz="4" w:space="0"/>
            </w:tcBorders>
            <w:vAlign w:val="center"/>
          </w:tcPr>
          <w:p w14:paraId="45729F24">
            <w:pPr>
              <w:widowControl/>
              <w:jc w:val="left"/>
              <w:rPr>
                <w:szCs w:val="21"/>
              </w:rPr>
            </w:pPr>
          </w:p>
        </w:tc>
        <w:tc>
          <w:tcPr>
            <w:tcW w:w="1696" w:type="dxa"/>
            <w:vMerge w:val="continue"/>
            <w:tcBorders>
              <w:left w:val="nil"/>
              <w:bottom w:val="single" w:color="auto" w:sz="4" w:space="0"/>
              <w:right w:val="single" w:color="auto" w:sz="4" w:space="0"/>
            </w:tcBorders>
            <w:vAlign w:val="center"/>
          </w:tcPr>
          <w:p w14:paraId="1462B06C">
            <w:pPr>
              <w:widowControl/>
              <w:jc w:val="left"/>
              <w:rPr>
                <w:szCs w:val="21"/>
              </w:rPr>
            </w:pPr>
          </w:p>
        </w:tc>
        <w:tc>
          <w:tcPr>
            <w:tcW w:w="1836" w:type="dxa"/>
            <w:vMerge w:val="continue"/>
            <w:tcBorders>
              <w:left w:val="nil"/>
              <w:bottom w:val="single" w:color="auto" w:sz="4" w:space="0"/>
              <w:right w:val="single" w:color="auto" w:sz="4" w:space="0"/>
            </w:tcBorders>
            <w:vAlign w:val="center"/>
          </w:tcPr>
          <w:p w14:paraId="3F4E66A1">
            <w:pPr>
              <w:widowControl/>
              <w:jc w:val="left"/>
              <w:rPr>
                <w:szCs w:val="21"/>
              </w:rPr>
            </w:pPr>
          </w:p>
        </w:tc>
        <w:tc>
          <w:tcPr>
            <w:tcW w:w="1130" w:type="dxa"/>
            <w:vMerge w:val="continue"/>
            <w:tcBorders>
              <w:left w:val="nil"/>
              <w:bottom w:val="single" w:color="auto" w:sz="4" w:space="0"/>
              <w:right w:val="single" w:color="auto" w:sz="4" w:space="0"/>
            </w:tcBorders>
            <w:vAlign w:val="center"/>
          </w:tcPr>
          <w:p w14:paraId="49803D0E">
            <w:pPr>
              <w:widowControl/>
              <w:jc w:val="left"/>
              <w:rPr>
                <w:szCs w:val="21"/>
              </w:rPr>
            </w:pPr>
          </w:p>
        </w:tc>
        <w:tc>
          <w:tcPr>
            <w:tcW w:w="1412" w:type="dxa"/>
            <w:vMerge w:val="continue"/>
            <w:tcBorders>
              <w:left w:val="nil"/>
              <w:bottom w:val="single" w:color="auto" w:sz="4" w:space="0"/>
              <w:right w:val="single" w:color="auto" w:sz="4" w:space="0"/>
            </w:tcBorders>
            <w:vAlign w:val="center"/>
          </w:tcPr>
          <w:p w14:paraId="0DD676A8">
            <w:pPr>
              <w:widowControl/>
              <w:jc w:val="left"/>
              <w:rPr>
                <w:szCs w:val="21"/>
              </w:rPr>
            </w:pPr>
          </w:p>
        </w:tc>
        <w:tc>
          <w:tcPr>
            <w:tcW w:w="1978" w:type="dxa"/>
            <w:tcBorders>
              <w:top w:val="nil"/>
              <w:left w:val="nil"/>
              <w:bottom w:val="single" w:color="auto" w:sz="4" w:space="0"/>
              <w:right w:val="single" w:color="auto" w:sz="4" w:space="0"/>
            </w:tcBorders>
          </w:tcPr>
          <w:p w14:paraId="3EFED90F">
            <w:pPr>
              <w:widowControl/>
              <w:jc w:val="left"/>
              <w:rPr>
                <w:szCs w:val="21"/>
              </w:rPr>
            </w:pPr>
            <w:r>
              <w:rPr>
                <w:rFonts w:hint="eastAsia"/>
                <w:szCs w:val="21"/>
              </w:rPr>
              <w:t>…</w:t>
            </w:r>
          </w:p>
        </w:tc>
        <w:tc>
          <w:tcPr>
            <w:tcW w:w="1696" w:type="dxa"/>
            <w:tcBorders>
              <w:top w:val="nil"/>
              <w:left w:val="nil"/>
              <w:bottom w:val="single" w:color="auto" w:sz="4" w:space="0"/>
              <w:right w:val="single" w:color="auto" w:sz="4" w:space="0"/>
            </w:tcBorders>
          </w:tcPr>
          <w:p w14:paraId="1C7DFD12">
            <w:pPr>
              <w:widowControl/>
              <w:jc w:val="left"/>
              <w:rPr>
                <w:szCs w:val="21"/>
              </w:rPr>
            </w:pPr>
            <w:r>
              <w:rPr>
                <w:rFonts w:hint="eastAsia"/>
                <w:szCs w:val="21"/>
              </w:rPr>
              <w:t>…</w:t>
            </w:r>
          </w:p>
        </w:tc>
        <w:tc>
          <w:tcPr>
            <w:tcW w:w="1414" w:type="dxa"/>
            <w:vMerge w:val="continue"/>
            <w:tcBorders>
              <w:left w:val="nil"/>
              <w:bottom w:val="single" w:color="auto" w:sz="4" w:space="0"/>
              <w:right w:val="single" w:color="auto" w:sz="4" w:space="0"/>
            </w:tcBorders>
            <w:vAlign w:val="center"/>
          </w:tcPr>
          <w:p w14:paraId="6E2202A7">
            <w:pPr>
              <w:widowControl/>
              <w:jc w:val="center"/>
              <w:rPr>
                <w:rFonts w:hint="eastAsia" w:ascii="宋体" w:hAnsi="宋体" w:cs="宋体"/>
                <w:szCs w:val="21"/>
              </w:rPr>
            </w:pPr>
          </w:p>
        </w:tc>
      </w:tr>
      <w:tr w14:paraId="06F889E8">
        <w:tblPrEx>
          <w:tblCellMar>
            <w:top w:w="0" w:type="dxa"/>
            <w:left w:w="108" w:type="dxa"/>
            <w:bottom w:w="0" w:type="dxa"/>
            <w:right w:w="108" w:type="dxa"/>
          </w:tblCellMar>
        </w:tblPrEx>
        <w:trPr>
          <w:jc w:val="center"/>
        </w:trPr>
        <w:tc>
          <w:tcPr>
            <w:tcW w:w="1161" w:type="dxa"/>
            <w:vMerge w:val="restart"/>
            <w:tcBorders>
              <w:top w:val="nil"/>
              <w:left w:val="single" w:color="auto" w:sz="4" w:space="0"/>
              <w:right w:val="single" w:color="auto" w:sz="4" w:space="0"/>
            </w:tcBorders>
            <w:vAlign w:val="center"/>
          </w:tcPr>
          <w:p w14:paraId="69795DF5">
            <w:pPr>
              <w:widowControl/>
              <w:jc w:val="left"/>
              <w:rPr>
                <w:szCs w:val="21"/>
              </w:rPr>
            </w:pPr>
          </w:p>
        </w:tc>
        <w:tc>
          <w:tcPr>
            <w:tcW w:w="1413" w:type="dxa"/>
            <w:vMerge w:val="restart"/>
            <w:tcBorders>
              <w:top w:val="nil"/>
              <w:left w:val="nil"/>
              <w:right w:val="single" w:color="auto" w:sz="4" w:space="0"/>
            </w:tcBorders>
            <w:vAlign w:val="center"/>
          </w:tcPr>
          <w:p w14:paraId="780DB229">
            <w:pPr>
              <w:widowControl/>
              <w:jc w:val="left"/>
              <w:rPr>
                <w:szCs w:val="21"/>
              </w:rPr>
            </w:pPr>
            <w:r>
              <w:rPr>
                <w:rFonts w:hint="eastAsia"/>
                <w:szCs w:val="21"/>
              </w:rPr>
              <w:t>　</w:t>
            </w:r>
          </w:p>
        </w:tc>
        <w:tc>
          <w:tcPr>
            <w:tcW w:w="1696" w:type="dxa"/>
            <w:vMerge w:val="restart"/>
            <w:tcBorders>
              <w:top w:val="nil"/>
              <w:left w:val="nil"/>
              <w:right w:val="single" w:color="auto" w:sz="4" w:space="0"/>
            </w:tcBorders>
            <w:vAlign w:val="center"/>
          </w:tcPr>
          <w:p w14:paraId="3BCCD266">
            <w:pPr>
              <w:widowControl/>
              <w:jc w:val="left"/>
              <w:rPr>
                <w:szCs w:val="21"/>
              </w:rPr>
            </w:pPr>
          </w:p>
        </w:tc>
        <w:tc>
          <w:tcPr>
            <w:tcW w:w="1836" w:type="dxa"/>
            <w:vMerge w:val="restart"/>
            <w:tcBorders>
              <w:top w:val="nil"/>
              <w:left w:val="nil"/>
              <w:right w:val="single" w:color="auto" w:sz="4" w:space="0"/>
            </w:tcBorders>
            <w:vAlign w:val="center"/>
          </w:tcPr>
          <w:p w14:paraId="4D41973D">
            <w:pPr>
              <w:widowControl/>
              <w:jc w:val="left"/>
              <w:rPr>
                <w:szCs w:val="21"/>
              </w:rPr>
            </w:pPr>
          </w:p>
        </w:tc>
        <w:tc>
          <w:tcPr>
            <w:tcW w:w="1130" w:type="dxa"/>
            <w:vMerge w:val="restart"/>
            <w:tcBorders>
              <w:top w:val="nil"/>
              <w:left w:val="nil"/>
              <w:right w:val="single" w:color="auto" w:sz="4" w:space="0"/>
            </w:tcBorders>
            <w:vAlign w:val="center"/>
          </w:tcPr>
          <w:p w14:paraId="70917E60">
            <w:pPr>
              <w:widowControl/>
              <w:jc w:val="left"/>
              <w:rPr>
                <w:szCs w:val="21"/>
              </w:rPr>
            </w:pPr>
            <w:r>
              <w:rPr>
                <w:rFonts w:hint="eastAsia"/>
                <w:szCs w:val="21"/>
              </w:rPr>
              <w:t>□初步</w:t>
            </w:r>
          </w:p>
          <w:p w14:paraId="54C391E0">
            <w:pPr>
              <w:widowControl/>
              <w:jc w:val="left"/>
              <w:rPr>
                <w:szCs w:val="21"/>
              </w:rPr>
            </w:pPr>
            <w:r>
              <w:rPr>
                <w:rFonts w:hint="eastAsia"/>
                <w:szCs w:val="21"/>
              </w:rPr>
              <w:t>□施工图</w:t>
            </w:r>
          </w:p>
        </w:tc>
        <w:tc>
          <w:tcPr>
            <w:tcW w:w="1412" w:type="dxa"/>
            <w:vMerge w:val="restart"/>
            <w:tcBorders>
              <w:top w:val="nil"/>
              <w:left w:val="nil"/>
              <w:right w:val="single" w:color="auto" w:sz="4" w:space="0"/>
            </w:tcBorders>
            <w:vAlign w:val="center"/>
          </w:tcPr>
          <w:p w14:paraId="6CE35B11">
            <w:pPr>
              <w:widowControl/>
              <w:jc w:val="left"/>
              <w:rPr>
                <w:szCs w:val="21"/>
              </w:rPr>
            </w:pPr>
            <w:r>
              <w:rPr>
                <w:rFonts w:hint="eastAsia"/>
                <w:szCs w:val="21"/>
              </w:rPr>
              <w:t>□新建</w:t>
            </w:r>
          </w:p>
          <w:p w14:paraId="0588EBE8">
            <w:pPr>
              <w:widowControl/>
              <w:jc w:val="left"/>
              <w:rPr>
                <w:szCs w:val="21"/>
              </w:rPr>
            </w:pPr>
            <w:r>
              <w:rPr>
                <w:rFonts w:hint="eastAsia"/>
                <w:szCs w:val="21"/>
              </w:rPr>
              <w:t>□改扩建</w:t>
            </w:r>
          </w:p>
        </w:tc>
        <w:tc>
          <w:tcPr>
            <w:tcW w:w="1978" w:type="dxa"/>
            <w:tcBorders>
              <w:top w:val="nil"/>
              <w:left w:val="nil"/>
              <w:bottom w:val="single" w:color="auto" w:sz="4" w:space="0"/>
              <w:right w:val="single" w:color="auto" w:sz="4" w:space="0"/>
            </w:tcBorders>
            <w:vAlign w:val="center"/>
          </w:tcPr>
          <w:p w14:paraId="715F7600">
            <w:pPr>
              <w:widowControl/>
              <w:jc w:val="left"/>
              <w:rPr>
                <w:szCs w:val="21"/>
              </w:rPr>
            </w:pPr>
            <w:r>
              <w:rPr>
                <w:rFonts w:hint="eastAsia"/>
                <w:szCs w:val="21"/>
              </w:rPr>
              <w:t>　</w:t>
            </w:r>
          </w:p>
        </w:tc>
        <w:tc>
          <w:tcPr>
            <w:tcW w:w="1696" w:type="dxa"/>
            <w:tcBorders>
              <w:top w:val="nil"/>
              <w:left w:val="nil"/>
              <w:bottom w:val="single" w:color="auto" w:sz="4" w:space="0"/>
              <w:right w:val="single" w:color="auto" w:sz="4" w:space="0"/>
            </w:tcBorders>
            <w:vAlign w:val="center"/>
          </w:tcPr>
          <w:p w14:paraId="37128D41">
            <w:pPr>
              <w:widowControl/>
              <w:jc w:val="left"/>
              <w:rPr>
                <w:szCs w:val="21"/>
              </w:rPr>
            </w:pPr>
            <w:r>
              <w:rPr>
                <w:rFonts w:hint="eastAsia"/>
                <w:szCs w:val="21"/>
              </w:rPr>
              <w:t>　</w:t>
            </w:r>
          </w:p>
        </w:tc>
        <w:tc>
          <w:tcPr>
            <w:tcW w:w="1414" w:type="dxa"/>
            <w:vMerge w:val="restart"/>
            <w:tcBorders>
              <w:top w:val="nil"/>
              <w:left w:val="nil"/>
              <w:right w:val="single" w:color="auto" w:sz="4" w:space="0"/>
            </w:tcBorders>
            <w:vAlign w:val="center"/>
          </w:tcPr>
          <w:p w14:paraId="5CC1B83A">
            <w:pPr>
              <w:widowControl/>
              <w:jc w:val="center"/>
              <w:rPr>
                <w:rFonts w:hint="eastAsia" w:ascii="宋体" w:hAnsi="宋体" w:cs="宋体"/>
                <w:szCs w:val="21"/>
              </w:rPr>
            </w:pPr>
            <w:r>
              <w:rPr>
                <w:rFonts w:hint="eastAsia" w:ascii="宋体" w:hAnsi="宋体" w:cs="宋体"/>
                <w:szCs w:val="21"/>
              </w:rPr>
              <w:t>附件C</w:t>
            </w:r>
            <w:r>
              <w:rPr>
                <w:rFonts w:hint="eastAsia" w:ascii="宋体" w:hAnsi="宋体" w:cs="宋体"/>
                <w:kern w:val="0"/>
                <w:sz w:val="20"/>
                <w:szCs w:val="20"/>
                <w:lang w:val="en-US" w:eastAsia="zh-CN"/>
              </w:rPr>
              <w:t>1-</w:t>
            </w:r>
            <w:r>
              <w:rPr>
                <w:rFonts w:hint="eastAsia" w:ascii="宋体" w:hAnsi="宋体" w:cs="宋体"/>
                <w:szCs w:val="21"/>
              </w:rPr>
              <w:t>3.2</w:t>
            </w:r>
          </w:p>
        </w:tc>
      </w:tr>
      <w:tr w14:paraId="408B5D09">
        <w:tblPrEx>
          <w:tblCellMar>
            <w:top w:w="0" w:type="dxa"/>
            <w:left w:w="108" w:type="dxa"/>
            <w:bottom w:w="0" w:type="dxa"/>
            <w:right w:w="108" w:type="dxa"/>
          </w:tblCellMar>
        </w:tblPrEx>
        <w:trPr>
          <w:jc w:val="center"/>
        </w:trPr>
        <w:tc>
          <w:tcPr>
            <w:tcW w:w="1161" w:type="dxa"/>
            <w:vMerge w:val="continue"/>
            <w:tcBorders>
              <w:left w:val="single" w:color="auto" w:sz="4" w:space="0"/>
              <w:right w:val="single" w:color="auto" w:sz="4" w:space="0"/>
            </w:tcBorders>
            <w:vAlign w:val="center"/>
          </w:tcPr>
          <w:p w14:paraId="53DFB491">
            <w:pPr>
              <w:widowControl/>
              <w:jc w:val="left"/>
              <w:rPr>
                <w:szCs w:val="21"/>
              </w:rPr>
            </w:pPr>
          </w:p>
        </w:tc>
        <w:tc>
          <w:tcPr>
            <w:tcW w:w="1413" w:type="dxa"/>
            <w:vMerge w:val="continue"/>
            <w:tcBorders>
              <w:left w:val="nil"/>
              <w:right w:val="single" w:color="auto" w:sz="4" w:space="0"/>
            </w:tcBorders>
            <w:vAlign w:val="center"/>
          </w:tcPr>
          <w:p w14:paraId="707720E4">
            <w:pPr>
              <w:widowControl/>
              <w:jc w:val="left"/>
              <w:rPr>
                <w:szCs w:val="21"/>
              </w:rPr>
            </w:pPr>
          </w:p>
        </w:tc>
        <w:tc>
          <w:tcPr>
            <w:tcW w:w="1696" w:type="dxa"/>
            <w:vMerge w:val="continue"/>
            <w:tcBorders>
              <w:left w:val="nil"/>
              <w:right w:val="single" w:color="auto" w:sz="4" w:space="0"/>
            </w:tcBorders>
            <w:vAlign w:val="center"/>
          </w:tcPr>
          <w:p w14:paraId="6EE063A2">
            <w:pPr>
              <w:widowControl/>
              <w:jc w:val="left"/>
              <w:rPr>
                <w:szCs w:val="21"/>
              </w:rPr>
            </w:pPr>
          </w:p>
        </w:tc>
        <w:tc>
          <w:tcPr>
            <w:tcW w:w="1836" w:type="dxa"/>
            <w:vMerge w:val="continue"/>
            <w:tcBorders>
              <w:left w:val="nil"/>
              <w:right w:val="single" w:color="auto" w:sz="4" w:space="0"/>
            </w:tcBorders>
            <w:vAlign w:val="center"/>
          </w:tcPr>
          <w:p w14:paraId="299B234C">
            <w:pPr>
              <w:widowControl/>
              <w:jc w:val="left"/>
              <w:rPr>
                <w:szCs w:val="21"/>
              </w:rPr>
            </w:pPr>
          </w:p>
        </w:tc>
        <w:tc>
          <w:tcPr>
            <w:tcW w:w="1130" w:type="dxa"/>
            <w:vMerge w:val="continue"/>
            <w:tcBorders>
              <w:left w:val="nil"/>
              <w:right w:val="single" w:color="auto" w:sz="4" w:space="0"/>
            </w:tcBorders>
            <w:vAlign w:val="center"/>
          </w:tcPr>
          <w:p w14:paraId="747FAEEF">
            <w:pPr>
              <w:widowControl/>
              <w:jc w:val="left"/>
              <w:rPr>
                <w:szCs w:val="21"/>
              </w:rPr>
            </w:pPr>
          </w:p>
        </w:tc>
        <w:tc>
          <w:tcPr>
            <w:tcW w:w="1412" w:type="dxa"/>
            <w:vMerge w:val="continue"/>
            <w:tcBorders>
              <w:left w:val="nil"/>
              <w:right w:val="single" w:color="auto" w:sz="4" w:space="0"/>
            </w:tcBorders>
            <w:vAlign w:val="center"/>
          </w:tcPr>
          <w:p w14:paraId="436102D8">
            <w:pPr>
              <w:widowControl/>
              <w:jc w:val="left"/>
              <w:rPr>
                <w:szCs w:val="21"/>
              </w:rPr>
            </w:pPr>
          </w:p>
        </w:tc>
        <w:tc>
          <w:tcPr>
            <w:tcW w:w="1978" w:type="dxa"/>
            <w:tcBorders>
              <w:top w:val="nil"/>
              <w:left w:val="nil"/>
              <w:bottom w:val="single" w:color="auto" w:sz="4" w:space="0"/>
              <w:right w:val="single" w:color="auto" w:sz="4" w:space="0"/>
            </w:tcBorders>
            <w:vAlign w:val="center"/>
          </w:tcPr>
          <w:p w14:paraId="00F04C0E">
            <w:pPr>
              <w:widowControl/>
              <w:jc w:val="left"/>
              <w:rPr>
                <w:szCs w:val="21"/>
              </w:rPr>
            </w:pPr>
          </w:p>
        </w:tc>
        <w:tc>
          <w:tcPr>
            <w:tcW w:w="1696" w:type="dxa"/>
            <w:tcBorders>
              <w:top w:val="nil"/>
              <w:left w:val="nil"/>
              <w:bottom w:val="single" w:color="auto" w:sz="4" w:space="0"/>
              <w:right w:val="single" w:color="auto" w:sz="4" w:space="0"/>
            </w:tcBorders>
            <w:vAlign w:val="center"/>
          </w:tcPr>
          <w:p w14:paraId="1B49CB9D">
            <w:pPr>
              <w:widowControl/>
              <w:jc w:val="left"/>
              <w:rPr>
                <w:szCs w:val="21"/>
              </w:rPr>
            </w:pPr>
          </w:p>
        </w:tc>
        <w:tc>
          <w:tcPr>
            <w:tcW w:w="1414" w:type="dxa"/>
            <w:vMerge w:val="continue"/>
            <w:tcBorders>
              <w:left w:val="nil"/>
              <w:right w:val="single" w:color="auto" w:sz="4" w:space="0"/>
            </w:tcBorders>
            <w:vAlign w:val="center"/>
          </w:tcPr>
          <w:p w14:paraId="135055C1">
            <w:pPr>
              <w:widowControl/>
              <w:jc w:val="center"/>
              <w:rPr>
                <w:rFonts w:hint="eastAsia" w:ascii="宋体" w:hAnsi="宋体" w:cs="宋体"/>
                <w:szCs w:val="21"/>
              </w:rPr>
            </w:pPr>
          </w:p>
        </w:tc>
      </w:tr>
      <w:tr w14:paraId="55E91BE9">
        <w:tblPrEx>
          <w:tblCellMar>
            <w:top w:w="0" w:type="dxa"/>
            <w:left w:w="108" w:type="dxa"/>
            <w:bottom w:w="0" w:type="dxa"/>
            <w:right w:w="108" w:type="dxa"/>
          </w:tblCellMar>
        </w:tblPrEx>
        <w:trPr>
          <w:jc w:val="center"/>
        </w:trPr>
        <w:tc>
          <w:tcPr>
            <w:tcW w:w="1161" w:type="dxa"/>
            <w:vMerge w:val="continue"/>
            <w:tcBorders>
              <w:left w:val="single" w:color="auto" w:sz="4" w:space="0"/>
              <w:bottom w:val="single" w:color="auto" w:sz="4" w:space="0"/>
              <w:right w:val="single" w:color="auto" w:sz="4" w:space="0"/>
            </w:tcBorders>
            <w:vAlign w:val="center"/>
          </w:tcPr>
          <w:p w14:paraId="31832FA9">
            <w:pPr>
              <w:widowControl/>
              <w:jc w:val="left"/>
              <w:rPr>
                <w:szCs w:val="21"/>
              </w:rPr>
            </w:pPr>
          </w:p>
        </w:tc>
        <w:tc>
          <w:tcPr>
            <w:tcW w:w="1413" w:type="dxa"/>
            <w:vMerge w:val="continue"/>
            <w:tcBorders>
              <w:left w:val="nil"/>
              <w:bottom w:val="single" w:color="auto" w:sz="4" w:space="0"/>
              <w:right w:val="single" w:color="auto" w:sz="4" w:space="0"/>
            </w:tcBorders>
            <w:vAlign w:val="center"/>
          </w:tcPr>
          <w:p w14:paraId="4E1C4893">
            <w:pPr>
              <w:widowControl/>
              <w:jc w:val="left"/>
              <w:rPr>
                <w:szCs w:val="21"/>
              </w:rPr>
            </w:pPr>
          </w:p>
        </w:tc>
        <w:tc>
          <w:tcPr>
            <w:tcW w:w="1696" w:type="dxa"/>
            <w:vMerge w:val="continue"/>
            <w:tcBorders>
              <w:left w:val="nil"/>
              <w:bottom w:val="single" w:color="auto" w:sz="4" w:space="0"/>
              <w:right w:val="single" w:color="auto" w:sz="4" w:space="0"/>
            </w:tcBorders>
            <w:vAlign w:val="center"/>
          </w:tcPr>
          <w:p w14:paraId="5F183B89">
            <w:pPr>
              <w:widowControl/>
              <w:jc w:val="left"/>
              <w:rPr>
                <w:szCs w:val="21"/>
              </w:rPr>
            </w:pPr>
          </w:p>
        </w:tc>
        <w:tc>
          <w:tcPr>
            <w:tcW w:w="1836" w:type="dxa"/>
            <w:vMerge w:val="continue"/>
            <w:tcBorders>
              <w:left w:val="nil"/>
              <w:bottom w:val="single" w:color="auto" w:sz="4" w:space="0"/>
              <w:right w:val="single" w:color="auto" w:sz="4" w:space="0"/>
            </w:tcBorders>
            <w:vAlign w:val="center"/>
          </w:tcPr>
          <w:p w14:paraId="44A260AB">
            <w:pPr>
              <w:widowControl/>
              <w:jc w:val="left"/>
              <w:rPr>
                <w:szCs w:val="21"/>
              </w:rPr>
            </w:pPr>
          </w:p>
        </w:tc>
        <w:tc>
          <w:tcPr>
            <w:tcW w:w="1130" w:type="dxa"/>
            <w:vMerge w:val="continue"/>
            <w:tcBorders>
              <w:left w:val="nil"/>
              <w:bottom w:val="single" w:color="auto" w:sz="4" w:space="0"/>
              <w:right w:val="single" w:color="auto" w:sz="4" w:space="0"/>
            </w:tcBorders>
            <w:vAlign w:val="center"/>
          </w:tcPr>
          <w:p w14:paraId="1D56B976">
            <w:pPr>
              <w:widowControl/>
              <w:jc w:val="left"/>
              <w:rPr>
                <w:szCs w:val="21"/>
              </w:rPr>
            </w:pPr>
          </w:p>
        </w:tc>
        <w:tc>
          <w:tcPr>
            <w:tcW w:w="1412" w:type="dxa"/>
            <w:vMerge w:val="continue"/>
            <w:tcBorders>
              <w:left w:val="nil"/>
              <w:bottom w:val="single" w:color="auto" w:sz="4" w:space="0"/>
              <w:right w:val="single" w:color="auto" w:sz="4" w:space="0"/>
            </w:tcBorders>
            <w:vAlign w:val="center"/>
          </w:tcPr>
          <w:p w14:paraId="26CF38AA">
            <w:pPr>
              <w:widowControl/>
              <w:jc w:val="left"/>
              <w:rPr>
                <w:szCs w:val="21"/>
              </w:rPr>
            </w:pPr>
          </w:p>
        </w:tc>
        <w:tc>
          <w:tcPr>
            <w:tcW w:w="1978" w:type="dxa"/>
            <w:tcBorders>
              <w:top w:val="nil"/>
              <w:left w:val="nil"/>
              <w:bottom w:val="single" w:color="auto" w:sz="4" w:space="0"/>
              <w:right w:val="single" w:color="auto" w:sz="4" w:space="0"/>
            </w:tcBorders>
          </w:tcPr>
          <w:p w14:paraId="6BB46FEC">
            <w:pPr>
              <w:widowControl/>
              <w:jc w:val="left"/>
              <w:rPr>
                <w:szCs w:val="21"/>
              </w:rPr>
            </w:pPr>
            <w:r>
              <w:rPr>
                <w:rFonts w:hint="eastAsia"/>
                <w:szCs w:val="21"/>
              </w:rPr>
              <w:t>…</w:t>
            </w:r>
          </w:p>
        </w:tc>
        <w:tc>
          <w:tcPr>
            <w:tcW w:w="1696" w:type="dxa"/>
            <w:tcBorders>
              <w:top w:val="nil"/>
              <w:left w:val="nil"/>
              <w:bottom w:val="single" w:color="auto" w:sz="4" w:space="0"/>
              <w:right w:val="single" w:color="auto" w:sz="4" w:space="0"/>
            </w:tcBorders>
          </w:tcPr>
          <w:p w14:paraId="1C82CD26">
            <w:pPr>
              <w:widowControl/>
              <w:jc w:val="left"/>
              <w:rPr>
                <w:szCs w:val="21"/>
              </w:rPr>
            </w:pPr>
            <w:r>
              <w:rPr>
                <w:rFonts w:hint="eastAsia"/>
                <w:szCs w:val="21"/>
              </w:rPr>
              <w:t>…</w:t>
            </w:r>
          </w:p>
        </w:tc>
        <w:tc>
          <w:tcPr>
            <w:tcW w:w="1414" w:type="dxa"/>
            <w:vMerge w:val="continue"/>
            <w:tcBorders>
              <w:left w:val="nil"/>
              <w:bottom w:val="single" w:color="auto" w:sz="4" w:space="0"/>
              <w:right w:val="single" w:color="auto" w:sz="4" w:space="0"/>
            </w:tcBorders>
            <w:vAlign w:val="center"/>
          </w:tcPr>
          <w:p w14:paraId="45F07F82">
            <w:pPr>
              <w:widowControl/>
              <w:jc w:val="center"/>
              <w:rPr>
                <w:rFonts w:hint="eastAsia" w:ascii="宋体" w:hAnsi="宋体" w:cs="宋体"/>
                <w:szCs w:val="21"/>
              </w:rPr>
            </w:pPr>
          </w:p>
        </w:tc>
      </w:tr>
      <w:tr w14:paraId="519ACB6B">
        <w:tblPrEx>
          <w:tblCellMar>
            <w:top w:w="0" w:type="dxa"/>
            <w:left w:w="108" w:type="dxa"/>
            <w:bottom w:w="0" w:type="dxa"/>
            <w:right w:w="108" w:type="dxa"/>
          </w:tblCellMar>
        </w:tblPrEx>
        <w:trPr>
          <w:jc w:val="center"/>
        </w:trPr>
        <w:tc>
          <w:tcPr>
            <w:tcW w:w="1161" w:type="dxa"/>
            <w:vMerge w:val="restart"/>
            <w:tcBorders>
              <w:top w:val="nil"/>
              <w:left w:val="single" w:color="auto" w:sz="4" w:space="0"/>
              <w:right w:val="single" w:color="auto" w:sz="4" w:space="0"/>
            </w:tcBorders>
            <w:vAlign w:val="center"/>
          </w:tcPr>
          <w:p w14:paraId="37793F5F">
            <w:pPr>
              <w:widowControl/>
              <w:jc w:val="left"/>
              <w:rPr>
                <w:szCs w:val="21"/>
              </w:rPr>
            </w:pPr>
          </w:p>
        </w:tc>
        <w:tc>
          <w:tcPr>
            <w:tcW w:w="1413" w:type="dxa"/>
            <w:vMerge w:val="restart"/>
            <w:tcBorders>
              <w:top w:val="nil"/>
              <w:left w:val="nil"/>
              <w:right w:val="single" w:color="auto" w:sz="4" w:space="0"/>
            </w:tcBorders>
            <w:vAlign w:val="center"/>
          </w:tcPr>
          <w:p w14:paraId="0BE4A553">
            <w:pPr>
              <w:widowControl/>
              <w:jc w:val="left"/>
              <w:rPr>
                <w:szCs w:val="21"/>
              </w:rPr>
            </w:pPr>
            <w:r>
              <w:rPr>
                <w:rFonts w:hint="eastAsia"/>
                <w:szCs w:val="21"/>
              </w:rPr>
              <w:t>　</w:t>
            </w:r>
          </w:p>
        </w:tc>
        <w:tc>
          <w:tcPr>
            <w:tcW w:w="1696" w:type="dxa"/>
            <w:vMerge w:val="restart"/>
            <w:tcBorders>
              <w:top w:val="nil"/>
              <w:left w:val="nil"/>
              <w:right w:val="single" w:color="auto" w:sz="4" w:space="0"/>
            </w:tcBorders>
            <w:vAlign w:val="center"/>
          </w:tcPr>
          <w:p w14:paraId="5A748885">
            <w:pPr>
              <w:widowControl/>
              <w:jc w:val="left"/>
              <w:rPr>
                <w:szCs w:val="21"/>
              </w:rPr>
            </w:pPr>
          </w:p>
        </w:tc>
        <w:tc>
          <w:tcPr>
            <w:tcW w:w="1836" w:type="dxa"/>
            <w:vMerge w:val="restart"/>
            <w:tcBorders>
              <w:top w:val="nil"/>
              <w:left w:val="nil"/>
              <w:right w:val="single" w:color="auto" w:sz="4" w:space="0"/>
            </w:tcBorders>
            <w:vAlign w:val="center"/>
          </w:tcPr>
          <w:p w14:paraId="264184F4">
            <w:pPr>
              <w:widowControl/>
              <w:jc w:val="left"/>
              <w:rPr>
                <w:szCs w:val="21"/>
              </w:rPr>
            </w:pPr>
          </w:p>
        </w:tc>
        <w:tc>
          <w:tcPr>
            <w:tcW w:w="1130" w:type="dxa"/>
            <w:vMerge w:val="restart"/>
            <w:tcBorders>
              <w:top w:val="nil"/>
              <w:left w:val="nil"/>
              <w:right w:val="single" w:color="auto" w:sz="4" w:space="0"/>
            </w:tcBorders>
            <w:vAlign w:val="center"/>
          </w:tcPr>
          <w:p w14:paraId="58FB9791">
            <w:pPr>
              <w:widowControl/>
              <w:jc w:val="left"/>
              <w:rPr>
                <w:szCs w:val="21"/>
              </w:rPr>
            </w:pPr>
            <w:r>
              <w:rPr>
                <w:rFonts w:hint="eastAsia"/>
                <w:szCs w:val="21"/>
              </w:rPr>
              <w:t>□初步</w:t>
            </w:r>
          </w:p>
          <w:p w14:paraId="6556765C">
            <w:pPr>
              <w:widowControl/>
              <w:jc w:val="left"/>
              <w:rPr>
                <w:szCs w:val="21"/>
              </w:rPr>
            </w:pPr>
            <w:r>
              <w:rPr>
                <w:rFonts w:hint="eastAsia"/>
                <w:szCs w:val="21"/>
              </w:rPr>
              <w:t>□施工图</w:t>
            </w:r>
          </w:p>
        </w:tc>
        <w:tc>
          <w:tcPr>
            <w:tcW w:w="1412" w:type="dxa"/>
            <w:vMerge w:val="restart"/>
            <w:tcBorders>
              <w:top w:val="nil"/>
              <w:left w:val="nil"/>
              <w:right w:val="single" w:color="auto" w:sz="4" w:space="0"/>
            </w:tcBorders>
            <w:vAlign w:val="center"/>
          </w:tcPr>
          <w:p w14:paraId="54F23B19">
            <w:pPr>
              <w:widowControl/>
              <w:jc w:val="left"/>
              <w:rPr>
                <w:szCs w:val="21"/>
              </w:rPr>
            </w:pPr>
            <w:r>
              <w:rPr>
                <w:rFonts w:hint="eastAsia"/>
                <w:szCs w:val="21"/>
              </w:rPr>
              <w:t>□新建</w:t>
            </w:r>
          </w:p>
          <w:p w14:paraId="0838483E">
            <w:pPr>
              <w:widowControl/>
              <w:jc w:val="left"/>
              <w:rPr>
                <w:szCs w:val="21"/>
              </w:rPr>
            </w:pPr>
            <w:r>
              <w:rPr>
                <w:rFonts w:hint="eastAsia"/>
                <w:szCs w:val="21"/>
              </w:rPr>
              <w:t>□改扩建</w:t>
            </w:r>
          </w:p>
        </w:tc>
        <w:tc>
          <w:tcPr>
            <w:tcW w:w="1978" w:type="dxa"/>
            <w:tcBorders>
              <w:top w:val="nil"/>
              <w:left w:val="nil"/>
              <w:bottom w:val="single" w:color="auto" w:sz="4" w:space="0"/>
              <w:right w:val="single" w:color="auto" w:sz="4" w:space="0"/>
            </w:tcBorders>
            <w:vAlign w:val="center"/>
          </w:tcPr>
          <w:p w14:paraId="0748D4D7">
            <w:pPr>
              <w:widowControl/>
              <w:jc w:val="left"/>
              <w:rPr>
                <w:szCs w:val="21"/>
              </w:rPr>
            </w:pPr>
          </w:p>
        </w:tc>
        <w:tc>
          <w:tcPr>
            <w:tcW w:w="1696" w:type="dxa"/>
            <w:tcBorders>
              <w:top w:val="nil"/>
              <w:left w:val="nil"/>
              <w:bottom w:val="single" w:color="auto" w:sz="4" w:space="0"/>
              <w:right w:val="single" w:color="auto" w:sz="4" w:space="0"/>
            </w:tcBorders>
            <w:vAlign w:val="center"/>
          </w:tcPr>
          <w:p w14:paraId="186DEDB1">
            <w:pPr>
              <w:widowControl/>
              <w:jc w:val="left"/>
              <w:rPr>
                <w:szCs w:val="21"/>
              </w:rPr>
            </w:pPr>
          </w:p>
        </w:tc>
        <w:tc>
          <w:tcPr>
            <w:tcW w:w="1414" w:type="dxa"/>
            <w:vMerge w:val="restart"/>
            <w:tcBorders>
              <w:top w:val="nil"/>
              <w:left w:val="nil"/>
              <w:right w:val="single" w:color="auto" w:sz="4" w:space="0"/>
            </w:tcBorders>
            <w:vAlign w:val="center"/>
          </w:tcPr>
          <w:p w14:paraId="7356A817">
            <w:pPr>
              <w:widowControl/>
              <w:jc w:val="center"/>
              <w:rPr>
                <w:rFonts w:hint="eastAsia" w:ascii="宋体" w:hAnsi="宋体" w:cs="宋体"/>
                <w:szCs w:val="21"/>
              </w:rPr>
            </w:pPr>
            <w:r>
              <w:rPr>
                <w:rFonts w:hint="eastAsia" w:ascii="宋体" w:hAnsi="宋体" w:cs="宋体"/>
                <w:szCs w:val="21"/>
              </w:rPr>
              <w:t>附件C</w:t>
            </w:r>
            <w:r>
              <w:rPr>
                <w:rFonts w:hint="eastAsia" w:ascii="宋体" w:hAnsi="宋体" w:cs="宋体"/>
                <w:kern w:val="0"/>
                <w:sz w:val="20"/>
                <w:szCs w:val="20"/>
                <w:lang w:val="en-US" w:eastAsia="zh-CN"/>
              </w:rPr>
              <w:t>1-</w:t>
            </w:r>
            <w:r>
              <w:rPr>
                <w:rFonts w:hint="eastAsia" w:ascii="宋体" w:hAnsi="宋体" w:cs="宋体"/>
                <w:szCs w:val="21"/>
              </w:rPr>
              <w:t>3.3</w:t>
            </w:r>
          </w:p>
        </w:tc>
      </w:tr>
      <w:tr w14:paraId="6B43A0E0">
        <w:tblPrEx>
          <w:tblCellMar>
            <w:top w:w="0" w:type="dxa"/>
            <w:left w:w="108" w:type="dxa"/>
            <w:bottom w:w="0" w:type="dxa"/>
            <w:right w:w="108" w:type="dxa"/>
          </w:tblCellMar>
        </w:tblPrEx>
        <w:trPr>
          <w:jc w:val="center"/>
        </w:trPr>
        <w:tc>
          <w:tcPr>
            <w:tcW w:w="1161" w:type="dxa"/>
            <w:vMerge w:val="continue"/>
            <w:tcBorders>
              <w:left w:val="single" w:color="auto" w:sz="4" w:space="0"/>
              <w:right w:val="single" w:color="auto" w:sz="4" w:space="0"/>
            </w:tcBorders>
            <w:vAlign w:val="center"/>
          </w:tcPr>
          <w:p w14:paraId="0DE7FE99">
            <w:pPr>
              <w:spacing w:line="360" w:lineRule="exact"/>
              <w:jc w:val="center"/>
              <w:rPr>
                <w:rFonts w:ascii="宋体" w:hAnsi="宋体" w:cs="宋体"/>
                <w:kern w:val="0"/>
                <w:sz w:val="22"/>
                <w:szCs w:val="22"/>
              </w:rPr>
            </w:pPr>
          </w:p>
        </w:tc>
        <w:tc>
          <w:tcPr>
            <w:tcW w:w="1413" w:type="dxa"/>
            <w:vMerge w:val="continue"/>
            <w:tcBorders>
              <w:left w:val="nil"/>
              <w:right w:val="single" w:color="auto" w:sz="4" w:space="0"/>
            </w:tcBorders>
            <w:vAlign w:val="center"/>
          </w:tcPr>
          <w:p w14:paraId="2C73B230">
            <w:pPr>
              <w:spacing w:line="360" w:lineRule="exact"/>
              <w:jc w:val="left"/>
              <w:rPr>
                <w:rFonts w:ascii="宋体" w:hAnsi="宋体" w:cs="宋体"/>
                <w:kern w:val="0"/>
                <w:sz w:val="22"/>
                <w:szCs w:val="22"/>
              </w:rPr>
            </w:pPr>
          </w:p>
        </w:tc>
        <w:tc>
          <w:tcPr>
            <w:tcW w:w="1696" w:type="dxa"/>
            <w:vMerge w:val="continue"/>
            <w:tcBorders>
              <w:left w:val="nil"/>
              <w:right w:val="single" w:color="auto" w:sz="4" w:space="0"/>
            </w:tcBorders>
            <w:vAlign w:val="center"/>
          </w:tcPr>
          <w:p w14:paraId="519A50E9">
            <w:pPr>
              <w:widowControl/>
              <w:spacing w:line="360" w:lineRule="exact"/>
              <w:jc w:val="left"/>
              <w:rPr>
                <w:rFonts w:ascii="宋体" w:hAnsi="宋体" w:cs="宋体"/>
                <w:kern w:val="0"/>
                <w:sz w:val="22"/>
                <w:szCs w:val="22"/>
              </w:rPr>
            </w:pPr>
          </w:p>
        </w:tc>
        <w:tc>
          <w:tcPr>
            <w:tcW w:w="1836" w:type="dxa"/>
            <w:vMerge w:val="continue"/>
            <w:tcBorders>
              <w:left w:val="nil"/>
              <w:right w:val="single" w:color="auto" w:sz="4" w:space="0"/>
            </w:tcBorders>
            <w:vAlign w:val="center"/>
          </w:tcPr>
          <w:p w14:paraId="3C481E21">
            <w:pPr>
              <w:widowControl/>
              <w:spacing w:line="360" w:lineRule="exact"/>
              <w:jc w:val="left"/>
              <w:rPr>
                <w:rFonts w:ascii="宋体" w:hAnsi="宋体" w:cs="宋体"/>
                <w:kern w:val="0"/>
                <w:sz w:val="22"/>
                <w:szCs w:val="22"/>
              </w:rPr>
            </w:pPr>
          </w:p>
        </w:tc>
        <w:tc>
          <w:tcPr>
            <w:tcW w:w="1130" w:type="dxa"/>
            <w:vMerge w:val="continue"/>
            <w:tcBorders>
              <w:left w:val="nil"/>
              <w:right w:val="single" w:color="auto" w:sz="4" w:space="0"/>
            </w:tcBorders>
            <w:vAlign w:val="center"/>
          </w:tcPr>
          <w:p w14:paraId="6A0CF757">
            <w:pPr>
              <w:spacing w:line="360" w:lineRule="exact"/>
              <w:jc w:val="left"/>
              <w:rPr>
                <w:szCs w:val="21"/>
              </w:rPr>
            </w:pPr>
          </w:p>
        </w:tc>
        <w:tc>
          <w:tcPr>
            <w:tcW w:w="1412" w:type="dxa"/>
            <w:vMerge w:val="continue"/>
            <w:tcBorders>
              <w:left w:val="nil"/>
              <w:right w:val="single" w:color="auto" w:sz="4" w:space="0"/>
            </w:tcBorders>
            <w:vAlign w:val="center"/>
          </w:tcPr>
          <w:p w14:paraId="3312E7F3">
            <w:pPr>
              <w:spacing w:line="360" w:lineRule="exact"/>
              <w:jc w:val="left"/>
              <w:rPr>
                <w:szCs w:val="21"/>
              </w:rPr>
            </w:pPr>
          </w:p>
        </w:tc>
        <w:tc>
          <w:tcPr>
            <w:tcW w:w="1978" w:type="dxa"/>
            <w:tcBorders>
              <w:top w:val="nil"/>
              <w:left w:val="nil"/>
              <w:bottom w:val="single" w:color="auto" w:sz="4" w:space="0"/>
              <w:right w:val="single" w:color="auto" w:sz="4" w:space="0"/>
            </w:tcBorders>
            <w:vAlign w:val="center"/>
          </w:tcPr>
          <w:p w14:paraId="08BDF3CC">
            <w:pPr>
              <w:widowControl/>
              <w:spacing w:line="360" w:lineRule="exact"/>
              <w:jc w:val="left"/>
              <w:rPr>
                <w:rFonts w:ascii="宋体" w:hAnsi="宋体" w:cs="宋体"/>
                <w:kern w:val="0"/>
                <w:sz w:val="22"/>
                <w:szCs w:val="22"/>
              </w:rPr>
            </w:pPr>
          </w:p>
        </w:tc>
        <w:tc>
          <w:tcPr>
            <w:tcW w:w="1696" w:type="dxa"/>
            <w:tcBorders>
              <w:top w:val="nil"/>
              <w:left w:val="nil"/>
              <w:bottom w:val="single" w:color="auto" w:sz="4" w:space="0"/>
              <w:right w:val="single" w:color="auto" w:sz="4" w:space="0"/>
            </w:tcBorders>
            <w:vAlign w:val="center"/>
          </w:tcPr>
          <w:p w14:paraId="7235F37D">
            <w:pPr>
              <w:widowControl/>
              <w:spacing w:line="360" w:lineRule="exact"/>
              <w:jc w:val="left"/>
              <w:rPr>
                <w:rFonts w:ascii="宋体" w:hAnsi="宋体" w:cs="宋体"/>
                <w:kern w:val="0"/>
                <w:sz w:val="22"/>
                <w:szCs w:val="22"/>
              </w:rPr>
            </w:pPr>
          </w:p>
        </w:tc>
        <w:tc>
          <w:tcPr>
            <w:tcW w:w="1414" w:type="dxa"/>
            <w:vMerge w:val="continue"/>
            <w:tcBorders>
              <w:left w:val="nil"/>
              <w:right w:val="single" w:color="auto" w:sz="4" w:space="0"/>
            </w:tcBorders>
            <w:vAlign w:val="center"/>
          </w:tcPr>
          <w:p w14:paraId="7ADB094B">
            <w:pPr>
              <w:spacing w:line="360" w:lineRule="exact"/>
              <w:jc w:val="center"/>
              <w:rPr>
                <w:rFonts w:ascii="宋体" w:hAnsi="宋体" w:cs="宋体"/>
                <w:bCs/>
                <w:kern w:val="0"/>
                <w:szCs w:val="21"/>
              </w:rPr>
            </w:pPr>
          </w:p>
        </w:tc>
      </w:tr>
      <w:tr w14:paraId="17B88771">
        <w:tblPrEx>
          <w:tblCellMar>
            <w:top w:w="0" w:type="dxa"/>
            <w:left w:w="108" w:type="dxa"/>
            <w:bottom w:w="0" w:type="dxa"/>
            <w:right w:w="108" w:type="dxa"/>
          </w:tblCellMar>
        </w:tblPrEx>
        <w:trPr>
          <w:jc w:val="center"/>
        </w:trPr>
        <w:tc>
          <w:tcPr>
            <w:tcW w:w="1161" w:type="dxa"/>
            <w:vMerge w:val="continue"/>
            <w:tcBorders>
              <w:left w:val="single" w:color="auto" w:sz="4" w:space="0"/>
              <w:bottom w:val="single" w:color="auto" w:sz="4" w:space="0"/>
              <w:right w:val="single" w:color="auto" w:sz="4" w:space="0"/>
            </w:tcBorders>
            <w:vAlign w:val="center"/>
          </w:tcPr>
          <w:p w14:paraId="414BDDBC">
            <w:pPr>
              <w:widowControl/>
              <w:spacing w:line="360" w:lineRule="exact"/>
              <w:jc w:val="center"/>
              <w:rPr>
                <w:rFonts w:ascii="宋体" w:hAnsi="宋体" w:cs="宋体"/>
                <w:kern w:val="0"/>
                <w:sz w:val="22"/>
                <w:szCs w:val="22"/>
              </w:rPr>
            </w:pPr>
          </w:p>
        </w:tc>
        <w:tc>
          <w:tcPr>
            <w:tcW w:w="1413" w:type="dxa"/>
            <w:vMerge w:val="continue"/>
            <w:tcBorders>
              <w:left w:val="nil"/>
              <w:bottom w:val="single" w:color="auto" w:sz="4" w:space="0"/>
              <w:right w:val="single" w:color="auto" w:sz="4" w:space="0"/>
            </w:tcBorders>
            <w:vAlign w:val="center"/>
          </w:tcPr>
          <w:p w14:paraId="60549D5B">
            <w:pPr>
              <w:widowControl/>
              <w:spacing w:line="360" w:lineRule="exact"/>
              <w:jc w:val="left"/>
              <w:rPr>
                <w:rFonts w:ascii="宋体" w:hAnsi="宋体" w:cs="宋体"/>
                <w:kern w:val="0"/>
                <w:sz w:val="22"/>
                <w:szCs w:val="22"/>
              </w:rPr>
            </w:pPr>
          </w:p>
        </w:tc>
        <w:tc>
          <w:tcPr>
            <w:tcW w:w="1696" w:type="dxa"/>
            <w:vMerge w:val="continue"/>
            <w:tcBorders>
              <w:left w:val="nil"/>
              <w:bottom w:val="single" w:color="auto" w:sz="4" w:space="0"/>
              <w:right w:val="single" w:color="auto" w:sz="4" w:space="0"/>
            </w:tcBorders>
            <w:vAlign w:val="center"/>
          </w:tcPr>
          <w:p w14:paraId="22D1E6B4">
            <w:pPr>
              <w:widowControl/>
              <w:spacing w:line="360" w:lineRule="exact"/>
              <w:jc w:val="left"/>
              <w:rPr>
                <w:rFonts w:ascii="宋体" w:hAnsi="宋体" w:cs="宋体"/>
                <w:kern w:val="0"/>
                <w:sz w:val="22"/>
                <w:szCs w:val="22"/>
              </w:rPr>
            </w:pPr>
          </w:p>
        </w:tc>
        <w:tc>
          <w:tcPr>
            <w:tcW w:w="1836" w:type="dxa"/>
            <w:vMerge w:val="continue"/>
            <w:tcBorders>
              <w:left w:val="nil"/>
              <w:bottom w:val="single" w:color="auto" w:sz="4" w:space="0"/>
              <w:right w:val="single" w:color="auto" w:sz="4" w:space="0"/>
            </w:tcBorders>
            <w:vAlign w:val="center"/>
          </w:tcPr>
          <w:p w14:paraId="6C7F3885">
            <w:pPr>
              <w:widowControl/>
              <w:spacing w:line="360" w:lineRule="exact"/>
              <w:jc w:val="left"/>
              <w:rPr>
                <w:rFonts w:ascii="宋体" w:hAnsi="宋体" w:cs="宋体"/>
                <w:kern w:val="0"/>
                <w:sz w:val="22"/>
                <w:szCs w:val="22"/>
              </w:rPr>
            </w:pPr>
          </w:p>
        </w:tc>
        <w:tc>
          <w:tcPr>
            <w:tcW w:w="1130" w:type="dxa"/>
            <w:vMerge w:val="continue"/>
            <w:tcBorders>
              <w:left w:val="nil"/>
              <w:bottom w:val="single" w:color="auto" w:sz="4" w:space="0"/>
              <w:right w:val="single" w:color="auto" w:sz="4" w:space="0"/>
            </w:tcBorders>
            <w:vAlign w:val="center"/>
          </w:tcPr>
          <w:p w14:paraId="6C3D0EC3">
            <w:pPr>
              <w:widowControl/>
              <w:spacing w:line="360" w:lineRule="exact"/>
              <w:jc w:val="left"/>
              <w:rPr>
                <w:rFonts w:ascii="宋体" w:hAnsi="宋体" w:cs="宋体"/>
                <w:kern w:val="0"/>
                <w:szCs w:val="21"/>
              </w:rPr>
            </w:pPr>
          </w:p>
        </w:tc>
        <w:tc>
          <w:tcPr>
            <w:tcW w:w="1412" w:type="dxa"/>
            <w:vMerge w:val="continue"/>
            <w:tcBorders>
              <w:left w:val="nil"/>
              <w:bottom w:val="single" w:color="auto" w:sz="4" w:space="0"/>
              <w:right w:val="single" w:color="auto" w:sz="4" w:space="0"/>
            </w:tcBorders>
            <w:vAlign w:val="center"/>
          </w:tcPr>
          <w:p w14:paraId="674F7B36">
            <w:pPr>
              <w:widowControl/>
              <w:spacing w:line="360" w:lineRule="exact"/>
              <w:jc w:val="left"/>
              <w:rPr>
                <w:rFonts w:ascii="宋体" w:hAnsi="宋体" w:cs="宋体"/>
                <w:kern w:val="0"/>
                <w:sz w:val="22"/>
                <w:szCs w:val="22"/>
              </w:rPr>
            </w:pPr>
          </w:p>
        </w:tc>
        <w:tc>
          <w:tcPr>
            <w:tcW w:w="1978" w:type="dxa"/>
            <w:tcBorders>
              <w:top w:val="nil"/>
              <w:left w:val="nil"/>
              <w:bottom w:val="single" w:color="auto" w:sz="4" w:space="0"/>
              <w:right w:val="single" w:color="auto" w:sz="4" w:space="0"/>
            </w:tcBorders>
          </w:tcPr>
          <w:p w14:paraId="7CE6A1B3">
            <w:pPr>
              <w:spacing w:line="360" w:lineRule="exact"/>
              <w:jc w:val="center"/>
            </w:pPr>
            <w:r>
              <w:rPr>
                <w:rFonts w:ascii="宋体" w:hAnsi="宋体" w:cs="宋体"/>
                <w:kern w:val="0"/>
                <w:szCs w:val="21"/>
              </w:rPr>
              <w:t>…</w:t>
            </w:r>
          </w:p>
        </w:tc>
        <w:tc>
          <w:tcPr>
            <w:tcW w:w="1696" w:type="dxa"/>
            <w:tcBorders>
              <w:top w:val="nil"/>
              <w:left w:val="nil"/>
              <w:bottom w:val="single" w:color="auto" w:sz="4" w:space="0"/>
              <w:right w:val="single" w:color="auto" w:sz="4" w:space="0"/>
            </w:tcBorders>
          </w:tcPr>
          <w:p w14:paraId="3988560A">
            <w:pPr>
              <w:spacing w:line="360" w:lineRule="exact"/>
              <w:jc w:val="center"/>
            </w:pPr>
            <w:r>
              <w:rPr>
                <w:rFonts w:ascii="宋体" w:hAnsi="宋体" w:cs="宋体"/>
                <w:kern w:val="0"/>
                <w:szCs w:val="21"/>
              </w:rPr>
              <w:t>…</w:t>
            </w:r>
          </w:p>
        </w:tc>
        <w:tc>
          <w:tcPr>
            <w:tcW w:w="1414" w:type="dxa"/>
            <w:vMerge w:val="continue"/>
            <w:tcBorders>
              <w:left w:val="nil"/>
              <w:bottom w:val="single" w:color="auto" w:sz="4" w:space="0"/>
              <w:right w:val="single" w:color="auto" w:sz="4" w:space="0"/>
            </w:tcBorders>
            <w:vAlign w:val="center"/>
          </w:tcPr>
          <w:p w14:paraId="4F6B39D7">
            <w:pPr>
              <w:widowControl/>
              <w:spacing w:line="360" w:lineRule="exact"/>
              <w:jc w:val="center"/>
              <w:rPr>
                <w:rFonts w:ascii="宋体" w:hAnsi="宋体" w:cs="宋体"/>
                <w:bCs/>
                <w:kern w:val="0"/>
                <w:szCs w:val="21"/>
              </w:rPr>
            </w:pPr>
          </w:p>
        </w:tc>
      </w:tr>
      <w:tr w14:paraId="5D67E437">
        <w:tblPrEx>
          <w:tblCellMar>
            <w:top w:w="0" w:type="dxa"/>
            <w:left w:w="108" w:type="dxa"/>
            <w:bottom w:w="0" w:type="dxa"/>
            <w:right w:w="108" w:type="dxa"/>
          </w:tblCellMar>
        </w:tblPrEx>
        <w:trPr>
          <w:jc w:val="center"/>
        </w:trPr>
        <w:tc>
          <w:tcPr>
            <w:tcW w:w="1161" w:type="dxa"/>
            <w:tcBorders>
              <w:top w:val="nil"/>
              <w:left w:val="single" w:color="auto" w:sz="4" w:space="0"/>
              <w:bottom w:val="single" w:color="auto" w:sz="4" w:space="0"/>
              <w:right w:val="single" w:color="auto" w:sz="4" w:space="0"/>
            </w:tcBorders>
            <w:vAlign w:val="center"/>
          </w:tcPr>
          <w:p w14:paraId="15292BAD">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413" w:type="dxa"/>
            <w:tcBorders>
              <w:top w:val="nil"/>
              <w:left w:val="nil"/>
              <w:bottom w:val="single" w:color="auto" w:sz="4" w:space="0"/>
              <w:right w:val="single" w:color="auto" w:sz="4" w:space="0"/>
            </w:tcBorders>
            <w:vAlign w:val="center"/>
          </w:tcPr>
          <w:p w14:paraId="12AF41E9">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696" w:type="dxa"/>
            <w:tcBorders>
              <w:top w:val="nil"/>
              <w:left w:val="nil"/>
              <w:bottom w:val="single" w:color="auto" w:sz="4" w:space="0"/>
              <w:right w:val="single" w:color="auto" w:sz="4" w:space="0"/>
            </w:tcBorders>
            <w:vAlign w:val="center"/>
          </w:tcPr>
          <w:p w14:paraId="70F067C8">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836" w:type="dxa"/>
            <w:tcBorders>
              <w:top w:val="nil"/>
              <w:left w:val="nil"/>
              <w:bottom w:val="single" w:color="auto" w:sz="4" w:space="0"/>
              <w:right w:val="single" w:color="auto" w:sz="4" w:space="0"/>
            </w:tcBorders>
            <w:vAlign w:val="center"/>
          </w:tcPr>
          <w:p w14:paraId="3BA1FD9B">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130" w:type="dxa"/>
            <w:tcBorders>
              <w:top w:val="nil"/>
              <w:left w:val="nil"/>
              <w:bottom w:val="single" w:color="auto" w:sz="4" w:space="0"/>
              <w:right w:val="single" w:color="auto" w:sz="4" w:space="0"/>
            </w:tcBorders>
            <w:vAlign w:val="center"/>
          </w:tcPr>
          <w:p w14:paraId="57FCBF74">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412" w:type="dxa"/>
            <w:tcBorders>
              <w:top w:val="nil"/>
              <w:left w:val="nil"/>
              <w:bottom w:val="single" w:color="auto" w:sz="4" w:space="0"/>
              <w:right w:val="single" w:color="auto" w:sz="4" w:space="0"/>
            </w:tcBorders>
            <w:vAlign w:val="center"/>
          </w:tcPr>
          <w:p w14:paraId="087E9C12">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978" w:type="dxa"/>
            <w:tcBorders>
              <w:top w:val="nil"/>
              <w:left w:val="nil"/>
              <w:bottom w:val="single" w:color="auto" w:sz="4" w:space="0"/>
              <w:right w:val="single" w:color="auto" w:sz="4" w:space="0"/>
            </w:tcBorders>
            <w:vAlign w:val="center"/>
          </w:tcPr>
          <w:p w14:paraId="5C2200D5">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696" w:type="dxa"/>
            <w:tcBorders>
              <w:top w:val="nil"/>
              <w:left w:val="nil"/>
              <w:bottom w:val="single" w:color="auto" w:sz="4" w:space="0"/>
              <w:right w:val="single" w:color="auto" w:sz="4" w:space="0"/>
            </w:tcBorders>
            <w:vAlign w:val="center"/>
          </w:tcPr>
          <w:p w14:paraId="61AF5FEC">
            <w:pPr>
              <w:widowControl/>
              <w:spacing w:line="360" w:lineRule="exact"/>
              <w:jc w:val="center"/>
              <w:rPr>
                <w:rFonts w:ascii="宋体" w:hAnsi="宋体" w:cs="宋体"/>
                <w:kern w:val="0"/>
                <w:sz w:val="22"/>
                <w:szCs w:val="22"/>
              </w:rPr>
            </w:pPr>
            <w:r>
              <w:rPr>
                <w:rFonts w:hint="eastAsia" w:ascii="宋体" w:hAnsi="宋体" w:cs="宋体"/>
                <w:kern w:val="0"/>
                <w:sz w:val="22"/>
                <w:szCs w:val="22"/>
              </w:rPr>
              <w:t>…</w:t>
            </w:r>
          </w:p>
        </w:tc>
        <w:tc>
          <w:tcPr>
            <w:tcW w:w="1414" w:type="dxa"/>
            <w:tcBorders>
              <w:top w:val="nil"/>
              <w:left w:val="nil"/>
              <w:bottom w:val="single" w:color="auto" w:sz="4" w:space="0"/>
              <w:right w:val="single" w:color="auto" w:sz="4" w:space="0"/>
            </w:tcBorders>
            <w:vAlign w:val="center"/>
          </w:tcPr>
          <w:p w14:paraId="5322CD5C">
            <w:pPr>
              <w:widowControl/>
              <w:spacing w:line="360" w:lineRule="exact"/>
              <w:jc w:val="center"/>
              <w:rPr>
                <w:rFonts w:ascii="宋体" w:hAnsi="宋体" w:cs="宋体"/>
                <w:bCs/>
                <w:kern w:val="0"/>
                <w:szCs w:val="21"/>
              </w:rPr>
            </w:pPr>
            <w:r>
              <w:rPr>
                <w:rFonts w:hint="eastAsia" w:ascii="宋体" w:hAnsi="宋体" w:cs="宋体"/>
                <w:kern w:val="0"/>
                <w:sz w:val="22"/>
                <w:szCs w:val="22"/>
              </w:rPr>
              <w:t>…</w:t>
            </w:r>
          </w:p>
        </w:tc>
      </w:tr>
    </w:tbl>
    <w:p w14:paraId="38CEE02B">
      <w:pPr>
        <w:spacing w:line="300" w:lineRule="exact"/>
        <w:rPr>
          <w:rFonts w:ascii="宋体" w:hAnsi="宋体" w:cs="宋体"/>
          <w:spacing w:val="-3"/>
          <w:szCs w:val="21"/>
        </w:rPr>
      </w:pPr>
      <w:r>
        <w:rPr>
          <w:rFonts w:hint="eastAsia" w:ascii="宋体" w:hAnsi="宋体" w:cs="宋体"/>
          <w:szCs w:val="21"/>
        </w:rPr>
        <w:t>注：</w:t>
      </w:r>
      <w:r>
        <w:rPr>
          <w:rFonts w:hint="eastAsia" w:ascii="宋体" w:hAnsi="宋体"/>
          <w:szCs w:val="21"/>
        </w:rPr>
        <w:t>1.</w:t>
      </w:r>
      <w:r>
        <w:rPr>
          <w:rFonts w:hint="eastAsia" w:ascii="宋体" w:hAnsi="宋体" w:cs="宋体"/>
          <w:spacing w:val="-3"/>
        </w:rPr>
        <w:t>投标人应</w:t>
      </w:r>
      <w:r>
        <w:rPr>
          <w:rFonts w:hint="eastAsia" w:ascii="宋体" w:hAnsi="宋体" w:cs="宋体"/>
          <w:spacing w:val="-3"/>
          <w:szCs w:val="21"/>
        </w:rPr>
        <w:t>在本表后提供相关</w:t>
      </w:r>
      <w:r>
        <w:rPr>
          <w:rFonts w:hint="eastAsia" w:ascii="宋体" w:hAnsi="宋体" w:cs="宋体"/>
          <w:spacing w:val="-3"/>
        </w:rPr>
        <w:t>业绩证明材料附件</w:t>
      </w:r>
      <w:r>
        <w:rPr>
          <w:rFonts w:hint="eastAsia" w:ascii="宋体" w:hAnsi="宋体" w:cs="宋体"/>
        </w:rPr>
        <w:t>C</w:t>
      </w:r>
      <w:r>
        <w:rPr>
          <w:rFonts w:hint="eastAsia" w:ascii="宋体" w:hAnsi="宋体" w:cs="宋体"/>
          <w:kern w:val="0"/>
          <w:sz w:val="20"/>
          <w:szCs w:val="20"/>
          <w:lang w:val="en-US" w:eastAsia="zh-CN"/>
        </w:rPr>
        <w:t>1-</w:t>
      </w:r>
      <w:r>
        <w:rPr>
          <w:rFonts w:hint="eastAsia" w:ascii="宋体" w:hAnsi="宋体" w:cs="宋体"/>
        </w:rPr>
        <w:t>3系列（隧道项目勘察设计业绩）</w:t>
      </w:r>
      <w:r>
        <w:rPr>
          <w:rFonts w:hint="eastAsia" w:ascii="宋体" w:hAnsi="宋体" w:cs="宋体"/>
          <w:spacing w:val="-3"/>
          <w:szCs w:val="21"/>
        </w:rPr>
        <w:t>：</w:t>
      </w:r>
    </w:p>
    <w:p w14:paraId="0FF7A788">
      <w:pPr>
        <w:spacing w:line="300" w:lineRule="exact"/>
        <w:ind w:left="598" w:leftChars="285"/>
        <w:rPr>
          <w:rFonts w:ascii="宋体" w:hAnsi="宋体" w:cs="宋体"/>
          <w:spacing w:val="-3"/>
        </w:rPr>
      </w:pPr>
      <w:r>
        <w:rPr>
          <w:rFonts w:hint="eastAsia"/>
          <w:b/>
          <w:bCs/>
          <w:szCs w:val="21"/>
        </w:rPr>
        <w:sym w:font="Wingdings 2" w:char="00A3"/>
      </w:r>
      <w:r>
        <w:rPr>
          <w:rFonts w:hint="eastAsia"/>
          <w:b/>
          <w:bCs/>
          <w:szCs w:val="21"/>
        </w:rPr>
        <w:t xml:space="preserve"> </w:t>
      </w:r>
      <w:r>
        <w:rPr>
          <w:rFonts w:hint="eastAsia" w:ascii="宋体" w:hAnsi="宋体" w:cs="宋体"/>
          <w:spacing w:val="-3"/>
        </w:rPr>
        <w:t>在交通运输部</w:t>
      </w:r>
      <w:r>
        <w:rPr>
          <w:rFonts w:ascii="宋体" w:hAnsi="宋体" w:cs="宋体"/>
          <w:spacing w:val="-3"/>
        </w:rPr>
        <w:t>“</w:t>
      </w:r>
      <w:r>
        <w:rPr>
          <w:rFonts w:hint="eastAsia" w:ascii="宋体" w:hAnsi="宋体" w:cs="宋体"/>
          <w:spacing w:val="-3"/>
        </w:rPr>
        <w:t>全国公路建设市场监督管理系统</w:t>
      </w:r>
      <w:r>
        <w:rPr>
          <w:rFonts w:ascii="宋体" w:hAnsi="宋体" w:cs="宋体"/>
          <w:spacing w:val="-3"/>
        </w:rPr>
        <w:t>”</w:t>
      </w:r>
      <w:r>
        <w:rPr>
          <w:rFonts w:hint="eastAsia" w:ascii="宋体" w:hAnsi="宋体" w:cs="宋体"/>
          <w:spacing w:val="-3"/>
        </w:rPr>
        <w:t>中查询到的企业</w:t>
      </w:r>
      <w:r>
        <w:rPr>
          <w:rFonts w:ascii="宋体" w:hAnsi="宋体" w:cs="宋体"/>
          <w:spacing w:val="-3"/>
        </w:rPr>
        <w:t>“</w:t>
      </w:r>
      <w:r>
        <w:rPr>
          <w:rFonts w:hint="eastAsia" w:ascii="宋体" w:hAnsi="宋体" w:cs="宋体"/>
          <w:spacing w:val="-3"/>
        </w:rPr>
        <w:t>业绩信息</w:t>
      </w:r>
      <w:r>
        <w:rPr>
          <w:rFonts w:ascii="宋体" w:hAnsi="宋体" w:cs="宋体"/>
          <w:spacing w:val="-3"/>
        </w:rPr>
        <w:t>”</w:t>
      </w:r>
      <w:r>
        <w:rPr>
          <w:rFonts w:hint="eastAsia" w:ascii="宋体" w:hAnsi="宋体" w:cs="宋体"/>
          <w:spacing w:val="-3"/>
        </w:rPr>
        <w:t>相关项目网页截图（</w:t>
      </w:r>
      <w:r>
        <w:rPr>
          <w:rFonts w:hint="eastAsia" w:ascii="宋体" w:hAnsi="宋体" w:cs="宋体"/>
          <w:szCs w:val="21"/>
        </w:rPr>
        <w:t>仅适用于根据《关于发布公路工程从业企业资质名录的通知》（厅公路字〔2011〕114号）要求，招标人应通过名录对投标人资质条件进行审核的公路工程设计企业。</w:t>
      </w:r>
      <w:r>
        <w:rPr>
          <w:rFonts w:hint="eastAsia" w:ascii="宋体" w:hAnsi="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5DE8D279">
      <w:pPr>
        <w:spacing w:line="300" w:lineRule="exact"/>
        <w:ind w:left="598" w:leftChars="285"/>
        <w:rPr>
          <w:rFonts w:hint="eastAsia" w:ascii="宋体" w:hAnsi="宋体"/>
          <w:szCs w:val="21"/>
        </w:rPr>
      </w:pPr>
      <w:r>
        <w:rPr>
          <w:rFonts w:hint="eastAsia"/>
          <w:b/>
          <w:bCs/>
          <w:szCs w:val="21"/>
        </w:rPr>
        <w:t xml:space="preserve">□ </w:t>
      </w:r>
      <w:r>
        <w:rPr>
          <w:rFonts w:hint="eastAsia" w:ascii="宋体" w:hAnsi="宋体"/>
          <w:szCs w:val="21"/>
        </w:rPr>
        <w:t>合同协议书和业主（发包人）证明材料原件原色扫描件（仅适用于尚未在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szCs w:val="21"/>
        </w:rPr>
        <w:t>的</w:t>
      </w:r>
      <w:r>
        <w:rPr>
          <w:rFonts w:hint="eastAsia" w:ascii="宋体" w:hAnsi="宋体"/>
        </w:rPr>
        <w:t>二级、三级公路</w:t>
      </w:r>
      <w:r>
        <w:rPr>
          <w:rFonts w:ascii="宋体" w:hAnsi="宋体"/>
        </w:rPr>
        <w:t>工程项目</w:t>
      </w:r>
      <w:r>
        <w:rPr>
          <w:rFonts w:hint="eastAsia" w:ascii="宋体" w:hAnsi="宋体"/>
          <w:szCs w:val="21"/>
        </w:rPr>
        <w:t>）。</w:t>
      </w:r>
    </w:p>
    <w:p w14:paraId="21F00F94">
      <w:pPr>
        <w:spacing w:line="300" w:lineRule="exact"/>
        <w:ind w:left="598" w:leftChars="285"/>
        <w:rPr>
          <w:rFonts w:hint="eastAsia" w:ascii="宋体" w:hAnsi="宋体"/>
          <w:szCs w:val="21"/>
        </w:rPr>
      </w:pPr>
      <w:r>
        <w:rPr>
          <w:rFonts w:hint="eastAsia"/>
          <w:b/>
          <w:bCs/>
          <w:szCs w:val="21"/>
        </w:rPr>
        <w:t xml:space="preserve">□ </w:t>
      </w:r>
      <w:r>
        <w:rPr>
          <w:rFonts w:hint="eastAsia" w:ascii="宋体" w:hAnsi="宋体" w:cs="宋体"/>
          <w:szCs w:val="21"/>
        </w:rPr>
        <w:t>市政类勘察设计项目，可为</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spacing w:val="-3"/>
        </w:rPr>
        <w:t>网页截图。</w:t>
      </w:r>
    </w:p>
    <w:p w14:paraId="7E5DD9EB">
      <w:pPr>
        <w:numPr>
          <w:ilvl w:val="255"/>
          <w:numId w:val="0"/>
        </w:numPr>
        <w:spacing w:line="300" w:lineRule="exact"/>
        <w:ind w:left="189" w:leftChars="90" w:firstLine="204" w:firstLineChars="100"/>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38F7DAE7">
      <w:pPr>
        <w:numPr>
          <w:ilvl w:val="255"/>
          <w:numId w:val="0"/>
        </w:numPr>
        <w:spacing w:line="300" w:lineRule="exact"/>
        <w:ind w:left="592" w:leftChars="185" w:hanging="204" w:hangingChars="100"/>
        <w:rPr>
          <w:rFonts w:ascii="宋体" w:hAnsi="宋体" w:cs="宋体"/>
          <w:spacing w:val="-3"/>
        </w:rPr>
      </w:pPr>
      <w:r>
        <w:rPr>
          <w:rFonts w:hint="eastAsia" w:ascii="宋体" w:hAnsi="宋体" w:cs="宋体"/>
          <w:spacing w:val="-3"/>
        </w:rPr>
        <w:t>3.</w:t>
      </w:r>
      <w:r>
        <w:rPr>
          <w:rFonts w:hint="eastAsia" w:ascii="宋体" w:hAnsi="宋体" w:cs="宋体"/>
          <w:spacing w:val="-3"/>
          <w:lang w:bidi="ar"/>
        </w:rPr>
        <w:t>隧道工程可为合同中包含该设计内容的项目或者单独合同的项目。</w:t>
      </w:r>
    </w:p>
    <w:p w14:paraId="2C961B3A">
      <w:pPr>
        <w:numPr>
          <w:ilvl w:val="255"/>
          <w:numId w:val="0"/>
        </w:numPr>
        <w:spacing w:line="300" w:lineRule="exact"/>
        <w:ind w:left="592" w:leftChars="185" w:hanging="204" w:hangingChars="100"/>
        <w:rPr>
          <w:rFonts w:ascii="宋体" w:hAnsi="宋体" w:cs="宋体"/>
          <w:szCs w:val="21"/>
        </w:rPr>
      </w:pPr>
      <w:r>
        <w:rPr>
          <w:rFonts w:hint="eastAsia" w:ascii="宋体" w:hAnsi="宋体" w:cs="宋体"/>
          <w:spacing w:val="-3"/>
        </w:rPr>
        <w:t>4.</w:t>
      </w:r>
      <w:r>
        <w:rPr>
          <w:rFonts w:hint="eastAsia" w:ascii="宋体" w:hAnsi="宋体" w:cs="宋体"/>
        </w:rPr>
        <w:t>对于具有双洞的隧道，其隧道长度以左右线隧道长度较长的为准；若只有单洞的，则以单洞隧道长度数据为准。隧道单洞长度不含</w:t>
      </w:r>
      <w:r>
        <w:rPr>
          <w:rFonts w:hint="eastAsia"/>
          <w:szCs w:val="21"/>
        </w:rPr>
        <w:t>斜井、竖井、支洞</w:t>
      </w:r>
      <w:r>
        <w:rPr>
          <w:rFonts w:hint="eastAsia" w:ascii="宋体" w:hAnsi="宋体" w:cs="宋体"/>
          <w:szCs w:val="21"/>
        </w:rPr>
        <w:t>。</w:t>
      </w:r>
    </w:p>
    <w:p w14:paraId="66E9977C">
      <w:pPr>
        <w:spacing w:line="300" w:lineRule="exact"/>
        <w:ind w:firstLine="408" w:firstLineChars="200"/>
        <w:rPr>
          <w:rFonts w:ascii="宋体" w:hAnsi="宋体" w:cs="宋体"/>
          <w:spacing w:val="-3"/>
          <w:szCs w:val="21"/>
        </w:rPr>
      </w:pPr>
      <w:r>
        <w:rPr>
          <w:rFonts w:hint="eastAsia" w:ascii="宋体" w:hAnsi="宋体" w:cs="宋体"/>
          <w:spacing w:val="-3"/>
          <w:szCs w:val="21"/>
        </w:rPr>
        <w:t>5</w:t>
      </w:r>
      <w:r>
        <w:rPr>
          <w:rFonts w:hint="eastAsia" w:ascii="宋体" w:hAnsi="宋体"/>
          <w:spacing w:val="-3"/>
          <w:szCs w:val="21"/>
        </w:rPr>
        <w:t>.</w:t>
      </w:r>
      <w:r>
        <w:rPr>
          <w:rFonts w:hint="eastAsia" w:ascii="宋体" w:hAnsi="宋体" w:cs="宋体"/>
          <w:spacing w:val="-3"/>
          <w:szCs w:val="21"/>
        </w:rPr>
        <w:t>如近年来，投标人法人机构发生合法变更或重组或法人名称变更时，应提供相关部门的合</w:t>
      </w:r>
      <w:r>
        <w:rPr>
          <w:rFonts w:ascii="宋体" w:hAnsi="宋体"/>
          <w:spacing w:val="-3"/>
          <w:szCs w:val="21"/>
        </w:rPr>
        <w:t xml:space="preserve"> </w:t>
      </w:r>
      <w:r>
        <w:rPr>
          <w:rFonts w:hint="eastAsia" w:ascii="宋体" w:hAnsi="宋体" w:cs="宋体"/>
          <w:szCs w:val="21"/>
        </w:rPr>
        <w:t>法批件或其他相</w:t>
      </w:r>
      <w:r>
        <w:rPr>
          <w:rFonts w:hint="eastAsia" w:ascii="宋体" w:hAnsi="宋体" w:cs="宋体"/>
          <w:spacing w:val="-3"/>
          <w:szCs w:val="21"/>
        </w:rPr>
        <w:t>关证明材料来证明其所附业绩的继承性。</w:t>
      </w:r>
    </w:p>
    <w:p w14:paraId="33ADBEA1">
      <w:pPr>
        <w:spacing w:line="300" w:lineRule="exact"/>
        <w:ind w:firstLine="420" w:firstLineChars="200"/>
        <w:rPr>
          <w:rFonts w:ascii="宋体" w:hAnsi="宋体"/>
          <w:szCs w:val="21"/>
        </w:rPr>
      </w:pPr>
      <w:r>
        <w:rPr>
          <w:rFonts w:hint="eastAsia" w:ascii="宋体" w:hAnsi="宋体" w:cs="宋体"/>
          <w:szCs w:val="21"/>
        </w:rPr>
        <w:t>6</w:t>
      </w:r>
      <w:r>
        <w:rPr>
          <w:rFonts w:hint="eastAsia" w:ascii="宋体" w:hAnsi="宋体" w:cs="宋体"/>
          <w:spacing w:val="-3"/>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批复</w:t>
      </w:r>
      <w:r>
        <w:rPr>
          <w:rFonts w:hint="eastAsia" w:ascii="宋体" w:hAnsi="宋体" w:cs="宋体"/>
          <w:bCs/>
          <w:kern w:val="0"/>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0F569048">
      <w:pPr>
        <w:spacing w:line="300" w:lineRule="exact"/>
        <w:ind w:left="603" w:leftChars="190" w:hanging="204" w:hangingChars="100"/>
        <w:rPr>
          <w:rFonts w:ascii="宋体" w:hAnsi="宋体" w:cs="宋体"/>
          <w:spacing w:val="-3"/>
        </w:rPr>
      </w:pPr>
      <w:r>
        <w:rPr>
          <w:rFonts w:hint="eastAsia" w:ascii="宋体" w:hAnsi="宋体" w:cs="宋体"/>
          <w:spacing w:val="-3"/>
          <w:szCs w:val="21"/>
        </w:rPr>
        <w:t>7.</w:t>
      </w:r>
      <w:r>
        <w:rPr>
          <w:rFonts w:hint="eastAsia" w:ascii="宋体" w:hAnsi="宋体" w:cs="宋体"/>
          <w:szCs w:val="21"/>
        </w:rPr>
        <w:t>允许联合体投标时，若</w:t>
      </w:r>
      <w:r>
        <w:rPr>
          <w:rFonts w:hint="eastAsia" w:ascii="宋体" w:hAnsi="宋体" w:cs="宋体"/>
          <w:spacing w:val="-3"/>
          <w:szCs w:val="21"/>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r>
        <w:rPr>
          <w:rFonts w:hint="eastAsia" w:ascii="宋体" w:hAnsi="宋体" w:cs="宋体"/>
          <w:spacing w:val="-3"/>
          <w:szCs w:val="21"/>
        </w:rPr>
        <w:t>。</w:t>
      </w:r>
    </w:p>
    <w:p w14:paraId="3C3B9ADE">
      <w:pPr>
        <w:rPr>
          <w:rFonts w:ascii="宋体" w:hAnsi="宋体" w:cs="宋体"/>
          <w:b/>
          <w:sz w:val="28"/>
          <w:szCs w:val="28"/>
        </w:rPr>
      </w:pPr>
      <w:r>
        <w:rPr>
          <w:rFonts w:ascii="宋体" w:hAnsi="宋体" w:cs="宋体"/>
          <w:b/>
          <w:sz w:val="28"/>
          <w:szCs w:val="28"/>
        </w:rPr>
        <w:br w:type="page"/>
      </w:r>
    </w:p>
    <w:p w14:paraId="0CA63299">
      <w:pPr>
        <w:spacing w:line="360" w:lineRule="auto"/>
        <w:ind w:firstLine="482" w:firstLineChars="200"/>
        <w:jc w:val="center"/>
        <w:rPr>
          <w:rFonts w:ascii="黑体" w:hAnsi="黑体" w:eastAsia="黑体" w:cs="宋体"/>
          <w:sz w:val="24"/>
        </w:rPr>
      </w:pPr>
      <w:bookmarkStart w:id="893" w:name="_Hlk52813245"/>
      <w:r>
        <w:rPr>
          <w:rFonts w:ascii="黑体" w:hAnsi="黑体" w:eastAsia="黑体" w:cs="宋体"/>
          <w:b/>
          <w:sz w:val="24"/>
        </w:rPr>
        <w:t xml:space="preserve">               </w:t>
      </w: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公路交通工程及沿线安全设施勘察设计情况</w:t>
      </w:r>
      <w:r>
        <w:rPr>
          <w:rFonts w:ascii="黑体" w:hAnsi="黑体" w:eastAsia="黑体" w:cs="宋体"/>
          <w:sz w:val="24"/>
        </w:rPr>
        <w:t xml:space="preserve">                 表1-4</w:t>
      </w:r>
    </w:p>
    <w:tbl>
      <w:tblPr>
        <w:tblStyle w:val="49"/>
        <w:tblW w:w="136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3"/>
        <w:gridCol w:w="1104"/>
        <w:gridCol w:w="1268"/>
        <w:gridCol w:w="914"/>
        <w:gridCol w:w="1268"/>
        <w:gridCol w:w="1446"/>
        <w:gridCol w:w="1595"/>
        <w:gridCol w:w="2073"/>
        <w:gridCol w:w="1186"/>
        <w:gridCol w:w="1146"/>
        <w:gridCol w:w="1213"/>
      </w:tblGrid>
      <w:tr w14:paraId="34D0F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83" w:type="dxa"/>
            <w:shd w:val="clear" w:color="auto" w:fill="auto"/>
            <w:vAlign w:val="center"/>
          </w:tcPr>
          <w:p w14:paraId="7E48DBA1">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序号</w:t>
            </w:r>
          </w:p>
        </w:tc>
        <w:tc>
          <w:tcPr>
            <w:tcW w:w="1104" w:type="dxa"/>
            <w:shd w:val="clear" w:color="auto" w:fill="auto"/>
            <w:tcMar>
              <w:top w:w="0" w:type="dxa"/>
              <w:left w:w="108" w:type="dxa"/>
              <w:bottom w:w="0" w:type="dxa"/>
              <w:right w:w="108" w:type="dxa"/>
            </w:tcMar>
            <w:vAlign w:val="center"/>
          </w:tcPr>
          <w:p w14:paraId="37BFCC39">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项目业主</w:t>
            </w:r>
          </w:p>
        </w:tc>
        <w:tc>
          <w:tcPr>
            <w:tcW w:w="1268" w:type="dxa"/>
            <w:shd w:val="clear" w:color="auto" w:fill="auto"/>
            <w:tcMar>
              <w:top w:w="0" w:type="dxa"/>
              <w:left w:w="108" w:type="dxa"/>
              <w:bottom w:w="0" w:type="dxa"/>
              <w:right w:w="108" w:type="dxa"/>
            </w:tcMar>
            <w:vAlign w:val="center"/>
          </w:tcPr>
          <w:p w14:paraId="7E921B98">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项目名称</w:t>
            </w:r>
          </w:p>
        </w:tc>
        <w:tc>
          <w:tcPr>
            <w:tcW w:w="914" w:type="dxa"/>
            <w:shd w:val="clear" w:color="auto" w:fill="auto"/>
            <w:tcMar>
              <w:top w:w="0" w:type="dxa"/>
              <w:left w:w="108" w:type="dxa"/>
              <w:bottom w:w="0" w:type="dxa"/>
              <w:right w:w="108" w:type="dxa"/>
            </w:tcMar>
            <w:vAlign w:val="center"/>
          </w:tcPr>
          <w:p w14:paraId="30BC2CAB">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标段号</w:t>
            </w:r>
          </w:p>
        </w:tc>
        <w:tc>
          <w:tcPr>
            <w:tcW w:w="1268" w:type="dxa"/>
            <w:shd w:val="clear" w:color="auto" w:fill="auto"/>
            <w:tcMar>
              <w:top w:w="0" w:type="dxa"/>
              <w:left w:w="108" w:type="dxa"/>
              <w:bottom w:w="0" w:type="dxa"/>
              <w:right w:w="108" w:type="dxa"/>
            </w:tcMar>
            <w:vAlign w:val="center"/>
          </w:tcPr>
          <w:p w14:paraId="6EBA865B">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标段长度（km）</w:t>
            </w:r>
          </w:p>
        </w:tc>
        <w:tc>
          <w:tcPr>
            <w:tcW w:w="1446" w:type="dxa"/>
            <w:shd w:val="clear" w:color="auto" w:fill="auto"/>
            <w:vAlign w:val="center"/>
          </w:tcPr>
          <w:p w14:paraId="769C2EB4">
            <w:pPr>
              <w:widowControl/>
              <w:jc w:val="center"/>
              <w:rPr>
                <w:rFonts w:ascii="宋体" w:hAnsi="宋体" w:eastAsia="宋体" w:cs="宋体"/>
                <w:bCs/>
                <w:kern w:val="0"/>
                <w:sz w:val="21"/>
                <w:szCs w:val="21"/>
                <w:lang w:val="en-US" w:eastAsia="zh-CN" w:bidi="ar-SA"/>
              </w:rPr>
            </w:pPr>
            <w:r>
              <w:rPr>
                <w:rFonts w:ascii="宋体" w:hAnsi="宋体" w:cs="宋体"/>
                <w:bCs/>
                <w:kern w:val="0"/>
                <w:szCs w:val="21"/>
              </w:rPr>
              <w:t>批复</w:t>
            </w:r>
            <w:r>
              <w:rPr>
                <w:rFonts w:hint="eastAsia" w:ascii="宋体" w:hAnsi="宋体" w:cs="宋体"/>
                <w:bCs/>
                <w:kern w:val="0"/>
                <w:szCs w:val="21"/>
              </w:rPr>
              <w:t>日期</w:t>
            </w:r>
          </w:p>
        </w:tc>
        <w:tc>
          <w:tcPr>
            <w:tcW w:w="1595" w:type="dxa"/>
            <w:shd w:val="clear" w:color="auto" w:fill="auto"/>
            <w:tcMar>
              <w:top w:w="0" w:type="dxa"/>
              <w:left w:w="108" w:type="dxa"/>
              <w:bottom w:w="0" w:type="dxa"/>
              <w:right w:w="108" w:type="dxa"/>
            </w:tcMar>
            <w:vAlign w:val="center"/>
          </w:tcPr>
          <w:p w14:paraId="2DCC1E60">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 xml:space="preserve">设计阶段       </w:t>
            </w:r>
          </w:p>
        </w:tc>
        <w:tc>
          <w:tcPr>
            <w:tcW w:w="2073" w:type="dxa"/>
            <w:shd w:val="clear" w:color="auto" w:fill="auto"/>
            <w:vAlign w:val="center"/>
          </w:tcPr>
          <w:p w14:paraId="4A5EDECE">
            <w:pPr>
              <w:widowControl/>
              <w:jc w:val="center"/>
              <w:rPr>
                <w:rFonts w:ascii="宋体" w:hAnsi="宋体" w:eastAsia="宋体" w:cs="宋体"/>
                <w:bCs/>
                <w:kern w:val="0"/>
                <w:sz w:val="21"/>
                <w:szCs w:val="21"/>
                <w:lang w:val="en-US" w:eastAsia="zh-CN" w:bidi="ar-SA"/>
              </w:rPr>
            </w:pPr>
            <w:r>
              <w:rPr>
                <w:rFonts w:hint="eastAsia" w:ascii="宋体" w:hAnsi="宋体" w:cs="宋体"/>
                <w:bCs/>
                <w:kern w:val="0"/>
                <w:szCs w:val="21"/>
              </w:rPr>
              <w:t xml:space="preserve">项目建设形式        </w:t>
            </w:r>
          </w:p>
        </w:tc>
        <w:tc>
          <w:tcPr>
            <w:tcW w:w="1186" w:type="dxa"/>
            <w:shd w:val="clear" w:color="auto" w:fill="auto"/>
            <w:vAlign w:val="center"/>
          </w:tcPr>
          <w:p w14:paraId="219E5AD1">
            <w:pPr>
              <w:jc w:val="center"/>
              <w:rPr>
                <w:rFonts w:ascii="宋体" w:hAnsi="宋体" w:eastAsia="宋体" w:cs="宋体"/>
                <w:bCs/>
                <w:kern w:val="0"/>
                <w:sz w:val="21"/>
                <w:szCs w:val="21"/>
                <w:lang w:val="en-US" w:eastAsia="zh-CN" w:bidi="ar-SA"/>
              </w:rPr>
            </w:pPr>
            <w:r>
              <w:rPr>
                <w:rFonts w:hint="eastAsia" w:ascii="宋体" w:hAnsi="宋体" w:cs="宋体"/>
                <w:bCs/>
                <w:kern w:val="0"/>
                <w:szCs w:val="21"/>
              </w:rPr>
              <w:t>工作内容</w:t>
            </w:r>
          </w:p>
        </w:tc>
        <w:tc>
          <w:tcPr>
            <w:tcW w:w="1146" w:type="dxa"/>
            <w:shd w:val="clear" w:color="auto" w:fill="auto"/>
            <w:vAlign w:val="center"/>
          </w:tcPr>
          <w:p w14:paraId="0E0B5E37">
            <w:pPr>
              <w:widowControl/>
              <w:jc w:val="center"/>
              <w:rPr>
                <w:rFonts w:ascii="宋体" w:hAnsi="宋体" w:cs="宋体"/>
                <w:bCs/>
                <w:kern w:val="0"/>
                <w:szCs w:val="21"/>
              </w:rPr>
            </w:pPr>
            <w:r>
              <w:rPr>
                <w:rFonts w:hint="eastAsia" w:ascii="宋体" w:hAnsi="宋体" w:cs="宋体"/>
                <w:bCs/>
                <w:kern w:val="0"/>
                <w:szCs w:val="21"/>
              </w:rPr>
              <w:t>合同价格</w:t>
            </w:r>
          </w:p>
          <w:p w14:paraId="1507BA7F">
            <w:pPr>
              <w:jc w:val="center"/>
              <w:rPr>
                <w:rFonts w:ascii="宋体" w:hAnsi="宋体" w:eastAsia="宋体" w:cs="宋体"/>
                <w:bCs/>
                <w:kern w:val="0"/>
                <w:sz w:val="21"/>
                <w:szCs w:val="21"/>
                <w:lang w:val="en-US" w:eastAsia="zh-CN" w:bidi="ar-SA"/>
              </w:rPr>
            </w:pPr>
            <w:r>
              <w:rPr>
                <w:rFonts w:hint="eastAsia" w:ascii="宋体" w:hAnsi="宋体" w:cs="宋体"/>
                <w:bCs/>
                <w:kern w:val="0"/>
                <w:szCs w:val="21"/>
              </w:rPr>
              <w:t>（万元）</w:t>
            </w:r>
          </w:p>
        </w:tc>
        <w:tc>
          <w:tcPr>
            <w:tcW w:w="1213" w:type="dxa"/>
            <w:vAlign w:val="center"/>
          </w:tcPr>
          <w:p w14:paraId="1F9DA4E3">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1E1C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83" w:type="dxa"/>
            <w:vAlign w:val="center"/>
          </w:tcPr>
          <w:p w14:paraId="43E51A8B">
            <w:pPr>
              <w:pStyle w:val="299"/>
              <w:jc w:val="center"/>
              <w:rPr>
                <w:rFonts w:asciiTheme="minorEastAsia" w:hAnsiTheme="minorEastAsia" w:eastAsiaTheme="minorEastAsia"/>
                <w:szCs w:val="21"/>
              </w:rPr>
            </w:pPr>
          </w:p>
        </w:tc>
        <w:tc>
          <w:tcPr>
            <w:tcW w:w="1104" w:type="dxa"/>
            <w:tcMar>
              <w:top w:w="0" w:type="dxa"/>
              <w:left w:w="108" w:type="dxa"/>
              <w:bottom w:w="0" w:type="dxa"/>
              <w:right w:w="108" w:type="dxa"/>
            </w:tcMar>
            <w:vAlign w:val="center"/>
          </w:tcPr>
          <w:p w14:paraId="6B9AD2DF">
            <w:pPr>
              <w:pStyle w:val="299"/>
              <w:jc w:val="center"/>
              <w:rPr>
                <w:rFonts w:asciiTheme="minorEastAsia" w:hAnsiTheme="minorEastAsia" w:eastAsiaTheme="minorEastAsia"/>
                <w:szCs w:val="21"/>
              </w:rPr>
            </w:pPr>
          </w:p>
        </w:tc>
        <w:tc>
          <w:tcPr>
            <w:tcW w:w="1268" w:type="dxa"/>
            <w:tcMar>
              <w:top w:w="0" w:type="dxa"/>
              <w:left w:w="108" w:type="dxa"/>
              <w:bottom w:w="0" w:type="dxa"/>
              <w:right w:w="108" w:type="dxa"/>
            </w:tcMar>
            <w:vAlign w:val="center"/>
          </w:tcPr>
          <w:p w14:paraId="1B436CB3">
            <w:pPr>
              <w:pStyle w:val="299"/>
              <w:jc w:val="center"/>
              <w:rPr>
                <w:rFonts w:asciiTheme="minorEastAsia" w:hAnsiTheme="minorEastAsia" w:eastAsiaTheme="minorEastAsia"/>
                <w:szCs w:val="21"/>
              </w:rPr>
            </w:pPr>
          </w:p>
        </w:tc>
        <w:tc>
          <w:tcPr>
            <w:tcW w:w="914" w:type="dxa"/>
            <w:tcMar>
              <w:top w:w="0" w:type="dxa"/>
              <w:left w:w="108" w:type="dxa"/>
              <w:bottom w:w="0" w:type="dxa"/>
              <w:right w:w="108" w:type="dxa"/>
            </w:tcMar>
            <w:vAlign w:val="center"/>
          </w:tcPr>
          <w:p w14:paraId="1FF4BC67">
            <w:pPr>
              <w:jc w:val="left"/>
              <w:rPr>
                <w:rFonts w:cs="宋体" w:asciiTheme="minorEastAsia" w:hAnsiTheme="minorEastAsia" w:eastAsiaTheme="minorEastAsia"/>
                <w:szCs w:val="21"/>
              </w:rPr>
            </w:pPr>
          </w:p>
        </w:tc>
        <w:tc>
          <w:tcPr>
            <w:tcW w:w="1268" w:type="dxa"/>
            <w:tcMar>
              <w:top w:w="0" w:type="dxa"/>
              <w:left w:w="108" w:type="dxa"/>
              <w:bottom w:w="0" w:type="dxa"/>
              <w:right w:w="108" w:type="dxa"/>
            </w:tcMar>
            <w:vAlign w:val="center"/>
          </w:tcPr>
          <w:p w14:paraId="76D8753E">
            <w:pPr>
              <w:pStyle w:val="299"/>
              <w:jc w:val="center"/>
              <w:rPr>
                <w:rFonts w:asciiTheme="minorEastAsia" w:hAnsiTheme="minorEastAsia" w:eastAsiaTheme="minorEastAsia"/>
                <w:szCs w:val="21"/>
              </w:rPr>
            </w:pPr>
          </w:p>
        </w:tc>
        <w:tc>
          <w:tcPr>
            <w:tcW w:w="1446" w:type="dxa"/>
            <w:shd w:val="clear" w:color="auto" w:fill="auto"/>
            <w:vAlign w:val="center"/>
          </w:tcPr>
          <w:p w14:paraId="2F84CC43">
            <w:pPr>
              <w:pStyle w:val="299"/>
              <w:jc w:val="center"/>
              <w:rPr>
                <w:rFonts w:cs="Times New Roman" w:asciiTheme="minorEastAsia" w:hAnsiTheme="minorEastAsia" w:eastAsiaTheme="minorEastAsia"/>
                <w:kern w:val="2"/>
                <w:sz w:val="21"/>
                <w:szCs w:val="21"/>
                <w:lang w:val="en-US" w:eastAsia="zh-CN" w:bidi="ar-SA"/>
              </w:rPr>
            </w:pPr>
          </w:p>
        </w:tc>
        <w:tc>
          <w:tcPr>
            <w:tcW w:w="1595" w:type="dxa"/>
            <w:shd w:val="clear" w:color="auto" w:fill="auto"/>
            <w:tcMar>
              <w:top w:w="0" w:type="dxa"/>
              <w:left w:w="108" w:type="dxa"/>
              <w:bottom w:w="0" w:type="dxa"/>
              <w:right w:w="108" w:type="dxa"/>
            </w:tcMar>
            <w:vAlign w:val="center"/>
          </w:tcPr>
          <w:p w14:paraId="3138988B">
            <w:pPr>
              <w:widowControl/>
              <w:spacing w:line="400" w:lineRule="exact"/>
              <w:jc w:val="left"/>
              <w:rPr>
                <w:szCs w:val="21"/>
              </w:rPr>
            </w:pPr>
            <w:r>
              <w:rPr>
                <w:rFonts w:hint="eastAsia"/>
                <w:szCs w:val="21"/>
              </w:rPr>
              <w:t>□初步</w:t>
            </w:r>
          </w:p>
          <w:p w14:paraId="4BEB3EBF">
            <w:pPr>
              <w:widowControl/>
              <w:spacing w:line="400" w:lineRule="exact"/>
              <w:jc w:val="left"/>
              <w:rPr>
                <w:rFonts w:ascii="宋体" w:hAnsi="宋体" w:eastAsia="宋体" w:cs="宋体"/>
                <w:kern w:val="0"/>
                <w:sz w:val="21"/>
                <w:szCs w:val="21"/>
                <w:lang w:val="en-US" w:eastAsia="zh-CN" w:bidi="ar-SA"/>
              </w:rPr>
            </w:pPr>
            <w:r>
              <w:rPr>
                <w:rFonts w:hint="eastAsia"/>
                <w:szCs w:val="21"/>
              </w:rPr>
              <w:t>□施工图</w:t>
            </w:r>
          </w:p>
        </w:tc>
        <w:tc>
          <w:tcPr>
            <w:tcW w:w="2073" w:type="dxa"/>
            <w:shd w:val="clear" w:color="auto" w:fill="auto"/>
            <w:vAlign w:val="center"/>
          </w:tcPr>
          <w:p w14:paraId="170A146D">
            <w:pPr>
              <w:widowControl/>
              <w:spacing w:line="400" w:lineRule="exact"/>
              <w:jc w:val="left"/>
              <w:rPr>
                <w:szCs w:val="21"/>
              </w:rPr>
            </w:pPr>
            <w:r>
              <w:rPr>
                <w:rFonts w:hint="eastAsia"/>
                <w:szCs w:val="21"/>
              </w:rPr>
              <w:t>□新建</w:t>
            </w:r>
          </w:p>
          <w:p w14:paraId="10BEF1B5">
            <w:pPr>
              <w:widowControl/>
              <w:spacing w:line="400" w:lineRule="exact"/>
              <w:jc w:val="left"/>
              <w:rPr>
                <w:rFonts w:ascii="宋体" w:hAnsi="宋体" w:eastAsia="宋体" w:cs="宋体"/>
                <w:kern w:val="0"/>
                <w:sz w:val="21"/>
                <w:szCs w:val="21"/>
                <w:lang w:val="en-US" w:eastAsia="zh-CN" w:bidi="ar-SA"/>
              </w:rPr>
            </w:pPr>
            <w:r>
              <w:rPr>
                <w:rFonts w:hint="eastAsia"/>
                <w:szCs w:val="21"/>
              </w:rPr>
              <w:t>□改扩建</w:t>
            </w:r>
          </w:p>
        </w:tc>
        <w:tc>
          <w:tcPr>
            <w:tcW w:w="1186" w:type="dxa"/>
            <w:shd w:val="clear" w:color="auto" w:fill="auto"/>
            <w:vAlign w:val="center"/>
          </w:tcPr>
          <w:p w14:paraId="11A426B8">
            <w:pPr>
              <w:pStyle w:val="299"/>
              <w:jc w:val="center"/>
              <w:rPr>
                <w:rFonts w:cs="Times New Roman" w:asciiTheme="minorEastAsia" w:hAnsiTheme="minorEastAsia" w:eastAsiaTheme="minorEastAsia"/>
                <w:kern w:val="2"/>
                <w:sz w:val="21"/>
                <w:szCs w:val="21"/>
                <w:lang w:val="en-US" w:eastAsia="zh-CN" w:bidi="ar-SA"/>
              </w:rPr>
            </w:pPr>
          </w:p>
        </w:tc>
        <w:tc>
          <w:tcPr>
            <w:tcW w:w="1146" w:type="dxa"/>
            <w:shd w:val="clear" w:color="auto" w:fill="auto"/>
            <w:vAlign w:val="center"/>
          </w:tcPr>
          <w:p w14:paraId="3C6CEB55">
            <w:pPr>
              <w:pStyle w:val="299"/>
              <w:jc w:val="center"/>
              <w:rPr>
                <w:rFonts w:cs="Times New Roman" w:asciiTheme="minorEastAsia" w:hAnsiTheme="minorEastAsia" w:eastAsiaTheme="minorEastAsia"/>
                <w:kern w:val="2"/>
                <w:sz w:val="21"/>
                <w:szCs w:val="21"/>
                <w:lang w:val="en-US" w:eastAsia="zh-CN" w:bidi="ar-SA"/>
              </w:rPr>
            </w:pPr>
          </w:p>
        </w:tc>
        <w:tc>
          <w:tcPr>
            <w:tcW w:w="1213" w:type="dxa"/>
            <w:vAlign w:val="center"/>
          </w:tcPr>
          <w:p w14:paraId="4A6A6857">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C1-4.1</w:t>
            </w:r>
          </w:p>
        </w:tc>
      </w:tr>
      <w:tr w14:paraId="394BE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83" w:type="dxa"/>
            <w:vAlign w:val="center"/>
          </w:tcPr>
          <w:p w14:paraId="685327A2">
            <w:pPr>
              <w:pStyle w:val="299"/>
              <w:jc w:val="center"/>
              <w:rPr>
                <w:rFonts w:asciiTheme="minorEastAsia" w:hAnsiTheme="minorEastAsia" w:eastAsiaTheme="minorEastAsia"/>
                <w:szCs w:val="21"/>
              </w:rPr>
            </w:pPr>
          </w:p>
        </w:tc>
        <w:tc>
          <w:tcPr>
            <w:tcW w:w="1104" w:type="dxa"/>
            <w:tcMar>
              <w:top w:w="0" w:type="dxa"/>
              <w:left w:w="108" w:type="dxa"/>
              <w:bottom w:w="0" w:type="dxa"/>
              <w:right w:w="108" w:type="dxa"/>
            </w:tcMar>
            <w:vAlign w:val="center"/>
          </w:tcPr>
          <w:p w14:paraId="11411D07">
            <w:pPr>
              <w:pStyle w:val="299"/>
              <w:jc w:val="center"/>
              <w:rPr>
                <w:rFonts w:asciiTheme="minorEastAsia" w:hAnsiTheme="minorEastAsia" w:eastAsiaTheme="minorEastAsia"/>
                <w:szCs w:val="21"/>
              </w:rPr>
            </w:pPr>
          </w:p>
        </w:tc>
        <w:tc>
          <w:tcPr>
            <w:tcW w:w="1268" w:type="dxa"/>
            <w:tcMar>
              <w:top w:w="0" w:type="dxa"/>
              <w:left w:w="108" w:type="dxa"/>
              <w:bottom w:w="0" w:type="dxa"/>
              <w:right w:w="108" w:type="dxa"/>
            </w:tcMar>
            <w:vAlign w:val="center"/>
          </w:tcPr>
          <w:p w14:paraId="52B85F6A">
            <w:pPr>
              <w:pStyle w:val="299"/>
              <w:jc w:val="center"/>
              <w:rPr>
                <w:rFonts w:asciiTheme="minorEastAsia" w:hAnsiTheme="minorEastAsia" w:eastAsiaTheme="minorEastAsia"/>
                <w:szCs w:val="21"/>
              </w:rPr>
            </w:pPr>
          </w:p>
        </w:tc>
        <w:tc>
          <w:tcPr>
            <w:tcW w:w="914" w:type="dxa"/>
            <w:tcMar>
              <w:top w:w="0" w:type="dxa"/>
              <w:left w:w="108" w:type="dxa"/>
              <w:bottom w:w="0" w:type="dxa"/>
              <w:right w:w="108" w:type="dxa"/>
            </w:tcMar>
            <w:vAlign w:val="center"/>
          </w:tcPr>
          <w:p w14:paraId="254E9BA3">
            <w:pPr>
              <w:jc w:val="left"/>
              <w:rPr>
                <w:rFonts w:cs="宋体" w:asciiTheme="minorEastAsia" w:hAnsiTheme="minorEastAsia" w:eastAsiaTheme="minorEastAsia"/>
                <w:szCs w:val="21"/>
              </w:rPr>
            </w:pPr>
          </w:p>
        </w:tc>
        <w:tc>
          <w:tcPr>
            <w:tcW w:w="1268" w:type="dxa"/>
            <w:tcMar>
              <w:top w:w="0" w:type="dxa"/>
              <w:left w:w="108" w:type="dxa"/>
              <w:bottom w:w="0" w:type="dxa"/>
              <w:right w:w="108" w:type="dxa"/>
            </w:tcMar>
            <w:vAlign w:val="center"/>
          </w:tcPr>
          <w:p w14:paraId="53892485">
            <w:pPr>
              <w:pStyle w:val="299"/>
              <w:jc w:val="center"/>
              <w:rPr>
                <w:rFonts w:asciiTheme="minorEastAsia" w:hAnsiTheme="minorEastAsia" w:eastAsiaTheme="minorEastAsia"/>
                <w:szCs w:val="21"/>
              </w:rPr>
            </w:pPr>
          </w:p>
        </w:tc>
        <w:tc>
          <w:tcPr>
            <w:tcW w:w="1446" w:type="dxa"/>
            <w:shd w:val="clear" w:color="auto" w:fill="auto"/>
            <w:vAlign w:val="center"/>
          </w:tcPr>
          <w:p w14:paraId="791BF6DF">
            <w:pPr>
              <w:pStyle w:val="299"/>
              <w:jc w:val="center"/>
              <w:rPr>
                <w:rFonts w:cs="Times New Roman" w:asciiTheme="minorEastAsia" w:hAnsiTheme="minorEastAsia" w:eastAsiaTheme="minorEastAsia"/>
                <w:kern w:val="2"/>
                <w:sz w:val="21"/>
                <w:szCs w:val="21"/>
                <w:lang w:val="en-US" w:eastAsia="zh-CN" w:bidi="ar-SA"/>
              </w:rPr>
            </w:pPr>
          </w:p>
        </w:tc>
        <w:tc>
          <w:tcPr>
            <w:tcW w:w="1595" w:type="dxa"/>
            <w:shd w:val="clear" w:color="auto" w:fill="auto"/>
            <w:tcMar>
              <w:top w:w="0" w:type="dxa"/>
              <w:left w:w="108" w:type="dxa"/>
              <w:bottom w:w="0" w:type="dxa"/>
              <w:right w:w="108" w:type="dxa"/>
            </w:tcMar>
            <w:vAlign w:val="center"/>
          </w:tcPr>
          <w:p w14:paraId="732EEE24">
            <w:pPr>
              <w:widowControl/>
              <w:spacing w:line="400" w:lineRule="exact"/>
              <w:jc w:val="left"/>
              <w:rPr>
                <w:szCs w:val="21"/>
              </w:rPr>
            </w:pPr>
            <w:r>
              <w:rPr>
                <w:rFonts w:hint="eastAsia"/>
                <w:szCs w:val="21"/>
              </w:rPr>
              <w:t>□初步</w:t>
            </w:r>
          </w:p>
          <w:p w14:paraId="40217CE5">
            <w:pPr>
              <w:widowControl/>
              <w:spacing w:line="400" w:lineRule="exact"/>
              <w:jc w:val="left"/>
              <w:rPr>
                <w:rFonts w:ascii="宋体" w:hAnsi="宋体" w:eastAsia="宋体" w:cs="宋体"/>
                <w:kern w:val="0"/>
                <w:sz w:val="21"/>
                <w:szCs w:val="21"/>
                <w:lang w:val="en-US" w:eastAsia="zh-CN" w:bidi="ar-SA"/>
              </w:rPr>
            </w:pPr>
            <w:r>
              <w:rPr>
                <w:rFonts w:hint="eastAsia"/>
                <w:szCs w:val="21"/>
              </w:rPr>
              <w:t>□施工图</w:t>
            </w:r>
          </w:p>
        </w:tc>
        <w:tc>
          <w:tcPr>
            <w:tcW w:w="2073" w:type="dxa"/>
            <w:shd w:val="clear" w:color="auto" w:fill="auto"/>
            <w:vAlign w:val="center"/>
          </w:tcPr>
          <w:p w14:paraId="7E5D6FB2">
            <w:pPr>
              <w:widowControl/>
              <w:spacing w:line="400" w:lineRule="exact"/>
              <w:jc w:val="left"/>
              <w:rPr>
                <w:szCs w:val="21"/>
              </w:rPr>
            </w:pPr>
            <w:r>
              <w:rPr>
                <w:rFonts w:hint="eastAsia"/>
                <w:szCs w:val="21"/>
              </w:rPr>
              <w:t>□新建</w:t>
            </w:r>
          </w:p>
          <w:p w14:paraId="3F9C4C82">
            <w:pPr>
              <w:widowControl/>
              <w:spacing w:line="400" w:lineRule="exact"/>
              <w:jc w:val="left"/>
              <w:rPr>
                <w:rFonts w:ascii="宋体" w:hAnsi="宋体" w:eastAsia="宋体" w:cs="宋体"/>
                <w:kern w:val="0"/>
                <w:sz w:val="21"/>
                <w:szCs w:val="21"/>
                <w:lang w:val="en-US" w:eastAsia="zh-CN" w:bidi="ar-SA"/>
              </w:rPr>
            </w:pPr>
            <w:r>
              <w:rPr>
                <w:rFonts w:hint="eastAsia"/>
                <w:szCs w:val="21"/>
              </w:rPr>
              <w:t>□改扩建</w:t>
            </w:r>
          </w:p>
        </w:tc>
        <w:tc>
          <w:tcPr>
            <w:tcW w:w="1186" w:type="dxa"/>
            <w:shd w:val="clear" w:color="auto" w:fill="auto"/>
            <w:vAlign w:val="center"/>
          </w:tcPr>
          <w:p w14:paraId="24F666C6">
            <w:pPr>
              <w:pStyle w:val="299"/>
              <w:jc w:val="center"/>
              <w:rPr>
                <w:rFonts w:cs="Times New Roman" w:asciiTheme="minorEastAsia" w:hAnsiTheme="minorEastAsia" w:eastAsiaTheme="minorEastAsia"/>
                <w:kern w:val="2"/>
                <w:sz w:val="21"/>
                <w:szCs w:val="21"/>
                <w:lang w:val="en-US" w:eastAsia="zh-CN" w:bidi="ar-SA"/>
              </w:rPr>
            </w:pPr>
          </w:p>
        </w:tc>
        <w:tc>
          <w:tcPr>
            <w:tcW w:w="1146" w:type="dxa"/>
            <w:shd w:val="clear" w:color="auto" w:fill="auto"/>
            <w:vAlign w:val="center"/>
          </w:tcPr>
          <w:p w14:paraId="222D87F7">
            <w:pPr>
              <w:pStyle w:val="299"/>
              <w:jc w:val="center"/>
              <w:rPr>
                <w:rFonts w:cs="Times New Roman" w:asciiTheme="minorEastAsia" w:hAnsiTheme="minorEastAsia" w:eastAsiaTheme="minorEastAsia"/>
                <w:kern w:val="2"/>
                <w:sz w:val="21"/>
                <w:szCs w:val="21"/>
                <w:lang w:val="en-US" w:eastAsia="zh-CN" w:bidi="ar-SA"/>
              </w:rPr>
            </w:pPr>
          </w:p>
        </w:tc>
        <w:tc>
          <w:tcPr>
            <w:tcW w:w="1213" w:type="dxa"/>
            <w:vAlign w:val="center"/>
          </w:tcPr>
          <w:p w14:paraId="7928C64E">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C1-4.2</w:t>
            </w:r>
          </w:p>
        </w:tc>
      </w:tr>
      <w:tr w14:paraId="41EA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83" w:type="dxa"/>
            <w:vAlign w:val="center"/>
          </w:tcPr>
          <w:p w14:paraId="34113E53">
            <w:pPr>
              <w:pStyle w:val="299"/>
              <w:jc w:val="center"/>
              <w:rPr>
                <w:rFonts w:asciiTheme="minorEastAsia" w:hAnsiTheme="minorEastAsia" w:eastAsiaTheme="minorEastAsia"/>
                <w:szCs w:val="21"/>
              </w:rPr>
            </w:pPr>
          </w:p>
        </w:tc>
        <w:tc>
          <w:tcPr>
            <w:tcW w:w="1104" w:type="dxa"/>
            <w:tcMar>
              <w:top w:w="0" w:type="dxa"/>
              <w:left w:w="108" w:type="dxa"/>
              <w:bottom w:w="0" w:type="dxa"/>
              <w:right w:w="108" w:type="dxa"/>
            </w:tcMar>
            <w:vAlign w:val="center"/>
          </w:tcPr>
          <w:p w14:paraId="0C413225">
            <w:pPr>
              <w:pStyle w:val="299"/>
              <w:jc w:val="center"/>
              <w:rPr>
                <w:rFonts w:asciiTheme="minorEastAsia" w:hAnsiTheme="minorEastAsia" w:eastAsiaTheme="minorEastAsia"/>
                <w:szCs w:val="21"/>
              </w:rPr>
            </w:pPr>
          </w:p>
        </w:tc>
        <w:tc>
          <w:tcPr>
            <w:tcW w:w="1268" w:type="dxa"/>
            <w:tcMar>
              <w:top w:w="0" w:type="dxa"/>
              <w:left w:w="108" w:type="dxa"/>
              <w:bottom w:w="0" w:type="dxa"/>
              <w:right w:w="108" w:type="dxa"/>
            </w:tcMar>
            <w:vAlign w:val="center"/>
          </w:tcPr>
          <w:p w14:paraId="1E0616FB">
            <w:pPr>
              <w:pStyle w:val="299"/>
              <w:jc w:val="center"/>
              <w:rPr>
                <w:rFonts w:asciiTheme="minorEastAsia" w:hAnsiTheme="minorEastAsia" w:eastAsiaTheme="minorEastAsia"/>
                <w:szCs w:val="21"/>
              </w:rPr>
            </w:pPr>
          </w:p>
        </w:tc>
        <w:tc>
          <w:tcPr>
            <w:tcW w:w="914" w:type="dxa"/>
            <w:tcMar>
              <w:top w:w="0" w:type="dxa"/>
              <w:left w:w="108" w:type="dxa"/>
              <w:bottom w:w="0" w:type="dxa"/>
              <w:right w:w="108" w:type="dxa"/>
            </w:tcMar>
            <w:vAlign w:val="center"/>
          </w:tcPr>
          <w:p w14:paraId="6D04C183">
            <w:pPr>
              <w:jc w:val="left"/>
              <w:rPr>
                <w:rFonts w:cs="宋体" w:asciiTheme="minorEastAsia" w:hAnsiTheme="minorEastAsia" w:eastAsiaTheme="minorEastAsia"/>
                <w:szCs w:val="21"/>
              </w:rPr>
            </w:pPr>
          </w:p>
        </w:tc>
        <w:tc>
          <w:tcPr>
            <w:tcW w:w="1268" w:type="dxa"/>
            <w:tcMar>
              <w:top w:w="0" w:type="dxa"/>
              <w:left w:w="108" w:type="dxa"/>
              <w:bottom w:w="0" w:type="dxa"/>
              <w:right w:w="108" w:type="dxa"/>
            </w:tcMar>
            <w:vAlign w:val="center"/>
          </w:tcPr>
          <w:p w14:paraId="33B38857">
            <w:pPr>
              <w:pStyle w:val="299"/>
              <w:jc w:val="center"/>
              <w:rPr>
                <w:rFonts w:asciiTheme="minorEastAsia" w:hAnsiTheme="minorEastAsia" w:eastAsiaTheme="minorEastAsia"/>
                <w:szCs w:val="21"/>
              </w:rPr>
            </w:pPr>
          </w:p>
        </w:tc>
        <w:tc>
          <w:tcPr>
            <w:tcW w:w="1446" w:type="dxa"/>
            <w:shd w:val="clear" w:color="auto" w:fill="auto"/>
            <w:vAlign w:val="center"/>
          </w:tcPr>
          <w:p w14:paraId="28E7D0C0">
            <w:pPr>
              <w:pStyle w:val="299"/>
              <w:jc w:val="center"/>
              <w:rPr>
                <w:rFonts w:cs="Times New Roman" w:asciiTheme="minorEastAsia" w:hAnsiTheme="minorEastAsia" w:eastAsiaTheme="minorEastAsia"/>
                <w:kern w:val="2"/>
                <w:sz w:val="21"/>
                <w:szCs w:val="21"/>
                <w:lang w:val="en-US" w:eastAsia="zh-CN" w:bidi="ar-SA"/>
              </w:rPr>
            </w:pPr>
          </w:p>
        </w:tc>
        <w:tc>
          <w:tcPr>
            <w:tcW w:w="1595" w:type="dxa"/>
            <w:shd w:val="clear" w:color="auto" w:fill="auto"/>
            <w:tcMar>
              <w:top w:w="0" w:type="dxa"/>
              <w:left w:w="108" w:type="dxa"/>
              <w:bottom w:w="0" w:type="dxa"/>
              <w:right w:w="108" w:type="dxa"/>
            </w:tcMar>
            <w:vAlign w:val="center"/>
          </w:tcPr>
          <w:p w14:paraId="1FDE9D7C">
            <w:pPr>
              <w:widowControl/>
              <w:spacing w:line="400" w:lineRule="exact"/>
              <w:jc w:val="left"/>
              <w:rPr>
                <w:szCs w:val="21"/>
              </w:rPr>
            </w:pPr>
            <w:r>
              <w:rPr>
                <w:rFonts w:hint="eastAsia"/>
                <w:szCs w:val="21"/>
              </w:rPr>
              <w:t>□初步</w:t>
            </w:r>
          </w:p>
          <w:p w14:paraId="09897BA2">
            <w:pPr>
              <w:widowControl/>
              <w:spacing w:line="400" w:lineRule="exact"/>
              <w:jc w:val="left"/>
              <w:rPr>
                <w:rFonts w:ascii="宋体" w:hAnsi="宋体" w:eastAsia="宋体" w:cs="宋体"/>
                <w:kern w:val="0"/>
                <w:sz w:val="21"/>
                <w:szCs w:val="21"/>
                <w:lang w:val="en-US" w:eastAsia="zh-CN" w:bidi="ar-SA"/>
              </w:rPr>
            </w:pPr>
            <w:r>
              <w:rPr>
                <w:rFonts w:hint="eastAsia"/>
                <w:szCs w:val="21"/>
              </w:rPr>
              <w:t>□施工图</w:t>
            </w:r>
          </w:p>
        </w:tc>
        <w:tc>
          <w:tcPr>
            <w:tcW w:w="2073" w:type="dxa"/>
            <w:shd w:val="clear" w:color="auto" w:fill="auto"/>
            <w:vAlign w:val="center"/>
          </w:tcPr>
          <w:p w14:paraId="1B824244">
            <w:pPr>
              <w:widowControl/>
              <w:spacing w:line="400" w:lineRule="exact"/>
              <w:jc w:val="left"/>
              <w:rPr>
                <w:szCs w:val="21"/>
              </w:rPr>
            </w:pPr>
            <w:r>
              <w:rPr>
                <w:rFonts w:hint="eastAsia"/>
                <w:szCs w:val="21"/>
              </w:rPr>
              <w:t>□新建</w:t>
            </w:r>
          </w:p>
          <w:p w14:paraId="11512043">
            <w:pPr>
              <w:widowControl/>
              <w:spacing w:line="400" w:lineRule="exact"/>
              <w:jc w:val="left"/>
              <w:rPr>
                <w:rFonts w:ascii="宋体" w:hAnsi="宋体" w:eastAsia="宋体" w:cs="宋体"/>
                <w:kern w:val="0"/>
                <w:sz w:val="21"/>
                <w:szCs w:val="21"/>
                <w:lang w:val="en-US" w:eastAsia="zh-CN" w:bidi="ar-SA"/>
              </w:rPr>
            </w:pPr>
            <w:r>
              <w:rPr>
                <w:rFonts w:hint="eastAsia"/>
                <w:szCs w:val="21"/>
              </w:rPr>
              <w:t>□改扩建</w:t>
            </w:r>
          </w:p>
        </w:tc>
        <w:tc>
          <w:tcPr>
            <w:tcW w:w="1186" w:type="dxa"/>
            <w:shd w:val="clear" w:color="auto" w:fill="auto"/>
            <w:vAlign w:val="center"/>
          </w:tcPr>
          <w:p w14:paraId="2660FFAA">
            <w:pPr>
              <w:pStyle w:val="299"/>
              <w:jc w:val="center"/>
              <w:rPr>
                <w:rFonts w:cs="Times New Roman" w:asciiTheme="minorEastAsia" w:hAnsiTheme="minorEastAsia" w:eastAsiaTheme="minorEastAsia"/>
                <w:kern w:val="2"/>
                <w:sz w:val="21"/>
                <w:szCs w:val="21"/>
                <w:lang w:val="en-US" w:eastAsia="zh-CN" w:bidi="ar-SA"/>
              </w:rPr>
            </w:pPr>
          </w:p>
        </w:tc>
        <w:tc>
          <w:tcPr>
            <w:tcW w:w="1146" w:type="dxa"/>
            <w:shd w:val="clear" w:color="auto" w:fill="auto"/>
            <w:vAlign w:val="center"/>
          </w:tcPr>
          <w:p w14:paraId="634F8FF4">
            <w:pPr>
              <w:pStyle w:val="299"/>
              <w:jc w:val="center"/>
              <w:rPr>
                <w:rFonts w:cs="Times New Roman" w:asciiTheme="minorEastAsia" w:hAnsiTheme="minorEastAsia" w:eastAsiaTheme="minorEastAsia"/>
                <w:kern w:val="2"/>
                <w:sz w:val="21"/>
                <w:szCs w:val="21"/>
                <w:lang w:val="en-US" w:eastAsia="zh-CN" w:bidi="ar-SA"/>
              </w:rPr>
            </w:pPr>
          </w:p>
        </w:tc>
        <w:tc>
          <w:tcPr>
            <w:tcW w:w="1213" w:type="dxa"/>
            <w:vAlign w:val="center"/>
          </w:tcPr>
          <w:p w14:paraId="60C27BD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C1-4.3</w:t>
            </w:r>
          </w:p>
        </w:tc>
      </w:tr>
      <w:tr w14:paraId="2A43B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483" w:type="dxa"/>
            <w:vAlign w:val="center"/>
          </w:tcPr>
          <w:p w14:paraId="26F8C457">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04" w:type="dxa"/>
            <w:tcMar>
              <w:top w:w="0" w:type="dxa"/>
              <w:left w:w="108" w:type="dxa"/>
              <w:bottom w:w="0" w:type="dxa"/>
              <w:right w:w="108" w:type="dxa"/>
            </w:tcMar>
            <w:vAlign w:val="center"/>
          </w:tcPr>
          <w:p w14:paraId="220AEA8E">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268" w:type="dxa"/>
            <w:tcMar>
              <w:top w:w="0" w:type="dxa"/>
              <w:left w:w="108" w:type="dxa"/>
              <w:bottom w:w="0" w:type="dxa"/>
              <w:right w:w="108" w:type="dxa"/>
            </w:tcMar>
            <w:vAlign w:val="center"/>
          </w:tcPr>
          <w:p w14:paraId="39335B8D">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914" w:type="dxa"/>
            <w:tcMar>
              <w:top w:w="0" w:type="dxa"/>
              <w:left w:w="108" w:type="dxa"/>
              <w:bottom w:w="0" w:type="dxa"/>
              <w:right w:w="108" w:type="dxa"/>
            </w:tcMar>
            <w:vAlign w:val="center"/>
          </w:tcPr>
          <w:p w14:paraId="58B7C21A">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268" w:type="dxa"/>
            <w:tcMar>
              <w:top w:w="0" w:type="dxa"/>
              <w:left w:w="108" w:type="dxa"/>
              <w:bottom w:w="0" w:type="dxa"/>
              <w:right w:w="108" w:type="dxa"/>
            </w:tcMar>
            <w:vAlign w:val="center"/>
          </w:tcPr>
          <w:p w14:paraId="4035E7D3">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446" w:type="dxa"/>
            <w:vAlign w:val="center"/>
          </w:tcPr>
          <w:p w14:paraId="2C46D342">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595" w:type="dxa"/>
            <w:tcMar>
              <w:top w:w="0" w:type="dxa"/>
              <w:left w:w="108" w:type="dxa"/>
              <w:bottom w:w="0" w:type="dxa"/>
              <w:right w:w="108" w:type="dxa"/>
            </w:tcMar>
            <w:vAlign w:val="center"/>
          </w:tcPr>
          <w:p w14:paraId="0906F9C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2073" w:type="dxa"/>
            <w:vAlign w:val="center"/>
          </w:tcPr>
          <w:p w14:paraId="06724CAB">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86" w:type="dxa"/>
            <w:vAlign w:val="center"/>
          </w:tcPr>
          <w:p w14:paraId="587E5D60">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46" w:type="dxa"/>
            <w:vAlign w:val="center"/>
          </w:tcPr>
          <w:p w14:paraId="1F90A49F">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213" w:type="dxa"/>
            <w:vAlign w:val="center"/>
          </w:tcPr>
          <w:p w14:paraId="449B6BFF">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50D9C6F1">
      <w:pPr>
        <w:spacing w:line="300" w:lineRule="exact"/>
        <w:rPr>
          <w:rFonts w:hint="eastAsia" w:ascii="宋体" w:hAnsi="宋体" w:cs="宋体"/>
          <w:spacing w:val="-3"/>
        </w:rPr>
      </w:pPr>
      <w:r>
        <w:rPr>
          <w:rFonts w:hint="eastAsia" w:ascii="宋体" w:hAnsi="宋体" w:cs="宋体"/>
        </w:rPr>
        <w:t>注：</w:t>
      </w:r>
      <w:r>
        <w:rPr>
          <w:rFonts w:hint="eastAsia" w:ascii="宋体" w:hAnsi="宋体"/>
        </w:rPr>
        <w:t>1.</w:t>
      </w:r>
      <w:r>
        <w:rPr>
          <w:rFonts w:hint="eastAsia" w:ascii="宋体" w:hAnsi="宋体" w:cs="宋体"/>
          <w:spacing w:val="-3"/>
        </w:rPr>
        <w:t>投标人应</w:t>
      </w:r>
      <w:r>
        <w:rPr>
          <w:rFonts w:hint="eastAsia" w:ascii="宋体" w:hAnsi="宋体" w:cs="宋体"/>
          <w:spacing w:val="-3"/>
          <w:szCs w:val="21"/>
        </w:rPr>
        <w:t>在本表后提供相关</w:t>
      </w:r>
      <w:r>
        <w:rPr>
          <w:rFonts w:hint="eastAsia" w:ascii="宋体" w:hAnsi="宋体" w:cs="宋体"/>
          <w:spacing w:val="-3"/>
        </w:rPr>
        <w:t>业绩证明材料附件</w:t>
      </w:r>
      <w:r>
        <w:rPr>
          <w:rFonts w:hint="eastAsia" w:ascii="宋体" w:hAnsi="宋体" w:cs="宋体"/>
        </w:rPr>
        <w:t>C</w:t>
      </w:r>
      <w:r>
        <w:rPr>
          <w:rFonts w:hint="eastAsia" w:ascii="宋体" w:hAnsi="宋体" w:cs="宋体"/>
          <w:kern w:val="0"/>
          <w:sz w:val="20"/>
          <w:szCs w:val="20"/>
          <w:lang w:val="en-US" w:eastAsia="zh-CN"/>
        </w:rPr>
        <w:t>1-</w:t>
      </w:r>
      <w:r>
        <w:rPr>
          <w:rFonts w:hint="eastAsia" w:ascii="宋体" w:hAnsi="宋体" w:cs="宋体"/>
          <w:lang w:val="en-US" w:eastAsia="zh-CN"/>
        </w:rPr>
        <w:t>4</w:t>
      </w:r>
      <w:r>
        <w:rPr>
          <w:rFonts w:hint="eastAsia" w:ascii="宋体" w:hAnsi="宋体" w:cs="宋体"/>
        </w:rPr>
        <w:t>系列（交通工程及沿线安全设施勘察设计业绩）</w:t>
      </w:r>
      <w:r>
        <w:rPr>
          <w:rFonts w:hint="eastAsia" w:ascii="宋体" w:hAnsi="宋体" w:cs="宋体"/>
          <w:spacing w:val="-3"/>
        </w:rPr>
        <w:t>：</w:t>
      </w:r>
    </w:p>
    <w:p w14:paraId="66A24C71">
      <w:pPr>
        <w:wordWrap w:val="0"/>
        <w:topLinePunct/>
        <w:spacing w:line="300" w:lineRule="exact"/>
        <w:ind w:left="598" w:leftChars="285"/>
        <w:rPr>
          <w:rFonts w:hint="eastAsia" w:ascii="宋体" w:hAnsi="宋体" w:cs="宋体"/>
          <w:spacing w:val="-3"/>
        </w:rPr>
      </w:pPr>
      <w:r>
        <w:rPr>
          <w:rFonts w:hint="eastAsia" w:ascii="宋体" w:hAnsi="宋体" w:cs="宋体"/>
          <w:b/>
          <w:bCs/>
          <w:szCs w:val="21"/>
        </w:rPr>
        <w:sym w:font="Wingdings 2" w:char="00A3"/>
      </w:r>
      <w:r>
        <w:rPr>
          <w:rFonts w:hint="eastAsia" w:ascii="宋体" w:hAnsi="宋体" w:cs="宋体"/>
          <w:b/>
          <w:bCs/>
          <w:szCs w:val="21"/>
        </w:rPr>
        <w:t xml:space="preserve"> </w:t>
      </w:r>
      <w:r>
        <w:rPr>
          <w:rFonts w:hint="eastAsia" w:ascii="宋体" w:hAnsi="宋体" w:cs="宋体"/>
          <w:spacing w:val="-3"/>
        </w:rPr>
        <w:t>在交通运输部“全国公路建设市场监督管理系统”中查询到的企业“业绩信息”相关项目网页截图（</w:t>
      </w:r>
      <w:r>
        <w:rPr>
          <w:rStyle w:val="59"/>
          <w:rFonts w:hint="eastAsia" w:ascii="宋体" w:hAnsi="宋体" w:cs="宋体"/>
          <w:vertAlign w:val="baseline"/>
        </w:rPr>
        <w:t>仅适用于根据《关于发布公路工程从业企业资质名录的通知》（厅公路字〔2011〕114号）要求，招标人应通过名录对投标人资质条件进行审核的公路工程设计企业。</w:t>
      </w:r>
      <w:r>
        <w:rPr>
          <w:rFonts w:hint="eastAsia" w:ascii="宋体" w:hAnsi="宋体" w:cs="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4728D331">
      <w:pPr>
        <w:spacing w:line="300" w:lineRule="exact"/>
        <w:ind w:left="598" w:leftChars="285"/>
        <w:rPr>
          <w:rFonts w:ascii="宋体" w:hAnsi="宋体" w:cs="宋体"/>
        </w:rPr>
      </w:pPr>
      <w:r>
        <w:rPr>
          <w:rFonts w:hint="eastAsia"/>
          <w:b/>
          <w:bCs/>
          <w:szCs w:val="21"/>
        </w:rPr>
        <w:t xml:space="preserve">□ </w:t>
      </w:r>
      <w:r>
        <w:rPr>
          <w:rFonts w:hint="eastAsia" w:ascii="宋体" w:hAnsi="宋体"/>
          <w:szCs w:val="21"/>
        </w:rPr>
        <w:t>合同协议书和业主（发包人）证明材料（仅适用于尚未在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rPr>
        <w:t>二级、三级公路</w:t>
      </w:r>
      <w:r>
        <w:rPr>
          <w:rFonts w:ascii="宋体" w:hAnsi="宋体"/>
        </w:rPr>
        <w:t>工程项目</w:t>
      </w:r>
      <w:r>
        <w:rPr>
          <w:rFonts w:hint="eastAsia" w:ascii="宋体" w:hAnsi="宋体"/>
          <w:szCs w:val="21"/>
        </w:rPr>
        <w:t>）。</w:t>
      </w:r>
    </w:p>
    <w:p w14:paraId="382522BD">
      <w:pPr>
        <w:spacing w:line="300" w:lineRule="exact"/>
        <w:ind w:firstLine="408" w:firstLineChars="200"/>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3654BCCC">
      <w:pPr>
        <w:spacing w:line="30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spacing w:val="-3"/>
        </w:rPr>
        <w:t>.</w:t>
      </w:r>
      <w:r>
        <w:rPr>
          <w:rFonts w:hint="eastAsia" w:ascii="宋体" w:hAnsi="宋体" w:cs="宋体"/>
          <w:spacing w:val="-3"/>
        </w:rPr>
        <w:t>如近年来，投标人法人机构发生合法变更或重组或法人名称变更时，应提供相关部门的合</w:t>
      </w:r>
      <w:r>
        <w:rPr>
          <w:rFonts w:hint="eastAsia" w:ascii="宋体" w:hAnsi="宋体" w:cs="宋体"/>
        </w:rPr>
        <w:t>法批件或其他相</w:t>
      </w:r>
      <w:r>
        <w:rPr>
          <w:rFonts w:hint="eastAsia" w:ascii="宋体" w:hAnsi="宋体" w:cs="宋体"/>
          <w:spacing w:val="-3"/>
        </w:rPr>
        <w:t>关证明材料来证明其所附业绩的继承性。</w:t>
      </w:r>
    </w:p>
    <w:p w14:paraId="3C6E9E6A">
      <w:pPr>
        <w:spacing w:line="300" w:lineRule="exact"/>
        <w:ind w:firstLine="420" w:firstLineChars="200"/>
        <w:rPr>
          <w:rFonts w:ascii="宋体" w:hAnsi="宋体"/>
          <w:szCs w:val="21"/>
        </w:rPr>
      </w:pPr>
      <w:r>
        <w:rPr>
          <w:rFonts w:hint="eastAsia" w:ascii="宋体" w:hAnsi="宋体" w:cs="宋体"/>
        </w:rPr>
        <w:t>4</w:t>
      </w:r>
      <w:r>
        <w:rPr>
          <w:rFonts w:hint="eastAsia" w:ascii="宋体" w:hAnsi="宋体" w:cs="宋体"/>
          <w:spacing w:val="-3"/>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批复日期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3944AAFA">
      <w:pPr>
        <w:spacing w:line="300" w:lineRule="exact"/>
        <w:ind w:left="603" w:leftChars="190" w:hanging="204" w:hangingChars="100"/>
        <w:rPr>
          <w:rFonts w:ascii="宋体" w:hAnsi="宋体" w:cs="宋体"/>
        </w:rPr>
      </w:pPr>
      <w:r>
        <w:rPr>
          <w:rFonts w:hint="eastAsia" w:ascii="宋体" w:hAnsi="宋体" w:cs="宋体"/>
          <w:spacing w:val="-3"/>
        </w:rPr>
        <w:t>5.</w:t>
      </w:r>
      <w:r>
        <w:rPr>
          <w:rFonts w:hint="eastAsia" w:ascii="宋体" w:hAnsi="宋体" w:cs="宋体"/>
          <w:szCs w:val="21"/>
        </w:rPr>
        <w:t>允许联合体投标时，若</w:t>
      </w:r>
      <w:r>
        <w:rPr>
          <w:rFonts w:hint="eastAsia" w:ascii="宋体" w:hAnsi="宋体" w:cs="宋体"/>
          <w:spacing w:val="-3"/>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p>
    <w:p w14:paraId="24CFE27B">
      <w:pPr>
        <w:spacing w:line="300" w:lineRule="exact"/>
        <w:ind w:left="603" w:leftChars="190" w:hanging="204" w:hangingChars="100"/>
        <w:rPr>
          <w:rFonts w:ascii="宋体" w:hAnsi="宋体" w:cs="宋体"/>
          <w:spacing w:val="-3"/>
        </w:rPr>
      </w:pPr>
      <w:r>
        <w:rPr>
          <w:rFonts w:ascii="宋体" w:hAnsi="宋体" w:cs="宋体"/>
          <w:spacing w:val="-3"/>
        </w:rPr>
        <w:t>6.</w:t>
      </w:r>
      <w:r>
        <w:rPr>
          <w:rFonts w:hint="eastAsia" w:ascii="宋体" w:hAnsi="宋体" w:cs="宋体"/>
          <w:spacing w:val="-3"/>
        </w:rPr>
        <w:t>工作内容可为选择项中的一项或多项，未选择的项，视为不含该项内容；也可采用描述的方式对主要工作内容进行阐述。</w:t>
      </w:r>
    </w:p>
    <w:bookmarkEnd w:id="893"/>
    <w:p w14:paraId="28B00257">
      <w:pPr>
        <w:spacing w:line="360" w:lineRule="auto"/>
        <w:ind w:firstLine="420" w:firstLineChars="200"/>
        <w:rPr>
          <w:rFonts w:ascii="宋体" w:hAnsi="宋体" w:cs="宋体"/>
        </w:rPr>
      </w:pPr>
      <w:r>
        <w:rPr>
          <w:rFonts w:ascii="宋体" w:hAnsi="宋体" w:cs="宋体"/>
        </w:rPr>
        <w:br w:type="page"/>
      </w:r>
    </w:p>
    <w:p w14:paraId="5D58BE01">
      <w:pPr>
        <w:spacing w:line="360" w:lineRule="auto"/>
        <w:ind w:firstLine="4578" w:firstLineChars="1900"/>
        <w:rPr>
          <w:rFonts w:ascii="黑体" w:hAnsi="黑体" w:eastAsia="黑体" w:cs="宋体"/>
          <w:sz w:val="24"/>
        </w:rPr>
      </w:pP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sz w:val="24"/>
        </w:rPr>
        <w:t>房建</w:t>
      </w:r>
      <w:r>
        <w:rPr>
          <w:rFonts w:hint="eastAsia" w:ascii="黑体" w:hAnsi="黑体" w:eastAsia="黑体" w:cs="宋体"/>
          <w:sz w:val="24"/>
        </w:rPr>
        <w:t>工程项目勘察设计情况</w:t>
      </w:r>
      <w:r>
        <w:rPr>
          <w:rFonts w:ascii="黑体" w:hAnsi="黑体" w:eastAsia="黑体" w:cs="宋体"/>
          <w:sz w:val="24"/>
        </w:rPr>
        <w:t xml:space="preserve">                           表1-5</w:t>
      </w:r>
    </w:p>
    <w:tbl>
      <w:tblPr>
        <w:tblStyle w:val="49"/>
        <w:tblW w:w="133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
        <w:gridCol w:w="1162"/>
        <w:gridCol w:w="1339"/>
        <w:gridCol w:w="670"/>
        <w:gridCol w:w="1025"/>
        <w:gridCol w:w="1116"/>
        <w:gridCol w:w="1115"/>
        <w:gridCol w:w="1115"/>
        <w:gridCol w:w="1115"/>
        <w:gridCol w:w="1790"/>
        <w:gridCol w:w="1276"/>
        <w:gridCol w:w="1161"/>
      </w:tblGrid>
      <w:tr w14:paraId="5C9A1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439" w:type="dxa"/>
            <w:vAlign w:val="center"/>
          </w:tcPr>
          <w:p w14:paraId="21F1112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62" w:type="dxa"/>
            <w:tcMar>
              <w:top w:w="0" w:type="dxa"/>
              <w:left w:w="108" w:type="dxa"/>
              <w:bottom w:w="0" w:type="dxa"/>
              <w:right w:w="108" w:type="dxa"/>
            </w:tcMar>
            <w:vAlign w:val="center"/>
          </w:tcPr>
          <w:p w14:paraId="1178A7E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项目业主</w:t>
            </w:r>
          </w:p>
        </w:tc>
        <w:tc>
          <w:tcPr>
            <w:tcW w:w="1339" w:type="dxa"/>
            <w:tcMar>
              <w:top w:w="0" w:type="dxa"/>
              <w:left w:w="108" w:type="dxa"/>
              <w:bottom w:w="0" w:type="dxa"/>
              <w:right w:w="108" w:type="dxa"/>
            </w:tcMar>
            <w:vAlign w:val="center"/>
          </w:tcPr>
          <w:p w14:paraId="2844651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70" w:type="dxa"/>
            <w:tcMar>
              <w:top w:w="0" w:type="dxa"/>
              <w:left w:w="108" w:type="dxa"/>
              <w:bottom w:w="0" w:type="dxa"/>
              <w:right w:w="108" w:type="dxa"/>
            </w:tcMar>
            <w:vAlign w:val="center"/>
          </w:tcPr>
          <w:p w14:paraId="4CCA4F76">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1025" w:type="dxa"/>
            <w:vAlign w:val="center"/>
          </w:tcPr>
          <w:p w14:paraId="638DF9BE">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1116" w:type="dxa"/>
            <w:tcMar>
              <w:top w:w="0" w:type="dxa"/>
              <w:left w:w="108" w:type="dxa"/>
              <w:bottom w:w="0" w:type="dxa"/>
              <w:right w:w="108" w:type="dxa"/>
            </w:tcMar>
            <w:vAlign w:val="center"/>
          </w:tcPr>
          <w:p w14:paraId="7D70A2E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批复日期</w:t>
            </w:r>
          </w:p>
        </w:tc>
        <w:tc>
          <w:tcPr>
            <w:tcW w:w="1115" w:type="dxa"/>
            <w:vAlign w:val="center"/>
          </w:tcPr>
          <w:p w14:paraId="6C55C20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设计阶段</w:t>
            </w:r>
          </w:p>
        </w:tc>
        <w:tc>
          <w:tcPr>
            <w:tcW w:w="1115" w:type="dxa"/>
            <w:vAlign w:val="center"/>
          </w:tcPr>
          <w:p w14:paraId="6604DFAE">
            <w:pPr>
              <w:pStyle w:val="299"/>
              <w:jc w:val="center"/>
              <w:rPr>
                <w:rFonts w:hint="eastAsia" w:asciiTheme="minorEastAsia" w:hAnsiTheme="minorEastAsia" w:eastAsiaTheme="minorEastAsia"/>
                <w:szCs w:val="21"/>
              </w:rPr>
            </w:pPr>
            <w:r>
              <w:rPr>
                <w:rFonts w:hint="eastAsia" w:ascii="宋体" w:hAnsi="宋体" w:cs="宋体"/>
                <w:bCs/>
                <w:kern w:val="0"/>
                <w:szCs w:val="21"/>
              </w:rPr>
              <w:t>项目建设形式</w:t>
            </w:r>
          </w:p>
        </w:tc>
        <w:tc>
          <w:tcPr>
            <w:tcW w:w="1115" w:type="dxa"/>
            <w:vAlign w:val="center"/>
          </w:tcPr>
          <w:p w14:paraId="7DA8FAF4">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1790" w:type="dxa"/>
            <w:vAlign w:val="center"/>
          </w:tcPr>
          <w:p w14:paraId="1E39F915">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建筑面积</w:t>
            </w:r>
          </w:p>
          <w:p w14:paraId="34F81CF4">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（平方米）</w:t>
            </w:r>
          </w:p>
        </w:tc>
        <w:tc>
          <w:tcPr>
            <w:tcW w:w="1276" w:type="dxa"/>
            <w:vAlign w:val="center"/>
          </w:tcPr>
          <w:p w14:paraId="4FA4C785">
            <w:pPr>
              <w:widowControl/>
              <w:jc w:val="center"/>
              <w:rPr>
                <w:rFonts w:ascii="宋体" w:hAnsi="宋体" w:cs="宋体"/>
                <w:bCs/>
                <w:kern w:val="0"/>
                <w:szCs w:val="21"/>
              </w:rPr>
            </w:pPr>
            <w:r>
              <w:rPr>
                <w:rFonts w:hint="eastAsia" w:ascii="宋体" w:hAnsi="宋体" w:cs="宋体"/>
                <w:bCs/>
                <w:kern w:val="0"/>
                <w:szCs w:val="21"/>
              </w:rPr>
              <w:t>合同价格</w:t>
            </w:r>
          </w:p>
          <w:p w14:paraId="7815E228">
            <w:pPr>
              <w:pStyle w:val="299"/>
              <w:jc w:val="center"/>
              <w:rPr>
                <w:rFonts w:asciiTheme="minorEastAsia" w:hAnsiTheme="minorEastAsia" w:eastAsiaTheme="minorEastAsia"/>
                <w:szCs w:val="21"/>
              </w:rPr>
            </w:pPr>
            <w:r>
              <w:rPr>
                <w:rFonts w:hint="eastAsia" w:ascii="宋体" w:hAnsi="宋体" w:cs="宋体"/>
                <w:bCs/>
                <w:kern w:val="0"/>
                <w:szCs w:val="21"/>
              </w:rPr>
              <w:t>（万元）</w:t>
            </w:r>
          </w:p>
        </w:tc>
        <w:tc>
          <w:tcPr>
            <w:tcW w:w="1161" w:type="dxa"/>
            <w:vAlign w:val="center"/>
          </w:tcPr>
          <w:p w14:paraId="0F04A26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092D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439" w:type="dxa"/>
            <w:vAlign w:val="center"/>
          </w:tcPr>
          <w:p w14:paraId="3CAED1F6">
            <w:pPr>
              <w:pStyle w:val="299"/>
              <w:jc w:val="center"/>
              <w:rPr>
                <w:rFonts w:asciiTheme="minorEastAsia" w:hAnsiTheme="minorEastAsia" w:eastAsiaTheme="minorEastAsia"/>
                <w:szCs w:val="21"/>
              </w:rPr>
            </w:pPr>
          </w:p>
        </w:tc>
        <w:tc>
          <w:tcPr>
            <w:tcW w:w="1162" w:type="dxa"/>
            <w:tcMar>
              <w:top w:w="0" w:type="dxa"/>
              <w:left w:w="108" w:type="dxa"/>
              <w:bottom w:w="0" w:type="dxa"/>
              <w:right w:w="108" w:type="dxa"/>
            </w:tcMar>
            <w:vAlign w:val="center"/>
          </w:tcPr>
          <w:p w14:paraId="746A8145">
            <w:pPr>
              <w:pStyle w:val="299"/>
              <w:jc w:val="center"/>
              <w:rPr>
                <w:rFonts w:asciiTheme="minorEastAsia" w:hAnsiTheme="minorEastAsia" w:eastAsiaTheme="minorEastAsia"/>
                <w:szCs w:val="21"/>
              </w:rPr>
            </w:pPr>
          </w:p>
        </w:tc>
        <w:tc>
          <w:tcPr>
            <w:tcW w:w="1339" w:type="dxa"/>
            <w:tcMar>
              <w:top w:w="0" w:type="dxa"/>
              <w:left w:w="108" w:type="dxa"/>
              <w:bottom w:w="0" w:type="dxa"/>
              <w:right w:w="108" w:type="dxa"/>
            </w:tcMar>
            <w:vAlign w:val="center"/>
          </w:tcPr>
          <w:p w14:paraId="12EC8691">
            <w:pPr>
              <w:pStyle w:val="299"/>
              <w:jc w:val="center"/>
              <w:rPr>
                <w:rFonts w:asciiTheme="minorEastAsia" w:hAnsiTheme="minorEastAsia" w:eastAsiaTheme="minorEastAsia"/>
                <w:szCs w:val="21"/>
              </w:rPr>
            </w:pPr>
          </w:p>
        </w:tc>
        <w:tc>
          <w:tcPr>
            <w:tcW w:w="670" w:type="dxa"/>
            <w:tcMar>
              <w:top w:w="0" w:type="dxa"/>
              <w:left w:w="108" w:type="dxa"/>
              <w:bottom w:w="0" w:type="dxa"/>
              <w:right w:w="108" w:type="dxa"/>
            </w:tcMar>
            <w:vAlign w:val="center"/>
          </w:tcPr>
          <w:p w14:paraId="3D4FEAAB">
            <w:pPr>
              <w:pStyle w:val="299"/>
              <w:jc w:val="center"/>
              <w:rPr>
                <w:rFonts w:asciiTheme="minorEastAsia" w:hAnsiTheme="minorEastAsia" w:eastAsiaTheme="minorEastAsia"/>
                <w:szCs w:val="21"/>
              </w:rPr>
            </w:pPr>
          </w:p>
        </w:tc>
        <w:tc>
          <w:tcPr>
            <w:tcW w:w="1025" w:type="dxa"/>
            <w:vAlign w:val="center"/>
          </w:tcPr>
          <w:p w14:paraId="662B00B6">
            <w:pPr>
              <w:pStyle w:val="299"/>
              <w:jc w:val="center"/>
              <w:rPr>
                <w:rFonts w:asciiTheme="minorEastAsia" w:hAnsiTheme="minorEastAsia" w:eastAsiaTheme="minorEastAsia"/>
                <w:szCs w:val="21"/>
              </w:rPr>
            </w:pPr>
          </w:p>
        </w:tc>
        <w:tc>
          <w:tcPr>
            <w:tcW w:w="1116" w:type="dxa"/>
            <w:tcMar>
              <w:top w:w="0" w:type="dxa"/>
              <w:left w:w="108" w:type="dxa"/>
              <w:bottom w:w="0" w:type="dxa"/>
              <w:right w:w="108" w:type="dxa"/>
            </w:tcMar>
            <w:vAlign w:val="center"/>
          </w:tcPr>
          <w:p w14:paraId="42939305">
            <w:pPr>
              <w:pStyle w:val="299"/>
              <w:jc w:val="center"/>
              <w:rPr>
                <w:rFonts w:asciiTheme="minorEastAsia" w:hAnsiTheme="minorEastAsia" w:eastAsiaTheme="minorEastAsia"/>
                <w:szCs w:val="21"/>
              </w:rPr>
            </w:pPr>
          </w:p>
        </w:tc>
        <w:tc>
          <w:tcPr>
            <w:tcW w:w="1115" w:type="dxa"/>
            <w:shd w:val="clear" w:color="auto" w:fill="auto"/>
            <w:vAlign w:val="center"/>
          </w:tcPr>
          <w:p w14:paraId="672EE2D4">
            <w:pPr>
              <w:widowControl/>
              <w:spacing w:line="400" w:lineRule="exact"/>
              <w:jc w:val="left"/>
              <w:rPr>
                <w:szCs w:val="21"/>
              </w:rPr>
            </w:pPr>
            <w:r>
              <w:rPr>
                <w:rFonts w:hint="eastAsia"/>
                <w:szCs w:val="21"/>
              </w:rPr>
              <w:t>□初步</w:t>
            </w:r>
          </w:p>
          <w:p w14:paraId="105EAB1A">
            <w:pPr>
              <w:widowControl/>
              <w:spacing w:line="400" w:lineRule="exact"/>
              <w:jc w:val="left"/>
              <w:rPr>
                <w:rFonts w:ascii="宋体" w:hAnsi="宋体" w:eastAsia="宋体" w:cs="宋体"/>
                <w:kern w:val="0"/>
                <w:sz w:val="21"/>
                <w:szCs w:val="21"/>
                <w:lang w:val="en-US" w:eastAsia="zh-CN" w:bidi="ar-SA"/>
              </w:rPr>
            </w:pPr>
            <w:r>
              <w:rPr>
                <w:rFonts w:hint="eastAsia"/>
                <w:szCs w:val="21"/>
              </w:rPr>
              <w:t>□施工图</w:t>
            </w:r>
          </w:p>
        </w:tc>
        <w:tc>
          <w:tcPr>
            <w:tcW w:w="1115" w:type="dxa"/>
            <w:shd w:val="clear" w:color="auto" w:fill="auto"/>
            <w:vAlign w:val="center"/>
          </w:tcPr>
          <w:p w14:paraId="68652D43">
            <w:pPr>
              <w:widowControl/>
              <w:spacing w:line="400" w:lineRule="exact"/>
              <w:jc w:val="left"/>
              <w:rPr>
                <w:szCs w:val="21"/>
              </w:rPr>
            </w:pPr>
            <w:r>
              <w:rPr>
                <w:rFonts w:hint="eastAsia"/>
                <w:szCs w:val="21"/>
              </w:rPr>
              <w:t>□新建</w:t>
            </w:r>
          </w:p>
          <w:p w14:paraId="7F14AC27">
            <w:pPr>
              <w:widowControl/>
              <w:spacing w:line="400" w:lineRule="exact"/>
              <w:jc w:val="left"/>
              <w:rPr>
                <w:rFonts w:ascii="宋体" w:hAnsi="宋体" w:eastAsia="宋体" w:cs="宋体"/>
                <w:kern w:val="0"/>
                <w:sz w:val="21"/>
                <w:szCs w:val="21"/>
                <w:lang w:val="en-US" w:eastAsia="zh-CN" w:bidi="ar-SA"/>
              </w:rPr>
            </w:pPr>
            <w:r>
              <w:rPr>
                <w:rFonts w:hint="eastAsia"/>
                <w:szCs w:val="21"/>
              </w:rPr>
              <w:t>□改扩建</w:t>
            </w:r>
          </w:p>
        </w:tc>
        <w:tc>
          <w:tcPr>
            <w:tcW w:w="1115" w:type="dxa"/>
            <w:vAlign w:val="center"/>
          </w:tcPr>
          <w:p w14:paraId="3FC4FCCC">
            <w:pPr>
              <w:pStyle w:val="299"/>
              <w:jc w:val="center"/>
              <w:rPr>
                <w:rFonts w:asciiTheme="minorEastAsia" w:hAnsiTheme="minorEastAsia" w:eastAsiaTheme="minorEastAsia"/>
                <w:szCs w:val="21"/>
              </w:rPr>
            </w:pPr>
          </w:p>
        </w:tc>
        <w:tc>
          <w:tcPr>
            <w:tcW w:w="1790" w:type="dxa"/>
            <w:vAlign w:val="center"/>
          </w:tcPr>
          <w:p w14:paraId="7564055B">
            <w:pPr>
              <w:pStyle w:val="299"/>
              <w:jc w:val="center"/>
              <w:rPr>
                <w:rFonts w:asciiTheme="minorEastAsia" w:hAnsiTheme="minorEastAsia" w:eastAsiaTheme="minorEastAsia"/>
                <w:szCs w:val="21"/>
              </w:rPr>
            </w:pPr>
          </w:p>
        </w:tc>
        <w:tc>
          <w:tcPr>
            <w:tcW w:w="1276" w:type="dxa"/>
            <w:vAlign w:val="center"/>
          </w:tcPr>
          <w:p w14:paraId="7AB6294E">
            <w:pPr>
              <w:pStyle w:val="299"/>
              <w:jc w:val="center"/>
              <w:rPr>
                <w:rFonts w:asciiTheme="minorEastAsia" w:hAnsiTheme="minorEastAsia" w:eastAsiaTheme="minorEastAsia"/>
                <w:szCs w:val="21"/>
              </w:rPr>
            </w:pPr>
          </w:p>
        </w:tc>
        <w:tc>
          <w:tcPr>
            <w:tcW w:w="1161" w:type="dxa"/>
            <w:vAlign w:val="center"/>
          </w:tcPr>
          <w:p w14:paraId="14720405">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C1-5.1</w:t>
            </w:r>
          </w:p>
        </w:tc>
      </w:tr>
      <w:tr w14:paraId="5D2E8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439" w:type="dxa"/>
            <w:vAlign w:val="center"/>
          </w:tcPr>
          <w:p w14:paraId="1E787253">
            <w:pPr>
              <w:pStyle w:val="299"/>
              <w:jc w:val="center"/>
              <w:rPr>
                <w:rFonts w:asciiTheme="minorEastAsia" w:hAnsiTheme="minorEastAsia" w:eastAsiaTheme="minorEastAsia"/>
                <w:szCs w:val="21"/>
              </w:rPr>
            </w:pPr>
          </w:p>
        </w:tc>
        <w:tc>
          <w:tcPr>
            <w:tcW w:w="1162" w:type="dxa"/>
            <w:tcMar>
              <w:top w:w="0" w:type="dxa"/>
              <w:left w:w="108" w:type="dxa"/>
              <w:bottom w:w="0" w:type="dxa"/>
              <w:right w:w="108" w:type="dxa"/>
            </w:tcMar>
            <w:vAlign w:val="center"/>
          </w:tcPr>
          <w:p w14:paraId="325F4329">
            <w:pPr>
              <w:pStyle w:val="299"/>
              <w:jc w:val="center"/>
              <w:rPr>
                <w:rFonts w:asciiTheme="minorEastAsia" w:hAnsiTheme="minorEastAsia" w:eastAsiaTheme="minorEastAsia"/>
                <w:szCs w:val="21"/>
              </w:rPr>
            </w:pPr>
          </w:p>
        </w:tc>
        <w:tc>
          <w:tcPr>
            <w:tcW w:w="1339" w:type="dxa"/>
            <w:tcMar>
              <w:top w:w="0" w:type="dxa"/>
              <w:left w:w="108" w:type="dxa"/>
              <w:bottom w:w="0" w:type="dxa"/>
              <w:right w:w="108" w:type="dxa"/>
            </w:tcMar>
            <w:vAlign w:val="center"/>
          </w:tcPr>
          <w:p w14:paraId="1EAD023B">
            <w:pPr>
              <w:pStyle w:val="299"/>
              <w:jc w:val="center"/>
              <w:rPr>
                <w:rFonts w:asciiTheme="minorEastAsia" w:hAnsiTheme="minorEastAsia" w:eastAsiaTheme="minorEastAsia"/>
                <w:szCs w:val="21"/>
              </w:rPr>
            </w:pPr>
          </w:p>
        </w:tc>
        <w:tc>
          <w:tcPr>
            <w:tcW w:w="670" w:type="dxa"/>
            <w:tcMar>
              <w:top w:w="0" w:type="dxa"/>
              <w:left w:w="108" w:type="dxa"/>
              <w:bottom w:w="0" w:type="dxa"/>
              <w:right w:w="108" w:type="dxa"/>
            </w:tcMar>
            <w:vAlign w:val="center"/>
          </w:tcPr>
          <w:p w14:paraId="3B2BF46A">
            <w:pPr>
              <w:pStyle w:val="299"/>
              <w:jc w:val="center"/>
              <w:rPr>
                <w:rFonts w:asciiTheme="minorEastAsia" w:hAnsiTheme="minorEastAsia" w:eastAsiaTheme="minorEastAsia"/>
                <w:szCs w:val="21"/>
              </w:rPr>
            </w:pPr>
          </w:p>
        </w:tc>
        <w:tc>
          <w:tcPr>
            <w:tcW w:w="1025" w:type="dxa"/>
            <w:vAlign w:val="center"/>
          </w:tcPr>
          <w:p w14:paraId="6AC25C32">
            <w:pPr>
              <w:pStyle w:val="299"/>
              <w:jc w:val="center"/>
              <w:rPr>
                <w:rFonts w:asciiTheme="minorEastAsia" w:hAnsiTheme="minorEastAsia" w:eastAsiaTheme="minorEastAsia"/>
                <w:szCs w:val="21"/>
              </w:rPr>
            </w:pPr>
          </w:p>
        </w:tc>
        <w:tc>
          <w:tcPr>
            <w:tcW w:w="1116" w:type="dxa"/>
            <w:tcMar>
              <w:top w:w="0" w:type="dxa"/>
              <w:left w:w="108" w:type="dxa"/>
              <w:bottom w:w="0" w:type="dxa"/>
              <w:right w:w="108" w:type="dxa"/>
            </w:tcMar>
            <w:vAlign w:val="center"/>
          </w:tcPr>
          <w:p w14:paraId="3680D99A">
            <w:pPr>
              <w:pStyle w:val="299"/>
              <w:jc w:val="center"/>
              <w:rPr>
                <w:rFonts w:asciiTheme="minorEastAsia" w:hAnsiTheme="minorEastAsia" w:eastAsiaTheme="minorEastAsia"/>
                <w:szCs w:val="21"/>
              </w:rPr>
            </w:pPr>
          </w:p>
        </w:tc>
        <w:tc>
          <w:tcPr>
            <w:tcW w:w="1115" w:type="dxa"/>
            <w:shd w:val="clear" w:color="auto" w:fill="auto"/>
            <w:vAlign w:val="center"/>
          </w:tcPr>
          <w:p w14:paraId="0582E930">
            <w:pPr>
              <w:widowControl/>
              <w:spacing w:line="400" w:lineRule="exact"/>
              <w:jc w:val="left"/>
              <w:rPr>
                <w:szCs w:val="21"/>
              </w:rPr>
            </w:pPr>
            <w:r>
              <w:rPr>
                <w:rFonts w:hint="eastAsia"/>
                <w:szCs w:val="21"/>
              </w:rPr>
              <w:t>□初步</w:t>
            </w:r>
          </w:p>
          <w:p w14:paraId="68F6D39B">
            <w:pPr>
              <w:widowControl/>
              <w:spacing w:line="400" w:lineRule="exact"/>
              <w:jc w:val="left"/>
              <w:rPr>
                <w:rFonts w:ascii="宋体" w:hAnsi="宋体" w:eastAsia="宋体" w:cs="宋体"/>
                <w:kern w:val="0"/>
                <w:sz w:val="21"/>
                <w:szCs w:val="21"/>
                <w:lang w:val="en-US" w:eastAsia="zh-CN" w:bidi="ar-SA"/>
              </w:rPr>
            </w:pPr>
            <w:r>
              <w:rPr>
                <w:rFonts w:hint="eastAsia"/>
                <w:szCs w:val="21"/>
              </w:rPr>
              <w:t>□施工图</w:t>
            </w:r>
          </w:p>
        </w:tc>
        <w:tc>
          <w:tcPr>
            <w:tcW w:w="1115" w:type="dxa"/>
            <w:shd w:val="clear" w:color="auto" w:fill="auto"/>
            <w:vAlign w:val="center"/>
          </w:tcPr>
          <w:p w14:paraId="2F69B932">
            <w:pPr>
              <w:widowControl/>
              <w:spacing w:line="400" w:lineRule="exact"/>
              <w:jc w:val="left"/>
              <w:rPr>
                <w:szCs w:val="21"/>
              </w:rPr>
            </w:pPr>
            <w:r>
              <w:rPr>
                <w:rFonts w:hint="eastAsia"/>
                <w:szCs w:val="21"/>
              </w:rPr>
              <w:t>□新建</w:t>
            </w:r>
          </w:p>
          <w:p w14:paraId="57A92584">
            <w:pPr>
              <w:widowControl/>
              <w:spacing w:line="400" w:lineRule="exact"/>
              <w:jc w:val="left"/>
              <w:rPr>
                <w:rFonts w:ascii="宋体" w:hAnsi="宋体" w:eastAsia="宋体" w:cs="宋体"/>
                <w:kern w:val="0"/>
                <w:sz w:val="21"/>
                <w:szCs w:val="21"/>
                <w:lang w:val="en-US" w:eastAsia="zh-CN" w:bidi="ar-SA"/>
              </w:rPr>
            </w:pPr>
            <w:r>
              <w:rPr>
                <w:rFonts w:hint="eastAsia"/>
                <w:szCs w:val="21"/>
              </w:rPr>
              <w:t>□改扩建</w:t>
            </w:r>
          </w:p>
        </w:tc>
        <w:tc>
          <w:tcPr>
            <w:tcW w:w="1115" w:type="dxa"/>
            <w:vAlign w:val="center"/>
          </w:tcPr>
          <w:p w14:paraId="43310AC7">
            <w:pPr>
              <w:pStyle w:val="299"/>
              <w:jc w:val="center"/>
              <w:rPr>
                <w:rFonts w:asciiTheme="minorEastAsia" w:hAnsiTheme="minorEastAsia" w:eastAsiaTheme="minorEastAsia"/>
                <w:szCs w:val="21"/>
              </w:rPr>
            </w:pPr>
          </w:p>
        </w:tc>
        <w:tc>
          <w:tcPr>
            <w:tcW w:w="1790" w:type="dxa"/>
            <w:vAlign w:val="center"/>
          </w:tcPr>
          <w:p w14:paraId="74E7D93A">
            <w:pPr>
              <w:pStyle w:val="299"/>
              <w:jc w:val="center"/>
              <w:rPr>
                <w:rFonts w:asciiTheme="minorEastAsia" w:hAnsiTheme="minorEastAsia" w:eastAsiaTheme="minorEastAsia"/>
                <w:szCs w:val="21"/>
              </w:rPr>
            </w:pPr>
          </w:p>
        </w:tc>
        <w:tc>
          <w:tcPr>
            <w:tcW w:w="1276" w:type="dxa"/>
            <w:vAlign w:val="center"/>
          </w:tcPr>
          <w:p w14:paraId="49DF6267">
            <w:pPr>
              <w:pStyle w:val="299"/>
              <w:jc w:val="center"/>
              <w:rPr>
                <w:rFonts w:asciiTheme="minorEastAsia" w:hAnsiTheme="minorEastAsia" w:eastAsiaTheme="minorEastAsia"/>
                <w:szCs w:val="21"/>
              </w:rPr>
            </w:pPr>
          </w:p>
        </w:tc>
        <w:tc>
          <w:tcPr>
            <w:tcW w:w="1161" w:type="dxa"/>
            <w:vAlign w:val="center"/>
          </w:tcPr>
          <w:p w14:paraId="5FCEB16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C1-5.2</w:t>
            </w:r>
          </w:p>
        </w:tc>
      </w:tr>
      <w:tr w14:paraId="064F2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439" w:type="dxa"/>
            <w:vAlign w:val="center"/>
          </w:tcPr>
          <w:p w14:paraId="126FC651">
            <w:pPr>
              <w:pStyle w:val="299"/>
              <w:jc w:val="center"/>
              <w:rPr>
                <w:rFonts w:asciiTheme="minorEastAsia" w:hAnsiTheme="minorEastAsia" w:eastAsiaTheme="minorEastAsia"/>
                <w:szCs w:val="21"/>
              </w:rPr>
            </w:pPr>
          </w:p>
        </w:tc>
        <w:tc>
          <w:tcPr>
            <w:tcW w:w="1162" w:type="dxa"/>
            <w:tcMar>
              <w:top w:w="0" w:type="dxa"/>
              <w:left w:w="108" w:type="dxa"/>
              <w:bottom w:w="0" w:type="dxa"/>
              <w:right w:w="108" w:type="dxa"/>
            </w:tcMar>
            <w:vAlign w:val="center"/>
          </w:tcPr>
          <w:p w14:paraId="3E5F64B3">
            <w:pPr>
              <w:pStyle w:val="299"/>
              <w:jc w:val="center"/>
              <w:rPr>
                <w:rFonts w:asciiTheme="minorEastAsia" w:hAnsiTheme="minorEastAsia" w:eastAsiaTheme="minorEastAsia"/>
                <w:szCs w:val="21"/>
              </w:rPr>
            </w:pPr>
          </w:p>
        </w:tc>
        <w:tc>
          <w:tcPr>
            <w:tcW w:w="1339" w:type="dxa"/>
            <w:tcMar>
              <w:top w:w="0" w:type="dxa"/>
              <w:left w:w="108" w:type="dxa"/>
              <w:bottom w:w="0" w:type="dxa"/>
              <w:right w:w="108" w:type="dxa"/>
            </w:tcMar>
            <w:vAlign w:val="center"/>
          </w:tcPr>
          <w:p w14:paraId="574A9CFB">
            <w:pPr>
              <w:pStyle w:val="299"/>
              <w:jc w:val="center"/>
              <w:rPr>
                <w:rFonts w:asciiTheme="minorEastAsia" w:hAnsiTheme="minorEastAsia" w:eastAsiaTheme="minorEastAsia"/>
                <w:szCs w:val="21"/>
              </w:rPr>
            </w:pPr>
          </w:p>
        </w:tc>
        <w:tc>
          <w:tcPr>
            <w:tcW w:w="670" w:type="dxa"/>
            <w:tcMar>
              <w:top w:w="0" w:type="dxa"/>
              <w:left w:w="108" w:type="dxa"/>
              <w:bottom w:w="0" w:type="dxa"/>
              <w:right w:w="108" w:type="dxa"/>
            </w:tcMar>
            <w:vAlign w:val="center"/>
          </w:tcPr>
          <w:p w14:paraId="477E157A">
            <w:pPr>
              <w:pStyle w:val="299"/>
              <w:jc w:val="center"/>
              <w:rPr>
                <w:rFonts w:asciiTheme="minorEastAsia" w:hAnsiTheme="minorEastAsia" w:eastAsiaTheme="minorEastAsia"/>
                <w:szCs w:val="21"/>
              </w:rPr>
            </w:pPr>
          </w:p>
        </w:tc>
        <w:tc>
          <w:tcPr>
            <w:tcW w:w="1025" w:type="dxa"/>
            <w:vAlign w:val="center"/>
          </w:tcPr>
          <w:p w14:paraId="11FD0DB1">
            <w:pPr>
              <w:pStyle w:val="299"/>
              <w:jc w:val="center"/>
              <w:rPr>
                <w:rFonts w:asciiTheme="minorEastAsia" w:hAnsiTheme="minorEastAsia" w:eastAsiaTheme="minorEastAsia"/>
                <w:szCs w:val="21"/>
              </w:rPr>
            </w:pPr>
          </w:p>
        </w:tc>
        <w:tc>
          <w:tcPr>
            <w:tcW w:w="1116" w:type="dxa"/>
            <w:tcMar>
              <w:top w:w="0" w:type="dxa"/>
              <w:left w:w="108" w:type="dxa"/>
              <w:bottom w:w="0" w:type="dxa"/>
              <w:right w:w="108" w:type="dxa"/>
            </w:tcMar>
            <w:vAlign w:val="center"/>
          </w:tcPr>
          <w:p w14:paraId="13631F77">
            <w:pPr>
              <w:pStyle w:val="299"/>
              <w:jc w:val="center"/>
              <w:rPr>
                <w:rFonts w:asciiTheme="minorEastAsia" w:hAnsiTheme="minorEastAsia" w:eastAsiaTheme="minorEastAsia"/>
                <w:szCs w:val="21"/>
              </w:rPr>
            </w:pPr>
          </w:p>
        </w:tc>
        <w:tc>
          <w:tcPr>
            <w:tcW w:w="1115" w:type="dxa"/>
            <w:shd w:val="clear" w:color="auto" w:fill="auto"/>
            <w:vAlign w:val="center"/>
          </w:tcPr>
          <w:p w14:paraId="067869D8">
            <w:pPr>
              <w:widowControl/>
              <w:spacing w:line="400" w:lineRule="exact"/>
              <w:jc w:val="left"/>
              <w:rPr>
                <w:szCs w:val="21"/>
              </w:rPr>
            </w:pPr>
            <w:r>
              <w:rPr>
                <w:rFonts w:hint="eastAsia"/>
                <w:szCs w:val="21"/>
              </w:rPr>
              <w:t>□初步</w:t>
            </w:r>
          </w:p>
          <w:p w14:paraId="39ED6B41">
            <w:pPr>
              <w:widowControl/>
              <w:spacing w:line="400" w:lineRule="exact"/>
              <w:jc w:val="left"/>
              <w:rPr>
                <w:rFonts w:ascii="宋体" w:hAnsi="宋体" w:eastAsia="宋体" w:cs="宋体"/>
                <w:kern w:val="0"/>
                <w:sz w:val="21"/>
                <w:szCs w:val="21"/>
                <w:lang w:val="en-US" w:eastAsia="zh-CN" w:bidi="ar-SA"/>
              </w:rPr>
            </w:pPr>
            <w:r>
              <w:rPr>
                <w:rFonts w:hint="eastAsia"/>
                <w:szCs w:val="21"/>
              </w:rPr>
              <w:t>□施工图</w:t>
            </w:r>
          </w:p>
        </w:tc>
        <w:tc>
          <w:tcPr>
            <w:tcW w:w="1115" w:type="dxa"/>
            <w:shd w:val="clear" w:color="auto" w:fill="auto"/>
            <w:vAlign w:val="center"/>
          </w:tcPr>
          <w:p w14:paraId="3A603A10">
            <w:pPr>
              <w:widowControl/>
              <w:spacing w:line="400" w:lineRule="exact"/>
              <w:jc w:val="left"/>
              <w:rPr>
                <w:szCs w:val="21"/>
              </w:rPr>
            </w:pPr>
            <w:r>
              <w:rPr>
                <w:rFonts w:hint="eastAsia"/>
                <w:szCs w:val="21"/>
              </w:rPr>
              <w:t>□新建</w:t>
            </w:r>
          </w:p>
          <w:p w14:paraId="4382B202">
            <w:pPr>
              <w:widowControl/>
              <w:spacing w:line="400" w:lineRule="exact"/>
              <w:jc w:val="left"/>
              <w:rPr>
                <w:rFonts w:ascii="宋体" w:hAnsi="宋体" w:eastAsia="宋体" w:cs="宋体"/>
                <w:kern w:val="0"/>
                <w:sz w:val="21"/>
                <w:szCs w:val="21"/>
                <w:lang w:val="en-US" w:eastAsia="zh-CN" w:bidi="ar-SA"/>
              </w:rPr>
            </w:pPr>
            <w:r>
              <w:rPr>
                <w:rFonts w:hint="eastAsia"/>
                <w:szCs w:val="21"/>
              </w:rPr>
              <w:t>□改扩建</w:t>
            </w:r>
          </w:p>
        </w:tc>
        <w:tc>
          <w:tcPr>
            <w:tcW w:w="1115" w:type="dxa"/>
            <w:vAlign w:val="center"/>
          </w:tcPr>
          <w:p w14:paraId="0EA07C40">
            <w:pPr>
              <w:pStyle w:val="299"/>
              <w:jc w:val="center"/>
              <w:rPr>
                <w:rFonts w:asciiTheme="minorEastAsia" w:hAnsiTheme="minorEastAsia" w:eastAsiaTheme="minorEastAsia"/>
                <w:szCs w:val="21"/>
              </w:rPr>
            </w:pPr>
          </w:p>
        </w:tc>
        <w:tc>
          <w:tcPr>
            <w:tcW w:w="1790" w:type="dxa"/>
            <w:vAlign w:val="center"/>
          </w:tcPr>
          <w:p w14:paraId="79C5501A">
            <w:pPr>
              <w:pStyle w:val="299"/>
              <w:jc w:val="center"/>
              <w:rPr>
                <w:rFonts w:asciiTheme="minorEastAsia" w:hAnsiTheme="minorEastAsia" w:eastAsiaTheme="minorEastAsia"/>
                <w:szCs w:val="21"/>
              </w:rPr>
            </w:pPr>
          </w:p>
        </w:tc>
        <w:tc>
          <w:tcPr>
            <w:tcW w:w="1276" w:type="dxa"/>
            <w:vAlign w:val="center"/>
          </w:tcPr>
          <w:p w14:paraId="2BEFC767">
            <w:pPr>
              <w:pStyle w:val="299"/>
              <w:jc w:val="center"/>
              <w:rPr>
                <w:rFonts w:asciiTheme="minorEastAsia" w:hAnsiTheme="minorEastAsia" w:eastAsiaTheme="minorEastAsia"/>
                <w:szCs w:val="21"/>
              </w:rPr>
            </w:pPr>
          </w:p>
        </w:tc>
        <w:tc>
          <w:tcPr>
            <w:tcW w:w="1161" w:type="dxa"/>
            <w:vAlign w:val="center"/>
          </w:tcPr>
          <w:p w14:paraId="2BAA8BC8">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C1-5.3</w:t>
            </w:r>
          </w:p>
        </w:tc>
      </w:tr>
      <w:tr w14:paraId="39AD8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439" w:type="dxa"/>
            <w:vAlign w:val="center"/>
          </w:tcPr>
          <w:p w14:paraId="170D4FE2">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62" w:type="dxa"/>
            <w:tcMar>
              <w:top w:w="0" w:type="dxa"/>
              <w:left w:w="108" w:type="dxa"/>
              <w:bottom w:w="0" w:type="dxa"/>
              <w:right w:w="108" w:type="dxa"/>
            </w:tcMar>
            <w:vAlign w:val="center"/>
          </w:tcPr>
          <w:p w14:paraId="7A65592C">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339" w:type="dxa"/>
            <w:tcMar>
              <w:top w:w="0" w:type="dxa"/>
              <w:left w:w="108" w:type="dxa"/>
              <w:bottom w:w="0" w:type="dxa"/>
              <w:right w:w="108" w:type="dxa"/>
            </w:tcMar>
            <w:vAlign w:val="center"/>
          </w:tcPr>
          <w:p w14:paraId="273B022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70" w:type="dxa"/>
            <w:tcMar>
              <w:top w:w="0" w:type="dxa"/>
              <w:left w:w="108" w:type="dxa"/>
              <w:bottom w:w="0" w:type="dxa"/>
              <w:right w:w="108" w:type="dxa"/>
            </w:tcMar>
            <w:vAlign w:val="center"/>
          </w:tcPr>
          <w:p w14:paraId="7775146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25" w:type="dxa"/>
            <w:vAlign w:val="center"/>
          </w:tcPr>
          <w:p w14:paraId="4E526E7D">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16" w:type="dxa"/>
            <w:tcMar>
              <w:top w:w="0" w:type="dxa"/>
              <w:left w:w="108" w:type="dxa"/>
              <w:bottom w:w="0" w:type="dxa"/>
              <w:right w:w="108" w:type="dxa"/>
            </w:tcMar>
            <w:vAlign w:val="center"/>
          </w:tcPr>
          <w:p w14:paraId="199A882B">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15" w:type="dxa"/>
            <w:vAlign w:val="center"/>
          </w:tcPr>
          <w:p w14:paraId="0E670636">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15" w:type="dxa"/>
            <w:vAlign w:val="center"/>
          </w:tcPr>
          <w:p w14:paraId="1AC37FB9">
            <w:pPr>
              <w:pStyle w:val="299"/>
              <w:jc w:val="center"/>
              <w:rPr>
                <w:rFonts w:cs="宋体" w:asciiTheme="minorEastAsia" w:hAnsiTheme="minorEastAsia" w:eastAsiaTheme="minorEastAsia"/>
                <w:kern w:val="0"/>
                <w:szCs w:val="21"/>
              </w:rPr>
            </w:pPr>
          </w:p>
        </w:tc>
        <w:tc>
          <w:tcPr>
            <w:tcW w:w="1115" w:type="dxa"/>
            <w:vAlign w:val="center"/>
          </w:tcPr>
          <w:p w14:paraId="11F8333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790" w:type="dxa"/>
            <w:vAlign w:val="center"/>
          </w:tcPr>
          <w:p w14:paraId="1E8F33D3">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276" w:type="dxa"/>
            <w:vAlign w:val="center"/>
          </w:tcPr>
          <w:p w14:paraId="38AF62F9">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61" w:type="dxa"/>
            <w:vAlign w:val="center"/>
          </w:tcPr>
          <w:p w14:paraId="1C6FF5AE">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77EAA5BA">
      <w:pPr>
        <w:spacing w:line="300" w:lineRule="exact"/>
        <w:rPr>
          <w:rFonts w:hint="eastAsia" w:ascii="宋体" w:hAnsi="宋体" w:cs="宋体"/>
          <w:spacing w:val="-3"/>
        </w:rPr>
      </w:pPr>
      <w:r>
        <w:rPr>
          <w:rFonts w:hint="eastAsia" w:ascii="宋体" w:hAnsi="宋体" w:cs="宋体"/>
        </w:rPr>
        <w:t>注：</w:t>
      </w:r>
      <w:r>
        <w:rPr>
          <w:rFonts w:ascii="宋体" w:hAnsi="宋体" w:cs="宋体"/>
        </w:rPr>
        <w:t>1. 投</w:t>
      </w:r>
      <w:r>
        <w:rPr>
          <w:rFonts w:hint="eastAsia" w:ascii="宋体" w:hAnsi="宋体" w:cs="宋体"/>
          <w:spacing w:val="-3"/>
          <w:szCs w:val="21"/>
        </w:rPr>
        <w:t>标人</w:t>
      </w:r>
      <w:r>
        <w:rPr>
          <w:rFonts w:hint="eastAsia" w:ascii="宋体" w:hAnsi="宋体" w:cs="宋体"/>
          <w:spacing w:val="-3"/>
          <w:szCs w:val="21"/>
          <w:lang w:val="en-US" w:eastAsia="zh-CN"/>
        </w:rPr>
        <w:t>应</w:t>
      </w:r>
      <w:r>
        <w:rPr>
          <w:rFonts w:hint="eastAsia" w:ascii="宋体" w:hAnsi="宋体" w:cs="宋体"/>
          <w:spacing w:val="-3"/>
          <w:szCs w:val="21"/>
        </w:rPr>
        <w:t>在本表后提供相关业绩证明材料</w:t>
      </w:r>
      <w:r>
        <w:rPr>
          <w:rFonts w:hint="eastAsia" w:ascii="宋体" w:hAnsi="宋体" w:cs="宋体"/>
          <w:spacing w:val="-3"/>
        </w:rPr>
        <w:t>附件</w:t>
      </w:r>
      <w:r>
        <w:rPr>
          <w:rFonts w:ascii="宋体" w:hAnsi="宋体" w:cs="宋体"/>
        </w:rPr>
        <w:t>C1-5</w:t>
      </w:r>
      <w:r>
        <w:rPr>
          <w:rFonts w:hint="eastAsia" w:ascii="宋体" w:hAnsi="宋体" w:cs="宋体"/>
        </w:rPr>
        <w:t>系列（房建工程勘察设计项目业绩）</w:t>
      </w:r>
      <w:r>
        <w:rPr>
          <w:rFonts w:hint="eastAsia" w:ascii="宋体" w:hAnsi="宋体" w:cs="宋体"/>
          <w:spacing w:val="-3"/>
        </w:rPr>
        <w:t>：</w:t>
      </w:r>
    </w:p>
    <w:p w14:paraId="326DB9D7">
      <w:pPr>
        <w:wordWrap w:val="0"/>
        <w:topLinePunct/>
        <w:spacing w:line="300" w:lineRule="exact"/>
        <w:ind w:left="598" w:leftChars="285"/>
        <w:rPr>
          <w:rFonts w:hint="eastAsia" w:ascii="宋体" w:hAnsi="宋体" w:cs="宋体"/>
          <w:spacing w:val="-3"/>
        </w:rPr>
      </w:pPr>
      <w:r>
        <w:rPr>
          <w:rFonts w:hint="eastAsia" w:ascii="宋体" w:hAnsi="宋体" w:cs="宋体"/>
          <w:b/>
          <w:bCs/>
          <w:szCs w:val="21"/>
        </w:rPr>
        <w:sym w:font="Wingdings 2" w:char="00A3"/>
      </w:r>
      <w:r>
        <w:rPr>
          <w:rFonts w:hint="eastAsia" w:ascii="宋体" w:hAnsi="宋体" w:cs="宋体"/>
          <w:b/>
          <w:bCs/>
          <w:szCs w:val="21"/>
        </w:rPr>
        <w:t xml:space="preserve"> </w:t>
      </w:r>
      <w:r>
        <w:rPr>
          <w:rFonts w:hint="eastAsia" w:ascii="宋体" w:hAnsi="宋体" w:cs="宋体"/>
          <w:spacing w:val="-3"/>
        </w:rPr>
        <w:t>在交通运输部“全国公路建设市场监督管理系统”中查询到的企业“业绩信息”相关项目网页截图（</w:t>
      </w:r>
      <w:r>
        <w:rPr>
          <w:rStyle w:val="59"/>
          <w:rFonts w:hint="eastAsia" w:ascii="宋体" w:hAnsi="宋体" w:cs="宋体"/>
          <w:vertAlign w:val="baseline"/>
        </w:rPr>
        <w:t>仅适用于根据《关于发布公路工程从业企业资质名录的通知》（厅公路字〔2011〕114号）要求，招标人应通过名录对投标人资质条件进行审核的公路工程设计企业。</w:t>
      </w:r>
      <w:r>
        <w:rPr>
          <w:rFonts w:hint="eastAsia" w:ascii="宋体" w:hAnsi="宋体" w:cs="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4077465E">
      <w:pPr>
        <w:spacing w:line="300" w:lineRule="exact"/>
        <w:ind w:left="598" w:leftChars="285"/>
        <w:rPr>
          <w:rFonts w:ascii="宋体" w:hAnsi="宋体" w:cs="宋体"/>
        </w:rPr>
      </w:pPr>
      <w:r>
        <w:rPr>
          <w:rFonts w:hint="eastAsia"/>
          <w:b/>
          <w:bCs/>
          <w:szCs w:val="21"/>
        </w:rPr>
        <w:t xml:space="preserve">□ </w:t>
      </w:r>
      <w:r>
        <w:rPr>
          <w:rFonts w:hint="eastAsia" w:ascii="宋体" w:hAnsi="宋体"/>
          <w:szCs w:val="21"/>
        </w:rPr>
        <w:t>合同协议书和业主（发包人）证明材料（仅适用于尚未在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rPr>
        <w:t>二级、三级公路</w:t>
      </w:r>
      <w:r>
        <w:rPr>
          <w:rFonts w:ascii="宋体" w:hAnsi="宋体"/>
        </w:rPr>
        <w:t>工程项目</w:t>
      </w:r>
      <w:r>
        <w:rPr>
          <w:rFonts w:hint="eastAsia" w:ascii="宋体" w:hAnsi="宋体"/>
          <w:szCs w:val="21"/>
        </w:rPr>
        <w:t>）。</w:t>
      </w:r>
    </w:p>
    <w:p w14:paraId="1FAB72AF">
      <w:pPr>
        <w:widowControl/>
        <w:spacing w:line="300" w:lineRule="exact"/>
        <w:ind w:left="598" w:leftChars="285"/>
        <w:jc w:val="left"/>
        <w:rPr>
          <w:rFonts w:ascii="宋体" w:hAnsi="宋体" w:cs="宋体"/>
        </w:rPr>
      </w:pPr>
      <w:r>
        <w:rPr>
          <w:rFonts w:hint="eastAsia"/>
          <w:b/>
          <w:bCs/>
          <w:szCs w:val="21"/>
        </w:rPr>
        <w:t xml:space="preserve">□ </w:t>
      </w:r>
      <w:r>
        <w:rPr>
          <w:rFonts w:hint="eastAsia" w:ascii="宋体" w:hAnsi="宋体" w:cs="宋体"/>
          <w:szCs w:val="21"/>
        </w:rPr>
        <w:t>房建工程类勘察设计项目，可为</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spacing w:val="-3"/>
        </w:rPr>
        <w:t>网页截图。</w:t>
      </w:r>
    </w:p>
    <w:p w14:paraId="50E78084">
      <w:pPr>
        <w:spacing w:line="300" w:lineRule="exact"/>
        <w:ind w:firstLine="408" w:firstLineChars="200"/>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60E0B0D0">
      <w:pPr>
        <w:spacing w:line="30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spacing w:val="-3"/>
        </w:rPr>
        <w:t>.</w:t>
      </w:r>
      <w:r>
        <w:rPr>
          <w:rFonts w:hint="eastAsia" w:ascii="宋体" w:hAnsi="宋体" w:cs="宋体"/>
          <w:spacing w:val="-3"/>
        </w:rPr>
        <w:t>如近年来，投标人法人机构发生合法变更或重组或法人名称变更时，应提供相关部门的合</w:t>
      </w:r>
      <w:r>
        <w:rPr>
          <w:rFonts w:hint="eastAsia" w:ascii="宋体" w:hAnsi="宋体" w:cs="宋体"/>
        </w:rPr>
        <w:t>法批件或其他相</w:t>
      </w:r>
      <w:r>
        <w:rPr>
          <w:rFonts w:hint="eastAsia" w:ascii="宋体" w:hAnsi="宋体" w:cs="宋体"/>
          <w:spacing w:val="-3"/>
        </w:rPr>
        <w:t>关证明材料来证明其所附业绩的继承性。</w:t>
      </w:r>
    </w:p>
    <w:p w14:paraId="33F5CFB5">
      <w:pPr>
        <w:spacing w:line="300" w:lineRule="exact"/>
        <w:ind w:firstLine="420" w:firstLineChars="200"/>
        <w:rPr>
          <w:rFonts w:ascii="宋体" w:hAnsi="宋体"/>
          <w:szCs w:val="21"/>
        </w:rPr>
      </w:pPr>
      <w:r>
        <w:rPr>
          <w:rFonts w:hint="eastAsia" w:ascii="宋体" w:hAnsi="宋体" w:cs="宋体"/>
        </w:rPr>
        <w:t>4</w:t>
      </w:r>
      <w:r>
        <w:rPr>
          <w:rFonts w:hint="eastAsia" w:ascii="宋体" w:hAnsi="宋体" w:cs="宋体"/>
          <w:spacing w:val="-3"/>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批复日期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41D471D1">
      <w:pPr>
        <w:spacing w:line="300" w:lineRule="exact"/>
        <w:ind w:left="603" w:leftChars="190" w:hanging="204" w:hangingChars="100"/>
        <w:rPr>
          <w:rFonts w:ascii="宋体" w:hAnsi="宋体" w:cs="宋体"/>
        </w:rPr>
      </w:pPr>
      <w:r>
        <w:rPr>
          <w:rFonts w:hint="eastAsia" w:ascii="宋体" w:hAnsi="宋体" w:cs="宋体"/>
          <w:spacing w:val="-3"/>
        </w:rPr>
        <w:t>5.</w:t>
      </w:r>
      <w:r>
        <w:rPr>
          <w:rFonts w:hint="eastAsia" w:ascii="宋体" w:hAnsi="宋体" w:cs="宋体"/>
          <w:szCs w:val="21"/>
        </w:rPr>
        <w:t>允许联合体投标时，若</w:t>
      </w:r>
      <w:r>
        <w:rPr>
          <w:rFonts w:hint="eastAsia" w:ascii="宋体" w:hAnsi="宋体" w:cs="宋体"/>
          <w:spacing w:val="-3"/>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p>
    <w:p w14:paraId="1329FC84">
      <w:pPr>
        <w:spacing w:line="300" w:lineRule="exact"/>
        <w:ind w:left="603" w:leftChars="190" w:hanging="204" w:hangingChars="100"/>
        <w:rPr>
          <w:rFonts w:ascii="宋体" w:hAnsi="宋体" w:cs="宋体"/>
          <w:spacing w:val="-3"/>
        </w:rPr>
      </w:pPr>
      <w:r>
        <w:rPr>
          <w:rFonts w:ascii="宋体" w:hAnsi="宋体" w:cs="宋体"/>
          <w:spacing w:val="-3"/>
        </w:rPr>
        <w:t xml:space="preserve">6. </w:t>
      </w:r>
      <w:r>
        <w:rPr>
          <w:rFonts w:hint="eastAsia" w:ascii="宋体" w:hAnsi="宋体" w:cs="宋体"/>
          <w:spacing w:val="-3"/>
        </w:rPr>
        <w:t>工作内容可为选择项中的一项或多项，未选择的项，视为不含该项内容；也可采用描述的方式对主要工作内容进行阐述。</w:t>
      </w:r>
    </w:p>
    <w:p w14:paraId="7BE94E03">
      <w:pPr>
        <w:spacing w:line="240" w:lineRule="auto"/>
        <w:ind w:firstLine="0" w:firstLineChars="0"/>
        <w:rPr>
          <w:rFonts w:hint="eastAsia" w:ascii="黑体" w:hAnsi="黑体" w:eastAsia="黑体" w:cs="宋体"/>
          <w:b/>
          <w:sz w:val="24"/>
        </w:rPr>
      </w:pPr>
      <w:r>
        <w:rPr>
          <w:rFonts w:hint="eastAsia" w:ascii="黑体" w:hAnsi="黑体" w:eastAsia="黑体" w:cs="宋体"/>
          <w:b/>
          <w:sz w:val="24"/>
        </w:rPr>
        <w:br w:type="page"/>
      </w:r>
    </w:p>
    <w:p w14:paraId="05BC870D">
      <w:pPr>
        <w:spacing w:line="360" w:lineRule="auto"/>
        <w:ind w:firstLine="3373" w:firstLineChars="1400"/>
        <w:rPr>
          <w:rFonts w:ascii="黑体" w:hAnsi="黑体" w:eastAsia="黑体" w:cs="宋体"/>
          <w:sz w:val="24"/>
        </w:rPr>
      </w:pP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其他工程：</w:t>
      </w:r>
      <w:r>
        <w:rPr>
          <w:rFonts w:ascii="黑体" w:hAnsi="黑体" w:eastAsia="黑体" w:cs="宋体"/>
          <w:sz w:val="24"/>
          <w:u w:val="single"/>
        </w:rPr>
        <w:t xml:space="preserve">        </w:t>
      </w:r>
      <w:r>
        <w:rPr>
          <w:rFonts w:hint="eastAsia" w:ascii="黑体" w:hAnsi="黑体" w:eastAsia="黑体" w:cs="宋体"/>
          <w:sz w:val="24"/>
        </w:rPr>
        <w:t>勘察设计情况</w:t>
      </w:r>
      <w:r>
        <w:rPr>
          <w:rFonts w:ascii="黑体" w:hAnsi="黑体" w:eastAsia="黑体" w:cs="宋体"/>
          <w:sz w:val="24"/>
        </w:rPr>
        <w:t xml:space="preserve">                       表1-6</w:t>
      </w:r>
    </w:p>
    <w:tbl>
      <w:tblPr>
        <w:tblStyle w:val="49"/>
        <w:tblW w:w="137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1232"/>
        <w:gridCol w:w="1261"/>
        <w:gridCol w:w="668"/>
        <w:gridCol w:w="1022"/>
        <w:gridCol w:w="1112"/>
        <w:gridCol w:w="1111"/>
        <w:gridCol w:w="1111"/>
        <w:gridCol w:w="1375"/>
        <w:gridCol w:w="1068"/>
        <w:gridCol w:w="896"/>
        <w:gridCol w:w="1272"/>
        <w:gridCol w:w="1157"/>
      </w:tblGrid>
      <w:tr w14:paraId="5955C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437" w:type="dxa"/>
            <w:vAlign w:val="center"/>
          </w:tcPr>
          <w:p w14:paraId="1C7E3375">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32" w:type="dxa"/>
            <w:tcMar>
              <w:top w:w="0" w:type="dxa"/>
              <w:left w:w="108" w:type="dxa"/>
              <w:bottom w:w="0" w:type="dxa"/>
              <w:right w:w="108" w:type="dxa"/>
            </w:tcMar>
            <w:vAlign w:val="center"/>
          </w:tcPr>
          <w:p w14:paraId="70FE5835">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项目业主</w:t>
            </w:r>
          </w:p>
        </w:tc>
        <w:tc>
          <w:tcPr>
            <w:tcW w:w="1261" w:type="dxa"/>
            <w:tcMar>
              <w:top w:w="0" w:type="dxa"/>
              <w:left w:w="108" w:type="dxa"/>
              <w:bottom w:w="0" w:type="dxa"/>
              <w:right w:w="108" w:type="dxa"/>
            </w:tcMar>
            <w:vAlign w:val="center"/>
          </w:tcPr>
          <w:p w14:paraId="0826A7C6">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68" w:type="dxa"/>
            <w:tcMar>
              <w:top w:w="0" w:type="dxa"/>
              <w:left w:w="108" w:type="dxa"/>
              <w:bottom w:w="0" w:type="dxa"/>
              <w:right w:w="108" w:type="dxa"/>
            </w:tcMar>
            <w:vAlign w:val="center"/>
          </w:tcPr>
          <w:p w14:paraId="3AF6AB84">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1022" w:type="dxa"/>
            <w:vAlign w:val="center"/>
          </w:tcPr>
          <w:p w14:paraId="1EC5D82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1112" w:type="dxa"/>
            <w:tcMar>
              <w:top w:w="0" w:type="dxa"/>
              <w:left w:w="108" w:type="dxa"/>
              <w:bottom w:w="0" w:type="dxa"/>
              <w:right w:w="108" w:type="dxa"/>
            </w:tcMar>
            <w:vAlign w:val="center"/>
          </w:tcPr>
          <w:p w14:paraId="788F9DE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批复日期</w:t>
            </w:r>
          </w:p>
        </w:tc>
        <w:tc>
          <w:tcPr>
            <w:tcW w:w="1111" w:type="dxa"/>
            <w:vAlign w:val="center"/>
          </w:tcPr>
          <w:p w14:paraId="7477431A">
            <w:pPr>
              <w:pStyle w:val="299"/>
              <w:jc w:val="center"/>
              <w:rPr>
                <w:rFonts w:asciiTheme="minorEastAsia" w:hAnsiTheme="minorEastAsia" w:eastAsiaTheme="minorEastAsia"/>
                <w:szCs w:val="21"/>
              </w:rPr>
            </w:pPr>
            <w:r>
              <w:rPr>
                <w:rFonts w:hint="eastAsia" w:asciiTheme="minorEastAsia" w:hAnsiTheme="minorEastAsia" w:eastAsiaTheme="minorEastAsia"/>
                <w:szCs w:val="21"/>
              </w:rPr>
              <w:t>设计阶段</w:t>
            </w:r>
          </w:p>
        </w:tc>
        <w:tc>
          <w:tcPr>
            <w:tcW w:w="1111" w:type="dxa"/>
            <w:vAlign w:val="center"/>
          </w:tcPr>
          <w:p w14:paraId="2C0E8C74">
            <w:pPr>
              <w:pStyle w:val="299"/>
              <w:jc w:val="center"/>
              <w:rPr>
                <w:rFonts w:asciiTheme="minorEastAsia" w:hAnsiTheme="minorEastAsia" w:eastAsiaTheme="minorEastAsia"/>
                <w:szCs w:val="21"/>
              </w:rPr>
            </w:pPr>
            <w:r>
              <w:rPr>
                <w:rFonts w:hint="eastAsia" w:ascii="宋体" w:hAnsi="宋体" w:cs="宋体"/>
                <w:bCs/>
                <w:kern w:val="0"/>
                <w:szCs w:val="21"/>
              </w:rPr>
              <w:t>项目建设形式</w:t>
            </w:r>
          </w:p>
        </w:tc>
        <w:tc>
          <w:tcPr>
            <w:tcW w:w="1375" w:type="dxa"/>
            <w:vAlign w:val="center"/>
          </w:tcPr>
          <w:p w14:paraId="5588EF89">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1068" w:type="dxa"/>
            <w:vAlign w:val="center"/>
          </w:tcPr>
          <w:p w14:paraId="57F5CB53">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96" w:type="dxa"/>
            <w:vAlign w:val="center"/>
          </w:tcPr>
          <w:p w14:paraId="6EE1C996">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272" w:type="dxa"/>
            <w:tcMar>
              <w:top w:w="0" w:type="dxa"/>
              <w:left w:w="108" w:type="dxa"/>
              <w:bottom w:w="0" w:type="dxa"/>
              <w:right w:w="108" w:type="dxa"/>
            </w:tcMar>
            <w:vAlign w:val="center"/>
          </w:tcPr>
          <w:p w14:paraId="73D7693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合同价格（元）</w:t>
            </w:r>
          </w:p>
        </w:tc>
        <w:tc>
          <w:tcPr>
            <w:tcW w:w="1157" w:type="dxa"/>
            <w:vAlign w:val="center"/>
          </w:tcPr>
          <w:p w14:paraId="28B05BE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0BEC1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437" w:type="dxa"/>
            <w:vAlign w:val="center"/>
          </w:tcPr>
          <w:p w14:paraId="6DE49941">
            <w:pPr>
              <w:pStyle w:val="299"/>
              <w:jc w:val="center"/>
              <w:rPr>
                <w:rFonts w:asciiTheme="minorEastAsia" w:hAnsiTheme="minorEastAsia" w:eastAsiaTheme="minorEastAsia"/>
                <w:szCs w:val="21"/>
              </w:rPr>
            </w:pPr>
          </w:p>
        </w:tc>
        <w:tc>
          <w:tcPr>
            <w:tcW w:w="1232" w:type="dxa"/>
            <w:tcMar>
              <w:top w:w="0" w:type="dxa"/>
              <w:left w:w="108" w:type="dxa"/>
              <w:bottom w:w="0" w:type="dxa"/>
              <w:right w:w="108" w:type="dxa"/>
            </w:tcMar>
            <w:vAlign w:val="center"/>
          </w:tcPr>
          <w:p w14:paraId="00279499">
            <w:pPr>
              <w:pStyle w:val="299"/>
              <w:jc w:val="center"/>
              <w:rPr>
                <w:rFonts w:asciiTheme="minorEastAsia" w:hAnsiTheme="minorEastAsia" w:eastAsiaTheme="minorEastAsia"/>
                <w:szCs w:val="21"/>
              </w:rPr>
            </w:pPr>
          </w:p>
        </w:tc>
        <w:tc>
          <w:tcPr>
            <w:tcW w:w="1261" w:type="dxa"/>
            <w:tcMar>
              <w:top w:w="0" w:type="dxa"/>
              <w:left w:w="108" w:type="dxa"/>
              <w:bottom w:w="0" w:type="dxa"/>
              <w:right w:w="108" w:type="dxa"/>
            </w:tcMar>
            <w:vAlign w:val="center"/>
          </w:tcPr>
          <w:p w14:paraId="33FA7F9E">
            <w:pPr>
              <w:pStyle w:val="299"/>
              <w:jc w:val="center"/>
              <w:rPr>
                <w:rFonts w:asciiTheme="minorEastAsia" w:hAnsiTheme="minorEastAsia" w:eastAsiaTheme="minorEastAsia"/>
                <w:szCs w:val="21"/>
              </w:rPr>
            </w:pPr>
          </w:p>
        </w:tc>
        <w:tc>
          <w:tcPr>
            <w:tcW w:w="668" w:type="dxa"/>
            <w:tcMar>
              <w:top w:w="0" w:type="dxa"/>
              <w:left w:w="108" w:type="dxa"/>
              <w:bottom w:w="0" w:type="dxa"/>
              <w:right w:w="108" w:type="dxa"/>
            </w:tcMar>
            <w:vAlign w:val="center"/>
          </w:tcPr>
          <w:p w14:paraId="25EDD8E0">
            <w:pPr>
              <w:pStyle w:val="299"/>
              <w:jc w:val="center"/>
              <w:rPr>
                <w:rFonts w:asciiTheme="minorEastAsia" w:hAnsiTheme="minorEastAsia" w:eastAsiaTheme="minorEastAsia"/>
                <w:szCs w:val="21"/>
              </w:rPr>
            </w:pPr>
          </w:p>
        </w:tc>
        <w:tc>
          <w:tcPr>
            <w:tcW w:w="1022" w:type="dxa"/>
            <w:vAlign w:val="center"/>
          </w:tcPr>
          <w:p w14:paraId="001CB509">
            <w:pPr>
              <w:pStyle w:val="299"/>
              <w:jc w:val="center"/>
              <w:rPr>
                <w:rFonts w:asciiTheme="minorEastAsia" w:hAnsiTheme="minorEastAsia" w:eastAsiaTheme="minorEastAsia"/>
                <w:szCs w:val="21"/>
              </w:rPr>
            </w:pPr>
          </w:p>
        </w:tc>
        <w:tc>
          <w:tcPr>
            <w:tcW w:w="1112" w:type="dxa"/>
            <w:tcMar>
              <w:top w:w="0" w:type="dxa"/>
              <w:left w:w="108" w:type="dxa"/>
              <w:bottom w:w="0" w:type="dxa"/>
              <w:right w:w="108" w:type="dxa"/>
            </w:tcMar>
            <w:vAlign w:val="center"/>
          </w:tcPr>
          <w:p w14:paraId="0524B133">
            <w:pPr>
              <w:pStyle w:val="299"/>
              <w:jc w:val="center"/>
              <w:rPr>
                <w:rFonts w:asciiTheme="minorEastAsia" w:hAnsiTheme="minorEastAsia" w:eastAsiaTheme="minorEastAsia"/>
                <w:szCs w:val="21"/>
              </w:rPr>
            </w:pPr>
          </w:p>
        </w:tc>
        <w:tc>
          <w:tcPr>
            <w:tcW w:w="1111" w:type="dxa"/>
            <w:vAlign w:val="center"/>
          </w:tcPr>
          <w:p w14:paraId="456F528B">
            <w:pPr>
              <w:pStyle w:val="299"/>
              <w:jc w:val="center"/>
              <w:rPr>
                <w:rFonts w:asciiTheme="minorEastAsia" w:hAnsiTheme="minorEastAsia" w:eastAsiaTheme="minorEastAsia"/>
                <w:szCs w:val="21"/>
              </w:rPr>
            </w:pPr>
          </w:p>
        </w:tc>
        <w:tc>
          <w:tcPr>
            <w:tcW w:w="1111" w:type="dxa"/>
            <w:vAlign w:val="center"/>
          </w:tcPr>
          <w:p w14:paraId="40C03E4B">
            <w:pPr>
              <w:pStyle w:val="299"/>
              <w:jc w:val="center"/>
              <w:rPr>
                <w:rFonts w:asciiTheme="minorEastAsia" w:hAnsiTheme="minorEastAsia" w:eastAsiaTheme="minorEastAsia"/>
                <w:szCs w:val="21"/>
              </w:rPr>
            </w:pPr>
          </w:p>
        </w:tc>
        <w:tc>
          <w:tcPr>
            <w:tcW w:w="1375" w:type="dxa"/>
            <w:vAlign w:val="center"/>
          </w:tcPr>
          <w:p w14:paraId="294A5461">
            <w:pPr>
              <w:pStyle w:val="299"/>
              <w:jc w:val="center"/>
              <w:rPr>
                <w:rFonts w:asciiTheme="minorEastAsia" w:hAnsiTheme="minorEastAsia" w:eastAsiaTheme="minorEastAsia"/>
                <w:szCs w:val="21"/>
              </w:rPr>
            </w:pPr>
          </w:p>
        </w:tc>
        <w:tc>
          <w:tcPr>
            <w:tcW w:w="1068" w:type="dxa"/>
            <w:vAlign w:val="center"/>
          </w:tcPr>
          <w:p w14:paraId="1D3AFE7A">
            <w:pPr>
              <w:pStyle w:val="299"/>
              <w:jc w:val="center"/>
              <w:rPr>
                <w:rFonts w:asciiTheme="minorEastAsia" w:hAnsiTheme="minorEastAsia" w:eastAsiaTheme="minorEastAsia"/>
                <w:szCs w:val="21"/>
              </w:rPr>
            </w:pPr>
          </w:p>
        </w:tc>
        <w:tc>
          <w:tcPr>
            <w:tcW w:w="896" w:type="dxa"/>
            <w:vAlign w:val="center"/>
          </w:tcPr>
          <w:p w14:paraId="424C373A">
            <w:pPr>
              <w:pStyle w:val="299"/>
              <w:jc w:val="center"/>
              <w:rPr>
                <w:rFonts w:asciiTheme="minorEastAsia" w:hAnsiTheme="minorEastAsia" w:eastAsiaTheme="minorEastAsia"/>
                <w:szCs w:val="21"/>
              </w:rPr>
            </w:pPr>
          </w:p>
        </w:tc>
        <w:tc>
          <w:tcPr>
            <w:tcW w:w="1272" w:type="dxa"/>
            <w:tcMar>
              <w:top w:w="0" w:type="dxa"/>
              <w:left w:w="108" w:type="dxa"/>
              <w:bottom w:w="0" w:type="dxa"/>
              <w:right w:w="108" w:type="dxa"/>
            </w:tcMar>
            <w:vAlign w:val="center"/>
          </w:tcPr>
          <w:p w14:paraId="24825E30">
            <w:pPr>
              <w:pStyle w:val="299"/>
              <w:jc w:val="center"/>
              <w:rPr>
                <w:rFonts w:asciiTheme="minorEastAsia" w:hAnsiTheme="minorEastAsia" w:eastAsiaTheme="minorEastAsia"/>
                <w:szCs w:val="21"/>
              </w:rPr>
            </w:pPr>
          </w:p>
        </w:tc>
        <w:tc>
          <w:tcPr>
            <w:tcW w:w="1157" w:type="dxa"/>
            <w:vAlign w:val="center"/>
          </w:tcPr>
          <w:p w14:paraId="5FBB8D8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C1-6.1</w:t>
            </w:r>
          </w:p>
        </w:tc>
      </w:tr>
      <w:tr w14:paraId="4D6B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437" w:type="dxa"/>
            <w:vAlign w:val="center"/>
          </w:tcPr>
          <w:p w14:paraId="5DD67E5F">
            <w:pPr>
              <w:pStyle w:val="299"/>
              <w:jc w:val="center"/>
              <w:rPr>
                <w:rFonts w:asciiTheme="minorEastAsia" w:hAnsiTheme="minorEastAsia" w:eastAsiaTheme="minorEastAsia"/>
                <w:szCs w:val="21"/>
              </w:rPr>
            </w:pPr>
          </w:p>
        </w:tc>
        <w:tc>
          <w:tcPr>
            <w:tcW w:w="1232" w:type="dxa"/>
            <w:tcMar>
              <w:top w:w="0" w:type="dxa"/>
              <w:left w:w="108" w:type="dxa"/>
              <w:bottom w:w="0" w:type="dxa"/>
              <w:right w:w="108" w:type="dxa"/>
            </w:tcMar>
            <w:vAlign w:val="center"/>
          </w:tcPr>
          <w:p w14:paraId="6E35B8A4">
            <w:pPr>
              <w:pStyle w:val="299"/>
              <w:jc w:val="center"/>
              <w:rPr>
                <w:rFonts w:asciiTheme="minorEastAsia" w:hAnsiTheme="minorEastAsia" w:eastAsiaTheme="minorEastAsia"/>
                <w:szCs w:val="21"/>
              </w:rPr>
            </w:pPr>
          </w:p>
        </w:tc>
        <w:tc>
          <w:tcPr>
            <w:tcW w:w="1261" w:type="dxa"/>
            <w:tcMar>
              <w:top w:w="0" w:type="dxa"/>
              <w:left w:w="108" w:type="dxa"/>
              <w:bottom w:w="0" w:type="dxa"/>
              <w:right w:w="108" w:type="dxa"/>
            </w:tcMar>
            <w:vAlign w:val="center"/>
          </w:tcPr>
          <w:p w14:paraId="6D020CE5">
            <w:pPr>
              <w:pStyle w:val="299"/>
              <w:jc w:val="center"/>
              <w:rPr>
                <w:rFonts w:asciiTheme="minorEastAsia" w:hAnsiTheme="minorEastAsia" w:eastAsiaTheme="minorEastAsia"/>
                <w:szCs w:val="21"/>
              </w:rPr>
            </w:pPr>
          </w:p>
        </w:tc>
        <w:tc>
          <w:tcPr>
            <w:tcW w:w="668" w:type="dxa"/>
            <w:tcMar>
              <w:top w:w="0" w:type="dxa"/>
              <w:left w:w="108" w:type="dxa"/>
              <w:bottom w:w="0" w:type="dxa"/>
              <w:right w:w="108" w:type="dxa"/>
            </w:tcMar>
            <w:vAlign w:val="center"/>
          </w:tcPr>
          <w:p w14:paraId="2EC544A4">
            <w:pPr>
              <w:pStyle w:val="299"/>
              <w:jc w:val="center"/>
              <w:rPr>
                <w:rFonts w:asciiTheme="minorEastAsia" w:hAnsiTheme="minorEastAsia" w:eastAsiaTheme="minorEastAsia"/>
                <w:szCs w:val="21"/>
              </w:rPr>
            </w:pPr>
          </w:p>
        </w:tc>
        <w:tc>
          <w:tcPr>
            <w:tcW w:w="1022" w:type="dxa"/>
            <w:vAlign w:val="center"/>
          </w:tcPr>
          <w:p w14:paraId="496FD0FE">
            <w:pPr>
              <w:pStyle w:val="299"/>
              <w:jc w:val="center"/>
              <w:rPr>
                <w:rFonts w:asciiTheme="minorEastAsia" w:hAnsiTheme="minorEastAsia" w:eastAsiaTheme="minorEastAsia"/>
                <w:szCs w:val="21"/>
              </w:rPr>
            </w:pPr>
          </w:p>
        </w:tc>
        <w:tc>
          <w:tcPr>
            <w:tcW w:w="1112" w:type="dxa"/>
            <w:tcMar>
              <w:top w:w="0" w:type="dxa"/>
              <w:left w:w="108" w:type="dxa"/>
              <w:bottom w:w="0" w:type="dxa"/>
              <w:right w:w="108" w:type="dxa"/>
            </w:tcMar>
            <w:vAlign w:val="center"/>
          </w:tcPr>
          <w:p w14:paraId="43570854">
            <w:pPr>
              <w:pStyle w:val="299"/>
              <w:jc w:val="center"/>
              <w:rPr>
                <w:rFonts w:asciiTheme="minorEastAsia" w:hAnsiTheme="minorEastAsia" w:eastAsiaTheme="minorEastAsia"/>
                <w:szCs w:val="21"/>
              </w:rPr>
            </w:pPr>
          </w:p>
        </w:tc>
        <w:tc>
          <w:tcPr>
            <w:tcW w:w="1111" w:type="dxa"/>
            <w:vAlign w:val="center"/>
          </w:tcPr>
          <w:p w14:paraId="4178F498">
            <w:pPr>
              <w:pStyle w:val="299"/>
              <w:jc w:val="center"/>
              <w:rPr>
                <w:rFonts w:asciiTheme="minorEastAsia" w:hAnsiTheme="minorEastAsia" w:eastAsiaTheme="minorEastAsia"/>
                <w:szCs w:val="21"/>
              </w:rPr>
            </w:pPr>
          </w:p>
        </w:tc>
        <w:tc>
          <w:tcPr>
            <w:tcW w:w="1111" w:type="dxa"/>
            <w:vAlign w:val="center"/>
          </w:tcPr>
          <w:p w14:paraId="14FB9009">
            <w:pPr>
              <w:pStyle w:val="299"/>
              <w:jc w:val="center"/>
              <w:rPr>
                <w:rFonts w:asciiTheme="minorEastAsia" w:hAnsiTheme="minorEastAsia" w:eastAsiaTheme="minorEastAsia"/>
                <w:szCs w:val="21"/>
              </w:rPr>
            </w:pPr>
          </w:p>
        </w:tc>
        <w:tc>
          <w:tcPr>
            <w:tcW w:w="1375" w:type="dxa"/>
            <w:vAlign w:val="center"/>
          </w:tcPr>
          <w:p w14:paraId="45507071">
            <w:pPr>
              <w:pStyle w:val="299"/>
              <w:jc w:val="center"/>
              <w:rPr>
                <w:rFonts w:asciiTheme="minorEastAsia" w:hAnsiTheme="minorEastAsia" w:eastAsiaTheme="minorEastAsia"/>
                <w:szCs w:val="21"/>
              </w:rPr>
            </w:pPr>
          </w:p>
        </w:tc>
        <w:tc>
          <w:tcPr>
            <w:tcW w:w="1068" w:type="dxa"/>
            <w:vAlign w:val="center"/>
          </w:tcPr>
          <w:p w14:paraId="4FEAE256">
            <w:pPr>
              <w:pStyle w:val="299"/>
              <w:jc w:val="center"/>
              <w:rPr>
                <w:rFonts w:asciiTheme="minorEastAsia" w:hAnsiTheme="minorEastAsia" w:eastAsiaTheme="minorEastAsia"/>
                <w:szCs w:val="21"/>
              </w:rPr>
            </w:pPr>
          </w:p>
        </w:tc>
        <w:tc>
          <w:tcPr>
            <w:tcW w:w="896" w:type="dxa"/>
            <w:vAlign w:val="center"/>
          </w:tcPr>
          <w:p w14:paraId="30A7D665">
            <w:pPr>
              <w:pStyle w:val="299"/>
              <w:jc w:val="center"/>
              <w:rPr>
                <w:rFonts w:asciiTheme="minorEastAsia" w:hAnsiTheme="minorEastAsia" w:eastAsiaTheme="minorEastAsia"/>
                <w:szCs w:val="21"/>
              </w:rPr>
            </w:pPr>
          </w:p>
        </w:tc>
        <w:tc>
          <w:tcPr>
            <w:tcW w:w="1272" w:type="dxa"/>
            <w:tcMar>
              <w:top w:w="0" w:type="dxa"/>
              <w:left w:w="108" w:type="dxa"/>
              <w:bottom w:w="0" w:type="dxa"/>
              <w:right w:w="108" w:type="dxa"/>
            </w:tcMar>
            <w:vAlign w:val="center"/>
          </w:tcPr>
          <w:p w14:paraId="10D47D05">
            <w:pPr>
              <w:pStyle w:val="299"/>
              <w:jc w:val="center"/>
              <w:rPr>
                <w:rFonts w:asciiTheme="minorEastAsia" w:hAnsiTheme="minorEastAsia" w:eastAsiaTheme="minorEastAsia"/>
                <w:szCs w:val="21"/>
              </w:rPr>
            </w:pPr>
          </w:p>
        </w:tc>
        <w:tc>
          <w:tcPr>
            <w:tcW w:w="1157" w:type="dxa"/>
            <w:vAlign w:val="center"/>
          </w:tcPr>
          <w:p w14:paraId="0E9A623F">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C1-6.2</w:t>
            </w:r>
          </w:p>
        </w:tc>
      </w:tr>
      <w:tr w14:paraId="4A768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437" w:type="dxa"/>
            <w:vAlign w:val="center"/>
          </w:tcPr>
          <w:p w14:paraId="1DB9B92F">
            <w:pPr>
              <w:pStyle w:val="299"/>
              <w:jc w:val="center"/>
              <w:rPr>
                <w:rFonts w:asciiTheme="minorEastAsia" w:hAnsiTheme="minorEastAsia" w:eastAsiaTheme="minorEastAsia"/>
                <w:szCs w:val="21"/>
              </w:rPr>
            </w:pPr>
          </w:p>
        </w:tc>
        <w:tc>
          <w:tcPr>
            <w:tcW w:w="1232" w:type="dxa"/>
            <w:tcMar>
              <w:top w:w="0" w:type="dxa"/>
              <w:left w:w="108" w:type="dxa"/>
              <w:bottom w:w="0" w:type="dxa"/>
              <w:right w:w="108" w:type="dxa"/>
            </w:tcMar>
            <w:vAlign w:val="center"/>
          </w:tcPr>
          <w:p w14:paraId="43084D19">
            <w:pPr>
              <w:pStyle w:val="299"/>
              <w:jc w:val="center"/>
              <w:rPr>
                <w:rFonts w:asciiTheme="minorEastAsia" w:hAnsiTheme="minorEastAsia" w:eastAsiaTheme="minorEastAsia"/>
                <w:szCs w:val="21"/>
              </w:rPr>
            </w:pPr>
          </w:p>
        </w:tc>
        <w:tc>
          <w:tcPr>
            <w:tcW w:w="1261" w:type="dxa"/>
            <w:tcMar>
              <w:top w:w="0" w:type="dxa"/>
              <w:left w:w="108" w:type="dxa"/>
              <w:bottom w:w="0" w:type="dxa"/>
              <w:right w:w="108" w:type="dxa"/>
            </w:tcMar>
            <w:vAlign w:val="center"/>
          </w:tcPr>
          <w:p w14:paraId="400C36B2">
            <w:pPr>
              <w:pStyle w:val="299"/>
              <w:jc w:val="center"/>
              <w:rPr>
                <w:rFonts w:asciiTheme="minorEastAsia" w:hAnsiTheme="minorEastAsia" w:eastAsiaTheme="minorEastAsia"/>
                <w:szCs w:val="21"/>
              </w:rPr>
            </w:pPr>
          </w:p>
        </w:tc>
        <w:tc>
          <w:tcPr>
            <w:tcW w:w="668" w:type="dxa"/>
            <w:tcMar>
              <w:top w:w="0" w:type="dxa"/>
              <w:left w:w="108" w:type="dxa"/>
              <w:bottom w:w="0" w:type="dxa"/>
              <w:right w:w="108" w:type="dxa"/>
            </w:tcMar>
            <w:vAlign w:val="center"/>
          </w:tcPr>
          <w:p w14:paraId="791CC055">
            <w:pPr>
              <w:pStyle w:val="299"/>
              <w:jc w:val="center"/>
              <w:rPr>
                <w:rFonts w:asciiTheme="minorEastAsia" w:hAnsiTheme="minorEastAsia" w:eastAsiaTheme="minorEastAsia"/>
                <w:szCs w:val="21"/>
              </w:rPr>
            </w:pPr>
          </w:p>
        </w:tc>
        <w:tc>
          <w:tcPr>
            <w:tcW w:w="1022" w:type="dxa"/>
            <w:vAlign w:val="center"/>
          </w:tcPr>
          <w:p w14:paraId="38B4A55A">
            <w:pPr>
              <w:pStyle w:val="299"/>
              <w:jc w:val="center"/>
              <w:rPr>
                <w:rFonts w:asciiTheme="minorEastAsia" w:hAnsiTheme="minorEastAsia" w:eastAsiaTheme="minorEastAsia"/>
                <w:szCs w:val="21"/>
              </w:rPr>
            </w:pPr>
          </w:p>
        </w:tc>
        <w:tc>
          <w:tcPr>
            <w:tcW w:w="1112" w:type="dxa"/>
            <w:tcMar>
              <w:top w:w="0" w:type="dxa"/>
              <w:left w:w="108" w:type="dxa"/>
              <w:bottom w:w="0" w:type="dxa"/>
              <w:right w:w="108" w:type="dxa"/>
            </w:tcMar>
            <w:vAlign w:val="center"/>
          </w:tcPr>
          <w:p w14:paraId="5C8C01A3">
            <w:pPr>
              <w:pStyle w:val="299"/>
              <w:jc w:val="center"/>
              <w:rPr>
                <w:rFonts w:asciiTheme="minorEastAsia" w:hAnsiTheme="minorEastAsia" w:eastAsiaTheme="minorEastAsia"/>
                <w:szCs w:val="21"/>
              </w:rPr>
            </w:pPr>
          </w:p>
        </w:tc>
        <w:tc>
          <w:tcPr>
            <w:tcW w:w="1111" w:type="dxa"/>
            <w:vAlign w:val="center"/>
          </w:tcPr>
          <w:p w14:paraId="322E64E9">
            <w:pPr>
              <w:pStyle w:val="299"/>
              <w:jc w:val="center"/>
              <w:rPr>
                <w:rFonts w:asciiTheme="minorEastAsia" w:hAnsiTheme="minorEastAsia" w:eastAsiaTheme="minorEastAsia"/>
                <w:szCs w:val="21"/>
              </w:rPr>
            </w:pPr>
          </w:p>
        </w:tc>
        <w:tc>
          <w:tcPr>
            <w:tcW w:w="1111" w:type="dxa"/>
            <w:vAlign w:val="center"/>
          </w:tcPr>
          <w:p w14:paraId="5C478818">
            <w:pPr>
              <w:pStyle w:val="299"/>
              <w:jc w:val="center"/>
              <w:rPr>
                <w:rFonts w:asciiTheme="minorEastAsia" w:hAnsiTheme="minorEastAsia" w:eastAsiaTheme="minorEastAsia"/>
                <w:szCs w:val="21"/>
              </w:rPr>
            </w:pPr>
          </w:p>
        </w:tc>
        <w:tc>
          <w:tcPr>
            <w:tcW w:w="1375" w:type="dxa"/>
            <w:vAlign w:val="center"/>
          </w:tcPr>
          <w:p w14:paraId="0B5C44F0">
            <w:pPr>
              <w:pStyle w:val="299"/>
              <w:jc w:val="center"/>
              <w:rPr>
                <w:rFonts w:asciiTheme="minorEastAsia" w:hAnsiTheme="minorEastAsia" w:eastAsiaTheme="minorEastAsia"/>
                <w:szCs w:val="21"/>
              </w:rPr>
            </w:pPr>
          </w:p>
        </w:tc>
        <w:tc>
          <w:tcPr>
            <w:tcW w:w="1068" w:type="dxa"/>
            <w:vAlign w:val="center"/>
          </w:tcPr>
          <w:p w14:paraId="1A54795B">
            <w:pPr>
              <w:pStyle w:val="299"/>
              <w:jc w:val="center"/>
              <w:rPr>
                <w:rFonts w:asciiTheme="minorEastAsia" w:hAnsiTheme="minorEastAsia" w:eastAsiaTheme="minorEastAsia"/>
                <w:szCs w:val="21"/>
              </w:rPr>
            </w:pPr>
          </w:p>
        </w:tc>
        <w:tc>
          <w:tcPr>
            <w:tcW w:w="896" w:type="dxa"/>
            <w:vAlign w:val="center"/>
          </w:tcPr>
          <w:p w14:paraId="4413E8AE">
            <w:pPr>
              <w:pStyle w:val="299"/>
              <w:jc w:val="center"/>
              <w:rPr>
                <w:rFonts w:asciiTheme="minorEastAsia" w:hAnsiTheme="minorEastAsia" w:eastAsiaTheme="minorEastAsia"/>
                <w:szCs w:val="21"/>
              </w:rPr>
            </w:pPr>
          </w:p>
        </w:tc>
        <w:tc>
          <w:tcPr>
            <w:tcW w:w="1272" w:type="dxa"/>
            <w:tcMar>
              <w:top w:w="0" w:type="dxa"/>
              <w:left w:w="108" w:type="dxa"/>
              <w:bottom w:w="0" w:type="dxa"/>
              <w:right w:w="108" w:type="dxa"/>
            </w:tcMar>
            <w:vAlign w:val="center"/>
          </w:tcPr>
          <w:p w14:paraId="7AD05376">
            <w:pPr>
              <w:pStyle w:val="299"/>
              <w:jc w:val="center"/>
              <w:rPr>
                <w:rFonts w:asciiTheme="minorEastAsia" w:hAnsiTheme="minorEastAsia" w:eastAsiaTheme="minorEastAsia"/>
                <w:szCs w:val="21"/>
              </w:rPr>
            </w:pPr>
          </w:p>
        </w:tc>
        <w:tc>
          <w:tcPr>
            <w:tcW w:w="1157" w:type="dxa"/>
            <w:vAlign w:val="center"/>
          </w:tcPr>
          <w:p w14:paraId="165E7C9D">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C1-6.3</w:t>
            </w:r>
          </w:p>
        </w:tc>
      </w:tr>
      <w:tr w14:paraId="3316B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437" w:type="dxa"/>
            <w:vAlign w:val="center"/>
          </w:tcPr>
          <w:p w14:paraId="546B9F74">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232" w:type="dxa"/>
            <w:tcMar>
              <w:top w:w="0" w:type="dxa"/>
              <w:left w:w="108" w:type="dxa"/>
              <w:bottom w:w="0" w:type="dxa"/>
              <w:right w:w="108" w:type="dxa"/>
            </w:tcMar>
            <w:vAlign w:val="center"/>
          </w:tcPr>
          <w:p w14:paraId="75E9858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261" w:type="dxa"/>
            <w:tcMar>
              <w:top w:w="0" w:type="dxa"/>
              <w:left w:w="108" w:type="dxa"/>
              <w:bottom w:w="0" w:type="dxa"/>
              <w:right w:w="108" w:type="dxa"/>
            </w:tcMar>
            <w:vAlign w:val="center"/>
          </w:tcPr>
          <w:p w14:paraId="19782487">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68" w:type="dxa"/>
            <w:tcMar>
              <w:top w:w="0" w:type="dxa"/>
              <w:left w:w="108" w:type="dxa"/>
              <w:bottom w:w="0" w:type="dxa"/>
              <w:right w:w="108" w:type="dxa"/>
            </w:tcMar>
            <w:vAlign w:val="center"/>
          </w:tcPr>
          <w:p w14:paraId="3056D3A2">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22" w:type="dxa"/>
            <w:vAlign w:val="center"/>
          </w:tcPr>
          <w:p w14:paraId="3CDAE7D4">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12" w:type="dxa"/>
            <w:tcMar>
              <w:top w:w="0" w:type="dxa"/>
              <w:left w:w="108" w:type="dxa"/>
              <w:bottom w:w="0" w:type="dxa"/>
              <w:right w:w="108" w:type="dxa"/>
            </w:tcMar>
            <w:vAlign w:val="center"/>
          </w:tcPr>
          <w:p w14:paraId="1B5D3740">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11" w:type="dxa"/>
            <w:vAlign w:val="center"/>
          </w:tcPr>
          <w:p w14:paraId="27897F6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11" w:type="dxa"/>
            <w:vAlign w:val="center"/>
          </w:tcPr>
          <w:p w14:paraId="21D3E04B">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375" w:type="dxa"/>
            <w:vAlign w:val="center"/>
          </w:tcPr>
          <w:p w14:paraId="040F5BE3">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068" w:type="dxa"/>
            <w:vAlign w:val="center"/>
          </w:tcPr>
          <w:p w14:paraId="27CC6E5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896" w:type="dxa"/>
            <w:vAlign w:val="center"/>
          </w:tcPr>
          <w:p w14:paraId="22A79471">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272" w:type="dxa"/>
            <w:tcMar>
              <w:top w:w="0" w:type="dxa"/>
              <w:left w:w="108" w:type="dxa"/>
              <w:bottom w:w="0" w:type="dxa"/>
              <w:right w:w="108" w:type="dxa"/>
            </w:tcMar>
            <w:vAlign w:val="center"/>
          </w:tcPr>
          <w:p w14:paraId="059881DE">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57" w:type="dxa"/>
            <w:vAlign w:val="center"/>
          </w:tcPr>
          <w:p w14:paraId="6CA1D0C7">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60A067E5">
      <w:pPr>
        <w:spacing w:line="300" w:lineRule="exact"/>
        <w:rPr>
          <w:rFonts w:ascii="宋体" w:hAnsi="宋体" w:cs="宋体"/>
        </w:rPr>
      </w:pPr>
      <w:r>
        <w:rPr>
          <w:rFonts w:hint="eastAsia" w:ascii="宋体" w:hAnsi="宋体" w:cs="宋体"/>
        </w:rPr>
        <w:t>注：</w:t>
      </w:r>
      <w:r>
        <w:rPr>
          <w:rFonts w:ascii="宋体" w:hAnsi="宋体" w:cs="宋体"/>
        </w:rPr>
        <w:t xml:space="preserve">1. </w:t>
      </w:r>
      <w:r>
        <w:rPr>
          <w:rFonts w:hint="eastAsia" w:ascii="宋体" w:hAnsi="宋体" w:cs="宋体"/>
          <w:spacing w:val="-3"/>
          <w:szCs w:val="21"/>
        </w:rPr>
        <w:t>投标人</w:t>
      </w:r>
      <w:r>
        <w:rPr>
          <w:rFonts w:hint="eastAsia" w:ascii="宋体" w:hAnsi="宋体" w:cs="宋体"/>
          <w:spacing w:val="-3"/>
          <w:szCs w:val="21"/>
          <w:lang w:val="en-US" w:eastAsia="zh-CN"/>
        </w:rPr>
        <w:t>应</w:t>
      </w:r>
      <w:r>
        <w:rPr>
          <w:rFonts w:hint="eastAsia" w:ascii="宋体" w:hAnsi="宋体" w:cs="宋体"/>
          <w:spacing w:val="-3"/>
          <w:szCs w:val="21"/>
        </w:rPr>
        <w:t>在</w:t>
      </w:r>
      <w:r>
        <w:rPr>
          <w:rFonts w:hint="eastAsia" w:ascii="宋体" w:hAnsi="宋体" w:cs="宋体"/>
          <w:spacing w:val="-3"/>
          <w:szCs w:val="21"/>
          <w:lang w:val="en-US" w:eastAsia="zh-CN"/>
        </w:rPr>
        <w:t>本</w:t>
      </w:r>
      <w:r>
        <w:rPr>
          <w:rFonts w:hint="eastAsia" w:ascii="宋体" w:hAnsi="宋体" w:cs="宋体"/>
          <w:spacing w:val="-3"/>
          <w:szCs w:val="21"/>
        </w:rPr>
        <w:t>表后提供相关业绩证明材料</w:t>
      </w:r>
      <w:r>
        <w:rPr>
          <w:rFonts w:hint="eastAsia" w:ascii="宋体" w:hAnsi="宋体" w:cs="宋体"/>
          <w:spacing w:val="-3"/>
        </w:rPr>
        <w:t>附件</w:t>
      </w:r>
      <w:r>
        <w:rPr>
          <w:rFonts w:ascii="宋体" w:hAnsi="宋体" w:cs="宋体"/>
        </w:rPr>
        <w:t>C1</w:t>
      </w:r>
      <w:r>
        <w:rPr>
          <w:rFonts w:hint="eastAsia" w:ascii="宋体" w:hAnsi="宋体" w:cs="宋体"/>
        </w:rPr>
        <w:t>-</w:t>
      </w:r>
      <w:r>
        <w:rPr>
          <w:rFonts w:ascii="宋体" w:hAnsi="宋体" w:cs="宋体"/>
        </w:rPr>
        <w:t>6</w:t>
      </w:r>
      <w:r>
        <w:rPr>
          <w:rFonts w:hint="eastAsia" w:ascii="宋体" w:hAnsi="宋体" w:cs="宋体"/>
        </w:rPr>
        <w:t>系列（其他工程：</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勘察设计项目业绩）：</w:t>
      </w:r>
    </w:p>
    <w:p w14:paraId="2AF94263">
      <w:pPr>
        <w:wordWrap w:val="0"/>
        <w:topLinePunct/>
        <w:spacing w:line="300" w:lineRule="exact"/>
        <w:ind w:left="598" w:leftChars="285"/>
        <w:rPr>
          <w:rFonts w:hint="eastAsia" w:ascii="宋体" w:hAnsi="宋体" w:cs="宋体"/>
          <w:spacing w:val="-3"/>
        </w:rPr>
      </w:pPr>
      <w:r>
        <w:rPr>
          <w:rFonts w:hint="eastAsia" w:ascii="宋体" w:hAnsi="宋体" w:cs="宋体"/>
          <w:b/>
          <w:bCs/>
          <w:szCs w:val="21"/>
        </w:rPr>
        <w:sym w:font="Wingdings 2" w:char="00A3"/>
      </w:r>
      <w:r>
        <w:rPr>
          <w:rFonts w:hint="eastAsia" w:ascii="宋体" w:hAnsi="宋体" w:cs="宋体"/>
          <w:b/>
          <w:bCs/>
          <w:szCs w:val="21"/>
        </w:rPr>
        <w:t xml:space="preserve"> </w:t>
      </w:r>
      <w:r>
        <w:rPr>
          <w:rFonts w:hint="eastAsia" w:ascii="宋体" w:hAnsi="宋体" w:cs="宋体"/>
          <w:spacing w:val="-3"/>
        </w:rPr>
        <w:t>在交通运输部“全国公路建设市场监督管理系统”中查询到的企业“业绩信息”相关项目网页截图（</w:t>
      </w:r>
      <w:r>
        <w:rPr>
          <w:rStyle w:val="59"/>
          <w:rFonts w:hint="eastAsia" w:ascii="宋体" w:hAnsi="宋体" w:cs="宋体"/>
          <w:vertAlign w:val="baseline"/>
        </w:rPr>
        <w:t>仅适用于根据《关于发布公路工程从业企业资质名录的通知》（厅公路字〔2011〕114号）要求，招标人应通过名录对投标人资质条件进行审核的公路工程设计企业。</w:t>
      </w:r>
      <w:r>
        <w:rPr>
          <w:rFonts w:hint="eastAsia" w:ascii="宋体" w:hAnsi="宋体" w:cs="宋体"/>
          <w:szCs w:val="21"/>
        </w:rPr>
        <w:t>否则，招标人可对相关业绩提出其他证明材料要求</w:t>
      </w:r>
      <w:r>
        <w:rPr>
          <w:rFonts w:hint="eastAsia" w:ascii="宋体" w:hAnsi="宋体" w:cs="宋体"/>
          <w:spacing w:val="-3"/>
        </w:rPr>
        <w:t>）。</w:t>
      </w:r>
      <w:r>
        <w:rPr>
          <w:rFonts w:hint="eastAsia" w:ascii="宋体" w:hAnsi="宋体" w:cs="宋体"/>
          <w:spacing w:val="-3"/>
        </w:rPr>
        <w:sym w:font="Wingdings 2" w:char="00A3"/>
      </w:r>
      <w:r>
        <w:rPr>
          <w:rFonts w:hint="eastAsia" w:ascii="宋体" w:hAnsi="宋体" w:cs="宋体"/>
          <w:spacing w:val="-3"/>
        </w:rPr>
        <w:t>或</w:t>
      </w:r>
    </w:p>
    <w:p w14:paraId="57C75F4F">
      <w:pPr>
        <w:spacing w:line="300" w:lineRule="exact"/>
        <w:ind w:left="598" w:leftChars="285"/>
        <w:rPr>
          <w:rFonts w:ascii="宋体" w:hAnsi="宋体" w:cs="宋体"/>
        </w:rPr>
      </w:pPr>
      <w:r>
        <w:rPr>
          <w:rFonts w:hint="eastAsia"/>
          <w:b/>
          <w:bCs/>
          <w:szCs w:val="21"/>
        </w:rPr>
        <w:t xml:space="preserve">□ </w:t>
      </w:r>
      <w:r>
        <w:rPr>
          <w:rFonts w:hint="eastAsia" w:ascii="宋体" w:hAnsi="宋体"/>
          <w:szCs w:val="21"/>
        </w:rPr>
        <w:t>合同协议书和业主（发包人）证明材料（仅适用于尚未在</w:t>
      </w:r>
      <w:r>
        <w:rPr>
          <w:rFonts w:ascii="宋体" w:hAnsi="宋体"/>
          <w:szCs w:val="21"/>
        </w:rPr>
        <w:t>交通运输部“全国公路建设市场</w:t>
      </w:r>
      <w:r>
        <w:rPr>
          <w:rFonts w:hint="eastAsia" w:ascii="宋体" w:hAnsi="宋体"/>
          <w:szCs w:val="21"/>
        </w:rPr>
        <w:t>监督</w:t>
      </w:r>
      <w:r>
        <w:rPr>
          <w:rFonts w:ascii="宋体" w:hAnsi="宋体"/>
          <w:szCs w:val="21"/>
        </w:rPr>
        <w:t>管理系统”中登记</w:t>
      </w:r>
      <w:r>
        <w:rPr>
          <w:rFonts w:hint="eastAsia" w:ascii="宋体" w:hAnsi="宋体"/>
        </w:rPr>
        <w:t>二级、三级公路</w:t>
      </w:r>
      <w:r>
        <w:rPr>
          <w:rFonts w:ascii="宋体" w:hAnsi="宋体"/>
        </w:rPr>
        <w:t>工程项目</w:t>
      </w:r>
      <w:r>
        <w:rPr>
          <w:rFonts w:hint="eastAsia" w:ascii="宋体" w:hAnsi="宋体"/>
          <w:szCs w:val="21"/>
        </w:rPr>
        <w:t>）。</w:t>
      </w:r>
    </w:p>
    <w:p w14:paraId="0E392991">
      <w:pPr>
        <w:widowControl/>
        <w:spacing w:line="300" w:lineRule="exact"/>
        <w:ind w:left="598" w:leftChars="285"/>
        <w:jc w:val="left"/>
        <w:rPr>
          <w:rFonts w:ascii="宋体" w:hAnsi="宋体" w:cs="宋体"/>
        </w:rPr>
      </w:pPr>
      <w:r>
        <w:rPr>
          <w:rFonts w:hint="eastAsia"/>
          <w:b/>
          <w:bCs/>
          <w:szCs w:val="21"/>
        </w:rPr>
        <w:t xml:space="preserve">□ </w:t>
      </w:r>
      <w:r>
        <w:rPr>
          <w:rFonts w:hint="eastAsia" w:ascii="宋体" w:hAnsi="宋体" w:cs="宋体"/>
          <w:szCs w:val="21"/>
        </w:rPr>
        <w:t>房建工程</w:t>
      </w:r>
      <w:r>
        <w:rPr>
          <w:rFonts w:hint="eastAsia" w:ascii="宋体" w:hAnsi="宋体" w:cs="宋体"/>
          <w:szCs w:val="21"/>
          <w:lang w:val="en-US" w:eastAsia="zh-CN"/>
        </w:rPr>
        <w:t>或市政</w:t>
      </w:r>
      <w:r>
        <w:rPr>
          <w:rFonts w:hint="eastAsia" w:ascii="宋体" w:hAnsi="宋体" w:cs="宋体"/>
          <w:szCs w:val="21"/>
        </w:rPr>
        <w:t>类勘察设计项目，可为</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spacing w:val="-3"/>
        </w:rPr>
        <w:t>网页截图。</w:t>
      </w:r>
    </w:p>
    <w:p w14:paraId="6C10B0CA">
      <w:pPr>
        <w:spacing w:line="300" w:lineRule="exact"/>
        <w:ind w:firstLine="408" w:firstLineChars="200"/>
        <w:rPr>
          <w:rFonts w:ascii="宋体" w:hAnsi="宋体" w:cs="宋体"/>
          <w:spacing w:val="-3"/>
        </w:rPr>
      </w:pPr>
      <w:r>
        <w:rPr>
          <w:rFonts w:hint="eastAsia" w:ascii="宋体" w:hAnsi="宋体" w:cs="宋体"/>
          <w:spacing w:val="-3"/>
        </w:rPr>
        <w:t>2.因投标人自身原因未提供附件或提供的附件不能与所证明的内容相匹配，造成业绩或其他内容不予认可时，投标人自行承担相关责任。</w:t>
      </w:r>
    </w:p>
    <w:p w14:paraId="0E7FE8D3">
      <w:pPr>
        <w:spacing w:line="300" w:lineRule="exact"/>
        <w:ind w:firstLine="408" w:firstLineChars="200"/>
        <w:rPr>
          <w:rFonts w:ascii="宋体" w:hAnsi="宋体" w:cs="宋体"/>
          <w:spacing w:val="-3"/>
        </w:rPr>
      </w:pPr>
      <w:r>
        <w:rPr>
          <w:rFonts w:hint="eastAsia" w:ascii="宋体" w:hAnsi="宋体" w:cs="宋体"/>
          <w:spacing w:val="-3"/>
        </w:rPr>
        <w:t>3</w:t>
      </w:r>
      <w:r>
        <w:rPr>
          <w:rFonts w:hint="eastAsia" w:ascii="宋体" w:hAnsi="宋体"/>
          <w:spacing w:val="-3"/>
        </w:rPr>
        <w:t>.</w:t>
      </w:r>
      <w:r>
        <w:rPr>
          <w:rFonts w:hint="eastAsia" w:ascii="宋体" w:hAnsi="宋体" w:cs="宋体"/>
          <w:spacing w:val="-3"/>
        </w:rPr>
        <w:t>如近年来，投标人法人机构发生合法变更或重组或法人名称变更时，应提供相关部门的合</w:t>
      </w:r>
      <w:r>
        <w:rPr>
          <w:rFonts w:hint="eastAsia" w:ascii="宋体" w:hAnsi="宋体" w:cs="宋体"/>
        </w:rPr>
        <w:t>法批件或其他相</w:t>
      </w:r>
      <w:r>
        <w:rPr>
          <w:rFonts w:hint="eastAsia" w:ascii="宋体" w:hAnsi="宋体" w:cs="宋体"/>
          <w:spacing w:val="-3"/>
        </w:rPr>
        <w:t>关证明材料来证明其所附业绩的继承性。</w:t>
      </w:r>
    </w:p>
    <w:p w14:paraId="43AA8960">
      <w:pPr>
        <w:spacing w:line="300" w:lineRule="exact"/>
        <w:ind w:firstLine="420" w:firstLineChars="200"/>
        <w:rPr>
          <w:rFonts w:ascii="宋体" w:hAnsi="宋体"/>
          <w:szCs w:val="21"/>
        </w:rPr>
      </w:pPr>
      <w:r>
        <w:rPr>
          <w:rFonts w:hint="eastAsia" w:ascii="宋体" w:hAnsi="宋体" w:cs="宋体"/>
        </w:rPr>
        <w:t>4</w:t>
      </w:r>
      <w:r>
        <w:rPr>
          <w:rFonts w:hint="eastAsia" w:ascii="宋体" w:hAnsi="宋体" w:cs="宋体"/>
          <w:spacing w:val="-3"/>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批复日期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的格式统一以阿拉伯数字表示。如：2021年5月1日，填写为20210501；2021年5月，填写为202105。</w:t>
      </w:r>
    </w:p>
    <w:p w14:paraId="6F014331">
      <w:pPr>
        <w:spacing w:line="300" w:lineRule="exact"/>
        <w:ind w:left="603" w:leftChars="190" w:hanging="204" w:hangingChars="100"/>
        <w:rPr>
          <w:rFonts w:ascii="宋体" w:hAnsi="宋体" w:cs="宋体"/>
        </w:rPr>
      </w:pPr>
      <w:r>
        <w:rPr>
          <w:rFonts w:hint="eastAsia" w:ascii="宋体" w:hAnsi="宋体" w:cs="宋体"/>
          <w:spacing w:val="-3"/>
        </w:rPr>
        <w:t>5.</w:t>
      </w:r>
      <w:r>
        <w:rPr>
          <w:rFonts w:hint="eastAsia" w:ascii="宋体" w:hAnsi="宋体" w:cs="宋体"/>
          <w:szCs w:val="21"/>
        </w:rPr>
        <w:t>允许联合体投标时，若</w:t>
      </w:r>
      <w:r>
        <w:rPr>
          <w:rFonts w:hint="eastAsia" w:ascii="宋体" w:hAnsi="宋体" w:cs="宋体"/>
          <w:spacing w:val="-3"/>
        </w:rPr>
        <w:t>以联合体形式投标的，</w:t>
      </w:r>
      <w:r>
        <w:rPr>
          <w:rFonts w:hint="eastAsia" w:ascii="宋体" w:hAnsi="宋体" w:cs="宋体"/>
        </w:rPr>
        <w:t>联合体各成员应按照第二章“投标人须知”前附表附录2资格审查条件要求的对应业绩及第三章“评标办法”详细评审打分条件（如有）填写本表。</w:t>
      </w:r>
    </w:p>
    <w:p w14:paraId="2C343002">
      <w:pPr>
        <w:spacing w:line="300" w:lineRule="exact"/>
        <w:ind w:left="603" w:leftChars="190" w:hanging="204" w:hangingChars="100"/>
        <w:rPr>
          <w:rFonts w:ascii="宋体" w:hAnsi="宋体" w:cs="宋体"/>
          <w:spacing w:val="-3"/>
        </w:rPr>
      </w:pPr>
      <w:r>
        <w:rPr>
          <w:rFonts w:ascii="宋体" w:hAnsi="宋体" w:cs="宋体"/>
          <w:spacing w:val="-3"/>
        </w:rPr>
        <w:t xml:space="preserve">6. </w:t>
      </w:r>
      <w:r>
        <w:rPr>
          <w:rFonts w:hint="eastAsia" w:ascii="宋体" w:hAnsi="宋体" w:cs="宋体"/>
          <w:spacing w:val="-3"/>
        </w:rPr>
        <w:t>工作内容可为选择项中的一项或多项，未选择的项，视为不含该项内容；也可采用描述的方式对主要工作内容进行阐述。</w:t>
      </w:r>
    </w:p>
    <w:p w14:paraId="791778D1">
      <w:pPr>
        <w:pStyle w:val="20"/>
        <w:kinsoku w:val="0"/>
        <w:overflowPunct w:val="0"/>
        <w:spacing w:before="44" w:line="360" w:lineRule="auto"/>
        <w:jc w:val="center"/>
        <w:rPr>
          <w:rFonts w:ascii="黑体" w:hAnsi="黑体" w:eastAsia="黑体" w:cs="宋体"/>
        </w:rPr>
      </w:pPr>
      <w:r>
        <w:rPr>
          <w:rFonts w:ascii="黑体" w:hAnsi="黑体" w:eastAsia="黑体" w:cs="宋体"/>
        </w:rPr>
        <w:br w:type="page"/>
      </w:r>
    </w:p>
    <w:p w14:paraId="75755CF0">
      <w:pPr>
        <w:pStyle w:val="20"/>
        <w:kinsoku w:val="0"/>
        <w:overflowPunct w:val="0"/>
        <w:spacing w:before="44" w:line="360" w:lineRule="auto"/>
        <w:jc w:val="center"/>
        <w:rPr>
          <w:rFonts w:cs="黑体"/>
        </w:rPr>
      </w:pPr>
      <w:r>
        <w:rPr>
          <w:rFonts w:ascii="黑体" w:hAnsi="黑体" w:eastAsia="黑体" w:cs="宋体"/>
        </w:rPr>
        <w:t xml:space="preserve">2. </w:t>
      </w:r>
      <w:r>
        <w:rPr>
          <w:rFonts w:hint="eastAsia" w:ascii="黑体" w:hAnsi="黑体" w:eastAsia="黑体" w:cs="宋体"/>
        </w:rPr>
        <w:t>施工</w:t>
      </w:r>
      <w:r>
        <w:rPr>
          <w:rFonts w:ascii="黑体" w:hAnsi="黑体" w:eastAsia="黑体" w:cs="宋体"/>
        </w:rPr>
        <w:t>类似项目情况表</w:t>
      </w:r>
    </w:p>
    <w:p w14:paraId="34A6596D">
      <w:pPr>
        <w:spacing w:line="360" w:lineRule="auto"/>
        <w:jc w:val="center"/>
        <w:rPr>
          <w:rFonts w:ascii="黑体" w:hAnsi="黑体" w:eastAsia="黑体" w:cs="宋体"/>
          <w:sz w:val="24"/>
        </w:rPr>
      </w:pPr>
      <w:r>
        <w:rPr>
          <w:rFonts w:hint="eastAsia" w:ascii="黑体" w:hAnsi="黑体" w:eastAsia="黑体" w:cs="宋体"/>
          <w:b/>
          <w:sz w:val="24"/>
        </w:rPr>
        <w:t xml:space="preserve"> </w:t>
      </w:r>
      <w:r>
        <w:rPr>
          <w:rFonts w:ascii="黑体" w:hAnsi="黑体" w:eastAsia="黑体" w:cs="宋体"/>
          <w:b/>
          <w:sz w:val="24"/>
        </w:rPr>
        <w:t xml:space="preserve">                </w:t>
      </w:r>
      <w:r>
        <w:rPr>
          <w:rFonts w:hint="eastAsia" w:ascii="黑体" w:hAnsi="黑体" w:eastAsia="黑体" w:cs="宋体"/>
          <w:b/>
          <w:sz w:val="24"/>
        </w:rPr>
        <w:t xml:space="preserve">           </w:t>
      </w:r>
      <w:r>
        <w:rPr>
          <w:rFonts w:ascii="黑体" w:hAnsi="黑体" w:eastAsia="黑体" w:cs="宋体"/>
          <w:b/>
          <w:sz w:val="24"/>
        </w:rPr>
        <w:t xml:space="preserve">   </w:t>
      </w: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公路路基土建工程施工情况</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表</w:t>
      </w:r>
      <w:r>
        <w:rPr>
          <w:rFonts w:ascii="黑体" w:hAnsi="黑体" w:eastAsia="黑体" w:cs="宋体"/>
          <w:sz w:val="24"/>
        </w:rPr>
        <w:t>2-1</w:t>
      </w:r>
    </w:p>
    <w:tbl>
      <w:tblPr>
        <w:tblStyle w:val="49"/>
        <w:tblW w:w="13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169"/>
        <w:gridCol w:w="1741"/>
        <w:gridCol w:w="713"/>
        <w:gridCol w:w="1142"/>
        <w:gridCol w:w="886"/>
        <w:gridCol w:w="938"/>
        <w:gridCol w:w="937"/>
        <w:gridCol w:w="1071"/>
        <w:gridCol w:w="937"/>
        <w:gridCol w:w="1013"/>
        <w:gridCol w:w="829"/>
        <w:gridCol w:w="869"/>
        <w:gridCol w:w="1124"/>
      </w:tblGrid>
      <w:tr w14:paraId="66CE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5BB1236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169" w:type="dxa"/>
            <w:tcMar>
              <w:top w:w="0" w:type="dxa"/>
              <w:left w:w="108" w:type="dxa"/>
              <w:bottom w:w="0" w:type="dxa"/>
              <w:right w:w="108" w:type="dxa"/>
            </w:tcMar>
            <w:vAlign w:val="center"/>
          </w:tcPr>
          <w:p w14:paraId="0AE2F75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项目业主</w:t>
            </w:r>
          </w:p>
        </w:tc>
        <w:tc>
          <w:tcPr>
            <w:tcW w:w="1741" w:type="dxa"/>
            <w:tcMar>
              <w:top w:w="0" w:type="dxa"/>
              <w:left w:w="108" w:type="dxa"/>
              <w:bottom w:w="0" w:type="dxa"/>
              <w:right w:w="108" w:type="dxa"/>
            </w:tcMar>
            <w:vAlign w:val="center"/>
          </w:tcPr>
          <w:p w14:paraId="0D4192D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713" w:type="dxa"/>
            <w:vAlign w:val="center"/>
          </w:tcPr>
          <w:p w14:paraId="26CC51B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公路</w:t>
            </w:r>
          </w:p>
          <w:p w14:paraId="0C411D8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1142" w:type="dxa"/>
            <w:tcMar>
              <w:top w:w="0" w:type="dxa"/>
              <w:left w:w="108" w:type="dxa"/>
              <w:bottom w:w="0" w:type="dxa"/>
              <w:right w:w="108" w:type="dxa"/>
            </w:tcMar>
            <w:vAlign w:val="center"/>
          </w:tcPr>
          <w:p w14:paraId="38D93D4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项目建设形式</w:t>
            </w:r>
          </w:p>
        </w:tc>
        <w:tc>
          <w:tcPr>
            <w:tcW w:w="886" w:type="dxa"/>
            <w:tcMar>
              <w:top w:w="0" w:type="dxa"/>
              <w:left w:w="108" w:type="dxa"/>
              <w:bottom w:w="0" w:type="dxa"/>
              <w:right w:w="108" w:type="dxa"/>
            </w:tcMar>
            <w:vAlign w:val="center"/>
          </w:tcPr>
          <w:p w14:paraId="7A096DB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标段号</w:t>
            </w:r>
          </w:p>
        </w:tc>
        <w:tc>
          <w:tcPr>
            <w:tcW w:w="938" w:type="dxa"/>
            <w:vAlign w:val="center"/>
          </w:tcPr>
          <w:p w14:paraId="375138A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w:t>
            </w:r>
          </w:p>
          <w:p w14:paraId="2E06A8A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长度（</w:t>
            </w:r>
            <w:r>
              <w:rPr>
                <w:rFonts w:cs="宋体" w:asciiTheme="minorEastAsia" w:hAnsiTheme="minorEastAsia" w:eastAsiaTheme="minorEastAsia"/>
                <w:szCs w:val="21"/>
              </w:rPr>
              <w:t>km）</w:t>
            </w:r>
          </w:p>
        </w:tc>
        <w:tc>
          <w:tcPr>
            <w:tcW w:w="937" w:type="dxa"/>
            <w:vAlign w:val="center"/>
          </w:tcPr>
          <w:p w14:paraId="0662969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开工日期</w:t>
            </w:r>
          </w:p>
        </w:tc>
        <w:tc>
          <w:tcPr>
            <w:tcW w:w="1071" w:type="dxa"/>
            <w:tcMar>
              <w:top w:w="0" w:type="dxa"/>
              <w:left w:w="108" w:type="dxa"/>
              <w:bottom w:w="0" w:type="dxa"/>
              <w:right w:w="108" w:type="dxa"/>
            </w:tcMar>
            <w:vAlign w:val="center"/>
          </w:tcPr>
          <w:p w14:paraId="17771CD6">
            <w:pPr>
              <w:rPr>
                <w:rFonts w:cs="宋体" w:asciiTheme="minorEastAsia" w:hAnsiTheme="minorEastAsia" w:eastAsiaTheme="minorEastAsia"/>
                <w:szCs w:val="21"/>
              </w:rPr>
            </w:pPr>
            <w:r>
              <w:rPr>
                <w:rFonts w:hint="eastAsia" w:cs="宋体" w:asciiTheme="minorEastAsia" w:hAnsiTheme="minorEastAsia" w:eastAsiaTheme="minorEastAsia"/>
                <w:szCs w:val="21"/>
              </w:rPr>
              <w:t>完成（交工）日期</w:t>
            </w:r>
          </w:p>
        </w:tc>
        <w:tc>
          <w:tcPr>
            <w:tcW w:w="937" w:type="dxa"/>
            <w:vAlign w:val="center"/>
          </w:tcPr>
          <w:p w14:paraId="6F3613E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建设规模</w:t>
            </w:r>
          </w:p>
        </w:tc>
        <w:tc>
          <w:tcPr>
            <w:tcW w:w="1013" w:type="dxa"/>
            <w:tcMar>
              <w:top w:w="0" w:type="dxa"/>
              <w:left w:w="108" w:type="dxa"/>
              <w:bottom w:w="0" w:type="dxa"/>
              <w:right w:w="108" w:type="dxa"/>
            </w:tcMar>
            <w:vAlign w:val="center"/>
          </w:tcPr>
          <w:p w14:paraId="47B33BA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合同价格（元）</w:t>
            </w:r>
          </w:p>
        </w:tc>
        <w:tc>
          <w:tcPr>
            <w:tcW w:w="829" w:type="dxa"/>
            <w:vAlign w:val="center"/>
          </w:tcPr>
          <w:p w14:paraId="56136114">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项目经理</w:t>
            </w:r>
          </w:p>
        </w:tc>
        <w:tc>
          <w:tcPr>
            <w:tcW w:w="869" w:type="dxa"/>
            <w:tcMar>
              <w:top w:w="0" w:type="dxa"/>
              <w:left w:w="108" w:type="dxa"/>
              <w:bottom w:w="0" w:type="dxa"/>
              <w:right w:w="108" w:type="dxa"/>
            </w:tcMar>
            <w:vAlign w:val="center"/>
          </w:tcPr>
          <w:p w14:paraId="5AA613C6">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项目总工</w:t>
            </w:r>
          </w:p>
        </w:tc>
        <w:tc>
          <w:tcPr>
            <w:tcW w:w="1124" w:type="dxa"/>
            <w:vAlign w:val="center"/>
          </w:tcPr>
          <w:p w14:paraId="42E1E5A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业绩证明材料附件</w:t>
            </w:r>
          </w:p>
        </w:tc>
      </w:tr>
      <w:tr w14:paraId="0200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047FD16F">
            <w:pPr>
              <w:jc w:val="center"/>
              <w:rPr>
                <w:rFonts w:cs="宋体" w:asciiTheme="minorEastAsia" w:hAnsiTheme="minorEastAsia" w:eastAsiaTheme="minorEastAsia"/>
                <w:szCs w:val="21"/>
              </w:rPr>
            </w:pPr>
          </w:p>
        </w:tc>
        <w:tc>
          <w:tcPr>
            <w:tcW w:w="1169" w:type="dxa"/>
            <w:tcMar>
              <w:top w:w="0" w:type="dxa"/>
              <w:left w:w="108" w:type="dxa"/>
              <w:bottom w:w="0" w:type="dxa"/>
              <w:right w:w="108" w:type="dxa"/>
            </w:tcMar>
            <w:vAlign w:val="center"/>
          </w:tcPr>
          <w:p w14:paraId="0B1F5E29">
            <w:pPr>
              <w:jc w:val="center"/>
              <w:rPr>
                <w:rFonts w:cs="宋体" w:asciiTheme="minorEastAsia" w:hAnsiTheme="minorEastAsia" w:eastAsiaTheme="minorEastAsia"/>
                <w:szCs w:val="21"/>
              </w:rPr>
            </w:pPr>
          </w:p>
        </w:tc>
        <w:tc>
          <w:tcPr>
            <w:tcW w:w="1741" w:type="dxa"/>
            <w:tcMar>
              <w:top w:w="0" w:type="dxa"/>
              <w:left w:w="108" w:type="dxa"/>
              <w:bottom w:w="0" w:type="dxa"/>
              <w:right w:w="108" w:type="dxa"/>
            </w:tcMar>
            <w:vAlign w:val="center"/>
          </w:tcPr>
          <w:p w14:paraId="4DA02E01">
            <w:pPr>
              <w:jc w:val="center"/>
              <w:rPr>
                <w:rFonts w:cs="宋体" w:asciiTheme="minorEastAsia" w:hAnsiTheme="minorEastAsia" w:eastAsiaTheme="minorEastAsia"/>
                <w:szCs w:val="21"/>
              </w:rPr>
            </w:pPr>
          </w:p>
        </w:tc>
        <w:tc>
          <w:tcPr>
            <w:tcW w:w="713" w:type="dxa"/>
          </w:tcPr>
          <w:p w14:paraId="540AE12F">
            <w:pPr>
              <w:jc w:val="center"/>
              <w:rPr>
                <w:rFonts w:cs="宋体" w:asciiTheme="minorEastAsia" w:hAnsiTheme="minorEastAsia" w:eastAsiaTheme="minorEastAsia"/>
                <w:szCs w:val="21"/>
              </w:rPr>
            </w:pPr>
          </w:p>
        </w:tc>
        <w:tc>
          <w:tcPr>
            <w:tcW w:w="1142" w:type="dxa"/>
            <w:tcMar>
              <w:top w:w="0" w:type="dxa"/>
              <w:left w:w="108" w:type="dxa"/>
              <w:bottom w:w="0" w:type="dxa"/>
              <w:right w:w="108" w:type="dxa"/>
            </w:tcMar>
            <w:vAlign w:val="center"/>
          </w:tcPr>
          <w:p w14:paraId="78CFBDC9">
            <w:pPr>
              <w:widowControl/>
              <w:spacing w:line="280" w:lineRule="exact"/>
              <w:jc w:val="left"/>
              <w:rPr>
                <w:rFonts w:ascii="宋体" w:hAnsi="宋体"/>
                <w:szCs w:val="21"/>
              </w:rPr>
            </w:pPr>
            <w:r>
              <w:rPr>
                <w:rFonts w:hint="eastAsia" w:ascii="宋体" w:hAnsi="宋体"/>
                <w:szCs w:val="21"/>
              </w:rPr>
              <w:t>□新建</w:t>
            </w:r>
          </w:p>
          <w:p w14:paraId="44FAF2D4">
            <w:pPr>
              <w:spacing w:line="280" w:lineRule="exact"/>
              <w:jc w:val="left"/>
              <w:rPr>
                <w:rFonts w:cs="宋体" w:asciiTheme="minorEastAsia" w:hAnsiTheme="minorEastAsia"/>
                <w:szCs w:val="21"/>
              </w:rPr>
            </w:pPr>
            <w:r>
              <w:rPr>
                <w:rFonts w:hint="eastAsia" w:ascii="宋体" w:hAnsi="宋体"/>
                <w:szCs w:val="21"/>
              </w:rPr>
              <w:t>□改扩建</w:t>
            </w:r>
          </w:p>
        </w:tc>
        <w:tc>
          <w:tcPr>
            <w:tcW w:w="886" w:type="dxa"/>
            <w:tcMar>
              <w:top w:w="0" w:type="dxa"/>
              <w:left w:w="108" w:type="dxa"/>
              <w:bottom w:w="0" w:type="dxa"/>
              <w:right w:w="108" w:type="dxa"/>
            </w:tcMar>
            <w:vAlign w:val="center"/>
          </w:tcPr>
          <w:p w14:paraId="742D6E67">
            <w:pPr>
              <w:jc w:val="center"/>
              <w:rPr>
                <w:rFonts w:cs="宋体" w:asciiTheme="minorEastAsia" w:hAnsiTheme="minorEastAsia" w:eastAsiaTheme="minorEastAsia"/>
                <w:szCs w:val="21"/>
              </w:rPr>
            </w:pPr>
          </w:p>
        </w:tc>
        <w:tc>
          <w:tcPr>
            <w:tcW w:w="938" w:type="dxa"/>
            <w:vAlign w:val="center"/>
          </w:tcPr>
          <w:p w14:paraId="535D1DD0">
            <w:pPr>
              <w:jc w:val="center"/>
              <w:rPr>
                <w:rFonts w:cs="宋体" w:asciiTheme="minorEastAsia" w:hAnsiTheme="minorEastAsia" w:eastAsiaTheme="minorEastAsia"/>
                <w:szCs w:val="21"/>
              </w:rPr>
            </w:pPr>
          </w:p>
        </w:tc>
        <w:tc>
          <w:tcPr>
            <w:tcW w:w="937" w:type="dxa"/>
            <w:vAlign w:val="center"/>
          </w:tcPr>
          <w:p w14:paraId="619133E5">
            <w:pPr>
              <w:jc w:val="center"/>
              <w:rPr>
                <w:rFonts w:cs="宋体" w:asciiTheme="minorEastAsia" w:hAnsiTheme="minorEastAsia" w:eastAsiaTheme="minorEastAsia"/>
                <w:szCs w:val="21"/>
              </w:rPr>
            </w:pPr>
          </w:p>
        </w:tc>
        <w:tc>
          <w:tcPr>
            <w:tcW w:w="1071" w:type="dxa"/>
            <w:tcMar>
              <w:top w:w="0" w:type="dxa"/>
              <w:left w:w="108" w:type="dxa"/>
              <w:bottom w:w="0" w:type="dxa"/>
              <w:right w:w="108" w:type="dxa"/>
            </w:tcMar>
            <w:vAlign w:val="center"/>
          </w:tcPr>
          <w:p w14:paraId="0F8BF2A0">
            <w:pPr>
              <w:jc w:val="center"/>
              <w:rPr>
                <w:rFonts w:cs="宋体" w:asciiTheme="minorEastAsia" w:hAnsiTheme="minorEastAsia" w:eastAsiaTheme="minorEastAsia"/>
                <w:szCs w:val="21"/>
              </w:rPr>
            </w:pPr>
          </w:p>
        </w:tc>
        <w:tc>
          <w:tcPr>
            <w:tcW w:w="937" w:type="dxa"/>
            <w:vAlign w:val="center"/>
          </w:tcPr>
          <w:p w14:paraId="56FB76BE">
            <w:pPr>
              <w:jc w:val="center"/>
              <w:rPr>
                <w:rFonts w:cs="宋体" w:asciiTheme="minorEastAsia" w:hAnsiTheme="minorEastAsia" w:eastAsiaTheme="minorEastAsia"/>
                <w:szCs w:val="21"/>
              </w:rPr>
            </w:pPr>
          </w:p>
        </w:tc>
        <w:tc>
          <w:tcPr>
            <w:tcW w:w="1013" w:type="dxa"/>
            <w:tcMar>
              <w:top w:w="0" w:type="dxa"/>
              <w:left w:w="108" w:type="dxa"/>
              <w:bottom w:w="0" w:type="dxa"/>
              <w:right w:w="108" w:type="dxa"/>
            </w:tcMar>
            <w:vAlign w:val="center"/>
          </w:tcPr>
          <w:p w14:paraId="6344EEB7">
            <w:pPr>
              <w:jc w:val="center"/>
              <w:rPr>
                <w:rFonts w:cs="宋体" w:asciiTheme="minorEastAsia" w:hAnsiTheme="minorEastAsia" w:eastAsiaTheme="minorEastAsia"/>
                <w:szCs w:val="21"/>
              </w:rPr>
            </w:pPr>
          </w:p>
        </w:tc>
        <w:tc>
          <w:tcPr>
            <w:tcW w:w="829" w:type="dxa"/>
            <w:vAlign w:val="center"/>
          </w:tcPr>
          <w:p w14:paraId="78C5722A">
            <w:pPr>
              <w:jc w:val="center"/>
              <w:rPr>
                <w:rFonts w:cs="宋体" w:asciiTheme="minorEastAsia" w:hAnsiTheme="minorEastAsia" w:eastAsiaTheme="minorEastAsia"/>
                <w:szCs w:val="21"/>
              </w:rPr>
            </w:pPr>
          </w:p>
        </w:tc>
        <w:tc>
          <w:tcPr>
            <w:tcW w:w="869" w:type="dxa"/>
            <w:tcMar>
              <w:top w:w="0" w:type="dxa"/>
              <w:left w:w="108" w:type="dxa"/>
              <w:bottom w:w="0" w:type="dxa"/>
              <w:right w:w="108" w:type="dxa"/>
            </w:tcMar>
            <w:vAlign w:val="center"/>
          </w:tcPr>
          <w:p w14:paraId="0C5E0BF6">
            <w:pPr>
              <w:jc w:val="center"/>
              <w:rPr>
                <w:rFonts w:cs="宋体" w:asciiTheme="minorEastAsia" w:hAnsiTheme="minorEastAsia" w:eastAsiaTheme="minorEastAsia"/>
                <w:szCs w:val="21"/>
              </w:rPr>
            </w:pPr>
          </w:p>
        </w:tc>
        <w:tc>
          <w:tcPr>
            <w:tcW w:w="1124" w:type="dxa"/>
            <w:vAlign w:val="center"/>
          </w:tcPr>
          <w:p w14:paraId="213E6BE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1.1</w:t>
            </w:r>
          </w:p>
        </w:tc>
      </w:tr>
      <w:tr w14:paraId="21DC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68D2377E">
            <w:pPr>
              <w:jc w:val="center"/>
              <w:rPr>
                <w:rFonts w:cs="宋体" w:asciiTheme="minorEastAsia" w:hAnsiTheme="minorEastAsia" w:eastAsiaTheme="minorEastAsia"/>
                <w:szCs w:val="21"/>
              </w:rPr>
            </w:pPr>
          </w:p>
        </w:tc>
        <w:tc>
          <w:tcPr>
            <w:tcW w:w="1169" w:type="dxa"/>
            <w:tcMar>
              <w:top w:w="0" w:type="dxa"/>
              <w:left w:w="108" w:type="dxa"/>
              <w:bottom w:w="0" w:type="dxa"/>
              <w:right w:w="108" w:type="dxa"/>
            </w:tcMar>
            <w:vAlign w:val="center"/>
          </w:tcPr>
          <w:p w14:paraId="311BFC73">
            <w:pPr>
              <w:jc w:val="center"/>
              <w:rPr>
                <w:rFonts w:cs="宋体" w:asciiTheme="minorEastAsia" w:hAnsiTheme="minorEastAsia" w:eastAsiaTheme="minorEastAsia"/>
                <w:szCs w:val="21"/>
              </w:rPr>
            </w:pPr>
          </w:p>
        </w:tc>
        <w:tc>
          <w:tcPr>
            <w:tcW w:w="1741" w:type="dxa"/>
            <w:tcMar>
              <w:top w:w="0" w:type="dxa"/>
              <w:left w:w="108" w:type="dxa"/>
              <w:bottom w:w="0" w:type="dxa"/>
              <w:right w:w="108" w:type="dxa"/>
            </w:tcMar>
            <w:vAlign w:val="center"/>
          </w:tcPr>
          <w:p w14:paraId="655BFDAE">
            <w:pPr>
              <w:jc w:val="center"/>
              <w:rPr>
                <w:rFonts w:cs="宋体" w:asciiTheme="minorEastAsia" w:hAnsiTheme="minorEastAsia" w:eastAsiaTheme="minorEastAsia"/>
                <w:szCs w:val="21"/>
              </w:rPr>
            </w:pPr>
          </w:p>
        </w:tc>
        <w:tc>
          <w:tcPr>
            <w:tcW w:w="713" w:type="dxa"/>
          </w:tcPr>
          <w:p w14:paraId="567ADDF1">
            <w:pPr>
              <w:jc w:val="center"/>
              <w:rPr>
                <w:rFonts w:cs="宋体" w:asciiTheme="minorEastAsia" w:hAnsiTheme="minorEastAsia" w:eastAsiaTheme="minorEastAsia"/>
                <w:szCs w:val="21"/>
              </w:rPr>
            </w:pPr>
          </w:p>
        </w:tc>
        <w:tc>
          <w:tcPr>
            <w:tcW w:w="1142" w:type="dxa"/>
            <w:tcMar>
              <w:top w:w="0" w:type="dxa"/>
              <w:left w:w="108" w:type="dxa"/>
              <w:bottom w:w="0" w:type="dxa"/>
              <w:right w:w="108" w:type="dxa"/>
            </w:tcMar>
            <w:vAlign w:val="center"/>
          </w:tcPr>
          <w:p w14:paraId="7B1436FA">
            <w:pPr>
              <w:widowControl/>
              <w:spacing w:line="280" w:lineRule="exact"/>
              <w:jc w:val="left"/>
              <w:rPr>
                <w:rFonts w:ascii="宋体" w:hAnsi="宋体"/>
                <w:szCs w:val="21"/>
              </w:rPr>
            </w:pPr>
            <w:r>
              <w:rPr>
                <w:rFonts w:hint="eastAsia" w:ascii="宋体" w:hAnsi="宋体"/>
                <w:szCs w:val="21"/>
              </w:rPr>
              <w:t>□新建</w:t>
            </w:r>
          </w:p>
          <w:p w14:paraId="7A47A3F9">
            <w:pPr>
              <w:spacing w:line="280" w:lineRule="exact"/>
              <w:jc w:val="left"/>
              <w:rPr>
                <w:rFonts w:cs="宋体" w:asciiTheme="minorEastAsia" w:hAnsiTheme="minorEastAsia" w:eastAsiaTheme="minorEastAsia"/>
                <w:szCs w:val="21"/>
              </w:rPr>
            </w:pPr>
            <w:r>
              <w:rPr>
                <w:rFonts w:hint="eastAsia" w:ascii="宋体" w:hAnsi="宋体"/>
                <w:szCs w:val="21"/>
              </w:rPr>
              <w:t>□改扩建</w:t>
            </w:r>
          </w:p>
        </w:tc>
        <w:tc>
          <w:tcPr>
            <w:tcW w:w="886" w:type="dxa"/>
            <w:tcMar>
              <w:top w:w="0" w:type="dxa"/>
              <w:left w:w="108" w:type="dxa"/>
              <w:bottom w:w="0" w:type="dxa"/>
              <w:right w:w="108" w:type="dxa"/>
            </w:tcMar>
            <w:vAlign w:val="center"/>
          </w:tcPr>
          <w:p w14:paraId="192E117F">
            <w:pPr>
              <w:jc w:val="center"/>
              <w:rPr>
                <w:rFonts w:cs="宋体" w:asciiTheme="minorEastAsia" w:hAnsiTheme="minorEastAsia" w:eastAsiaTheme="minorEastAsia"/>
                <w:szCs w:val="21"/>
              </w:rPr>
            </w:pPr>
          </w:p>
        </w:tc>
        <w:tc>
          <w:tcPr>
            <w:tcW w:w="938" w:type="dxa"/>
            <w:vAlign w:val="center"/>
          </w:tcPr>
          <w:p w14:paraId="3A5760F1">
            <w:pPr>
              <w:jc w:val="center"/>
              <w:rPr>
                <w:rFonts w:cs="宋体" w:asciiTheme="minorEastAsia" w:hAnsiTheme="minorEastAsia" w:eastAsiaTheme="minorEastAsia"/>
                <w:szCs w:val="21"/>
              </w:rPr>
            </w:pPr>
          </w:p>
        </w:tc>
        <w:tc>
          <w:tcPr>
            <w:tcW w:w="937" w:type="dxa"/>
            <w:vAlign w:val="center"/>
          </w:tcPr>
          <w:p w14:paraId="232D1AE8">
            <w:pPr>
              <w:jc w:val="center"/>
              <w:rPr>
                <w:rFonts w:cs="宋体" w:asciiTheme="minorEastAsia" w:hAnsiTheme="minorEastAsia" w:eastAsiaTheme="minorEastAsia"/>
                <w:szCs w:val="21"/>
              </w:rPr>
            </w:pPr>
          </w:p>
        </w:tc>
        <w:tc>
          <w:tcPr>
            <w:tcW w:w="1071" w:type="dxa"/>
            <w:tcMar>
              <w:top w:w="0" w:type="dxa"/>
              <w:left w:w="108" w:type="dxa"/>
              <w:bottom w:w="0" w:type="dxa"/>
              <w:right w:w="108" w:type="dxa"/>
            </w:tcMar>
            <w:vAlign w:val="center"/>
          </w:tcPr>
          <w:p w14:paraId="36E28BAD">
            <w:pPr>
              <w:jc w:val="center"/>
              <w:rPr>
                <w:rFonts w:cs="宋体" w:asciiTheme="minorEastAsia" w:hAnsiTheme="minorEastAsia" w:eastAsiaTheme="minorEastAsia"/>
                <w:szCs w:val="21"/>
              </w:rPr>
            </w:pPr>
          </w:p>
        </w:tc>
        <w:tc>
          <w:tcPr>
            <w:tcW w:w="937" w:type="dxa"/>
            <w:vAlign w:val="center"/>
          </w:tcPr>
          <w:p w14:paraId="62780AF5">
            <w:pPr>
              <w:jc w:val="center"/>
              <w:rPr>
                <w:rFonts w:cs="宋体" w:asciiTheme="minorEastAsia" w:hAnsiTheme="minorEastAsia" w:eastAsiaTheme="minorEastAsia"/>
                <w:szCs w:val="21"/>
              </w:rPr>
            </w:pPr>
          </w:p>
        </w:tc>
        <w:tc>
          <w:tcPr>
            <w:tcW w:w="1013" w:type="dxa"/>
            <w:tcMar>
              <w:top w:w="0" w:type="dxa"/>
              <w:left w:w="108" w:type="dxa"/>
              <w:bottom w:w="0" w:type="dxa"/>
              <w:right w:w="108" w:type="dxa"/>
            </w:tcMar>
            <w:vAlign w:val="center"/>
          </w:tcPr>
          <w:p w14:paraId="5FBF3ED6">
            <w:pPr>
              <w:jc w:val="center"/>
              <w:rPr>
                <w:rFonts w:cs="宋体" w:asciiTheme="minorEastAsia" w:hAnsiTheme="minorEastAsia" w:eastAsiaTheme="minorEastAsia"/>
                <w:szCs w:val="21"/>
              </w:rPr>
            </w:pPr>
          </w:p>
        </w:tc>
        <w:tc>
          <w:tcPr>
            <w:tcW w:w="829" w:type="dxa"/>
            <w:vAlign w:val="center"/>
          </w:tcPr>
          <w:p w14:paraId="4887BC18">
            <w:pPr>
              <w:jc w:val="center"/>
              <w:rPr>
                <w:rFonts w:cs="宋体" w:asciiTheme="minorEastAsia" w:hAnsiTheme="minorEastAsia" w:eastAsiaTheme="minorEastAsia"/>
                <w:szCs w:val="21"/>
              </w:rPr>
            </w:pPr>
          </w:p>
        </w:tc>
        <w:tc>
          <w:tcPr>
            <w:tcW w:w="869" w:type="dxa"/>
            <w:tcMar>
              <w:top w:w="0" w:type="dxa"/>
              <w:left w:w="108" w:type="dxa"/>
              <w:bottom w:w="0" w:type="dxa"/>
              <w:right w:w="108" w:type="dxa"/>
            </w:tcMar>
            <w:vAlign w:val="center"/>
          </w:tcPr>
          <w:p w14:paraId="26FAD49B">
            <w:pPr>
              <w:jc w:val="center"/>
              <w:rPr>
                <w:rFonts w:cs="宋体" w:asciiTheme="minorEastAsia" w:hAnsiTheme="minorEastAsia" w:eastAsiaTheme="minorEastAsia"/>
                <w:szCs w:val="21"/>
              </w:rPr>
            </w:pPr>
          </w:p>
        </w:tc>
        <w:tc>
          <w:tcPr>
            <w:tcW w:w="1124" w:type="dxa"/>
            <w:vAlign w:val="center"/>
          </w:tcPr>
          <w:p w14:paraId="56AC03F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1.2</w:t>
            </w:r>
          </w:p>
        </w:tc>
      </w:tr>
      <w:tr w14:paraId="7BEC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62" w:type="dxa"/>
            <w:vAlign w:val="center"/>
          </w:tcPr>
          <w:p w14:paraId="58F551F8">
            <w:pPr>
              <w:jc w:val="center"/>
              <w:rPr>
                <w:rFonts w:cs="宋体" w:asciiTheme="minorEastAsia" w:hAnsiTheme="minorEastAsia" w:eastAsiaTheme="minorEastAsia"/>
                <w:szCs w:val="21"/>
              </w:rPr>
            </w:pPr>
          </w:p>
        </w:tc>
        <w:tc>
          <w:tcPr>
            <w:tcW w:w="1169" w:type="dxa"/>
            <w:tcMar>
              <w:top w:w="0" w:type="dxa"/>
              <w:left w:w="108" w:type="dxa"/>
              <w:bottom w:w="0" w:type="dxa"/>
              <w:right w:w="108" w:type="dxa"/>
            </w:tcMar>
            <w:vAlign w:val="center"/>
          </w:tcPr>
          <w:p w14:paraId="3D7505BA">
            <w:pPr>
              <w:jc w:val="center"/>
              <w:rPr>
                <w:rFonts w:cs="宋体" w:asciiTheme="minorEastAsia" w:hAnsiTheme="minorEastAsia" w:eastAsiaTheme="minorEastAsia"/>
                <w:szCs w:val="21"/>
              </w:rPr>
            </w:pPr>
          </w:p>
        </w:tc>
        <w:tc>
          <w:tcPr>
            <w:tcW w:w="1741" w:type="dxa"/>
            <w:tcMar>
              <w:top w:w="0" w:type="dxa"/>
              <w:left w:w="108" w:type="dxa"/>
              <w:bottom w:w="0" w:type="dxa"/>
              <w:right w:w="108" w:type="dxa"/>
            </w:tcMar>
            <w:vAlign w:val="center"/>
          </w:tcPr>
          <w:p w14:paraId="7C312379">
            <w:pPr>
              <w:jc w:val="center"/>
              <w:rPr>
                <w:rFonts w:cs="宋体" w:asciiTheme="minorEastAsia" w:hAnsiTheme="minorEastAsia" w:eastAsiaTheme="minorEastAsia"/>
                <w:szCs w:val="21"/>
              </w:rPr>
            </w:pPr>
          </w:p>
        </w:tc>
        <w:tc>
          <w:tcPr>
            <w:tcW w:w="713" w:type="dxa"/>
          </w:tcPr>
          <w:p w14:paraId="4916CC07">
            <w:pPr>
              <w:jc w:val="center"/>
              <w:rPr>
                <w:rFonts w:cs="宋体" w:asciiTheme="minorEastAsia" w:hAnsiTheme="minorEastAsia" w:eastAsiaTheme="minorEastAsia"/>
                <w:szCs w:val="21"/>
              </w:rPr>
            </w:pPr>
          </w:p>
        </w:tc>
        <w:tc>
          <w:tcPr>
            <w:tcW w:w="1142" w:type="dxa"/>
            <w:tcMar>
              <w:top w:w="0" w:type="dxa"/>
              <w:left w:w="108" w:type="dxa"/>
              <w:bottom w:w="0" w:type="dxa"/>
              <w:right w:w="108" w:type="dxa"/>
            </w:tcMar>
            <w:vAlign w:val="center"/>
          </w:tcPr>
          <w:p w14:paraId="7A87E2BA">
            <w:pPr>
              <w:widowControl/>
              <w:spacing w:line="280" w:lineRule="exact"/>
              <w:jc w:val="left"/>
              <w:rPr>
                <w:rFonts w:ascii="宋体" w:hAnsi="宋体"/>
                <w:szCs w:val="21"/>
              </w:rPr>
            </w:pPr>
            <w:r>
              <w:rPr>
                <w:rFonts w:hint="eastAsia" w:ascii="宋体" w:hAnsi="宋体"/>
                <w:szCs w:val="21"/>
              </w:rPr>
              <w:t>□新建</w:t>
            </w:r>
          </w:p>
          <w:p w14:paraId="11D13E36">
            <w:pPr>
              <w:spacing w:line="280" w:lineRule="exact"/>
              <w:jc w:val="left"/>
              <w:rPr>
                <w:rFonts w:cs="宋体" w:asciiTheme="minorEastAsia" w:hAnsiTheme="minorEastAsia" w:eastAsiaTheme="minorEastAsia"/>
                <w:szCs w:val="21"/>
              </w:rPr>
            </w:pPr>
            <w:r>
              <w:rPr>
                <w:rFonts w:hint="eastAsia" w:ascii="宋体" w:hAnsi="宋体"/>
                <w:szCs w:val="21"/>
              </w:rPr>
              <w:t>□改扩建</w:t>
            </w:r>
          </w:p>
        </w:tc>
        <w:tc>
          <w:tcPr>
            <w:tcW w:w="886" w:type="dxa"/>
            <w:tcMar>
              <w:top w:w="0" w:type="dxa"/>
              <w:left w:w="108" w:type="dxa"/>
              <w:bottom w:w="0" w:type="dxa"/>
              <w:right w:w="108" w:type="dxa"/>
            </w:tcMar>
            <w:vAlign w:val="center"/>
          </w:tcPr>
          <w:p w14:paraId="047680F0">
            <w:pPr>
              <w:jc w:val="center"/>
              <w:rPr>
                <w:rFonts w:cs="宋体" w:asciiTheme="minorEastAsia" w:hAnsiTheme="minorEastAsia" w:eastAsiaTheme="minorEastAsia"/>
                <w:szCs w:val="21"/>
              </w:rPr>
            </w:pPr>
          </w:p>
        </w:tc>
        <w:tc>
          <w:tcPr>
            <w:tcW w:w="938" w:type="dxa"/>
            <w:vAlign w:val="center"/>
          </w:tcPr>
          <w:p w14:paraId="1E898851">
            <w:pPr>
              <w:jc w:val="center"/>
              <w:rPr>
                <w:rFonts w:cs="宋体" w:asciiTheme="minorEastAsia" w:hAnsiTheme="minorEastAsia" w:eastAsiaTheme="minorEastAsia"/>
                <w:szCs w:val="21"/>
              </w:rPr>
            </w:pPr>
          </w:p>
        </w:tc>
        <w:tc>
          <w:tcPr>
            <w:tcW w:w="937" w:type="dxa"/>
            <w:vAlign w:val="center"/>
          </w:tcPr>
          <w:p w14:paraId="24A363C9">
            <w:pPr>
              <w:jc w:val="center"/>
              <w:rPr>
                <w:rFonts w:cs="宋体" w:asciiTheme="minorEastAsia" w:hAnsiTheme="minorEastAsia" w:eastAsiaTheme="minorEastAsia"/>
                <w:szCs w:val="21"/>
              </w:rPr>
            </w:pPr>
          </w:p>
        </w:tc>
        <w:tc>
          <w:tcPr>
            <w:tcW w:w="1071" w:type="dxa"/>
            <w:tcMar>
              <w:top w:w="0" w:type="dxa"/>
              <w:left w:w="108" w:type="dxa"/>
              <w:bottom w:w="0" w:type="dxa"/>
              <w:right w:w="108" w:type="dxa"/>
            </w:tcMar>
            <w:vAlign w:val="center"/>
          </w:tcPr>
          <w:p w14:paraId="2EB908E6">
            <w:pPr>
              <w:jc w:val="center"/>
              <w:rPr>
                <w:rFonts w:cs="宋体" w:asciiTheme="minorEastAsia" w:hAnsiTheme="minorEastAsia" w:eastAsiaTheme="minorEastAsia"/>
                <w:szCs w:val="21"/>
              </w:rPr>
            </w:pPr>
          </w:p>
        </w:tc>
        <w:tc>
          <w:tcPr>
            <w:tcW w:w="937" w:type="dxa"/>
            <w:vAlign w:val="center"/>
          </w:tcPr>
          <w:p w14:paraId="7E6ED86B">
            <w:pPr>
              <w:jc w:val="center"/>
              <w:rPr>
                <w:rFonts w:cs="宋体" w:asciiTheme="minorEastAsia" w:hAnsiTheme="minorEastAsia" w:eastAsiaTheme="minorEastAsia"/>
                <w:szCs w:val="21"/>
              </w:rPr>
            </w:pPr>
          </w:p>
        </w:tc>
        <w:tc>
          <w:tcPr>
            <w:tcW w:w="1013" w:type="dxa"/>
            <w:tcMar>
              <w:top w:w="0" w:type="dxa"/>
              <w:left w:w="108" w:type="dxa"/>
              <w:bottom w:w="0" w:type="dxa"/>
              <w:right w:w="108" w:type="dxa"/>
            </w:tcMar>
            <w:vAlign w:val="center"/>
          </w:tcPr>
          <w:p w14:paraId="1BFE1CE3">
            <w:pPr>
              <w:jc w:val="center"/>
              <w:rPr>
                <w:rFonts w:cs="宋体" w:asciiTheme="minorEastAsia" w:hAnsiTheme="minorEastAsia" w:eastAsiaTheme="minorEastAsia"/>
                <w:szCs w:val="21"/>
              </w:rPr>
            </w:pPr>
          </w:p>
        </w:tc>
        <w:tc>
          <w:tcPr>
            <w:tcW w:w="829" w:type="dxa"/>
            <w:vAlign w:val="center"/>
          </w:tcPr>
          <w:p w14:paraId="49440736">
            <w:pPr>
              <w:jc w:val="center"/>
              <w:rPr>
                <w:rFonts w:cs="宋体" w:asciiTheme="minorEastAsia" w:hAnsiTheme="minorEastAsia" w:eastAsiaTheme="minorEastAsia"/>
                <w:szCs w:val="21"/>
              </w:rPr>
            </w:pPr>
          </w:p>
        </w:tc>
        <w:tc>
          <w:tcPr>
            <w:tcW w:w="869" w:type="dxa"/>
            <w:tcMar>
              <w:top w:w="0" w:type="dxa"/>
              <w:left w:w="108" w:type="dxa"/>
              <w:bottom w:w="0" w:type="dxa"/>
              <w:right w:w="108" w:type="dxa"/>
            </w:tcMar>
            <w:vAlign w:val="center"/>
          </w:tcPr>
          <w:p w14:paraId="5F78A573">
            <w:pPr>
              <w:jc w:val="center"/>
              <w:rPr>
                <w:rFonts w:cs="宋体" w:asciiTheme="minorEastAsia" w:hAnsiTheme="minorEastAsia" w:eastAsiaTheme="minorEastAsia"/>
                <w:szCs w:val="21"/>
              </w:rPr>
            </w:pPr>
          </w:p>
        </w:tc>
        <w:tc>
          <w:tcPr>
            <w:tcW w:w="1124" w:type="dxa"/>
            <w:vAlign w:val="center"/>
          </w:tcPr>
          <w:p w14:paraId="2012E98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1.3</w:t>
            </w:r>
          </w:p>
        </w:tc>
      </w:tr>
      <w:tr w14:paraId="5BC1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562" w:type="dxa"/>
            <w:vAlign w:val="center"/>
          </w:tcPr>
          <w:p w14:paraId="6FB1512A">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169" w:type="dxa"/>
            <w:tcMar>
              <w:top w:w="0" w:type="dxa"/>
              <w:left w:w="108" w:type="dxa"/>
              <w:bottom w:w="0" w:type="dxa"/>
              <w:right w:w="108" w:type="dxa"/>
            </w:tcMar>
            <w:vAlign w:val="center"/>
          </w:tcPr>
          <w:p w14:paraId="2F20BE47">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741" w:type="dxa"/>
            <w:tcMar>
              <w:top w:w="0" w:type="dxa"/>
              <w:left w:w="108" w:type="dxa"/>
              <w:bottom w:w="0" w:type="dxa"/>
              <w:right w:w="108" w:type="dxa"/>
            </w:tcMar>
            <w:vAlign w:val="center"/>
          </w:tcPr>
          <w:p w14:paraId="578F19A9">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713" w:type="dxa"/>
            <w:vAlign w:val="center"/>
          </w:tcPr>
          <w:p w14:paraId="10A7BDA5">
            <w:pPr>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42" w:type="dxa"/>
            <w:tcMar>
              <w:top w:w="0" w:type="dxa"/>
              <w:left w:w="108" w:type="dxa"/>
              <w:bottom w:w="0" w:type="dxa"/>
              <w:right w:w="108" w:type="dxa"/>
            </w:tcMar>
            <w:vAlign w:val="center"/>
          </w:tcPr>
          <w:p w14:paraId="2A18D7EB">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86" w:type="dxa"/>
            <w:tcMar>
              <w:top w:w="0" w:type="dxa"/>
              <w:left w:w="108" w:type="dxa"/>
              <w:bottom w:w="0" w:type="dxa"/>
              <w:right w:w="108" w:type="dxa"/>
            </w:tcMar>
            <w:vAlign w:val="center"/>
          </w:tcPr>
          <w:p w14:paraId="0A47CADF">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938" w:type="dxa"/>
            <w:vAlign w:val="center"/>
          </w:tcPr>
          <w:p w14:paraId="7C3B20E7">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37" w:type="dxa"/>
            <w:vAlign w:val="center"/>
          </w:tcPr>
          <w:p w14:paraId="4B19BF4C">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071" w:type="dxa"/>
            <w:tcMar>
              <w:top w:w="0" w:type="dxa"/>
              <w:left w:w="108" w:type="dxa"/>
              <w:bottom w:w="0" w:type="dxa"/>
              <w:right w:w="108" w:type="dxa"/>
            </w:tcMar>
            <w:vAlign w:val="center"/>
          </w:tcPr>
          <w:p w14:paraId="45A4BF28">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937" w:type="dxa"/>
            <w:vAlign w:val="center"/>
          </w:tcPr>
          <w:p w14:paraId="69D4D411">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013" w:type="dxa"/>
            <w:tcMar>
              <w:top w:w="0" w:type="dxa"/>
              <w:left w:w="108" w:type="dxa"/>
              <w:bottom w:w="0" w:type="dxa"/>
              <w:right w:w="108" w:type="dxa"/>
            </w:tcMar>
            <w:vAlign w:val="center"/>
          </w:tcPr>
          <w:p w14:paraId="157EC7E8">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829" w:type="dxa"/>
            <w:vAlign w:val="center"/>
          </w:tcPr>
          <w:p w14:paraId="3A770EF6">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869" w:type="dxa"/>
            <w:tcMar>
              <w:top w:w="0" w:type="dxa"/>
              <w:left w:w="108" w:type="dxa"/>
              <w:bottom w:w="0" w:type="dxa"/>
              <w:right w:w="108" w:type="dxa"/>
            </w:tcMar>
            <w:vAlign w:val="center"/>
          </w:tcPr>
          <w:p w14:paraId="253076C3">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124" w:type="dxa"/>
            <w:vAlign w:val="center"/>
          </w:tcPr>
          <w:p w14:paraId="09217B9B">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r>
    </w:tbl>
    <w:p w14:paraId="5162046F">
      <w:pPr>
        <w:pStyle w:val="299"/>
        <w:spacing w:line="300" w:lineRule="exact"/>
        <w:ind w:left="0" w:firstLine="0" w:firstLineChars="0"/>
        <w:rPr>
          <w:rFonts w:ascii="宋体" w:hAnsi="宋体" w:cs="宋体"/>
          <w:spacing w:val="-3"/>
        </w:rPr>
      </w:pPr>
      <w:r>
        <w:rPr>
          <w:rFonts w:hint="eastAsia" w:ascii="宋体" w:hAnsi="宋体" w:cs="宋体"/>
        </w:rPr>
        <w:t>注：</w:t>
      </w:r>
      <w:r>
        <w:rPr>
          <w:rFonts w:ascii="宋体" w:hAnsi="宋体" w:cs="宋体"/>
        </w:rPr>
        <w:t>1.</w:t>
      </w:r>
      <w:r>
        <w:rPr>
          <w:rFonts w:hint="eastAsia" w:ascii="宋体" w:hAnsi="宋体" w:cs="宋体"/>
          <w:spacing w:val="-3"/>
          <w:szCs w:val="21"/>
        </w:rPr>
        <w:t>投标人应在本表后提供相关业绩证明材料</w:t>
      </w:r>
      <w:r>
        <w:rPr>
          <w:rFonts w:hint="eastAsia" w:ascii="宋体" w:hAnsi="宋体" w:cs="宋体"/>
          <w:spacing w:val="-3"/>
        </w:rPr>
        <w:t>附件</w:t>
      </w:r>
      <w:r>
        <w:rPr>
          <w:rFonts w:ascii="宋体" w:hAnsi="宋体" w:cs="宋体"/>
        </w:rPr>
        <w:t>C</w:t>
      </w:r>
      <w:r>
        <w:rPr>
          <w:rFonts w:hint="eastAsia" w:cs="宋体" w:asciiTheme="minorEastAsia" w:hAnsiTheme="minorEastAsia" w:eastAsiaTheme="minorEastAsia"/>
          <w:szCs w:val="21"/>
          <w:lang w:val="en-US" w:eastAsia="zh-CN"/>
        </w:rPr>
        <w:t>2-</w:t>
      </w:r>
      <w:r>
        <w:rPr>
          <w:rFonts w:ascii="宋体" w:hAnsi="宋体" w:cs="宋体"/>
        </w:rPr>
        <w:t>1系列（路基土建工程施工项目业绩）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37564717">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6C374836">
      <w:pPr>
        <w:spacing w:line="300" w:lineRule="exact"/>
        <w:ind w:firstLine="408" w:firstLineChars="200"/>
        <w:rPr>
          <w:rFonts w:ascii="宋体" w:hAnsi="宋体" w:cs="宋体"/>
        </w:rPr>
      </w:pPr>
      <w:r>
        <w:rPr>
          <w:rFonts w:hint="eastAsia" w:ascii="宋体" w:hAnsi="宋体" w:cs="宋体"/>
          <w:spacing w:val="-3"/>
        </w:rPr>
        <w:t>3</w:t>
      </w:r>
      <w:r>
        <w:rPr>
          <w:rFonts w:ascii="宋体" w:hAnsi="宋体" w:cs="宋体"/>
        </w:rPr>
        <w:t>.</w:t>
      </w:r>
      <w:r>
        <w:rPr>
          <w:rFonts w:hint="eastAsia"/>
        </w:rPr>
        <w:t>路基土建工程指须至少包含“路基工程、桥涵工程”或“路基工程、隧道工程”的项目。</w:t>
      </w:r>
    </w:p>
    <w:p w14:paraId="7FAA6E0F">
      <w:pPr>
        <w:spacing w:line="300" w:lineRule="exact"/>
        <w:ind w:firstLine="420" w:firstLineChars="200"/>
        <w:rPr>
          <w:rFonts w:ascii="宋体" w:hAnsi="宋体" w:cs="宋体"/>
        </w:rPr>
      </w:pPr>
      <w:r>
        <w:rPr>
          <w:rFonts w:hint="eastAsia" w:ascii="宋体" w:hAnsi="宋体" w:cs="宋体"/>
        </w:rPr>
        <w:t>4.</w:t>
      </w:r>
      <w:r>
        <w:rPr>
          <w:rFonts w:ascii="宋体" w:hAnsi="宋体" w:cs="宋体"/>
        </w:rPr>
        <w:t>本表所列合同价格一般为项目结算价格，无结算价格的以签约合同价格为准。</w:t>
      </w:r>
    </w:p>
    <w:p w14:paraId="6B83004A">
      <w:pPr>
        <w:spacing w:line="300" w:lineRule="exact"/>
        <w:ind w:firstLine="420" w:firstLineChars="200"/>
        <w:rPr>
          <w:rFonts w:ascii="宋体" w:hAnsi="宋体" w:cs="宋体"/>
        </w:rPr>
      </w:pPr>
      <w:r>
        <w:rPr>
          <w:rFonts w:hint="eastAsia" w:ascii="宋体" w:hAnsi="宋体" w:cs="宋体"/>
        </w:rPr>
        <w:t>5</w:t>
      </w:r>
      <w:r>
        <w:rPr>
          <w:rFonts w:ascii="宋体" w:hAnsi="宋体" w:cs="宋体"/>
        </w:rPr>
        <w:t>.如近年来，投标人法人机构发生合法变更或重组或法人名称变更时，应提供相关部门的合法批件或其他相关证明材料来证明其所附业绩的继承性。</w:t>
      </w:r>
    </w:p>
    <w:p w14:paraId="48D9F3D8">
      <w:pPr>
        <w:spacing w:line="300" w:lineRule="exact"/>
        <w:ind w:firstLine="420" w:firstLineChars="200"/>
        <w:rPr>
          <w:rFonts w:ascii="宋体" w:hAnsi="宋体" w:cs="宋体"/>
        </w:rPr>
      </w:pPr>
      <w:r>
        <w:rPr>
          <w:rFonts w:hint="eastAsia" w:ascii="宋体" w:hAnsi="宋体" w:cs="宋体"/>
        </w:rPr>
        <w:t>6</w:t>
      </w:r>
      <w:r>
        <w:rPr>
          <w:rFonts w:ascii="宋体" w:hAnsi="宋体" w:cs="宋体"/>
        </w:rPr>
        <w:t>.</w:t>
      </w:r>
      <w:r>
        <w:rPr>
          <w:rFonts w:hint="eastAsia" w:ascii="宋体" w:hAnsi="宋体" w:cs="宋体"/>
        </w:rPr>
        <w:t>表中的“日期”填写的格式统一以阿拉伯数字表示。如：</w:t>
      </w:r>
      <w:r>
        <w:rPr>
          <w:rFonts w:ascii="宋体" w:hAnsi="宋体" w:cs="宋体"/>
        </w:rPr>
        <w:t>20</w:t>
      </w:r>
      <w:r>
        <w:rPr>
          <w:rFonts w:hint="eastAsia" w:ascii="宋体" w:hAnsi="宋体" w:cs="宋体"/>
        </w:rPr>
        <w:t>21年</w:t>
      </w:r>
      <w:r>
        <w:rPr>
          <w:rFonts w:ascii="宋体" w:hAnsi="宋体" w:cs="宋体"/>
        </w:rPr>
        <w:t>05</w:t>
      </w:r>
      <w:r>
        <w:rPr>
          <w:rFonts w:hint="eastAsia" w:ascii="宋体" w:hAnsi="宋体" w:cs="宋体"/>
        </w:rPr>
        <w:t>月</w:t>
      </w:r>
      <w:r>
        <w:rPr>
          <w:rFonts w:ascii="宋体" w:hAnsi="宋体" w:cs="宋体"/>
        </w:rPr>
        <w:t>01</w:t>
      </w:r>
      <w:r>
        <w:rPr>
          <w:rFonts w:hint="eastAsia" w:ascii="宋体" w:hAnsi="宋体" w:cs="宋体"/>
        </w:rPr>
        <w:t>日，表示为：</w:t>
      </w:r>
      <w:r>
        <w:rPr>
          <w:rFonts w:ascii="宋体" w:hAnsi="宋体" w:cs="宋体"/>
        </w:rPr>
        <w:t>20</w:t>
      </w:r>
      <w:r>
        <w:rPr>
          <w:rFonts w:hint="eastAsia" w:ascii="宋体" w:hAnsi="宋体" w:cs="宋体"/>
        </w:rPr>
        <w:t>21</w:t>
      </w:r>
      <w:r>
        <w:rPr>
          <w:rFonts w:ascii="宋体" w:hAnsi="宋体" w:cs="宋体"/>
        </w:rPr>
        <w:t>0501</w:t>
      </w:r>
      <w:r>
        <w:rPr>
          <w:rFonts w:hint="eastAsia" w:ascii="宋体" w:hAnsi="宋体" w:cs="宋体"/>
        </w:rPr>
        <w:t>；</w:t>
      </w:r>
      <w:r>
        <w:rPr>
          <w:rFonts w:ascii="宋体" w:hAnsi="宋体" w:cs="宋体"/>
        </w:rPr>
        <w:t>20</w:t>
      </w:r>
      <w:r>
        <w:rPr>
          <w:rFonts w:hint="eastAsia" w:ascii="宋体" w:hAnsi="宋体" w:cs="宋体"/>
        </w:rPr>
        <w:t>21年</w:t>
      </w:r>
      <w:r>
        <w:rPr>
          <w:rFonts w:ascii="宋体" w:hAnsi="宋体" w:cs="宋体"/>
        </w:rPr>
        <w:t>5</w:t>
      </w:r>
      <w:r>
        <w:rPr>
          <w:rFonts w:hint="eastAsia" w:ascii="宋体" w:hAnsi="宋体" w:cs="宋体"/>
        </w:rPr>
        <w:t>月，表示为</w:t>
      </w:r>
      <w:r>
        <w:rPr>
          <w:rFonts w:ascii="宋体" w:hAnsi="宋体" w:cs="宋体"/>
        </w:rPr>
        <w:t>20</w:t>
      </w:r>
      <w:r>
        <w:rPr>
          <w:rFonts w:hint="eastAsia" w:ascii="宋体" w:hAnsi="宋体" w:cs="宋体"/>
        </w:rPr>
        <w:t>21</w:t>
      </w:r>
      <w:r>
        <w:rPr>
          <w:rFonts w:ascii="宋体" w:hAnsi="宋体" w:cs="宋体"/>
        </w:rPr>
        <w:t>05</w:t>
      </w:r>
      <w:r>
        <w:rPr>
          <w:rFonts w:hint="eastAsia" w:ascii="宋体" w:hAnsi="宋体" w:cs="宋体"/>
        </w:rPr>
        <w:t>。</w:t>
      </w:r>
    </w:p>
    <w:p w14:paraId="6A3E2454">
      <w:pPr>
        <w:spacing w:line="300" w:lineRule="exact"/>
        <w:ind w:left="0" w:leftChars="0" w:firstLine="420" w:firstLineChars="200"/>
        <w:rPr>
          <w:rFonts w:ascii="宋体" w:hAnsi="宋体" w:cs="宋体"/>
        </w:rPr>
      </w:pPr>
      <w:r>
        <w:rPr>
          <w:rFonts w:hint="eastAsia" w:ascii="宋体" w:hAnsi="宋体" w:cs="宋体"/>
        </w:rPr>
        <w:t>7</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p>
    <w:p w14:paraId="2243799D">
      <w:pPr>
        <w:spacing w:line="360" w:lineRule="auto"/>
        <w:jc w:val="center"/>
        <w:rPr>
          <w:rFonts w:ascii="黑体" w:hAnsi="黑体" w:eastAsia="黑体"/>
          <w:sz w:val="24"/>
        </w:rPr>
      </w:pPr>
      <w:r>
        <w:rPr>
          <w:rFonts w:ascii="宋体" w:hAnsi="宋体"/>
        </w:rPr>
        <w:br w:type="page"/>
      </w:r>
      <w:r>
        <w:rPr>
          <w:rFonts w:ascii="宋体" w:hAnsi="宋体"/>
        </w:rPr>
        <w:t xml:space="preserve">                                 </w:t>
      </w:r>
      <w:r>
        <w:rPr>
          <w:rFonts w:hint="eastAsia" w:ascii="黑体" w:hAnsi="黑体" w:eastAsia="黑体" w:cs="宋体"/>
          <w:b/>
          <w:sz w:val="24"/>
        </w:rPr>
        <w:t>□</w:t>
      </w:r>
      <w:r>
        <w:rPr>
          <w:rFonts w:ascii="黑体" w:hAnsi="黑体" w:eastAsia="黑体" w:cs="宋体"/>
          <w:b/>
          <w:sz w:val="24"/>
        </w:rPr>
        <w:t xml:space="preserve"> </w:t>
      </w:r>
      <w:r>
        <w:rPr>
          <w:rFonts w:hint="eastAsia" w:ascii="黑体" w:hAnsi="黑体" w:eastAsia="黑体" w:cs="宋体"/>
          <w:sz w:val="24"/>
        </w:rPr>
        <w:t>近</w:t>
      </w:r>
      <w:r>
        <w:rPr>
          <w:rFonts w:hint="eastAsia" w:ascii="黑体" w:hAnsi="黑体" w:eastAsia="黑体"/>
          <w:sz w:val="24"/>
        </w:rPr>
        <w:t>年完成的公路桥梁工程施工情况</w:t>
      </w:r>
      <w:r>
        <w:rPr>
          <w:rFonts w:ascii="黑体" w:hAnsi="黑体" w:eastAsia="黑体"/>
          <w:sz w:val="24"/>
        </w:rPr>
        <w:t xml:space="preserve">                          </w:t>
      </w:r>
      <w:r>
        <w:rPr>
          <w:rFonts w:hint="eastAsia" w:ascii="黑体" w:hAnsi="黑体" w:eastAsia="黑体"/>
          <w:sz w:val="24"/>
        </w:rPr>
        <w:t>表</w:t>
      </w:r>
      <w:r>
        <w:rPr>
          <w:rFonts w:ascii="黑体" w:hAnsi="黑体" w:eastAsia="黑体"/>
          <w:sz w:val="24"/>
        </w:rPr>
        <w:t>2-2</w:t>
      </w:r>
    </w:p>
    <w:tbl>
      <w:tblPr>
        <w:tblStyle w:val="49"/>
        <w:tblW w:w="139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687"/>
        <w:gridCol w:w="1144"/>
        <w:gridCol w:w="572"/>
        <w:gridCol w:w="1060"/>
        <w:gridCol w:w="644"/>
        <w:gridCol w:w="823"/>
        <w:gridCol w:w="515"/>
        <w:gridCol w:w="979"/>
        <w:gridCol w:w="798"/>
        <w:gridCol w:w="793"/>
        <w:gridCol w:w="742"/>
        <w:gridCol w:w="637"/>
        <w:gridCol w:w="679"/>
        <w:gridCol w:w="787"/>
        <w:gridCol w:w="743"/>
        <w:gridCol w:w="946"/>
        <w:gridCol w:w="1017"/>
      </w:tblGrid>
      <w:tr w14:paraId="6B44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427" w:type="dxa"/>
            <w:vAlign w:val="center"/>
          </w:tcPr>
          <w:p w14:paraId="0691E2D8">
            <w:pPr>
              <w:jc w:val="center"/>
              <w:rPr>
                <w:rFonts w:ascii="宋体" w:hAnsi="宋体" w:cs="宋体"/>
                <w:szCs w:val="21"/>
              </w:rPr>
            </w:pPr>
            <w:r>
              <w:rPr>
                <w:rFonts w:hint="eastAsia" w:ascii="宋体" w:hAnsi="宋体" w:cs="宋体"/>
                <w:szCs w:val="21"/>
              </w:rPr>
              <w:t>序号</w:t>
            </w:r>
          </w:p>
        </w:tc>
        <w:tc>
          <w:tcPr>
            <w:tcW w:w="687" w:type="dxa"/>
            <w:tcMar>
              <w:top w:w="0" w:type="dxa"/>
              <w:left w:w="108" w:type="dxa"/>
              <w:bottom w:w="0" w:type="dxa"/>
              <w:right w:w="108" w:type="dxa"/>
            </w:tcMar>
            <w:vAlign w:val="center"/>
          </w:tcPr>
          <w:p w14:paraId="46D6CF65">
            <w:pPr>
              <w:jc w:val="center"/>
              <w:rPr>
                <w:rFonts w:ascii="宋体" w:hAnsi="宋体" w:cs="宋体"/>
                <w:szCs w:val="21"/>
              </w:rPr>
            </w:pPr>
            <w:r>
              <w:rPr>
                <w:rFonts w:hint="eastAsia" w:ascii="宋体" w:hAnsi="宋体" w:cs="宋体"/>
                <w:szCs w:val="21"/>
              </w:rPr>
              <w:t>项目</w:t>
            </w:r>
          </w:p>
          <w:p w14:paraId="3B3B4415">
            <w:pPr>
              <w:jc w:val="center"/>
              <w:rPr>
                <w:rFonts w:ascii="宋体" w:hAnsi="宋体" w:cs="宋体"/>
                <w:szCs w:val="21"/>
              </w:rPr>
            </w:pPr>
            <w:r>
              <w:rPr>
                <w:rFonts w:hint="eastAsia" w:ascii="宋体" w:hAnsi="宋体" w:cs="宋体"/>
                <w:szCs w:val="21"/>
              </w:rPr>
              <w:t>业主</w:t>
            </w:r>
          </w:p>
        </w:tc>
        <w:tc>
          <w:tcPr>
            <w:tcW w:w="1144" w:type="dxa"/>
            <w:tcMar>
              <w:top w:w="0" w:type="dxa"/>
              <w:left w:w="108" w:type="dxa"/>
              <w:bottom w:w="0" w:type="dxa"/>
              <w:right w:w="108" w:type="dxa"/>
            </w:tcMar>
            <w:vAlign w:val="center"/>
          </w:tcPr>
          <w:p w14:paraId="7E08681E">
            <w:pPr>
              <w:jc w:val="center"/>
              <w:rPr>
                <w:rFonts w:ascii="宋体" w:hAnsi="宋体" w:cs="宋体"/>
                <w:szCs w:val="21"/>
              </w:rPr>
            </w:pPr>
            <w:r>
              <w:rPr>
                <w:rFonts w:hint="eastAsia" w:ascii="宋体" w:hAnsi="宋体" w:cs="宋体"/>
                <w:szCs w:val="21"/>
              </w:rPr>
              <w:t>项目名称</w:t>
            </w:r>
          </w:p>
        </w:tc>
        <w:tc>
          <w:tcPr>
            <w:tcW w:w="572" w:type="dxa"/>
            <w:vAlign w:val="center"/>
          </w:tcPr>
          <w:p w14:paraId="25ACC408">
            <w:pPr>
              <w:jc w:val="center"/>
              <w:rPr>
                <w:rFonts w:ascii="宋体" w:hAnsi="宋体" w:cs="宋体"/>
                <w:szCs w:val="21"/>
              </w:rPr>
            </w:pPr>
            <w:r>
              <w:rPr>
                <w:rFonts w:hint="eastAsia" w:ascii="宋体" w:hAnsi="宋体" w:cs="宋体"/>
                <w:szCs w:val="21"/>
              </w:rPr>
              <w:t>公路</w:t>
            </w:r>
          </w:p>
          <w:p w14:paraId="14CDD068">
            <w:pPr>
              <w:jc w:val="center"/>
              <w:rPr>
                <w:rFonts w:ascii="宋体" w:hAnsi="宋体" w:cs="宋体"/>
                <w:szCs w:val="21"/>
              </w:rPr>
            </w:pPr>
            <w:r>
              <w:rPr>
                <w:rFonts w:hint="eastAsia" w:ascii="宋体" w:hAnsi="宋体" w:cs="宋体"/>
                <w:szCs w:val="21"/>
              </w:rPr>
              <w:t>等级</w:t>
            </w:r>
          </w:p>
        </w:tc>
        <w:tc>
          <w:tcPr>
            <w:tcW w:w="1060" w:type="dxa"/>
            <w:tcMar>
              <w:top w:w="0" w:type="dxa"/>
              <w:left w:w="108" w:type="dxa"/>
              <w:bottom w:w="0" w:type="dxa"/>
              <w:right w:w="108" w:type="dxa"/>
            </w:tcMar>
            <w:vAlign w:val="center"/>
          </w:tcPr>
          <w:p w14:paraId="10512B46">
            <w:pPr>
              <w:jc w:val="center"/>
              <w:rPr>
                <w:rFonts w:ascii="宋体" w:hAnsi="宋体" w:cs="宋体"/>
                <w:szCs w:val="21"/>
              </w:rPr>
            </w:pPr>
            <w:r>
              <w:rPr>
                <w:rFonts w:hint="eastAsia" w:cs="宋体" w:asciiTheme="minorEastAsia" w:hAnsiTheme="minorEastAsia" w:eastAsiaTheme="minorEastAsia"/>
                <w:szCs w:val="21"/>
              </w:rPr>
              <w:t>项目建设形式</w:t>
            </w:r>
          </w:p>
        </w:tc>
        <w:tc>
          <w:tcPr>
            <w:tcW w:w="644" w:type="dxa"/>
            <w:tcMar>
              <w:top w:w="0" w:type="dxa"/>
              <w:left w:w="108" w:type="dxa"/>
              <w:bottom w:w="0" w:type="dxa"/>
              <w:right w:w="108" w:type="dxa"/>
            </w:tcMar>
            <w:vAlign w:val="center"/>
          </w:tcPr>
          <w:p w14:paraId="742E37B5">
            <w:pPr>
              <w:jc w:val="center"/>
              <w:rPr>
                <w:rFonts w:ascii="宋体" w:hAnsi="宋体" w:cs="宋体"/>
                <w:szCs w:val="21"/>
              </w:rPr>
            </w:pPr>
            <w:r>
              <w:rPr>
                <w:rFonts w:hint="eastAsia" w:ascii="宋体" w:hAnsi="宋体" w:cs="宋体"/>
                <w:szCs w:val="21"/>
              </w:rPr>
              <w:t>标段号</w:t>
            </w:r>
          </w:p>
        </w:tc>
        <w:tc>
          <w:tcPr>
            <w:tcW w:w="823" w:type="dxa"/>
            <w:vAlign w:val="center"/>
          </w:tcPr>
          <w:p w14:paraId="421F834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w:t>
            </w:r>
          </w:p>
          <w:p w14:paraId="1CD4C779">
            <w:pPr>
              <w:jc w:val="center"/>
              <w:rPr>
                <w:rFonts w:ascii="宋体" w:hAnsi="宋体" w:cs="宋体"/>
                <w:szCs w:val="21"/>
              </w:rPr>
            </w:pPr>
            <w:r>
              <w:rPr>
                <w:rFonts w:hint="eastAsia" w:cs="宋体" w:asciiTheme="minorEastAsia" w:hAnsiTheme="minorEastAsia" w:eastAsiaTheme="minorEastAsia"/>
                <w:szCs w:val="21"/>
              </w:rPr>
              <w:t>长度（</w:t>
            </w:r>
            <w:r>
              <w:rPr>
                <w:rFonts w:cs="宋体" w:asciiTheme="minorEastAsia" w:hAnsiTheme="minorEastAsia" w:eastAsiaTheme="minorEastAsia"/>
                <w:szCs w:val="21"/>
              </w:rPr>
              <w:t>km）</w:t>
            </w:r>
          </w:p>
        </w:tc>
        <w:tc>
          <w:tcPr>
            <w:tcW w:w="515" w:type="dxa"/>
            <w:vAlign w:val="center"/>
          </w:tcPr>
          <w:p w14:paraId="06BE580B">
            <w:pPr>
              <w:jc w:val="center"/>
              <w:rPr>
                <w:rFonts w:ascii="宋体" w:hAnsi="宋体" w:cs="宋体"/>
                <w:szCs w:val="21"/>
              </w:rPr>
            </w:pPr>
            <w:r>
              <w:rPr>
                <w:rFonts w:hint="eastAsia" w:ascii="宋体" w:hAnsi="宋体" w:cs="宋体"/>
                <w:szCs w:val="21"/>
              </w:rPr>
              <w:t>开工日期</w:t>
            </w:r>
          </w:p>
        </w:tc>
        <w:tc>
          <w:tcPr>
            <w:tcW w:w="979" w:type="dxa"/>
            <w:tcMar>
              <w:top w:w="0" w:type="dxa"/>
              <w:left w:w="108" w:type="dxa"/>
              <w:bottom w:w="0" w:type="dxa"/>
              <w:right w:w="108" w:type="dxa"/>
            </w:tcMar>
            <w:vAlign w:val="center"/>
          </w:tcPr>
          <w:p w14:paraId="0CBECA5B">
            <w:pPr>
              <w:rPr>
                <w:rFonts w:ascii="宋体" w:hAnsi="宋体" w:cs="宋体"/>
                <w:szCs w:val="21"/>
              </w:rPr>
            </w:pPr>
            <w:r>
              <w:rPr>
                <w:rFonts w:hint="eastAsia" w:ascii="宋体" w:hAnsi="宋体" w:cs="宋体"/>
                <w:szCs w:val="21"/>
              </w:rPr>
              <w:t>完成（交工）日期</w:t>
            </w:r>
          </w:p>
        </w:tc>
        <w:tc>
          <w:tcPr>
            <w:tcW w:w="798" w:type="dxa"/>
            <w:vAlign w:val="center"/>
          </w:tcPr>
          <w:p w14:paraId="16C747D6">
            <w:pPr>
              <w:jc w:val="center"/>
              <w:rPr>
                <w:rFonts w:ascii="宋体" w:hAnsi="宋体" w:cs="宋体"/>
                <w:szCs w:val="21"/>
              </w:rPr>
            </w:pPr>
            <w:r>
              <w:rPr>
                <w:rFonts w:hint="eastAsia" w:ascii="宋体" w:hAnsi="宋体" w:cs="宋体"/>
                <w:szCs w:val="21"/>
              </w:rPr>
              <w:t>建设</w:t>
            </w:r>
          </w:p>
          <w:p w14:paraId="29AC5C52">
            <w:pPr>
              <w:jc w:val="center"/>
              <w:rPr>
                <w:rFonts w:ascii="宋体" w:hAnsi="宋体" w:cs="宋体"/>
                <w:szCs w:val="21"/>
              </w:rPr>
            </w:pPr>
            <w:r>
              <w:rPr>
                <w:rFonts w:hint="eastAsia" w:ascii="宋体" w:hAnsi="宋体" w:cs="宋体"/>
                <w:szCs w:val="21"/>
              </w:rPr>
              <w:t>规模</w:t>
            </w:r>
          </w:p>
        </w:tc>
        <w:tc>
          <w:tcPr>
            <w:tcW w:w="793" w:type="dxa"/>
            <w:tcMar>
              <w:top w:w="0" w:type="dxa"/>
              <w:left w:w="108" w:type="dxa"/>
              <w:bottom w:w="0" w:type="dxa"/>
              <w:right w:w="108" w:type="dxa"/>
            </w:tcMar>
            <w:vAlign w:val="center"/>
          </w:tcPr>
          <w:p w14:paraId="7A526547">
            <w:pPr>
              <w:jc w:val="center"/>
              <w:rPr>
                <w:rFonts w:ascii="宋体" w:hAnsi="宋体" w:cs="宋体"/>
                <w:szCs w:val="21"/>
              </w:rPr>
            </w:pPr>
            <w:r>
              <w:rPr>
                <w:rFonts w:hint="eastAsia" w:ascii="宋体" w:hAnsi="宋体" w:cs="宋体"/>
                <w:szCs w:val="21"/>
              </w:rPr>
              <w:t>合同</w:t>
            </w:r>
          </w:p>
          <w:p w14:paraId="2BBF1D0F">
            <w:pPr>
              <w:jc w:val="center"/>
              <w:rPr>
                <w:rFonts w:ascii="宋体" w:hAnsi="宋体" w:cs="宋体"/>
                <w:szCs w:val="21"/>
              </w:rPr>
            </w:pPr>
            <w:r>
              <w:rPr>
                <w:rFonts w:hint="eastAsia" w:ascii="宋体" w:hAnsi="宋体" w:cs="宋体"/>
                <w:szCs w:val="21"/>
              </w:rPr>
              <w:t>价格（元）</w:t>
            </w:r>
          </w:p>
        </w:tc>
        <w:tc>
          <w:tcPr>
            <w:tcW w:w="742" w:type="dxa"/>
            <w:vAlign w:val="center"/>
          </w:tcPr>
          <w:p w14:paraId="357C228E">
            <w:pPr>
              <w:jc w:val="center"/>
              <w:rPr>
                <w:rFonts w:ascii="宋体" w:hAnsi="宋体" w:cs="宋体"/>
                <w:szCs w:val="21"/>
              </w:rPr>
            </w:pPr>
            <w:r>
              <w:rPr>
                <w:rFonts w:hint="eastAsia" w:ascii="宋体" w:hAnsi="宋体" w:cs="宋体"/>
                <w:szCs w:val="21"/>
              </w:rPr>
              <w:t>桥梁</w:t>
            </w:r>
          </w:p>
          <w:p w14:paraId="4102C152">
            <w:pPr>
              <w:jc w:val="center"/>
              <w:rPr>
                <w:rFonts w:ascii="宋体" w:hAnsi="宋体" w:cs="宋体"/>
                <w:szCs w:val="21"/>
              </w:rPr>
            </w:pPr>
            <w:r>
              <w:rPr>
                <w:rFonts w:hint="eastAsia" w:ascii="宋体" w:hAnsi="宋体" w:cs="宋体"/>
                <w:szCs w:val="21"/>
              </w:rPr>
              <w:t>名称</w:t>
            </w:r>
          </w:p>
        </w:tc>
        <w:tc>
          <w:tcPr>
            <w:tcW w:w="637" w:type="dxa"/>
            <w:vAlign w:val="center"/>
          </w:tcPr>
          <w:p w14:paraId="450E5584">
            <w:pPr>
              <w:jc w:val="center"/>
              <w:rPr>
                <w:rFonts w:ascii="宋体" w:hAnsi="宋体" w:cs="宋体"/>
                <w:szCs w:val="21"/>
              </w:rPr>
            </w:pPr>
            <w:r>
              <w:rPr>
                <w:rFonts w:hint="eastAsia" w:ascii="宋体" w:hAnsi="宋体" w:cs="宋体"/>
                <w:szCs w:val="21"/>
              </w:rPr>
              <w:t>桥梁总长（</w:t>
            </w:r>
            <w:r>
              <w:rPr>
                <w:rFonts w:ascii="宋体" w:hAnsi="宋体" w:cs="宋体"/>
                <w:szCs w:val="21"/>
              </w:rPr>
              <w:t>m）</w:t>
            </w:r>
          </w:p>
        </w:tc>
        <w:tc>
          <w:tcPr>
            <w:tcW w:w="679" w:type="dxa"/>
            <w:vAlign w:val="center"/>
          </w:tcPr>
          <w:p w14:paraId="2EB0249D">
            <w:pPr>
              <w:jc w:val="center"/>
              <w:rPr>
                <w:rFonts w:ascii="宋体" w:hAnsi="宋体" w:cs="宋体"/>
                <w:szCs w:val="21"/>
              </w:rPr>
            </w:pPr>
            <w:r>
              <w:rPr>
                <w:rFonts w:hint="eastAsia" w:ascii="宋体" w:hAnsi="宋体" w:cs="宋体"/>
                <w:szCs w:val="21"/>
              </w:rPr>
              <w:t>桥梁</w:t>
            </w:r>
          </w:p>
          <w:p w14:paraId="2CE2B83E">
            <w:pPr>
              <w:jc w:val="center"/>
              <w:rPr>
                <w:rFonts w:ascii="宋体" w:hAnsi="宋体" w:cs="宋体"/>
                <w:szCs w:val="21"/>
              </w:rPr>
            </w:pPr>
            <w:r>
              <w:rPr>
                <w:rFonts w:hint="eastAsia" w:ascii="宋体" w:hAnsi="宋体" w:cs="宋体"/>
                <w:szCs w:val="21"/>
              </w:rPr>
              <w:t>类型</w:t>
            </w:r>
          </w:p>
        </w:tc>
        <w:tc>
          <w:tcPr>
            <w:tcW w:w="787" w:type="dxa"/>
            <w:vAlign w:val="center"/>
          </w:tcPr>
          <w:p w14:paraId="40A48422">
            <w:pPr>
              <w:jc w:val="center"/>
              <w:rPr>
                <w:rFonts w:ascii="宋体" w:hAnsi="宋体" w:cs="宋体"/>
                <w:szCs w:val="21"/>
              </w:rPr>
            </w:pPr>
            <w:r>
              <w:rPr>
                <w:rFonts w:hint="eastAsia" w:ascii="宋体" w:hAnsi="宋体" w:cs="宋体"/>
                <w:szCs w:val="21"/>
              </w:rPr>
              <w:t>主跨跨径长度（</w:t>
            </w:r>
            <w:r>
              <w:rPr>
                <w:rFonts w:ascii="宋体" w:hAnsi="宋体" w:cs="宋体"/>
                <w:szCs w:val="21"/>
              </w:rPr>
              <w:t>m）</w:t>
            </w:r>
          </w:p>
        </w:tc>
        <w:tc>
          <w:tcPr>
            <w:tcW w:w="743" w:type="dxa"/>
            <w:vAlign w:val="center"/>
          </w:tcPr>
          <w:p w14:paraId="039FCDBA">
            <w:pPr>
              <w:jc w:val="center"/>
              <w:rPr>
                <w:szCs w:val="21"/>
              </w:rPr>
            </w:pPr>
            <w:r>
              <w:rPr>
                <w:rFonts w:hint="eastAsia" w:ascii="宋体" w:hAnsi="宋体" w:cs="宋体"/>
                <w:kern w:val="0"/>
                <w:szCs w:val="21"/>
              </w:rPr>
              <w:t>□</w:t>
            </w:r>
            <w:r>
              <w:rPr>
                <w:rFonts w:hint="eastAsia"/>
                <w:szCs w:val="21"/>
              </w:rPr>
              <w:t>项目</w:t>
            </w:r>
          </w:p>
          <w:p w14:paraId="14F82BB6">
            <w:pPr>
              <w:jc w:val="center"/>
              <w:rPr>
                <w:rFonts w:ascii="宋体" w:hAnsi="宋体" w:cs="宋体"/>
                <w:szCs w:val="21"/>
              </w:rPr>
            </w:pPr>
            <w:r>
              <w:rPr>
                <w:rFonts w:hint="eastAsia"/>
                <w:szCs w:val="21"/>
              </w:rPr>
              <w:t>经理</w:t>
            </w:r>
          </w:p>
        </w:tc>
        <w:tc>
          <w:tcPr>
            <w:tcW w:w="946" w:type="dxa"/>
            <w:tcMar>
              <w:top w:w="0" w:type="dxa"/>
              <w:left w:w="108" w:type="dxa"/>
              <w:bottom w:w="0" w:type="dxa"/>
              <w:right w:w="108" w:type="dxa"/>
            </w:tcMar>
            <w:vAlign w:val="center"/>
          </w:tcPr>
          <w:p w14:paraId="6DF065FB">
            <w:pPr>
              <w:jc w:val="center"/>
              <w:rPr>
                <w:rFonts w:ascii="宋体" w:hAnsi="宋体" w:cs="宋体"/>
                <w:szCs w:val="21"/>
              </w:rPr>
            </w:pPr>
            <w:r>
              <w:rPr>
                <w:rFonts w:hint="eastAsia" w:ascii="宋体" w:hAnsi="宋体" w:cs="宋体"/>
                <w:kern w:val="0"/>
                <w:szCs w:val="21"/>
              </w:rPr>
              <w:t>□</w:t>
            </w:r>
            <w:r>
              <w:rPr>
                <w:rFonts w:hint="eastAsia"/>
                <w:szCs w:val="21"/>
              </w:rPr>
              <w:t>项目总工</w:t>
            </w:r>
          </w:p>
        </w:tc>
        <w:tc>
          <w:tcPr>
            <w:tcW w:w="1017" w:type="dxa"/>
            <w:vAlign w:val="center"/>
          </w:tcPr>
          <w:p w14:paraId="2119B4BA">
            <w:pPr>
              <w:jc w:val="center"/>
              <w:rPr>
                <w:rFonts w:ascii="宋体" w:hAnsi="宋体" w:cs="宋体"/>
                <w:szCs w:val="21"/>
              </w:rPr>
            </w:pPr>
            <w:r>
              <w:rPr>
                <w:rFonts w:hint="eastAsia" w:ascii="宋体" w:hAnsi="宋体" w:cs="宋体"/>
                <w:szCs w:val="21"/>
              </w:rPr>
              <w:t>业绩证明材料附件</w:t>
            </w:r>
          </w:p>
        </w:tc>
      </w:tr>
      <w:tr w14:paraId="410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427" w:type="dxa"/>
            <w:vAlign w:val="center"/>
          </w:tcPr>
          <w:p w14:paraId="1107A434">
            <w:pPr>
              <w:jc w:val="center"/>
              <w:rPr>
                <w:rFonts w:ascii="宋体" w:hAnsi="宋体" w:cs="宋体"/>
                <w:szCs w:val="21"/>
              </w:rPr>
            </w:pPr>
          </w:p>
        </w:tc>
        <w:tc>
          <w:tcPr>
            <w:tcW w:w="687" w:type="dxa"/>
            <w:tcMar>
              <w:top w:w="0" w:type="dxa"/>
              <w:left w:w="108" w:type="dxa"/>
              <w:bottom w:w="0" w:type="dxa"/>
              <w:right w:w="108" w:type="dxa"/>
            </w:tcMar>
            <w:vAlign w:val="center"/>
          </w:tcPr>
          <w:p w14:paraId="17D360D2">
            <w:pPr>
              <w:jc w:val="center"/>
              <w:rPr>
                <w:rFonts w:ascii="宋体" w:hAnsi="宋体" w:cs="宋体"/>
                <w:szCs w:val="21"/>
              </w:rPr>
            </w:pPr>
          </w:p>
        </w:tc>
        <w:tc>
          <w:tcPr>
            <w:tcW w:w="1144" w:type="dxa"/>
            <w:tcMar>
              <w:top w:w="0" w:type="dxa"/>
              <w:left w:w="108" w:type="dxa"/>
              <w:bottom w:w="0" w:type="dxa"/>
              <w:right w:w="108" w:type="dxa"/>
            </w:tcMar>
            <w:vAlign w:val="center"/>
          </w:tcPr>
          <w:p w14:paraId="3756FEC8">
            <w:pPr>
              <w:jc w:val="center"/>
              <w:rPr>
                <w:rFonts w:ascii="宋体" w:hAnsi="宋体" w:cs="宋体"/>
                <w:szCs w:val="21"/>
              </w:rPr>
            </w:pPr>
          </w:p>
        </w:tc>
        <w:tc>
          <w:tcPr>
            <w:tcW w:w="572" w:type="dxa"/>
          </w:tcPr>
          <w:p w14:paraId="1AF0F2DF">
            <w:pPr>
              <w:jc w:val="center"/>
              <w:rPr>
                <w:rFonts w:ascii="宋体" w:hAnsi="宋体" w:cs="宋体"/>
                <w:szCs w:val="21"/>
              </w:rPr>
            </w:pPr>
          </w:p>
        </w:tc>
        <w:tc>
          <w:tcPr>
            <w:tcW w:w="1060" w:type="dxa"/>
            <w:tcMar>
              <w:top w:w="0" w:type="dxa"/>
              <w:left w:w="108" w:type="dxa"/>
              <w:bottom w:w="0" w:type="dxa"/>
              <w:right w:w="108" w:type="dxa"/>
            </w:tcMar>
            <w:vAlign w:val="center"/>
          </w:tcPr>
          <w:p w14:paraId="645257F4">
            <w:pPr>
              <w:widowControl/>
              <w:spacing w:line="400" w:lineRule="exact"/>
              <w:jc w:val="left"/>
              <w:rPr>
                <w:rFonts w:ascii="宋体" w:hAnsi="宋体"/>
                <w:szCs w:val="21"/>
              </w:rPr>
            </w:pPr>
            <w:r>
              <w:rPr>
                <w:rFonts w:hint="eastAsia" w:ascii="宋体" w:hAnsi="宋体"/>
                <w:szCs w:val="21"/>
              </w:rPr>
              <w:t>□新建</w:t>
            </w:r>
          </w:p>
          <w:p w14:paraId="073F963C">
            <w:pPr>
              <w:jc w:val="left"/>
              <w:rPr>
                <w:rFonts w:ascii="宋体" w:hAnsi="宋体" w:cs="宋体"/>
                <w:szCs w:val="21"/>
              </w:rPr>
            </w:pPr>
            <w:r>
              <w:rPr>
                <w:rFonts w:hint="eastAsia" w:ascii="宋体" w:hAnsi="宋体"/>
                <w:szCs w:val="21"/>
              </w:rPr>
              <w:t>□改扩建</w:t>
            </w:r>
          </w:p>
        </w:tc>
        <w:tc>
          <w:tcPr>
            <w:tcW w:w="644" w:type="dxa"/>
            <w:tcMar>
              <w:top w:w="0" w:type="dxa"/>
              <w:left w:w="108" w:type="dxa"/>
              <w:bottom w:w="0" w:type="dxa"/>
              <w:right w:w="108" w:type="dxa"/>
            </w:tcMar>
            <w:vAlign w:val="center"/>
          </w:tcPr>
          <w:p w14:paraId="6B16AEB6">
            <w:pPr>
              <w:jc w:val="center"/>
              <w:rPr>
                <w:rFonts w:ascii="宋体" w:hAnsi="宋体" w:cs="宋体"/>
                <w:szCs w:val="21"/>
              </w:rPr>
            </w:pPr>
          </w:p>
        </w:tc>
        <w:tc>
          <w:tcPr>
            <w:tcW w:w="823" w:type="dxa"/>
            <w:vAlign w:val="center"/>
          </w:tcPr>
          <w:p w14:paraId="0A4D24AF">
            <w:pPr>
              <w:jc w:val="center"/>
              <w:rPr>
                <w:rFonts w:ascii="宋体" w:hAnsi="宋体" w:cs="宋体"/>
                <w:szCs w:val="21"/>
              </w:rPr>
            </w:pPr>
          </w:p>
        </w:tc>
        <w:tc>
          <w:tcPr>
            <w:tcW w:w="515" w:type="dxa"/>
            <w:vAlign w:val="center"/>
          </w:tcPr>
          <w:p w14:paraId="5D30DB89">
            <w:pPr>
              <w:jc w:val="center"/>
              <w:rPr>
                <w:rFonts w:ascii="宋体" w:hAnsi="宋体" w:cs="宋体"/>
                <w:szCs w:val="21"/>
              </w:rPr>
            </w:pPr>
          </w:p>
        </w:tc>
        <w:tc>
          <w:tcPr>
            <w:tcW w:w="979" w:type="dxa"/>
            <w:tcMar>
              <w:top w:w="0" w:type="dxa"/>
              <w:left w:w="108" w:type="dxa"/>
              <w:bottom w:w="0" w:type="dxa"/>
              <w:right w:w="108" w:type="dxa"/>
            </w:tcMar>
            <w:vAlign w:val="center"/>
          </w:tcPr>
          <w:p w14:paraId="6079C91E">
            <w:pPr>
              <w:jc w:val="center"/>
              <w:rPr>
                <w:rFonts w:ascii="宋体" w:hAnsi="宋体" w:cs="宋体"/>
                <w:szCs w:val="21"/>
              </w:rPr>
            </w:pPr>
          </w:p>
        </w:tc>
        <w:tc>
          <w:tcPr>
            <w:tcW w:w="798" w:type="dxa"/>
            <w:vAlign w:val="center"/>
          </w:tcPr>
          <w:p w14:paraId="42DACC9A">
            <w:pPr>
              <w:jc w:val="center"/>
              <w:rPr>
                <w:rFonts w:ascii="宋体" w:hAnsi="宋体" w:cs="宋体"/>
                <w:szCs w:val="21"/>
              </w:rPr>
            </w:pPr>
          </w:p>
        </w:tc>
        <w:tc>
          <w:tcPr>
            <w:tcW w:w="793" w:type="dxa"/>
            <w:tcMar>
              <w:top w:w="0" w:type="dxa"/>
              <w:left w:w="108" w:type="dxa"/>
              <w:bottom w:w="0" w:type="dxa"/>
              <w:right w:w="108" w:type="dxa"/>
            </w:tcMar>
            <w:vAlign w:val="center"/>
          </w:tcPr>
          <w:p w14:paraId="076AB317">
            <w:pPr>
              <w:jc w:val="center"/>
              <w:rPr>
                <w:rFonts w:ascii="宋体" w:hAnsi="宋体" w:cs="宋体"/>
                <w:szCs w:val="21"/>
              </w:rPr>
            </w:pPr>
          </w:p>
        </w:tc>
        <w:tc>
          <w:tcPr>
            <w:tcW w:w="742" w:type="dxa"/>
            <w:vAlign w:val="center"/>
          </w:tcPr>
          <w:p w14:paraId="759885C7">
            <w:pPr>
              <w:jc w:val="center"/>
              <w:rPr>
                <w:rFonts w:ascii="宋体" w:hAnsi="宋体" w:cs="宋体"/>
                <w:szCs w:val="21"/>
              </w:rPr>
            </w:pPr>
          </w:p>
        </w:tc>
        <w:tc>
          <w:tcPr>
            <w:tcW w:w="637" w:type="dxa"/>
            <w:vAlign w:val="center"/>
          </w:tcPr>
          <w:p w14:paraId="44C934A0">
            <w:pPr>
              <w:jc w:val="center"/>
              <w:rPr>
                <w:rFonts w:ascii="宋体" w:hAnsi="宋体" w:cs="宋体"/>
                <w:szCs w:val="21"/>
              </w:rPr>
            </w:pPr>
          </w:p>
        </w:tc>
        <w:tc>
          <w:tcPr>
            <w:tcW w:w="679" w:type="dxa"/>
            <w:vAlign w:val="center"/>
          </w:tcPr>
          <w:p w14:paraId="221E11DD">
            <w:pPr>
              <w:jc w:val="center"/>
              <w:rPr>
                <w:rFonts w:ascii="宋体" w:hAnsi="宋体" w:cs="宋体"/>
                <w:szCs w:val="21"/>
              </w:rPr>
            </w:pPr>
          </w:p>
        </w:tc>
        <w:tc>
          <w:tcPr>
            <w:tcW w:w="787" w:type="dxa"/>
            <w:vAlign w:val="center"/>
          </w:tcPr>
          <w:p w14:paraId="0E6E216D">
            <w:pPr>
              <w:jc w:val="center"/>
              <w:rPr>
                <w:rFonts w:ascii="宋体" w:hAnsi="宋体" w:cs="宋体"/>
                <w:szCs w:val="21"/>
              </w:rPr>
            </w:pPr>
          </w:p>
        </w:tc>
        <w:tc>
          <w:tcPr>
            <w:tcW w:w="743" w:type="dxa"/>
            <w:vAlign w:val="center"/>
          </w:tcPr>
          <w:p w14:paraId="262EDADD">
            <w:pPr>
              <w:jc w:val="center"/>
              <w:rPr>
                <w:rFonts w:ascii="宋体" w:hAnsi="宋体" w:cs="宋体"/>
                <w:szCs w:val="21"/>
              </w:rPr>
            </w:pPr>
          </w:p>
        </w:tc>
        <w:tc>
          <w:tcPr>
            <w:tcW w:w="946" w:type="dxa"/>
            <w:tcMar>
              <w:top w:w="0" w:type="dxa"/>
              <w:left w:w="108" w:type="dxa"/>
              <w:bottom w:w="0" w:type="dxa"/>
              <w:right w:w="108" w:type="dxa"/>
            </w:tcMar>
            <w:vAlign w:val="center"/>
          </w:tcPr>
          <w:p w14:paraId="2C1D66EB">
            <w:pPr>
              <w:jc w:val="center"/>
              <w:rPr>
                <w:rFonts w:ascii="宋体" w:hAnsi="宋体" w:cs="宋体"/>
                <w:szCs w:val="21"/>
              </w:rPr>
            </w:pPr>
          </w:p>
        </w:tc>
        <w:tc>
          <w:tcPr>
            <w:tcW w:w="1017" w:type="dxa"/>
            <w:vAlign w:val="center"/>
          </w:tcPr>
          <w:p w14:paraId="35DFBA29">
            <w:pPr>
              <w:jc w:val="center"/>
              <w:rPr>
                <w:rFonts w:ascii="宋体" w:hAnsi="宋体" w:cs="宋体"/>
                <w:szCs w:val="21"/>
              </w:rPr>
            </w:pPr>
            <w:r>
              <w:rPr>
                <w:rFonts w:hint="eastAsia" w:ascii="宋体" w:hAnsi="宋体" w:cs="宋体"/>
                <w:szCs w:val="21"/>
              </w:rPr>
              <w:t>附件</w:t>
            </w:r>
            <w:r>
              <w:rPr>
                <w:rFonts w:ascii="宋体" w:hAnsi="宋体" w:cs="宋体"/>
                <w:szCs w:val="21"/>
              </w:rPr>
              <w:t>C</w:t>
            </w:r>
            <w:r>
              <w:rPr>
                <w:rFonts w:hint="eastAsia" w:cs="宋体" w:asciiTheme="minorEastAsia" w:hAnsiTheme="minorEastAsia" w:eastAsiaTheme="minorEastAsia"/>
                <w:szCs w:val="21"/>
                <w:lang w:val="en-US" w:eastAsia="zh-CN"/>
              </w:rPr>
              <w:t>2-</w:t>
            </w:r>
            <w:r>
              <w:rPr>
                <w:rFonts w:ascii="宋体" w:hAnsi="宋体" w:cs="宋体"/>
                <w:szCs w:val="21"/>
              </w:rPr>
              <w:t>2.1</w:t>
            </w:r>
          </w:p>
        </w:tc>
      </w:tr>
      <w:tr w14:paraId="5873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427" w:type="dxa"/>
            <w:vAlign w:val="center"/>
          </w:tcPr>
          <w:p w14:paraId="3265A098">
            <w:pPr>
              <w:jc w:val="center"/>
              <w:rPr>
                <w:rFonts w:ascii="宋体" w:hAnsi="宋体" w:cs="宋体"/>
                <w:szCs w:val="21"/>
              </w:rPr>
            </w:pPr>
          </w:p>
        </w:tc>
        <w:tc>
          <w:tcPr>
            <w:tcW w:w="687" w:type="dxa"/>
            <w:tcMar>
              <w:top w:w="0" w:type="dxa"/>
              <w:left w:w="108" w:type="dxa"/>
              <w:bottom w:w="0" w:type="dxa"/>
              <w:right w:w="108" w:type="dxa"/>
            </w:tcMar>
            <w:vAlign w:val="center"/>
          </w:tcPr>
          <w:p w14:paraId="03CF8C7A">
            <w:pPr>
              <w:jc w:val="center"/>
              <w:rPr>
                <w:rFonts w:ascii="宋体" w:hAnsi="宋体" w:cs="宋体"/>
                <w:szCs w:val="21"/>
              </w:rPr>
            </w:pPr>
          </w:p>
        </w:tc>
        <w:tc>
          <w:tcPr>
            <w:tcW w:w="1144" w:type="dxa"/>
            <w:tcMar>
              <w:top w:w="0" w:type="dxa"/>
              <w:left w:w="108" w:type="dxa"/>
              <w:bottom w:w="0" w:type="dxa"/>
              <w:right w:w="108" w:type="dxa"/>
            </w:tcMar>
            <w:vAlign w:val="center"/>
          </w:tcPr>
          <w:p w14:paraId="224BBE98">
            <w:pPr>
              <w:jc w:val="center"/>
              <w:rPr>
                <w:rFonts w:ascii="宋体" w:hAnsi="宋体" w:cs="宋体"/>
                <w:szCs w:val="21"/>
              </w:rPr>
            </w:pPr>
          </w:p>
        </w:tc>
        <w:tc>
          <w:tcPr>
            <w:tcW w:w="572" w:type="dxa"/>
          </w:tcPr>
          <w:p w14:paraId="58D0E50E">
            <w:pPr>
              <w:jc w:val="center"/>
              <w:rPr>
                <w:rFonts w:ascii="宋体" w:hAnsi="宋体" w:cs="宋体"/>
                <w:szCs w:val="21"/>
              </w:rPr>
            </w:pPr>
          </w:p>
        </w:tc>
        <w:tc>
          <w:tcPr>
            <w:tcW w:w="1060" w:type="dxa"/>
            <w:tcMar>
              <w:top w:w="0" w:type="dxa"/>
              <w:left w:w="108" w:type="dxa"/>
              <w:bottom w:w="0" w:type="dxa"/>
              <w:right w:w="108" w:type="dxa"/>
            </w:tcMar>
            <w:vAlign w:val="center"/>
          </w:tcPr>
          <w:p w14:paraId="6C7952E6">
            <w:pPr>
              <w:widowControl/>
              <w:spacing w:line="400" w:lineRule="exact"/>
              <w:jc w:val="left"/>
              <w:rPr>
                <w:rFonts w:ascii="宋体" w:hAnsi="宋体"/>
                <w:szCs w:val="21"/>
              </w:rPr>
            </w:pPr>
            <w:r>
              <w:rPr>
                <w:rFonts w:hint="eastAsia" w:ascii="宋体" w:hAnsi="宋体"/>
                <w:szCs w:val="21"/>
              </w:rPr>
              <w:t>□新建</w:t>
            </w:r>
          </w:p>
          <w:p w14:paraId="624F6965">
            <w:pPr>
              <w:jc w:val="left"/>
              <w:rPr>
                <w:rFonts w:ascii="宋体" w:hAnsi="宋体" w:cs="宋体"/>
                <w:szCs w:val="21"/>
              </w:rPr>
            </w:pPr>
            <w:r>
              <w:rPr>
                <w:rFonts w:hint="eastAsia" w:ascii="宋体" w:hAnsi="宋体"/>
                <w:szCs w:val="21"/>
              </w:rPr>
              <w:t>□改扩建</w:t>
            </w:r>
          </w:p>
        </w:tc>
        <w:tc>
          <w:tcPr>
            <w:tcW w:w="644" w:type="dxa"/>
            <w:tcMar>
              <w:top w:w="0" w:type="dxa"/>
              <w:left w:w="108" w:type="dxa"/>
              <w:bottom w:w="0" w:type="dxa"/>
              <w:right w:w="108" w:type="dxa"/>
            </w:tcMar>
            <w:vAlign w:val="center"/>
          </w:tcPr>
          <w:p w14:paraId="308DEC41">
            <w:pPr>
              <w:jc w:val="center"/>
              <w:rPr>
                <w:rFonts w:ascii="宋体" w:hAnsi="宋体" w:cs="宋体"/>
                <w:szCs w:val="21"/>
              </w:rPr>
            </w:pPr>
          </w:p>
        </w:tc>
        <w:tc>
          <w:tcPr>
            <w:tcW w:w="823" w:type="dxa"/>
            <w:vAlign w:val="center"/>
          </w:tcPr>
          <w:p w14:paraId="6AB1E0B7">
            <w:pPr>
              <w:jc w:val="center"/>
              <w:rPr>
                <w:rFonts w:ascii="宋体" w:hAnsi="宋体" w:cs="宋体"/>
                <w:szCs w:val="21"/>
              </w:rPr>
            </w:pPr>
          </w:p>
        </w:tc>
        <w:tc>
          <w:tcPr>
            <w:tcW w:w="515" w:type="dxa"/>
            <w:vAlign w:val="center"/>
          </w:tcPr>
          <w:p w14:paraId="73CFAF59">
            <w:pPr>
              <w:jc w:val="center"/>
              <w:rPr>
                <w:rFonts w:ascii="宋体" w:hAnsi="宋体" w:cs="宋体"/>
                <w:szCs w:val="21"/>
              </w:rPr>
            </w:pPr>
          </w:p>
        </w:tc>
        <w:tc>
          <w:tcPr>
            <w:tcW w:w="979" w:type="dxa"/>
            <w:tcMar>
              <w:top w:w="0" w:type="dxa"/>
              <w:left w:w="108" w:type="dxa"/>
              <w:bottom w:w="0" w:type="dxa"/>
              <w:right w:w="108" w:type="dxa"/>
            </w:tcMar>
            <w:vAlign w:val="center"/>
          </w:tcPr>
          <w:p w14:paraId="033AE4FA">
            <w:pPr>
              <w:jc w:val="center"/>
              <w:rPr>
                <w:rFonts w:ascii="宋体" w:hAnsi="宋体" w:cs="宋体"/>
                <w:szCs w:val="21"/>
              </w:rPr>
            </w:pPr>
          </w:p>
        </w:tc>
        <w:tc>
          <w:tcPr>
            <w:tcW w:w="798" w:type="dxa"/>
            <w:vAlign w:val="center"/>
          </w:tcPr>
          <w:p w14:paraId="582DEBC0">
            <w:pPr>
              <w:jc w:val="center"/>
              <w:rPr>
                <w:rFonts w:ascii="宋体" w:hAnsi="宋体" w:cs="宋体"/>
                <w:szCs w:val="21"/>
              </w:rPr>
            </w:pPr>
          </w:p>
        </w:tc>
        <w:tc>
          <w:tcPr>
            <w:tcW w:w="793" w:type="dxa"/>
            <w:tcMar>
              <w:top w:w="0" w:type="dxa"/>
              <w:left w:w="108" w:type="dxa"/>
              <w:bottom w:w="0" w:type="dxa"/>
              <w:right w:w="108" w:type="dxa"/>
            </w:tcMar>
            <w:vAlign w:val="center"/>
          </w:tcPr>
          <w:p w14:paraId="7B916446">
            <w:pPr>
              <w:jc w:val="center"/>
              <w:rPr>
                <w:rFonts w:ascii="宋体" w:hAnsi="宋体" w:cs="宋体"/>
                <w:szCs w:val="21"/>
              </w:rPr>
            </w:pPr>
          </w:p>
        </w:tc>
        <w:tc>
          <w:tcPr>
            <w:tcW w:w="742" w:type="dxa"/>
            <w:vAlign w:val="center"/>
          </w:tcPr>
          <w:p w14:paraId="4E745244">
            <w:pPr>
              <w:jc w:val="center"/>
              <w:rPr>
                <w:rFonts w:ascii="宋体" w:hAnsi="宋体" w:cs="宋体"/>
                <w:szCs w:val="21"/>
              </w:rPr>
            </w:pPr>
          </w:p>
        </w:tc>
        <w:tc>
          <w:tcPr>
            <w:tcW w:w="637" w:type="dxa"/>
            <w:vAlign w:val="center"/>
          </w:tcPr>
          <w:p w14:paraId="0D0D2026">
            <w:pPr>
              <w:jc w:val="center"/>
              <w:rPr>
                <w:rFonts w:ascii="宋体" w:hAnsi="宋体" w:cs="宋体"/>
                <w:szCs w:val="21"/>
              </w:rPr>
            </w:pPr>
          </w:p>
        </w:tc>
        <w:tc>
          <w:tcPr>
            <w:tcW w:w="679" w:type="dxa"/>
            <w:vAlign w:val="center"/>
          </w:tcPr>
          <w:p w14:paraId="13BD6F7C">
            <w:pPr>
              <w:jc w:val="center"/>
              <w:rPr>
                <w:rFonts w:ascii="宋体" w:hAnsi="宋体" w:cs="宋体"/>
                <w:szCs w:val="21"/>
              </w:rPr>
            </w:pPr>
          </w:p>
        </w:tc>
        <w:tc>
          <w:tcPr>
            <w:tcW w:w="787" w:type="dxa"/>
            <w:vAlign w:val="center"/>
          </w:tcPr>
          <w:p w14:paraId="287986D3">
            <w:pPr>
              <w:jc w:val="center"/>
              <w:rPr>
                <w:rFonts w:ascii="宋体" w:hAnsi="宋体" w:cs="宋体"/>
                <w:szCs w:val="21"/>
              </w:rPr>
            </w:pPr>
          </w:p>
        </w:tc>
        <w:tc>
          <w:tcPr>
            <w:tcW w:w="743" w:type="dxa"/>
            <w:vAlign w:val="center"/>
          </w:tcPr>
          <w:p w14:paraId="577AC2BF">
            <w:pPr>
              <w:jc w:val="center"/>
              <w:rPr>
                <w:rFonts w:ascii="宋体" w:hAnsi="宋体" w:cs="宋体"/>
                <w:szCs w:val="21"/>
              </w:rPr>
            </w:pPr>
          </w:p>
        </w:tc>
        <w:tc>
          <w:tcPr>
            <w:tcW w:w="946" w:type="dxa"/>
            <w:tcMar>
              <w:top w:w="0" w:type="dxa"/>
              <w:left w:w="108" w:type="dxa"/>
              <w:bottom w:w="0" w:type="dxa"/>
              <w:right w:w="108" w:type="dxa"/>
            </w:tcMar>
            <w:vAlign w:val="center"/>
          </w:tcPr>
          <w:p w14:paraId="3A76295A">
            <w:pPr>
              <w:jc w:val="center"/>
              <w:rPr>
                <w:rFonts w:ascii="宋体" w:hAnsi="宋体" w:cs="宋体"/>
                <w:szCs w:val="21"/>
              </w:rPr>
            </w:pPr>
          </w:p>
        </w:tc>
        <w:tc>
          <w:tcPr>
            <w:tcW w:w="1017" w:type="dxa"/>
            <w:vAlign w:val="center"/>
          </w:tcPr>
          <w:p w14:paraId="5C7CC3B9">
            <w:pPr>
              <w:jc w:val="center"/>
              <w:rPr>
                <w:rFonts w:ascii="宋体" w:hAnsi="宋体" w:cs="宋体"/>
                <w:szCs w:val="21"/>
              </w:rPr>
            </w:pPr>
            <w:r>
              <w:rPr>
                <w:rFonts w:hint="eastAsia" w:ascii="宋体" w:hAnsi="宋体" w:cs="宋体"/>
                <w:szCs w:val="21"/>
              </w:rPr>
              <w:t>附件</w:t>
            </w:r>
            <w:r>
              <w:rPr>
                <w:rFonts w:ascii="宋体" w:hAnsi="宋体" w:cs="宋体"/>
                <w:szCs w:val="21"/>
              </w:rPr>
              <w:t>C</w:t>
            </w:r>
            <w:r>
              <w:rPr>
                <w:rFonts w:hint="eastAsia" w:cs="宋体" w:asciiTheme="minorEastAsia" w:hAnsiTheme="minorEastAsia" w:eastAsiaTheme="minorEastAsia"/>
                <w:szCs w:val="21"/>
                <w:lang w:val="en-US" w:eastAsia="zh-CN"/>
              </w:rPr>
              <w:t>2-</w:t>
            </w:r>
            <w:r>
              <w:rPr>
                <w:rFonts w:ascii="宋体" w:hAnsi="宋体" w:cs="宋体"/>
                <w:szCs w:val="21"/>
              </w:rPr>
              <w:t>2.2</w:t>
            </w:r>
          </w:p>
        </w:tc>
      </w:tr>
      <w:tr w14:paraId="530F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427" w:type="dxa"/>
            <w:vAlign w:val="center"/>
          </w:tcPr>
          <w:p w14:paraId="668A2CB8">
            <w:pPr>
              <w:jc w:val="center"/>
              <w:rPr>
                <w:rFonts w:ascii="宋体" w:hAnsi="宋体" w:cs="宋体"/>
                <w:szCs w:val="21"/>
              </w:rPr>
            </w:pPr>
          </w:p>
        </w:tc>
        <w:tc>
          <w:tcPr>
            <w:tcW w:w="687" w:type="dxa"/>
            <w:tcMar>
              <w:top w:w="0" w:type="dxa"/>
              <w:left w:w="108" w:type="dxa"/>
              <w:bottom w:w="0" w:type="dxa"/>
              <w:right w:w="108" w:type="dxa"/>
            </w:tcMar>
            <w:vAlign w:val="center"/>
          </w:tcPr>
          <w:p w14:paraId="714C5E5A">
            <w:pPr>
              <w:jc w:val="center"/>
              <w:rPr>
                <w:rFonts w:ascii="宋体" w:hAnsi="宋体" w:cs="宋体"/>
                <w:szCs w:val="21"/>
              </w:rPr>
            </w:pPr>
          </w:p>
        </w:tc>
        <w:tc>
          <w:tcPr>
            <w:tcW w:w="1144" w:type="dxa"/>
            <w:tcMar>
              <w:top w:w="0" w:type="dxa"/>
              <w:left w:w="108" w:type="dxa"/>
              <w:bottom w:w="0" w:type="dxa"/>
              <w:right w:w="108" w:type="dxa"/>
            </w:tcMar>
            <w:vAlign w:val="center"/>
          </w:tcPr>
          <w:p w14:paraId="4573B372">
            <w:pPr>
              <w:jc w:val="center"/>
              <w:rPr>
                <w:rFonts w:ascii="宋体" w:hAnsi="宋体" w:cs="宋体"/>
                <w:szCs w:val="21"/>
              </w:rPr>
            </w:pPr>
          </w:p>
        </w:tc>
        <w:tc>
          <w:tcPr>
            <w:tcW w:w="572" w:type="dxa"/>
          </w:tcPr>
          <w:p w14:paraId="0C1D5F6A">
            <w:pPr>
              <w:jc w:val="center"/>
              <w:rPr>
                <w:rFonts w:ascii="宋体" w:hAnsi="宋体" w:cs="宋体"/>
                <w:szCs w:val="21"/>
              </w:rPr>
            </w:pPr>
          </w:p>
        </w:tc>
        <w:tc>
          <w:tcPr>
            <w:tcW w:w="1060" w:type="dxa"/>
            <w:tcMar>
              <w:top w:w="0" w:type="dxa"/>
              <w:left w:w="108" w:type="dxa"/>
              <w:bottom w:w="0" w:type="dxa"/>
              <w:right w:w="108" w:type="dxa"/>
            </w:tcMar>
            <w:vAlign w:val="center"/>
          </w:tcPr>
          <w:p w14:paraId="11D49C01">
            <w:pPr>
              <w:widowControl/>
              <w:spacing w:line="400" w:lineRule="exact"/>
              <w:jc w:val="left"/>
              <w:rPr>
                <w:rFonts w:ascii="宋体" w:hAnsi="宋体"/>
                <w:szCs w:val="21"/>
              </w:rPr>
            </w:pPr>
            <w:r>
              <w:rPr>
                <w:rFonts w:hint="eastAsia" w:ascii="宋体" w:hAnsi="宋体"/>
                <w:szCs w:val="21"/>
              </w:rPr>
              <w:t>□新建</w:t>
            </w:r>
          </w:p>
          <w:p w14:paraId="00B6C02B">
            <w:pPr>
              <w:jc w:val="left"/>
              <w:rPr>
                <w:rFonts w:ascii="宋体" w:hAnsi="宋体" w:cs="宋体"/>
                <w:szCs w:val="21"/>
              </w:rPr>
            </w:pPr>
            <w:r>
              <w:rPr>
                <w:rFonts w:hint="eastAsia" w:ascii="宋体" w:hAnsi="宋体"/>
                <w:szCs w:val="21"/>
              </w:rPr>
              <w:t>□改扩建</w:t>
            </w:r>
          </w:p>
        </w:tc>
        <w:tc>
          <w:tcPr>
            <w:tcW w:w="644" w:type="dxa"/>
            <w:tcMar>
              <w:top w:w="0" w:type="dxa"/>
              <w:left w:w="108" w:type="dxa"/>
              <w:bottom w:w="0" w:type="dxa"/>
              <w:right w:w="108" w:type="dxa"/>
            </w:tcMar>
            <w:vAlign w:val="center"/>
          </w:tcPr>
          <w:p w14:paraId="73EC5B5B">
            <w:pPr>
              <w:jc w:val="center"/>
              <w:rPr>
                <w:rFonts w:ascii="宋体" w:hAnsi="宋体" w:cs="宋体"/>
                <w:szCs w:val="21"/>
              </w:rPr>
            </w:pPr>
          </w:p>
        </w:tc>
        <w:tc>
          <w:tcPr>
            <w:tcW w:w="823" w:type="dxa"/>
            <w:vAlign w:val="center"/>
          </w:tcPr>
          <w:p w14:paraId="1A6BBA3B">
            <w:pPr>
              <w:jc w:val="center"/>
              <w:rPr>
                <w:rFonts w:ascii="宋体" w:hAnsi="宋体" w:cs="宋体"/>
                <w:szCs w:val="21"/>
              </w:rPr>
            </w:pPr>
          </w:p>
        </w:tc>
        <w:tc>
          <w:tcPr>
            <w:tcW w:w="515" w:type="dxa"/>
            <w:vAlign w:val="center"/>
          </w:tcPr>
          <w:p w14:paraId="101A13B4">
            <w:pPr>
              <w:jc w:val="center"/>
              <w:rPr>
                <w:rFonts w:ascii="宋体" w:hAnsi="宋体" w:cs="宋体"/>
                <w:szCs w:val="21"/>
              </w:rPr>
            </w:pPr>
          </w:p>
        </w:tc>
        <w:tc>
          <w:tcPr>
            <w:tcW w:w="979" w:type="dxa"/>
            <w:tcMar>
              <w:top w:w="0" w:type="dxa"/>
              <w:left w:w="108" w:type="dxa"/>
              <w:bottom w:w="0" w:type="dxa"/>
              <w:right w:w="108" w:type="dxa"/>
            </w:tcMar>
            <w:vAlign w:val="center"/>
          </w:tcPr>
          <w:p w14:paraId="07790EC0">
            <w:pPr>
              <w:jc w:val="center"/>
              <w:rPr>
                <w:rFonts w:ascii="宋体" w:hAnsi="宋体" w:cs="宋体"/>
                <w:szCs w:val="21"/>
              </w:rPr>
            </w:pPr>
          </w:p>
        </w:tc>
        <w:tc>
          <w:tcPr>
            <w:tcW w:w="798" w:type="dxa"/>
            <w:vAlign w:val="center"/>
          </w:tcPr>
          <w:p w14:paraId="390B30A3">
            <w:pPr>
              <w:jc w:val="center"/>
              <w:rPr>
                <w:rFonts w:ascii="宋体" w:hAnsi="宋体" w:cs="宋体"/>
                <w:szCs w:val="21"/>
              </w:rPr>
            </w:pPr>
          </w:p>
        </w:tc>
        <w:tc>
          <w:tcPr>
            <w:tcW w:w="793" w:type="dxa"/>
            <w:tcMar>
              <w:top w:w="0" w:type="dxa"/>
              <w:left w:w="108" w:type="dxa"/>
              <w:bottom w:w="0" w:type="dxa"/>
              <w:right w:w="108" w:type="dxa"/>
            </w:tcMar>
            <w:vAlign w:val="center"/>
          </w:tcPr>
          <w:p w14:paraId="233F1BC4">
            <w:pPr>
              <w:jc w:val="center"/>
              <w:rPr>
                <w:rFonts w:ascii="宋体" w:hAnsi="宋体" w:cs="宋体"/>
                <w:szCs w:val="21"/>
              </w:rPr>
            </w:pPr>
          </w:p>
        </w:tc>
        <w:tc>
          <w:tcPr>
            <w:tcW w:w="742" w:type="dxa"/>
            <w:vAlign w:val="center"/>
          </w:tcPr>
          <w:p w14:paraId="7191BCA5">
            <w:pPr>
              <w:jc w:val="center"/>
              <w:rPr>
                <w:rFonts w:ascii="宋体" w:hAnsi="宋体" w:cs="宋体"/>
                <w:szCs w:val="21"/>
              </w:rPr>
            </w:pPr>
          </w:p>
        </w:tc>
        <w:tc>
          <w:tcPr>
            <w:tcW w:w="637" w:type="dxa"/>
            <w:vAlign w:val="center"/>
          </w:tcPr>
          <w:p w14:paraId="53A090CE">
            <w:pPr>
              <w:jc w:val="center"/>
              <w:rPr>
                <w:rFonts w:ascii="宋体" w:hAnsi="宋体" w:cs="宋体"/>
                <w:szCs w:val="21"/>
              </w:rPr>
            </w:pPr>
          </w:p>
        </w:tc>
        <w:tc>
          <w:tcPr>
            <w:tcW w:w="679" w:type="dxa"/>
            <w:vAlign w:val="center"/>
          </w:tcPr>
          <w:p w14:paraId="20B274DB">
            <w:pPr>
              <w:jc w:val="center"/>
              <w:rPr>
                <w:rFonts w:ascii="宋体" w:hAnsi="宋体" w:cs="宋体"/>
                <w:szCs w:val="21"/>
              </w:rPr>
            </w:pPr>
          </w:p>
        </w:tc>
        <w:tc>
          <w:tcPr>
            <w:tcW w:w="787" w:type="dxa"/>
            <w:vAlign w:val="center"/>
          </w:tcPr>
          <w:p w14:paraId="40C6732E">
            <w:pPr>
              <w:jc w:val="center"/>
              <w:rPr>
                <w:rFonts w:ascii="宋体" w:hAnsi="宋体" w:cs="宋体"/>
                <w:szCs w:val="21"/>
              </w:rPr>
            </w:pPr>
          </w:p>
        </w:tc>
        <w:tc>
          <w:tcPr>
            <w:tcW w:w="743" w:type="dxa"/>
            <w:vAlign w:val="center"/>
          </w:tcPr>
          <w:p w14:paraId="5D4D1588">
            <w:pPr>
              <w:jc w:val="center"/>
              <w:rPr>
                <w:rFonts w:ascii="宋体" w:hAnsi="宋体" w:cs="宋体"/>
                <w:szCs w:val="21"/>
              </w:rPr>
            </w:pPr>
          </w:p>
        </w:tc>
        <w:tc>
          <w:tcPr>
            <w:tcW w:w="946" w:type="dxa"/>
            <w:tcMar>
              <w:top w:w="0" w:type="dxa"/>
              <w:left w:w="108" w:type="dxa"/>
              <w:bottom w:w="0" w:type="dxa"/>
              <w:right w:w="108" w:type="dxa"/>
            </w:tcMar>
            <w:vAlign w:val="center"/>
          </w:tcPr>
          <w:p w14:paraId="331EBB65">
            <w:pPr>
              <w:jc w:val="center"/>
              <w:rPr>
                <w:rFonts w:ascii="宋体" w:hAnsi="宋体" w:cs="宋体"/>
                <w:szCs w:val="21"/>
              </w:rPr>
            </w:pPr>
          </w:p>
        </w:tc>
        <w:tc>
          <w:tcPr>
            <w:tcW w:w="1017" w:type="dxa"/>
            <w:vAlign w:val="center"/>
          </w:tcPr>
          <w:p w14:paraId="23302F21">
            <w:pPr>
              <w:jc w:val="center"/>
              <w:rPr>
                <w:rFonts w:ascii="宋体" w:hAnsi="宋体" w:cs="宋体"/>
                <w:szCs w:val="21"/>
              </w:rPr>
            </w:pPr>
            <w:r>
              <w:rPr>
                <w:rFonts w:hint="eastAsia" w:ascii="宋体" w:hAnsi="宋体" w:cs="宋体"/>
                <w:szCs w:val="21"/>
              </w:rPr>
              <w:t>附件</w:t>
            </w:r>
            <w:r>
              <w:rPr>
                <w:rFonts w:ascii="宋体" w:hAnsi="宋体" w:cs="宋体"/>
                <w:szCs w:val="21"/>
              </w:rPr>
              <w:t>C</w:t>
            </w:r>
            <w:r>
              <w:rPr>
                <w:rFonts w:hint="eastAsia" w:cs="宋体" w:asciiTheme="minorEastAsia" w:hAnsiTheme="minorEastAsia" w:eastAsiaTheme="minorEastAsia"/>
                <w:szCs w:val="21"/>
                <w:lang w:val="en-US" w:eastAsia="zh-CN"/>
              </w:rPr>
              <w:t>2-</w:t>
            </w:r>
            <w:r>
              <w:rPr>
                <w:rFonts w:ascii="宋体" w:hAnsi="宋体" w:cs="宋体"/>
                <w:szCs w:val="21"/>
              </w:rPr>
              <w:t>2.3</w:t>
            </w:r>
          </w:p>
        </w:tc>
      </w:tr>
      <w:tr w14:paraId="5702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427" w:type="dxa"/>
            <w:vAlign w:val="center"/>
          </w:tcPr>
          <w:p w14:paraId="30460657">
            <w:pPr>
              <w:jc w:val="center"/>
              <w:rPr>
                <w:rFonts w:ascii="宋体" w:hAnsi="宋体" w:cs="宋体"/>
                <w:szCs w:val="21"/>
              </w:rPr>
            </w:pPr>
            <w:r>
              <w:rPr>
                <w:rFonts w:hint="eastAsia" w:ascii="宋体" w:hAnsi="宋体" w:cs="宋体"/>
                <w:kern w:val="0"/>
                <w:szCs w:val="21"/>
              </w:rPr>
              <w:t>…</w:t>
            </w:r>
          </w:p>
        </w:tc>
        <w:tc>
          <w:tcPr>
            <w:tcW w:w="687" w:type="dxa"/>
            <w:tcMar>
              <w:top w:w="0" w:type="dxa"/>
              <w:left w:w="108" w:type="dxa"/>
              <w:bottom w:w="0" w:type="dxa"/>
              <w:right w:w="108" w:type="dxa"/>
            </w:tcMar>
            <w:vAlign w:val="center"/>
          </w:tcPr>
          <w:p w14:paraId="14C0D66B">
            <w:pPr>
              <w:jc w:val="center"/>
              <w:rPr>
                <w:rFonts w:ascii="宋体" w:hAnsi="宋体" w:cs="宋体"/>
                <w:szCs w:val="21"/>
              </w:rPr>
            </w:pPr>
            <w:r>
              <w:rPr>
                <w:rFonts w:hint="eastAsia" w:ascii="宋体" w:hAnsi="宋体" w:cs="宋体"/>
                <w:kern w:val="0"/>
                <w:szCs w:val="21"/>
              </w:rPr>
              <w:t>…</w:t>
            </w:r>
          </w:p>
        </w:tc>
        <w:tc>
          <w:tcPr>
            <w:tcW w:w="1144" w:type="dxa"/>
            <w:tcMar>
              <w:top w:w="0" w:type="dxa"/>
              <w:left w:w="108" w:type="dxa"/>
              <w:bottom w:w="0" w:type="dxa"/>
              <w:right w:w="108" w:type="dxa"/>
            </w:tcMar>
            <w:vAlign w:val="center"/>
          </w:tcPr>
          <w:p w14:paraId="7BA0C61C">
            <w:pPr>
              <w:jc w:val="center"/>
              <w:rPr>
                <w:rFonts w:ascii="宋体" w:hAnsi="宋体" w:cs="宋体"/>
                <w:szCs w:val="21"/>
              </w:rPr>
            </w:pPr>
            <w:r>
              <w:rPr>
                <w:rFonts w:hint="eastAsia" w:ascii="宋体" w:hAnsi="宋体" w:cs="宋体"/>
                <w:kern w:val="0"/>
                <w:szCs w:val="21"/>
              </w:rPr>
              <w:t>…</w:t>
            </w:r>
          </w:p>
        </w:tc>
        <w:tc>
          <w:tcPr>
            <w:tcW w:w="572" w:type="dxa"/>
            <w:vAlign w:val="center"/>
          </w:tcPr>
          <w:p w14:paraId="64D1EF7D">
            <w:pPr>
              <w:jc w:val="center"/>
              <w:rPr>
                <w:rFonts w:ascii="宋体" w:hAnsi="宋体" w:cs="宋体"/>
                <w:kern w:val="0"/>
                <w:szCs w:val="21"/>
              </w:rPr>
            </w:pPr>
            <w:r>
              <w:rPr>
                <w:rFonts w:cs="宋体" w:asciiTheme="minorEastAsia" w:hAnsiTheme="minorEastAsia" w:eastAsiaTheme="minorEastAsia"/>
                <w:kern w:val="0"/>
                <w:szCs w:val="21"/>
              </w:rPr>
              <w:t>…</w:t>
            </w:r>
          </w:p>
        </w:tc>
        <w:tc>
          <w:tcPr>
            <w:tcW w:w="1060" w:type="dxa"/>
            <w:tcMar>
              <w:top w:w="0" w:type="dxa"/>
              <w:left w:w="108" w:type="dxa"/>
              <w:bottom w:w="0" w:type="dxa"/>
              <w:right w:w="108" w:type="dxa"/>
            </w:tcMar>
            <w:vAlign w:val="center"/>
          </w:tcPr>
          <w:p w14:paraId="24BAFF3C">
            <w:pPr>
              <w:jc w:val="center"/>
              <w:rPr>
                <w:rFonts w:ascii="宋体" w:hAnsi="宋体" w:cs="宋体"/>
                <w:kern w:val="0"/>
                <w:szCs w:val="21"/>
              </w:rPr>
            </w:pPr>
            <w:r>
              <w:rPr>
                <w:rFonts w:hint="eastAsia" w:ascii="宋体" w:hAnsi="宋体" w:cs="宋体"/>
                <w:kern w:val="0"/>
                <w:szCs w:val="21"/>
              </w:rPr>
              <w:t>…</w:t>
            </w:r>
          </w:p>
        </w:tc>
        <w:tc>
          <w:tcPr>
            <w:tcW w:w="644" w:type="dxa"/>
            <w:tcMar>
              <w:top w:w="0" w:type="dxa"/>
              <w:left w:w="108" w:type="dxa"/>
              <w:bottom w:w="0" w:type="dxa"/>
              <w:right w:w="108" w:type="dxa"/>
            </w:tcMar>
            <w:vAlign w:val="center"/>
          </w:tcPr>
          <w:p w14:paraId="56A7FD0C">
            <w:pPr>
              <w:jc w:val="center"/>
              <w:rPr>
                <w:rFonts w:ascii="宋体" w:hAnsi="宋体" w:cs="宋体"/>
                <w:szCs w:val="21"/>
              </w:rPr>
            </w:pPr>
            <w:r>
              <w:rPr>
                <w:rFonts w:hint="eastAsia" w:ascii="宋体" w:hAnsi="宋体" w:cs="宋体"/>
                <w:kern w:val="0"/>
                <w:szCs w:val="21"/>
              </w:rPr>
              <w:t>…</w:t>
            </w:r>
          </w:p>
        </w:tc>
        <w:tc>
          <w:tcPr>
            <w:tcW w:w="823" w:type="dxa"/>
            <w:vAlign w:val="center"/>
          </w:tcPr>
          <w:p w14:paraId="27057A70">
            <w:pPr>
              <w:jc w:val="center"/>
              <w:rPr>
                <w:rFonts w:ascii="宋体" w:hAnsi="宋体" w:cs="宋体"/>
                <w:kern w:val="0"/>
                <w:szCs w:val="21"/>
              </w:rPr>
            </w:pPr>
            <w:r>
              <w:rPr>
                <w:rFonts w:hint="eastAsia" w:cs="宋体" w:asciiTheme="minorEastAsia" w:hAnsiTheme="minorEastAsia" w:eastAsiaTheme="minorEastAsia"/>
                <w:kern w:val="0"/>
                <w:szCs w:val="21"/>
              </w:rPr>
              <w:t>…</w:t>
            </w:r>
          </w:p>
        </w:tc>
        <w:tc>
          <w:tcPr>
            <w:tcW w:w="515" w:type="dxa"/>
            <w:vAlign w:val="center"/>
          </w:tcPr>
          <w:p w14:paraId="3EB1F666">
            <w:pPr>
              <w:jc w:val="center"/>
              <w:rPr>
                <w:rFonts w:ascii="宋体" w:hAnsi="宋体" w:cs="宋体"/>
                <w:szCs w:val="21"/>
              </w:rPr>
            </w:pPr>
            <w:r>
              <w:rPr>
                <w:rFonts w:hint="eastAsia" w:ascii="宋体" w:hAnsi="宋体" w:cs="宋体"/>
                <w:kern w:val="0"/>
                <w:szCs w:val="21"/>
              </w:rPr>
              <w:t>…</w:t>
            </w:r>
          </w:p>
        </w:tc>
        <w:tc>
          <w:tcPr>
            <w:tcW w:w="979" w:type="dxa"/>
            <w:tcMar>
              <w:top w:w="0" w:type="dxa"/>
              <w:left w:w="108" w:type="dxa"/>
              <w:bottom w:w="0" w:type="dxa"/>
              <w:right w:w="108" w:type="dxa"/>
            </w:tcMar>
            <w:vAlign w:val="center"/>
          </w:tcPr>
          <w:p w14:paraId="1DD84E81">
            <w:pPr>
              <w:jc w:val="center"/>
              <w:rPr>
                <w:rFonts w:ascii="宋体" w:hAnsi="宋体" w:cs="宋体"/>
                <w:szCs w:val="21"/>
              </w:rPr>
            </w:pPr>
            <w:r>
              <w:rPr>
                <w:rFonts w:hint="eastAsia" w:ascii="宋体" w:hAnsi="宋体" w:cs="宋体"/>
                <w:kern w:val="0"/>
                <w:szCs w:val="21"/>
              </w:rPr>
              <w:t>…</w:t>
            </w:r>
          </w:p>
        </w:tc>
        <w:tc>
          <w:tcPr>
            <w:tcW w:w="798" w:type="dxa"/>
            <w:vAlign w:val="center"/>
          </w:tcPr>
          <w:p w14:paraId="4B32465F">
            <w:pPr>
              <w:jc w:val="center"/>
              <w:rPr>
                <w:rFonts w:ascii="宋体" w:hAnsi="宋体" w:cs="宋体"/>
                <w:szCs w:val="21"/>
              </w:rPr>
            </w:pPr>
            <w:r>
              <w:rPr>
                <w:rFonts w:hint="eastAsia" w:ascii="宋体" w:hAnsi="宋体" w:cs="宋体"/>
                <w:kern w:val="0"/>
                <w:szCs w:val="21"/>
              </w:rPr>
              <w:t>…</w:t>
            </w:r>
          </w:p>
        </w:tc>
        <w:tc>
          <w:tcPr>
            <w:tcW w:w="793" w:type="dxa"/>
            <w:tcMar>
              <w:top w:w="0" w:type="dxa"/>
              <w:left w:w="108" w:type="dxa"/>
              <w:bottom w:w="0" w:type="dxa"/>
              <w:right w:w="108" w:type="dxa"/>
            </w:tcMar>
            <w:vAlign w:val="center"/>
          </w:tcPr>
          <w:p w14:paraId="6CD4DD22">
            <w:pPr>
              <w:jc w:val="center"/>
              <w:rPr>
                <w:rFonts w:ascii="宋体" w:hAnsi="宋体" w:cs="宋体"/>
                <w:szCs w:val="21"/>
              </w:rPr>
            </w:pPr>
            <w:r>
              <w:rPr>
                <w:rFonts w:hint="eastAsia" w:ascii="宋体" w:hAnsi="宋体" w:cs="宋体"/>
                <w:kern w:val="0"/>
                <w:szCs w:val="21"/>
              </w:rPr>
              <w:t>…</w:t>
            </w:r>
          </w:p>
        </w:tc>
        <w:tc>
          <w:tcPr>
            <w:tcW w:w="742" w:type="dxa"/>
            <w:vAlign w:val="center"/>
          </w:tcPr>
          <w:p w14:paraId="107827B2">
            <w:pPr>
              <w:jc w:val="center"/>
              <w:rPr>
                <w:rFonts w:ascii="宋体" w:hAnsi="宋体" w:cs="宋体"/>
                <w:kern w:val="0"/>
                <w:szCs w:val="21"/>
              </w:rPr>
            </w:pPr>
            <w:r>
              <w:rPr>
                <w:rFonts w:hint="eastAsia" w:ascii="宋体" w:hAnsi="宋体" w:cs="宋体"/>
                <w:kern w:val="0"/>
                <w:szCs w:val="21"/>
              </w:rPr>
              <w:t>…</w:t>
            </w:r>
          </w:p>
        </w:tc>
        <w:tc>
          <w:tcPr>
            <w:tcW w:w="637" w:type="dxa"/>
            <w:vAlign w:val="center"/>
          </w:tcPr>
          <w:p w14:paraId="0E57C885">
            <w:pPr>
              <w:jc w:val="center"/>
              <w:rPr>
                <w:rFonts w:ascii="宋体" w:hAnsi="宋体" w:cs="宋体"/>
                <w:kern w:val="0"/>
                <w:szCs w:val="21"/>
              </w:rPr>
            </w:pPr>
            <w:r>
              <w:rPr>
                <w:rFonts w:hint="eastAsia" w:ascii="宋体" w:hAnsi="宋体" w:cs="宋体"/>
                <w:kern w:val="0"/>
                <w:szCs w:val="21"/>
              </w:rPr>
              <w:t>…</w:t>
            </w:r>
          </w:p>
        </w:tc>
        <w:tc>
          <w:tcPr>
            <w:tcW w:w="679" w:type="dxa"/>
            <w:vAlign w:val="center"/>
          </w:tcPr>
          <w:p w14:paraId="3BC82F1E">
            <w:pPr>
              <w:jc w:val="center"/>
              <w:rPr>
                <w:rFonts w:ascii="宋体" w:hAnsi="宋体" w:cs="宋体"/>
                <w:szCs w:val="21"/>
              </w:rPr>
            </w:pPr>
            <w:r>
              <w:rPr>
                <w:rFonts w:hint="eastAsia" w:ascii="宋体" w:hAnsi="宋体" w:cs="宋体"/>
                <w:kern w:val="0"/>
                <w:szCs w:val="21"/>
              </w:rPr>
              <w:t>…</w:t>
            </w:r>
          </w:p>
        </w:tc>
        <w:tc>
          <w:tcPr>
            <w:tcW w:w="787" w:type="dxa"/>
            <w:vAlign w:val="center"/>
          </w:tcPr>
          <w:p w14:paraId="42E737FC">
            <w:pPr>
              <w:jc w:val="center"/>
              <w:rPr>
                <w:rFonts w:ascii="宋体" w:hAnsi="宋体" w:cs="宋体"/>
                <w:kern w:val="0"/>
                <w:szCs w:val="21"/>
              </w:rPr>
            </w:pPr>
            <w:r>
              <w:rPr>
                <w:rFonts w:hint="eastAsia" w:cs="宋体" w:asciiTheme="minorEastAsia" w:hAnsiTheme="minorEastAsia" w:eastAsiaTheme="minorEastAsia"/>
                <w:kern w:val="0"/>
                <w:szCs w:val="21"/>
              </w:rPr>
              <w:t>…</w:t>
            </w:r>
          </w:p>
        </w:tc>
        <w:tc>
          <w:tcPr>
            <w:tcW w:w="743" w:type="dxa"/>
            <w:vAlign w:val="center"/>
          </w:tcPr>
          <w:p w14:paraId="0B076A87">
            <w:pPr>
              <w:jc w:val="center"/>
              <w:rPr>
                <w:rFonts w:ascii="宋体" w:hAnsi="宋体" w:cs="宋体"/>
                <w:kern w:val="0"/>
                <w:szCs w:val="21"/>
              </w:rPr>
            </w:pPr>
            <w:r>
              <w:rPr>
                <w:rFonts w:hint="eastAsia" w:cs="宋体" w:asciiTheme="minorEastAsia" w:hAnsiTheme="minorEastAsia" w:eastAsiaTheme="minorEastAsia"/>
                <w:kern w:val="0"/>
                <w:szCs w:val="21"/>
              </w:rPr>
              <w:t>…</w:t>
            </w:r>
          </w:p>
        </w:tc>
        <w:tc>
          <w:tcPr>
            <w:tcW w:w="946" w:type="dxa"/>
            <w:tcMar>
              <w:top w:w="0" w:type="dxa"/>
              <w:left w:w="108" w:type="dxa"/>
              <w:bottom w:w="0" w:type="dxa"/>
              <w:right w:w="108" w:type="dxa"/>
            </w:tcMar>
            <w:vAlign w:val="center"/>
          </w:tcPr>
          <w:p w14:paraId="34091EAB">
            <w:pPr>
              <w:jc w:val="center"/>
              <w:rPr>
                <w:rFonts w:ascii="宋体" w:hAnsi="宋体" w:cs="宋体"/>
                <w:szCs w:val="21"/>
              </w:rPr>
            </w:pPr>
            <w:r>
              <w:rPr>
                <w:rFonts w:hint="eastAsia" w:ascii="宋体" w:hAnsi="宋体" w:cs="宋体"/>
                <w:kern w:val="0"/>
                <w:szCs w:val="21"/>
              </w:rPr>
              <w:t>…</w:t>
            </w:r>
          </w:p>
        </w:tc>
        <w:tc>
          <w:tcPr>
            <w:tcW w:w="1017" w:type="dxa"/>
            <w:vAlign w:val="center"/>
          </w:tcPr>
          <w:p w14:paraId="65450019">
            <w:pPr>
              <w:jc w:val="center"/>
              <w:rPr>
                <w:rFonts w:ascii="宋体" w:hAnsi="宋体" w:cs="宋体"/>
                <w:szCs w:val="21"/>
              </w:rPr>
            </w:pPr>
            <w:r>
              <w:rPr>
                <w:rFonts w:hint="eastAsia" w:ascii="宋体" w:hAnsi="宋体" w:cs="宋体"/>
                <w:kern w:val="0"/>
                <w:szCs w:val="21"/>
              </w:rPr>
              <w:t>…</w:t>
            </w:r>
          </w:p>
        </w:tc>
      </w:tr>
    </w:tbl>
    <w:p w14:paraId="472223DB">
      <w:pPr>
        <w:pStyle w:val="299"/>
        <w:spacing w:line="300" w:lineRule="exact"/>
        <w:ind w:left="0" w:firstLine="0" w:firstLineChars="0"/>
        <w:rPr>
          <w:rFonts w:ascii="宋体" w:hAnsi="宋体" w:cs="宋体"/>
        </w:rPr>
      </w:pPr>
      <w:r>
        <w:rPr>
          <w:rFonts w:hint="eastAsia" w:ascii="宋体" w:hAnsi="宋体" w:cs="宋体"/>
        </w:rPr>
        <w:t>注：</w:t>
      </w:r>
      <w:r>
        <w:rPr>
          <w:rFonts w:ascii="宋体" w:hAnsi="宋体" w:cs="宋体"/>
        </w:rPr>
        <w:t>1.</w:t>
      </w:r>
      <w:r>
        <w:rPr>
          <w:rFonts w:ascii="宋体" w:hAnsi="宋体" w:cs="宋体"/>
          <w:spacing w:val="-3"/>
          <w:szCs w:val="21"/>
        </w:rPr>
        <w:t>投标人</w:t>
      </w:r>
      <w:r>
        <w:rPr>
          <w:rFonts w:hint="eastAsia" w:ascii="宋体" w:hAnsi="宋体" w:cs="宋体"/>
          <w:spacing w:val="-3"/>
          <w:szCs w:val="21"/>
        </w:rPr>
        <w:t>应</w:t>
      </w:r>
      <w:r>
        <w:rPr>
          <w:rFonts w:ascii="宋体" w:hAnsi="宋体" w:cs="宋体"/>
          <w:spacing w:val="-3"/>
          <w:szCs w:val="21"/>
        </w:rPr>
        <w:t>在</w:t>
      </w:r>
      <w:r>
        <w:rPr>
          <w:rFonts w:hint="eastAsia" w:ascii="宋体" w:hAnsi="宋体" w:cs="宋体"/>
          <w:spacing w:val="-3"/>
          <w:szCs w:val="21"/>
        </w:rPr>
        <w:t>本</w:t>
      </w:r>
      <w:r>
        <w:rPr>
          <w:rFonts w:ascii="宋体" w:hAnsi="宋体" w:cs="宋体"/>
          <w:spacing w:val="-3"/>
          <w:szCs w:val="21"/>
        </w:rPr>
        <w:t>表后提供相关业绩证明材料</w:t>
      </w:r>
      <w:r>
        <w:rPr>
          <w:rFonts w:hint="eastAsia" w:ascii="宋体" w:hAnsi="宋体" w:cs="宋体"/>
          <w:spacing w:val="-3"/>
        </w:rPr>
        <w:t>附件</w:t>
      </w:r>
      <w:r>
        <w:rPr>
          <w:rFonts w:ascii="宋体" w:hAnsi="宋体" w:cs="宋体"/>
        </w:rPr>
        <w:t>C</w:t>
      </w:r>
      <w:r>
        <w:rPr>
          <w:rFonts w:hint="eastAsia" w:cs="宋体" w:asciiTheme="minorEastAsia" w:hAnsiTheme="minorEastAsia" w:eastAsiaTheme="minorEastAsia"/>
          <w:szCs w:val="21"/>
          <w:lang w:val="en-US" w:eastAsia="zh-CN"/>
        </w:rPr>
        <w:t>2-</w:t>
      </w:r>
      <w:r>
        <w:rPr>
          <w:rFonts w:ascii="宋体" w:hAnsi="宋体" w:cs="宋体"/>
        </w:rPr>
        <w:t>2</w:t>
      </w:r>
      <w:r>
        <w:rPr>
          <w:rFonts w:hint="eastAsia" w:ascii="宋体" w:hAnsi="宋体" w:cs="宋体"/>
        </w:rPr>
        <w:t>系列（桥梁工程施工项目业绩）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41C50C23">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6C9A29CB">
      <w:pPr>
        <w:spacing w:line="300" w:lineRule="exact"/>
        <w:ind w:firstLine="420" w:firstLine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spacing w:val="-3"/>
          <w:lang w:bidi="ar"/>
        </w:rPr>
        <w:t>桥梁工程可为路基土建工程中包含的施工内容或单独桥梁工程合同的项目。</w:t>
      </w:r>
    </w:p>
    <w:p w14:paraId="32C010E4">
      <w:pPr>
        <w:spacing w:line="300" w:lineRule="exact"/>
        <w:ind w:firstLine="420" w:firstLineChars="200"/>
        <w:rPr>
          <w:rFonts w:ascii="宋体" w:hAnsi="宋体" w:cs="宋体"/>
        </w:rPr>
      </w:pPr>
      <w:r>
        <w:rPr>
          <w:rFonts w:hint="eastAsia" w:ascii="宋体" w:hAnsi="宋体" w:cs="宋体"/>
        </w:rPr>
        <w:t>4.</w:t>
      </w:r>
      <w:r>
        <w:rPr>
          <w:rFonts w:ascii="宋体" w:hAnsi="宋体" w:cs="宋体"/>
        </w:rPr>
        <w:t>对于左右幅桥长不相同的</w:t>
      </w:r>
      <w:r>
        <w:rPr>
          <w:rFonts w:hint="eastAsia" w:ascii="宋体" w:hAnsi="宋体" w:cs="宋体"/>
        </w:rPr>
        <w:t>桥梁，其桥梁长度以左右幅长度较</w:t>
      </w:r>
      <w:r>
        <w:rPr>
          <w:rFonts w:ascii="宋体" w:hAnsi="宋体" w:cs="宋体"/>
        </w:rPr>
        <w:t>长的为准；若只有单幅的，则以单幅桥梁</w:t>
      </w:r>
      <w:r>
        <w:rPr>
          <w:rFonts w:hint="eastAsia" w:ascii="宋体" w:hAnsi="宋体" w:cs="宋体"/>
        </w:rPr>
        <w:t>长度</w:t>
      </w:r>
      <w:r>
        <w:rPr>
          <w:rFonts w:ascii="宋体" w:hAnsi="宋体" w:cs="宋体"/>
        </w:rPr>
        <w:t>数据为准。</w:t>
      </w:r>
    </w:p>
    <w:p w14:paraId="4480A270">
      <w:pPr>
        <w:spacing w:line="300" w:lineRule="exact"/>
        <w:ind w:firstLine="420" w:firstLineChars="200"/>
        <w:rPr>
          <w:rFonts w:ascii="宋体" w:hAnsi="宋体" w:cs="宋体"/>
        </w:rPr>
      </w:pPr>
      <w:r>
        <w:rPr>
          <w:rFonts w:hint="eastAsia" w:ascii="宋体" w:hAnsi="宋体" w:cs="宋体"/>
        </w:rPr>
        <w:t>5.桥梁类型应从“梁式桥、拱式桥、悬索桥、斜拉桥、刚构桥、组合体系桥、其他”中选择填写。</w:t>
      </w:r>
    </w:p>
    <w:p w14:paraId="0D7F9F53">
      <w:pPr>
        <w:spacing w:line="300" w:lineRule="exact"/>
        <w:ind w:firstLine="420" w:firstLineChars="200"/>
        <w:rPr>
          <w:rFonts w:ascii="宋体" w:hAnsi="宋体" w:cs="宋体"/>
        </w:rPr>
      </w:pPr>
      <w:r>
        <w:rPr>
          <w:rFonts w:hint="eastAsia" w:ascii="宋体" w:hAnsi="宋体" w:cs="宋体"/>
        </w:rPr>
        <w:t>6</w:t>
      </w:r>
      <w:r>
        <w:rPr>
          <w:rFonts w:ascii="宋体" w:hAnsi="宋体" w:cs="宋体"/>
        </w:rPr>
        <w:t>.本表所列合同价格一般为项目结算价格，无结算价格的以签约合同价格为准。</w:t>
      </w:r>
    </w:p>
    <w:p w14:paraId="37458C28">
      <w:pPr>
        <w:spacing w:line="300" w:lineRule="exact"/>
        <w:ind w:firstLine="420" w:firstLineChars="200"/>
        <w:rPr>
          <w:rFonts w:ascii="宋体" w:hAnsi="宋体" w:cs="宋体"/>
        </w:rPr>
      </w:pPr>
      <w:r>
        <w:rPr>
          <w:rFonts w:hint="eastAsia" w:ascii="宋体" w:hAnsi="宋体" w:cs="宋体"/>
        </w:rPr>
        <w:t>7</w:t>
      </w:r>
      <w:r>
        <w:rPr>
          <w:rFonts w:ascii="宋体" w:hAnsi="宋体" w:cs="宋体"/>
        </w:rPr>
        <w:t>.如近年来，投标人法人机构发生合法变更或重组或法人名称变更时，应提供相关部门的合法批件或其他相关证明材料来证明其所附业绩的继承性。</w:t>
      </w:r>
    </w:p>
    <w:p w14:paraId="66C057B9">
      <w:pPr>
        <w:spacing w:line="300" w:lineRule="exact"/>
        <w:ind w:firstLine="420" w:firstLineChars="200"/>
        <w:rPr>
          <w:rFonts w:ascii="宋体" w:hAnsi="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11B1507E">
      <w:pPr>
        <w:spacing w:line="300" w:lineRule="exact"/>
        <w:ind w:left="0" w:firstLine="420" w:firstLineChars="200"/>
        <w:jc w:val="left"/>
        <w:rPr>
          <w:rFonts w:ascii="宋体" w:hAnsi="宋体" w:cs="宋体"/>
        </w:rPr>
      </w:pPr>
      <w:r>
        <w:rPr>
          <w:rFonts w:ascii="宋体" w:hAnsi="宋体" w:cs="宋体"/>
        </w:rPr>
        <w:t>9</w:t>
      </w:r>
      <w:r>
        <w:rPr>
          <w:rFonts w:hint="eastAsia" w:ascii="宋体" w:hAnsi="宋体" w:cs="宋体"/>
        </w:rPr>
        <w:t>.</w:t>
      </w:r>
      <w:r>
        <w:rPr>
          <w:rFonts w:ascii="宋体" w:hAnsi="宋体" w:cs="宋体"/>
        </w:rPr>
        <w:t>允许联合体投标时，若</w:t>
      </w:r>
      <w:r>
        <w:rPr>
          <w:rFonts w:hint="eastAsia" w:ascii="宋体" w:hAnsi="宋体" w:cs="宋体"/>
        </w:rPr>
        <w:t>以联合体形式投标的，联合体各成员应按照第二章“投标人须知”前附表附录3资格审查条件要求的对应业绩及</w:t>
      </w:r>
      <w:r>
        <w:rPr>
          <w:rFonts w:ascii="宋体" w:hAnsi="宋体" w:cs="宋体"/>
        </w:rPr>
        <w:t>第三章“评标办法”</w:t>
      </w:r>
      <w:r>
        <w:rPr>
          <w:rFonts w:hint="eastAsia" w:ascii="宋体" w:hAnsi="宋体" w:cs="宋体"/>
        </w:rPr>
        <w:t>详细评审打分条件（如有）填写</w:t>
      </w:r>
      <w:r>
        <w:rPr>
          <w:rFonts w:ascii="宋体" w:hAnsi="宋体" w:cs="宋体"/>
        </w:rPr>
        <w:t>本表。</w:t>
      </w:r>
    </w:p>
    <w:p w14:paraId="41B25AE0">
      <w:pPr>
        <w:spacing w:line="360" w:lineRule="auto"/>
        <w:jc w:val="center"/>
        <w:rPr>
          <w:rFonts w:ascii="黑体" w:hAnsi="黑体" w:eastAsia="黑体" w:cs="宋体"/>
          <w:sz w:val="24"/>
        </w:rPr>
      </w:pPr>
      <w:r>
        <w:rPr>
          <w:rFonts w:ascii="宋体" w:hAnsi="宋体" w:cs="宋体"/>
          <w:b/>
          <w:sz w:val="28"/>
          <w:szCs w:val="28"/>
        </w:rPr>
        <w:br w:type="page"/>
      </w:r>
      <w:r>
        <w:rPr>
          <w:rFonts w:ascii="宋体" w:hAnsi="宋体" w:cs="宋体"/>
          <w:b/>
          <w:sz w:val="28"/>
          <w:szCs w:val="28"/>
        </w:rPr>
        <w:t xml:space="preserve">                      </w:t>
      </w: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公路隧道工程施工情况</w:t>
      </w:r>
      <w:r>
        <w:rPr>
          <w:rFonts w:ascii="黑体" w:hAnsi="黑体" w:eastAsia="黑体" w:cs="宋体"/>
          <w:sz w:val="24"/>
        </w:rPr>
        <w:t xml:space="preserve">                          </w:t>
      </w:r>
      <w:r>
        <w:rPr>
          <w:rFonts w:hint="eastAsia" w:ascii="黑体" w:hAnsi="黑体" w:eastAsia="黑体" w:cs="宋体"/>
          <w:sz w:val="24"/>
        </w:rPr>
        <w:t>表2</w:t>
      </w:r>
      <w:r>
        <w:rPr>
          <w:rFonts w:ascii="黑体" w:hAnsi="黑体" w:eastAsia="黑体" w:cs="宋体"/>
          <w:sz w:val="24"/>
        </w:rPr>
        <w:t>-3</w:t>
      </w:r>
    </w:p>
    <w:tbl>
      <w:tblPr>
        <w:tblStyle w:val="49"/>
        <w:tblW w:w="138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7"/>
        <w:gridCol w:w="994"/>
        <w:gridCol w:w="1150"/>
        <w:gridCol w:w="788"/>
        <w:gridCol w:w="1057"/>
        <w:gridCol w:w="688"/>
        <w:gridCol w:w="614"/>
        <w:gridCol w:w="1047"/>
        <w:gridCol w:w="889"/>
        <w:gridCol w:w="1015"/>
        <w:gridCol w:w="889"/>
        <w:gridCol w:w="718"/>
        <w:gridCol w:w="705"/>
        <w:gridCol w:w="765"/>
        <w:gridCol w:w="915"/>
        <w:gridCol w:w="1110"/>
      </w:tblGrid>
      <w:tr w14:paraId="5390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477" w:type="dxa"/>
            <w:vAlign w:val="center"/>
          </w:tcPr>
          <w:p w14:paraId="11F0DE1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994" w:type="dxa"/>
            <w:tcMar>
              <w:top w:w="0" w:type="dxa"/>
              <w:left w:w="108" w:type="dxa"/>
              <w:bottom w:w="0" w:type="dxa"/>
              <w:right w:w="108" w:type="dxa"/>
            </w:tcMar>
            <w:vAlign w:val="center"/>
          </w:tcPr>
          <w:p w14:paraId="42D4EDE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w:t>
            </w:r>
          </w:p>
          <w:p w14:paraId="7808788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业主</w:t>
            </w:r>
          </w:p>
        </w:tc>
        <w:tc>
          <w:tcPr>
            <w:tcW w:w="1150" w:type="dxa"/>
            <w:tcMar>
              <w:top w:w="0" w:type="dxa"/>
              <w:left w:w="108" w:type="dxa"/>
              <w:bottom w:w="0" w:type="dxa"/>
              <w:right w:w="108" w:type="dxa"/>
            </w:tcMar>
            <w:vAlign w:val="center"/>
          </w:tcPr>
          <w:p w14:paraId="736C014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788" w:type="dxa"/>
            <w:vAlign w:val="center"/>
          </w:tcPr>
          <w:p w14:paraId="611DE68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公路</w:t>
            </w:r>
          </w:p>
          <w:p w14:paraId="6F9B773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1057" w:type="dxa"/>
            <w:tcMar>
              <w:top w:w="0" w:type="dxa"/>
              <w:left w:w="108" w:type="dxa"/>
              <w:bottom w:w="0" w:type="dxa"/>
              <w:right w:w="108" w:type="dxa"/>
            </w:tcMar>
            <w:vAlign w:val="center"/>
          </w:tcPr>
          <w:p w14:paraId="43AEC2AE">
            <w:pPr>
              <w:jc w:val="center"/>
              <w:rPr>
                <w:rFonts w:ascii="宋体" w:hAnsi="宋体" w:cs="宋体"/>
                <w:szCs w:val="21"/>
              </w:rPr>
            </w:pPr>
            <w:r>
              <w:rPr>
                <w:rFonts w:hint="eastAsia" w:cs="宋体" w:asciiTheme="minorEastAsia" w:hAnsiTheme="minorEastAsia" w:eastAsiaTheme="minorEastAsia"/>
                <w:szCs w:val="21"/>
              </w:rPr>
              <w:t>项目建设形式</w:t>
            </w:r>
          </w:p>
        </w:tc>
        <w:tc>
          <w:tcPr>
            <w:tcW w:w="688" w:type="dxa"/>
            <w:tcMar>
              <w:top w:w="0" w:type="dxa"/>
              <w:left w:w="108" w:type="dxa"/>
              <w:bottom w:w="0" w:type="dxa"/>
              <w:right w:w="108" w:type="dxa"/>
            </w:tcMar>
            <w:vAlign w:val="center"/>
          </w:tcPr>
          <w:p w14:paraId="0C4BF16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标段号</w:t>
            </w:r>
          </w:p>
        </w:tc>
        <w:tc>
          <w:tcPr>
            <w:tcW w:w="614" w:type="dxa"/>
          </w:tcPr>
          <w:p w14:paraId="7D2F6E8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w:t>
            </w:r>
          </w:p>
          <w:p w14:paraId="09CDFC3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长度（</w:t>
            </w:r>
            <w:r>
              <w:rPr>
                <w:rFonts w:cs="宋体" w:asciiTheme="minorEastAsia" w:hAnsiTheme="minorEastAsia" w:eastAsiaTheme="minorEastAsia"/>
                <w:szCs w:val="21"/>
              </w:rPr>
              <w:t>km）</w:t>
            </w:r>
          </w:p>
        </w:tc>
        <w:tc>
          <w:tcPr>
            <w:tcW w:w="1047" w:type="dxa"/>
            <w:vAlign w:val="center"/>
          </w:tcPr>
          <w:p w14:paraId="0EDC8E9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开工</w:t>
            </w:r>
          </w:p>
          <w:p w14:paraId="4B834D0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日期</w:t>
            </w:r>
          </w:p>
        </w:tc>
        <w:tc>
          <w:tcPr>
            <w:tcW w:w="889" w:type="dxa"/>
            <w:tcMar>
              <w:top w:w="0" w:type="dxa"/>
              <w:left w:w="108" w:type="dxa"/>
              <w:bottom w:w="0" w:type="dxa"/>
              <w:right w:w="108" w:type="dxa"/>
            </w:tcMar>
            <w:vAlign w:val="center"/>
          </w:tcPr>
          <w:p w14:paraId="22722153">
            <w:pPr>
              <w:rPr>
                <w:rFonts w:cs="宋体" w:asciiTheme="minorEastAsia" w:hAnsiTheme="minorEastAsia" w:eastAsiaTheme="minorEastAsia"/>
                <w:szCs w:val="21"/>
              </w:rPr>
            </w:pPr>
            <w:r>
              <w:rPr>
                <w:rFonts w:hint="eastAsia" w:cs="宋体" w:asciiTheme="minorEastAsia" w:hAnsiTheme="minorEastAsia" w:eastAsiaTheme="minorEastAsia"/>
                <w:szCs w:val="21"/>
              </w:rPr>
              <w:t>完成（交工）日期</w:t>
            </w:r>
          </w:p>
        </w:tc>
        <w:tc>
          <w:tcPr>
            <w:tcW w:w="1015" w:type="dxa"/>
            <w:vAlign w:val="center"/>
          </w:tcPr>
          <w:p w14:paraId="4302F17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建设规模</w:t>
            </w:r>
          </w:p>
        </w:tc>
        <w:tc>
          <w:tcPr>
            <w:tcW w:w="889" w:type="dxa"/>
            <w:tcMar>
              <w:top w:w="0" w:type="dxa"/>
              <w:left w:w="108" w:type="dxa"/>
              <w:bottom w:w="0" w:type="dxa"/>
              <w:right w:w="108" w:type="dxa"/>
            </w:tcMar>
            <w:vAlign w:val="center"/>
          </w:tcPr>
          <w:p w14:paraId="74F2CF8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合同价格（元）</w:t>
            </w:r>
          </w:p>
        </w:tc>
        <w:tc>
          <w:tcPr>
            <w:tcW w:w="718" w:type="dxa"/>
            <w:vAlign w:val="center"/>
          </w:tcPr>
          <w:p w14:paraId="0287563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隧道</w:t>
            </w:r>
          </w:p>
          <w:p w14:paraId="3B134EF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w:t>
            </w:r>
          </w:p>
        </w:tc>
        <w:tc>
          <w:tcPr>
            <w:tcW w:w="705" w:type="dxa"/>
            <w:vAlign w:val="center"/>
          </w:tcPr>
          <w:p w14:paraId="2092A40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隧道长度（</w:t>
            </w:r>
            <w:r>
              <w:rPr>
                <w:rFonts w:cs="宋体" w:asciiTheme="minorEastAsia" w:hAnsiTheme="minorEastAsia" w:eastAsiaTheme="minorEastAsia"/>
                <w:szCs w:val="21"/>
              </w:rPr>
              <w:t>m）</w:t>
            </w:r>
          </w:p>
        </w:tc>
        <w:tc>
          <w:tcPr>
            <w:tcW w:w="765" w:type="dxa"/>
            <w:vAlign w:val="center"/>
          </w:tcPr>
          <w:p w14:paraId="3C6B8F11">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项目经理</w:t>
            </w:r>
          </w:p>
        </w:tc>
        <w:tc>
          <w:tcPr>
            <w:tcW w:w="915" w:type="dxa"/>
            <w:tcMar>
              <w:top w:w="0" w:type="dxa"/>
              <w:left w:w="108" w:type="dxa"/>
              <w:bottom w:w="0" w:type="dxa"/>
              <w:right w:w="108" w:type="dxa"/>
            </w:tcMar>
            <w:vAlign w:val="center"/>
          </w:tcPr>
          <w:p w14:paraId="457DE632">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项目总工</w:t>
            </w:r>
          </w:p>
        </w:tc>
        <w:tc>
          <w:tcPr>
            <w:tcW w:w="1110" w:type="dxa"/>
            <w:vAlign w:val="center"/>
          </w:tcPr>
          <w:p w14:paraId="1890FE3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业绩证明材料附件</w:t>
            </w:r>
          </w:p>
        </w:tc>
      </w:tr>
      <w:tr w14:paraId="1084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77" w:type="dxa"/>
            <w:vAlign w:val="center"/>
          </w:tcPr>
          <w:p w14:paraId="1A9453E5">
            <w:pPr>
              <w:jc w:val="center"/>
              <w:rPr>
                <w:rFonts w:cs="宋体" w:asciiTheme="minorEastAsia" w:hAnsiTheme="minorEastAsia" w:eastAsiaTheme="minorEastAsia"/>
                <w:szCs w:val="21"/>
              </w:rPr>
            </w:pPr>
          </w:p>
        </w:tc>
        <w:tc>
          <w:tcPr>
            <w:tcW w:w="994" w:type="dxa"/>
            <w:tcMar>
              <w:top w:w="0" w:type="dxa"/>
              <w:left w:w="108" w:type="dxa"/>
              <w:bottom w:w="0" w:type="dxa"/>
              <w:right w:w="108" w:type="dxa"/>
            </w:tcMar>
            <w:vAlign w:val="center"/>
          </w:tcPr>
          <w:p w14:paraId="78FC5C24">
            <w:pPr>
              <w:jc w:val="center"/>
              <w:rPr>
                <w:rFonts w:cs="宋体" w:asciiTheme="minorEastAsia" w:hAnsiTheme="minorEastAsia" w:eastAsiaTheme="minorEastAsia"/>
                <w:szCs w:val="21"/>
              </w:rPr>
            </w:pPr>
          </w:p>
        </w:tc>
        <w:tc>
          <w:tcPr>
            <w:tcW w:w="1150" w:type="dxa"/>
            <w:tcMar>
              <w:top w:w="0" w:type="dxa"/>
              <w:left w:w="108" w:type="dxa"/>
              <w:bottom w:w="0" w:type="dxa"/>
              <w:right w:w="108" w:type="dxa"/>
            </w:tcMar>
            <w:vAlign w:val="center"/>
          </w:tcPr>
          <w:p w14:paraId="4FBE2250">
            <w:pPr>
              <w:jc w:val="center"/>
              <w:rPr>
                <w:rFonts w:cs="宋体" w:asciiTheme="minorEastAsia" w:hAnsiTheme="minorEastAsia" w:eastAsiaTheme="minorEastAsia"/>
                <w:szCs w:val="21"/>
              </w:rPr>
            </w:pPr>
          </w:p>
        </w:tc>
        <w:tc>
          <w:tcPr>
            <w:tcW w:w="788" w:type="dxa"/>
          </w:tcPr>
          <w:p w14:paraId="7F49463B">
            <w:pPr>
              <w:jc w:val="center"/>
              <w:rPr>
                <w:rFonts w:cs="宋体" w:asciiTheme="minorEastAsia" w:hAnsiTheme="minorEastAsia" w:eastAsiaTheme="minorEastAsia"/>
                <w:szCs w:val="21"/>
              </w:rPr>
            </w:pPr>
          </w:p>
        </w:tc>
        <w:tc>
          <w:tcPr>
            <w:tcW w:w="1057" w:type="dxa"/>
            <w:tcMar>
              <w:top w:w="0" w:type="dxa"/>
              <w:left w:w="108" w:type="dxa"/>
              <w:bottom w:w="0" w:type="dxa"/>
              <w:right w:w="108" w:type="dxa"/>
            </w:tcMar>
            <w:vAlign w:val="center"/>
          </w:tcPr>
          <w:p w14:paraId="70B47866">
            <w:pPr>
              <w:widowControl/>
              <w:spacing w:line="400" w:lineRule="exact"/>
              <w:jc w:val="left"/>
              <w:rPr>
                <w:rFonts w:ascii="宋体" w:hAnsi="宋体"/>
                <w:szCs w:val="21"/>
              </w:rPr>
            </w:pPr>
            <w:r>
              <w:rPr>
                <w:rFonts w:hint="eastAsia" w:ascii="宋体" w:hAnsi="宋体"/>
                <w:szCs w:val="21"/>
              </w:rPr>
              <w:t>□新建</w:t>
            </w:r>
          </w:p>
          <w:p w14:paraId="17051C60">
            <w:pPr>
              <w:jc w:val="left"/>
              <w:rPr>
                <w:rFonts w:ascii="宋体" w:hAnsi="宋体" w:cs="宋体"/>
                <w:szCs w:val="21"/>
              </w:rPr>
            </w:pPr>
            <w:r>
              <w:rPr>
                <w:rFonts w:hint="eastAsia" w:ascii="宋体" w:hAnsi="宋体"/>
                <w:szCs w:val="21"/>
              </w:rPr>
              <w:t>□改扩建</w:t>
            </w:r>
          </w:p>
        </w:tc>
        <w:tc>
          <w:tcPr>
            <w:tcW w:w="688" w:type="dxa"/>
            <w:tcMar>
              <w:top w:w="0" w:type="dxa"/>
              <w:left w:w="108" w:type="dxa"/>
              <w:bottom w:w="0" w:type="dxa"/>
              <w:right w:w="108" w:type="dxa"/>
            </w:tcMar>
            <w:vAlign w:val="center"/>
          </w:tcPr>
          <w:p w14:paraId="17F86EF5">
            <w:pPr>
              <w:jc w:val="center"/>
              <w:rPr>
                <w:rFonts w:cs="宋体" w:asciiTheme="minorEastAsia" w:hAnsiTheme="minorEastAsia" w:eastAsiaTheme="minorEastAsia"/>
                <w:szCs w:val="21"/>
              </w:rPr>
            </w:pPr>
          </w:p>
        </w:tc>
        <w:tc>
          <w:tcPr>
            <w:tcW w:w="614" w:type="dxa"/>
            <w:vAlign w:val="center"/>
          </w:tcPr>
          <w:p w14:paraId="4A147EE1">
            <w:pPr>
              <w:jc w:val="center"/>
              <w:rPr>
                <w:rFonts w:cs="宋体" w:asciiTheme="minorEastAsia" w:hAnsiTheme="minorEastAsia" w:eastAsiaTheme="minorEastAsia"/>
                <w:szCs w:val="21"/>
              </w:rPr>
            </w:pPr>
          </w:p>
        </w:tc>
        <w:tc>
          <w:tcPr>
            <w:tcW w:w="1047" w:type="dxa"/>
            <w:vAlign w:val="center"/>
          </w:tcPr>
          <w:p w14:paraId="4D239FEA">
            <w:pPr>
              <w:jc w:val="center"/>
              <w:rPr>
                <w:rFonts w:cs="宋体" w:asciiTheme="minorEastAsia" w:hAnsiTheme="minorEastAsia" w:eastAsiaTheme="minorEastAsia"/>
                <w:szCs w:val="21"/>
              </w:rPr>
            </w:pPr>
          </w:p>
        </w:tc>
        <w:tc>
          <w:tcPr>
            <w:tcW w:w="889" w:type="dxa"/>
            <w:tcMar>
              <w:top w:w="0" w:type="dxa"/>
              <w:left w:w="108" w:type="dxa"/>
              <w:bottom w:w="0" w:type="dxa"/>
              <w:right w:w="108" w:type="dxa"/>
            </w:tcMar>
            <w:vAlign w:val="center"/>
          </w:tcPr>
          <w:p w14:paraId="3BD2B891">
            <w:pPr>
              <w:jc w:val="center"/>
              <w:rPr>
                <w:rFonts w:cs="宋体" w:asciiTheme="minorEastAsia" w:hAnsiTheme="minorEastAsia" w:eastAsiaTheme="minorEastAsia"/>
                <w:szCs w:val="21"/>
              </w:rPr>
            </w:pPr>
          </w:p>
        </w:tc>
        <w:tc>
          <w:tcPr>
            <w:tcW w:w="1015" w:type="dxa"/>
            <w:vAlign w:val="center"/>
          </w:tcPr>
          <w:p w14:paraId="303DF7A0">
            <w:pPr>
              <w:jc w:val="center"/>
              <w:rPr>
                <w:rFonts w:cs="宋体" w:asciiTheme="minorEastAsia" w:hAnsiTheme="minorEastAsia" w:eastAsiaTheme="minorEastAsia"/>
                <w:szCs w:val="21"/>
              </w:rPr>
            </w:pPr>
          </w:p>
        </w:tc>
        <w:tc>
          <w:tcPr>
            <w:tcW w:w="889" w:type="dxa"/>
            <w:tcMar>
              <w:top w:w="0" w:type="dxa"/>
              <w:left w:w="108" w:type="dxa"/>
              <w:bottom w:w="0" w:type="dxa"/>
              <w:right w:w="108" w:type="dxa"/>
            </w:tcMar>
            <w:vAlign w:val="center"/>
          </w:tcPr>
          <w:p w14:paraId="1B928A44">
            <w:pPr>
              <w:jc w:val="center"/>
              <w:rPr>
                <w:rFonts w:cs="宋体" w:asciiTheme="minorEastAsia" w:hAnsiTheme="minorEastAsia" w:eastAsiaTheme="minorEastAsia"/>
                <w:szCs w:val="21"/>
              </w:rPr>
            </w:pPr>
          </w:p>
        </w:tc>
        <w:tc>
          <w:tcPr>
            <w:tcW w:w="718" w:type="dxa"/>
            <w:vAlign w:val="center"/>
          </w:tcPr>
          <w:p w14:paraId="24436771">
            <w:pPr>
              <w:jc w:val="center"/>
              <w:rPr>
                <w:rFonts w:cs="宋体" w:asciiTheme="minorEastAsia" w:hAnsiTheme="minorEastAsia" w:eastAsiaTheme="minorEastAsia"/>
                <w:szCs w:val="21"/>
              </w:rPr>
            </w:pPr>
          </w:p>
        </w:tc>
        <w:tc>
          <w:tcPr>
            <w:tcW w:w="705" w:type="dxa"/>
            <w:vAlign w:val="center"/>
          </w:tcPr>
          <w:p w14:paraId="1B46D558">
            <w:pPr>
              <w:jc w:val="center"/>
              <w:rPr>
                <w:rFonts w:cs="宋体" w:asciiTheme="minorEastAsia" w:hAnsiTheme="minorEastAsia" w:eastAsiaTheme="minorEastAsia"/>
                <w:szCs w:val="21"/>
              </w:rPr>
            </w:pPr>
          </w:p>
        </w:tc>
        <w:tc>
          <w:tcPr>
            <w:tcW w:w="765" w:type="dxa"/>
            <w:vAlign w:val="center"/>
          </w:tcPr>
          <w:p w14:paraId="121B157B">
            <w:pPr>
              <w:jc w:val="center"/>
              <w:rPr>
                <w:rFonts w:cs="宋体" w:asciiTheme="minorEastAsia" w:hAnsiTheme="minorEastAsia" w:eastAsiaTheme="minorEastAsia"/>
                <w:szCs w:val="21"/>
              </w:rPr>
            </w:pPr>
          </w:p>
        </w:tc>
        <w:tc>
          <w:tcPr>
            <w:tcW w:w="915" w:type="dxa"/>
            <w:tcMar>
              <w:top w:w="0" w:type="dxa"/>
              <w:left w:w="108" w:type="dxa"/>
              <w:bottom w:w="0" w:type="dxa"/>
              <w:right w:w="108" w:type="dxa"/>
            </w:tcMar>
            <w:vAlign w:val="center"/>
          </w:tcPr>
          <w:p w14:paraId="639D6C47">
            <w:pPr>
              <w:jc w:val="center"/>
              <w:rPr>
                <w:rFonts w:cs="宋体" w:asciiTheme="minorEastAsia" w:hAnsiTheme="minorEastAsia" w:eastAsiaTheme="minorEastAsia"/>
                <w:szCs w:val="21"/>
              </w:rPr>
            </w:pPr>
          </w:p>
        </w:tc>
        <w:tc>
          <w:tcPr>
            <w:tcW w:w="1110" w:type="dxa"/>
            <w:vAlign w:val="center"/>
          </w:tcPr>
          <w:p w14:paraId="7170D8E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3.1</w:t>
            </w:r>
          </w:p>
        </w:tc>
      </w:tr>
      <w:tr w14:paraId="33A6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77" w:type="dxa"/>
            <w:vAlign w:val="center"/>
          </w:tcPr>
          <w:p w14:paraId="08A19638">
            <w:pPr>
              <w:jc w:val="center"/>
              <w:rPr>
                <w:rFonts w:cs="宋体" w:asciiTheme="minorEastAsia" w:hAnsiTheme="minorEastAsia" w:eastAsiaTheme="minorEastAsia"/>
                <w:szCs w:val="21"/>
              </w:rPr>
            </w:pPr>
          </w:p>
        </w:tc>
        <w:tc>
          <w:tcPr>
            <w:tcW w:w="994" w:type="dxa"/>
            <w:tcMar>
              <w:top w:w="0" w:type="dxa"/>
              <w:left w:w="108" w:type="dxa"/>
              <w:bottom w:w="0" w:type="dxa"/>
              <w:right w:w="108" w:type="dxa"/>
            </w:tcMar>
            <w:vAlign w:val="center"/>
          </w:tcPr>
          <w:p w14:paraId="5ADB536C">
            <w:pPr>
              <w:jc w:val="center"/>
              <w:rPr>
                <w:rFonts w:cs="宋体" w:asciiTheme="minorEastAsia" w:hAnsiTheme="minorEastAsia" w:eastAsiaTheme="minorEastAsia"/>
                <w:szCs w:val="21"/>
              </w:rPr>
            </w:pPr>
          </w:p>
        </w:tc>
        <w:tc>
          <w:tcPr>
            <w:tcW w:w="1150" w:type="dxa"/>
            <w:tcMar>
              <w:top w:w="0" w:type="dxa"/>
              <w:left w:w="108" w:type="dxa"/>
              <w:bottom w:w="0" w:type="dxa"/>
              <w:right w:w="108" w:type="dxa"/>
            </w:tcMar>
            <w:vAlign w:val="center"/>
          </w:tcPr>
          <w:p w14:paraId="75A54074">
            <w:pPr>
              <w:jc w:val="center"/>
              <w:rPr>
                <w:rFonts w:cs="宋体" w:asciiTheme="minorEastAsia" w:hAnsiTheme="minorEastAsia" w:eastAsiaTheme="minorEastAsia"/>
                <w:szCs w:val="21"/>
              </w:rPr>
            </w:pPr>
          </w:p>
        </w:tc>
        <w:tc>
          <w:tcPr>
            <w:tcW w:w="788" w:type="dxa"/>
          </w:tcPr>
          <w:p w14:paraId="71DE6F08">
            <w:pPr>
              <w:jc w:val="center"/>
              <w:rPr>
                <w:rFonts w:cs="宋体" w:asciiTheme="minorEastAsia" w:hAnsiTheme="minorEastAsia" w:eastAsiaTheme="minorEastAsia"/>
                <w:szCs w:val="21"/>
              </w:rPr>
            </w:pPr>
          </w:p>
        </w:tc>
        <w:tc>
          <w:tcPr>
            <w:tcW w:w="1057" w:type="dxa"/>
            <w:tcMar>
              <w:top w:w="0" w:type="dxa"/>
              <w:left w:w="108" w:type="dxa"/>
              <w:bottom w:w="0" w:type="dxa"/>
              <w:right w:w="108" w:type="dxa"/>
            </w:tcMar>
            <w:vAlign w:val="center"/>
          </w:tcPr>
          <w:p w14:paraId="430B5924">
            <w:pPr>
              <w:widowControl/>
              <w:spacing w:line="400" w:lineRule="exact"/>
              <w:jc w:val="left"/>
              <w:rPr>
                <w:rFonts w:ascii="宋体" w:hAnsi="宋体"/>
                <w:szCs w:val="21"/>
              </w:rPr>
            </w:pPr>
            <w:r>
              <w:rPr>
                <w:rFonts w:hint="eastAsia" w:ascii="宋体" w:hAnsi="宋体"/>
                <w:szCs w:val="21"/>
              </w:rPr>
              <w:t>□新建</w:t>
            </w:r>
          </w:p>
          <w:p w14:paraId="12512987">
            <w:pPr>
              <w:jc w:val="left"/>
              <w:rPr>
                <w:rFonts w:ascii="宋体" w:hAnsi="宋体" w:cs="宋体"/>
                <w:szCs w:val="21"/>
              </w:rPr>
            </w:pPr>
            <w:r>
              <w:rPr>
                <w:rFonts w:hint="eastAsia" w:ascii="宋体" w:hAnsi="宋体"/>
                <w:szCs w:val="21"/>
              </w:rPr>
              <w:t>□改扩建</w:t>
            </w:r>
          </w:p>
        </w:tc>
        <w:tc>
          <w:tcPr>
            <w:tcW w:w="688" w:type="dxa"/>
            <w:tcMar>
              <w:top w:w="0" w:type="dxa"/>
              <w:left w:w="108" w:type="dxa"/>
              <w:bottom w:w="0" w:type="dxa"/>
              <w:right w:w="108" w:type="dxa"/>
            </w:tcMar>
            <w:vAlign w:val="center"/>
          </w:tcPr>
          <w:p w14:paraId="3F956303">
            <w:pPr>
              <w:jc w:val="center"/>
              <w:rPr>
                <w:rFonts w:cs="宋体" w:asciiTheme="minorEastAsia" w:hAnsiTheme="minorEastAsia" w:eastAsiaTheme="minorEastAsia"/>
                <w:szCs w:val="21"/>
              </w:rPr>
            </w:pPr>
          </w:p>
        </w:tc>
        <w:tc>
          <w:tcPr>
            <w:tcW w:w="614" w:type="dxa"/>
            <w:vAlign w:val="center"/>
          </w:tcPr>
          <w:p w14:paraId="0CB0F7E2">
            <w:pPr>
              <w:jc w:val="center"/>
              <w:rPr>
                <w:rFonts w:cs="宋体" w:asciiTheme="minorEastAsia" w:hAnsiTheme="minorEastAsia" w:eastAsiaTheme="minorEastAsia"/>
                <w:szCs w:val="21"/>
              </w:rPr>
            </w:pPr>
          </w:p>
        </w:tc>
        <w:tc>
          <w:tcPr>
            <w:tcW w:w="1047" w:type="dxa"/>
            <w:vAlign w:val="center"/>
          </w:tcPr>
          <w:p w14:paraId="7DA8C89B">
            <w:pPr>
              <w:jc w:val="center"/>
              <w:rPr>
                <w:rFonts w:cs="宋体" w:asciiTheme="minorEastAsia" w:hAnsiTheme="minorEastAsia" w:eastAsiaTheme="minorEastAsia"/>
                <w:szCs w:val="21"/>
              </w:rPr>
            </w:pPr>
          </w:p>
        </w:tc>
        <w:tc>
          <w:tcPr>
            <w:tcW w:w="889" w:type="dxa"/>
            <w:tcMar>
              <w:top w:w="0" w:type="dxa"/>
              <w:left w:w="108" w:type="dxa"/>
              <w:bottom w:w="0" w:type="dxa"/>
              <w:right w:w="108" w:type="dxa"/>
            </w:tcMar>
            <w:vAlign w:val="center"/>
          </w:tcPr>
          <w:p w14:paraId="383C5B04">
            <w:pPr>
              <w:jc w:val="center"/>
              <w:rPr>
                <w:rFonts w:cs="宋体" w:asciiTheme="minorEastAsia" w:hAnsiTheme="minorEastAsia" w:eastAsiaTheme="minorEastAsia"/>
                <w:szCs w:val="21"/>
              </w:rPr>
            </w:pPr>
          </w:p>
        </w:tc>
        <w:tc>
          <w:tcPr>
            <w:tcW w:w="1015" w:type="dxa"/>
            <w:vAlign w:val="center"/>
          </w:tcPr>
          <w:p w14:paraId="75ECC05C">
            <w:pPr>
              <w:jc w:val="center"/>
              <w:rPr>
                <w:rFonts w:cs="宋体" w:asciiTheme="minorEastAsia" w:hAnsiTheme="minorEastAsia" w:eastAsiaTheme="minorEastAsia"/>
                <w:szCs w:val="21"/>
              </w:rPr>
            </w:pPr>
          </w:p>
        </w:tc>
        <w:tc>
          <w:tcPr>
            <w:tcW w:w="889" w:type="dxa"/>
            <w:tcMar>
              <w:top w:w="0" w:type="dxa"/>
              <w:left w:w="108" w:type="dxa"/>
              <w:bottom w:w="0" w:type="dxa"/>
              <w:right w:w="108" w:type="dxa"/>
            </w:tcMar>
            <w:vAlign w:val="center"/>
          </w:tcPr>
          <w:p w14:paraId="704BA19D">
            <w:pPr>
              <w:jc w:val="center"/>
              <w:rPr>
                <w:rFonts w:cs="宋体" w:asciiTheme="minorEastAsia" w:hAnsiTheme="minorEastAsia" w:eastAsiaTheme="minorEastAsia"/>
                <w:szCs w:val="21"/>
              </w:rPr>
            </w:pPr>
          </w:p>
        </w:tc>
        <w:tc>
          <w:tcPr>
            <w:tcW w:w="718" w:type="dxa"/>
            <w:vAlign w:val="center"/>
          </w:tcPr>
          <w:p w14:paraId="68D072FE">
            <w:pPr>
              <w:jc w:val="center"/>
              <w:rPr>
                <w:rFonts w:cs="宋体" w:asciiTheme="minorEastAsia" w:hAnsiTheme="minorEastAsia" w:eastAsiaTheme="minorEastAsia"/>
                <w:szCs w:val="21"/>
              </w:rPr>
            </w:pPr>
          </w:p>
        </w:tc>
        <w:tc>
          <w:tcPr>
            <w:tcW w:w="705" w:type="dxa"/>
            <w:vAlign w:val="center"/>
          </w:tcPr>
          <w:p w14:paraId="11929129">
            <w:pPr>
              <w:jc w:val="center"/>
              <w:rPr>
                <w:rFonts w:cs="宋体" w:asciiTheme="minorEastAsia" w:hAnsiTheme="minorEastAsia" w:eastAsiaTheme="minorEastAsia"/>
                <w:szCs w:val="21"/>
              </w:rPr>
            </w:pPr>
          </w:p>
        </w:tc>
        <w:tc>
          <w:tcPr>
            <w:tcW w:w="765" w:type="dxa"/>
            <w:vAlign w:val="center"/>
          </w:tcPr>
          <w:p w14:paraId="01B06E90">
            <w:pPr>
              <w:jc w:val="center"/>
              <w:rPr>
                <w:rFonts w:cs="宋体" w:asciiTheme="minorEastAsia" w:hAnsiTheme="minorEastAsia" w:eastAsiaTheme="minorEastAsia"/>
                <w:szCs w:val="21"/>
              </w:rPr>
            </w:pPr>
          </w:p>
        </w:tc>
        <w:tc>
          <w:tcPr>
            <w:tcW w:w="915" w:type="dxa"/>
            <w:tcMar>
              <w:top w:w="0" w:type="dxa"/>
              <w:left w:w="108" w:type="dxa"/>
              <w:bottom w:w="0" w:type="dxa"/>
              <w:right w:w="108" w:type="dxa"/>
            </w:tcMar>
            <w:vAlign w:val="center"/>
          </w:tcPr>
          <w:p w14:paraId="59A31BF7">
            <w:pPr>
              <w:jc w:val="center"/>
              <w:rPr>
                <w:rFonts w:cs="宋体" w:asciiTheme="minorEastAsia" w:hAnsiTheme="minorEastAsia" w:eastAsiaTheme="minorEastAsia"/>
                <w:szCs w:val="21"/>
              </w:rPr>
            </w:pPr>
          </w:p>
        </w:tc>
        <w:tc>
          <w:tcPr>
            <w:tcW w:w="1110" w:type="dxa"/>
            <w:vAlign w:val="center"/>
          </w:tcPr>
          <w:p w14:paraId="53DBD3F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3.2</w:t>
            </w:r>
          </w:p>
        </w:tc>
      </w:tr>
      <w:tr w14:paraId="662E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77" w:type="dxa"/>
            <w:vAlign w:val="center"/>
          </w:tcPr>
          <w:p w14:paraId="5CC705A2">
            <w:pPr>
              <w:jc w:val="center"/>
              <w:rPr>
                <w:rFonts w:cs="宋体" w:asciiTheme="minorEastAsia" w:hAnsiTheme="minorEastAsia" w:eastAsiaTheme="minorEastAsia"/>
                <w:szCs w:val="21"/>
              </w:rPr>
            </w:pPr>
          </w:p>
        </w:tc>
        <w:tc>
          <w:tcPr>
            <w:tcW w:w="994" w:type="dxa"/>
            <w:tcMar>
              <w:top w:w="0" w:type="dxa"/>
              <w:left w:w="108" w:type="dxa"/>
              <w:bottom w:w="0" w:type="dxa"/>
              <w:right w:w="108" w:type="dxa"/>
            </w:tcMar>
            <w:vAlign w:val="center"/>
          </w:tcPr>
          <w:p w14:paraId="0BF652D8">
            <w:pPr>
              <w:jc w:val="center"/>
              <w:rPr>
                <w:rFonts w:cs="宋体" w:asciiTheme="minorEastAsia" w:hAnsiTheme="minorEastAsia" w:eastAsiaTheme="minorEastAsia"/>
                <w:szCs w:val="21"/>
              </w:rPr>
            </w:pPr>
          </w:p>
        </w:tc>
        <w:tc>
          <w:tcPr>
            <w:tcW w:w="1150" w:type="dxa"/>
            <w:tcMar>
              <w:top w:w="0" w:type="dxa"/>
              <w:left w:w="108" w:type="dxa"/>
              <w:bottom w:w="0" w:type="dxa"/>
              <w:right w:w="108" w:type="dxa"/>
            </w:tcMar>
            <w:vAlign w:val="center"/>
          </w:tcPr>
          <w:p w14:paraId="723A84F1">
            <w:pPr>
              <w:jc w:val="center"/>
              <w:rPr>
                <w:rFonts w:cs="宋体" w:asciiTheme="minorEastAsia" w:hAnsiTheme="minorEastAsia" w:eastAsiaTheme="minorEastAsia"/>
                <w:szCs w:val="21"/>
              </w:rPr>
            </w:pPr>
          </w:p>
        </w:tc>
        <w:tc>
          <w:tcPr>
            <w:tcW w:w="788" w:type="dxa"/>
          </w:tcPr>
          <w:p w14:paraId="131BD074">
            <w:pPr>
              <w:jc w:val="center"/>
              <w:rPr>
                <w:rFonts w:cs="宋体" w:asciiTheme="minorEastAsia" w:hAnsiTheme="minorEastAsia" w:eastAsiaTheme="minorEastAsia"/>
                <w:szCs w:val="21"/>
              </w:rPr>
            </w:pPr>
          </w:p>
        </w:tc>
        <w:tc>
          <w:tcPr>
            <w:tcW w:w="1057" w:type="dxa"/>
            <w:tcMar>
              <w:top w:w="0" w:type="dxa"/>
              <w:left w:w="108" w:type="dxa"/>
              <w:bottom w:w="0" w:type="dxa"/>
              <w:right w:w="108" w:type="dxa"/>
            </w:tcMar>
            <w:vAlign w:val="center"/>
          </w:tcPr>
          <w:p w14:paraId="1CCD9180">
            <w:pPr>
              <w:widowControl/>
              <w:spacing w:line="400" w:lineRule="exact"/>
              <w:jc w:val="left"/>
              <w:rPr>
                <w:rFonts w:ascii="宋体" w:hAnsi="宋体"/>
                <w:szCs w:val="21"/>
              </w:rPr>
            </w:pPr>
            <w:r>
              <w:rPr>
                <w:rFonts w:hint="eastAsia" w:ascii="宋体" w:hAnsi="宋体"/>
                <w:szCs w:val="21"/>
              </w:rPr>
              <w:t>□新建</w:t>
            </w:r>
          </w:p>
          <w:p w14:paraId="46973F1F">
            <w:pPr>
              <w:jc w:val="left"/>
              <w:rPr>
                <w:rFonts w:ascii="宋体" w:hAnsi="宋体" w:cs="宋体"/>
                <w:szCs w:val="21"/>
              </w:rPr>
            </w:pPr>
            <w:r>
              <w:rPr>
                <w:rFonts w:hint="eastAsia" w:ascii="宋体" w:hAnsi="宋体"/>
                <w:szCs w:val="21"/>
              </w:rPr>
              <w:t>□改扩建</w:t>
            </w:r>
          </w:p>
        </w:tc>
        <w:tc>
          <w:tcPr>
            <w:tcW w:w="688" w:type="dxa"/>
            <w:tcMar>
              <w:top w:w="0" w:type="dxa"/>
              <w:left w:w="108" w:type="dxa"/>
              <w:bottom w:w="0" w:type="dxa"/>
              <w:right w:w="108" w:type="dxa"/>
            </w:tcMar>
            <w:vAlign w:val="center"/>
          </w:tcPr>
          <w:p w14:paraId="661B3905">
            <w:pPr>
              <w:jc w:val="center"/>
              <w:rPr>
                <w:rFonts w:cs="宋体" w:asciiTheme="minorEastAsia" w:hAnsiTheme="minorEastAsia" w:eastAsiaTheme="minorEastAsia"/>
                <w:szCs w:val="21"/>
              </w:rPr>
            </w:pPr>
          </w:p>
        </w:tc>
        <w:tc>
          <w:tcPr>
            <w:tcW w:w="614" w:type="dxa"/>
            <w:vAlign w:val="center"/>
          </w:tcPr>
          <w:p w14:paraId="7591BAAE">
            <w:pPr>
              <w:jc w:val="center"/>
              <w:rPr>
                <w:rFonts w:cs="宋体" w:asciiTheme="minorEastAsia" w:hAnsiTheme="minorEastAsia" w:eastAsiaTheme="minorEastAsia"/>
                <w:szCs w:val="21"/>
              </w:rPr>
            </w:pPr>
          </w:p>
        </w:tc>
        <w:tc>
          <w:tcPr>
            <w:tcW w:w="1047" w:type="dxa"/>
            <w:vAlign w:val="center"/>
          </w:tcPr>
          <w:p w14:paraId="273354CF">
            <w:pPr>
              <w:jc w:val="center"/>
              <w:rPr>
                <w:rFonts w:cs="宋体" w:asciiTheme="minorEastAsia" w:hAnsiTheme="minorEastAsia" w:eastAsiaTheme="minorEastAsia"/>
                <w:szCs w:val="21"/>
              </w:rPr>
            </w:pPr>
          </w:p>
        </w:tc>
        <w:tc>
          <w:tcPr>
            <w:tcW w:w="889" w:type="dxa"/>
            <w:tcMar>
              <w:top w:w="0" w:type="dxa"/>
              <w:left w:w="108" w:type="dxa"/>
              <w:bottom w:w="0" w:type="dxa"/>
              <w:right w:w="108" w:type="dxa"/>
            </w:tcMar>
            <w:vAlign w:val="center"/>
          </w:tcPr>
          <w:p w14:paraId="03CD40D3">
            <w:pPr>
              <w:jc w:val="center"/>
              <w:rPr>
                <w:rFonts w:cs="宋体" w:asciiTheme="minorEastAsia" w:hAnsiTheme="minorEastAsia" w:eastAsiaTheme="minorEastAsia"/>
                <w:szCs w:val="21"/>
              </w:rPr>
            </w:pPr>
          </w:p>
        </w:tc>
        <w:tc>
          <w:tcPr>
            <w:tcW w:w="1015" w:type="dxa"/>
            <w:vAlign w:val="center"/>
          </w:tcPr>
          <w:p w14:paraId="2ADE0472">
            <w:pPr>
              <w:jc w:val="center"/>
              <w:rPr>
                <w:rFonts w:cs="宋体" w:asciiTheme="minorEastAsia" w:hAnsiTheme="minorEastAsia" w:eastAsiaTheme="minorEastAsia"/>
                <w:szCs w:val="21"/>
              </w:rPr>
            </w:pPr>
          </w:p>
        </w:tc>
        <w:tc>
          <w:tcPr>
            <w:tcW w:w="889" w:type="dxa"/>
            <w:tcMar>
              <w:top w:w="0" w:type="dxa"/>
              <w:left w:w="108" w:type="dxa"/>
              <w:bottom w:w="0" w:type="dxa"/>
              <w:right w:w="108" w:type="dxa"/>
            </w:tcMar>
            <w:vAlign w:val="center"/>
          </w:tcPr>
          <w:p w14:paraId="192C751D">
            <w:pPr>
              <w:jc w:val="center"/>
              <w:rPr>
                <w:rFonts w:cs="宋体" w:asciiTheme="minorEastAsia" w:hAnsiTheme="minorEastAsia" w:eastAsiaTheme="minorEastAsia"/>
                <w:szCs w:val="21"/>
              </w:rPr>
            </w:pPr>
          </w:p>
        </w:tc>
        <w:tc>
          <w:tcPr>
            <w:tcW w:w="718" w:type="dxa"/>
            <w:vAlign w:val="center"/>
          </w:tcPr>
          <w:p w14:paraId="3AA0DD90">
            <w:pPr>
              <w:jc w:val="center"/>
              <w:rPr>
                <w:rFonts w:cs="宋体" w:asciiTheme="minorEastAsia" w:hAnsiTheme="minorEastAsia" w:eastAsiaTheme="minorEastAsia"/>
                <w:szCs w:val="21"/>
              </w:rPr>
            </w:pPr>
          </w:p>
        </w:tc>
        <w:tc>
          <w:tcPr>
            <w:tcW w:w="705" w:type="dxa"/>
            <w:vAlign w:val="center"/>
          </w:tcPr>
          <w:p w14:paraId="21B1EE80">
            <w:pPr>
              <w:jc w:val="center"/>
              <w:rPr>
                <w:rFonts w:cs="宋体" w:asciiTheme="minorEastAsia" w:hAnsiTheme="minorEastAsia" w:eastAsiaTheme="minorEastAsia"/>
                <w:szCs w:val="21"/>
              </w:rPr>
            </w:pPr>
          </w:p>
        </w:tc>
        <w:tc>
          <w:tcPr>
            <w:tcW w:w="765" w:type="dxa"/>
            <w:vAlign w:val="center"/>
          </w:tcPr>
          <w:p w14:paraId="14C5129B">
            <w:pPr>
              <w:jc w:val="center"/>
              <w:rPr>
                <w:rFonts w:cs="宋体" w:asciiTheme="minorEastAsia" w:hAnsiTheme="minorEastAsia" w:eastAsiaTheme="minorEastAsia"/>
                <w:szCs w:val="21"/>
              </w:rPr>
            </w:pPr>
          </w:p>
        </w:tc>
        <w:tc>
          <w:tcPr>
            <w:tcW w:w="915" w:type="dxa"/>
            <w:tcMar>
              <w:top w:w="0" w:type="dxa"/>
              <w:left w:w="108" w:type="dxa"/>
              <w:bottom w:w="0" w:type="dxa"/>
              <w:right w:w="108" w:type="dxa"/>
            </w:tcMar>
            <w:vAlign w:val="center"/>
          </w:tcPr>
          <w:p w14:paraId="3CC74DB1">
            <w:pPr>
              <w:jc w:val="center"/>
              <w:rPr>
                <w:rFonts w:cs="宋体" w:asciiTheme="minorEastAsia" w:hAnsiTheme="minorEastAsia" w:eastAsiaTheme="minorEastAsia"/>
                <w:szCs w:val="21"/>
              </w:rPr>
            </w:pPr>
          </w:p>
        </w:tc>
        <w:tc>
          <w:tcPr>
            <w:tcW w:w="1110" w:type="dxa"/>
            <w:vAlign w:val="center"/>
          </w:tcPr>
          <w:p w14:paraId="2828BFE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附件</w:t>
            </w:r>
            <w:r>
              <w:rPr>
                <w:rFonts w:cs="宋体"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3.2</w:t>
            </w:r>
          </w:p>
        </w:tc>
      </w:tr>
      <w:tr w14:paraId="18F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477" w:type="dxa"/>
            <w:vAlign w:val="center"/>
          </w:tcPr>
          <w:p w14:paraId="3C419EEC">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994" w:type="dxa"/>
            <w:tcMar>
              <w:top w:w="0" w:type="dxa"/>
              <w:left w:w="108" w:type="dxa"/>
              <w:bottom w:w="0" w:type="dxa"/>
              <w:right w:w="108" w:type="dxa"/>
            </w:tcMar>
            <w:vAlign w:val="center"/>
          </w:tcPr>
          <w:p w14:paraId="4CFA930C">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150" w:type="dxa"/>
            <w:tcMar>
              <w:top w:w="0" w:type="dxa"/>
              <w:left w:w="108" w:type="dxa"/>
              <w:bottom w:w="0" w:type="dxa"/>
              <w:right w:w="108" w:type="dxa"/>
            </w:tcMar>
            <w:vAlign w:val="center"/>
          </w:tcPr>
          <w:p w14:paraId="386EC8C4">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788" w:type="dxa"/>
            <w:vAlign w:val="center"/>
          </w:tcPr>
          <w:p w14:paraId="57D08E14">
            <w:pPr>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057" w:type="dxa"/>
            <w:tcMar>
              <w:top w:w="0" w:type="dxa"/>
              <w:left w:w="108" w:type="dxa"/>
              <w:bottom w:w="0" w:type="dxa"/>
              <w:right w:w="108" w:type="dxa"/>
            </w:tcMar>
            <w:vAlign w:val="center"/>
          </w:tcPr>
          <w:p w14:paraId="7E3242E0">
            <w:pPr>
              <w:jc w:val="center"/>
              <w:rPr>
                <w:rFonts w:ascii="宋体" w:hAnsi="宋体" w:cs="宋体"/>
                <w:kern w:val="0"/>
                <w:szCs w:val="21"/>
              </w:rPr>
            </w:pPr>
            <w:r>
              <w:rPr>
                <w:rFonts w:hint="eastAsia" w:ascii="宋体" w:hAnsi="宋体" w:cs="宋体"/>
                <w:kern w:val="0"/>
                <w:szCs w:val="21"/>
              </w:rPr>
              <w:t>…</w:t>
            </w:r>
          </w:p>
        </w:tc>
        <w:tc>
          <w:tcPr>
            <w:tcW w:w="688" w:type="dxa"/>
            <w:tcMar>
              <w:top w:w="0" w:type="dxa"/>
              <w:left w:w="108" w:type="dxa"/>
              <w:bottom w:w="0" w:type="dxa"/>
              <w:right w:w="108" w:type="dxa"/>
            </w:tcMar>
            <w:vAlign w:val="center"/>
          </w:tcPr>
          <w:p w14:paraId="3A7E0027">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614" w:type="dxa"/>
            <w:vAlign w:val="center"/>
          </w:tcPr>
          <w:p w14:paraId="3D5F1F19">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47" w:type="dxa"/>
            <w:vAlign w:val="center"/>
          </w:tcPr>
          <w:p w14:paraId="02E53180">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889" w:type="dxa"/>
            <w:tcMar>
              <w:top w:w="0" w:type="dxa"/>
              <w:left w:w="108" w:type="dxa"/>
              <w:bottom w:w="0" w:type="dxa"/>
              <w:right w:w="108" w:type="dxa"/>
            </w:tcMar>
            <w:vAlign w:val="center"/>
          </w:tcPr>
          <w:p w14:paraId="4C050ABD">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015" w:type="dxa"/>
            <w:vAlign w:val="center"/>
          </w:tcPr>
          <w:p w14:paraId="667BA3CA">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889" w:type="dxa"/>
            <w:tcMar>
              <w:top w:w="0" w:type="dxa"/>
              <w:left w:w="108" w:type="dxa"/>
              <w:bottom w:w="0" w:type="dxa"/>
              <w:right w:w="108" w:type="dxa"/>
            </w:tcMar>
            <w:vAlign w:val="center"/>
          </w:tcPr>
          <w:p w14:paraId="040FF8A9">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718" w:type="dxa"/>
            <w:vAlign w:val="center"/>
          </w:tcPr>
          <w:p w14:paraId="29A16B04">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05" w:type="dxa"/>
            <w:vAlign w:val="center"/>
          </w:tcPr>
          <w:p w14:paraId="59CB981B">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765" w:type="dxa"/>
            <w:vAlign w:val="center"/>
          </w:tcPr>
          <w:p w14:paraId="46E56F87">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15" w:type="dxa"/>
            <w:tcMar>
              <w:top w:w="0" w:type="dxa"/>
              <w:left w:w="108" w:type="dxa"/>
              <w:bottom w:w="0" w:type="dxa"/>
              <w:right w:w="108" w:type="dxa"/>
            </w:tcMar>
            <w:vAlign w:val="center"/>
          </w:tcPr>
          <w:p w14:paraId="5D9387D3">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c>
          <w:tcPr>
            <w:tcW w:w="1110" w:type="dxa"/>
            <w:vAlign w:val="center"/>
          </w:tcPr>
          <w:p w14:paraId="481047DB">
            <w:pPr>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t>
            </w:r>
          </w:p>
        </w:tc>
      </w:tr>
    </w:tbl>
    <w:p w14:paraId="70178984">
      <w:pPr>
        <w:pStyle w:val="299"/>
        <w:spacing w:line="300" w:lineRule="exact"/>
        <w:ind w:left="0" w:firstLine="0" w:firstLineChars="0"/>
        <w:rPr>
          <w:rFonts w:ascii="宋体" w:hAnsi="宋体" w:cs="宋体"/>
          <w:spacing w:val="-3"/>
        </w:rPr>
      </w:pPr>
      <w:r>
        <w:rPr>
          <w:rFonts w:hint="eastAsia" w:ascii="宋体" w:hAnsi="宋体" w:cs="宋体"/>
        </w:rPr>
        <w:t>注：</w:t>
      </w:r>
      <w:r>
        <w:rPr>
          <w:rFonts w:ascii="宋体" w:hAnsi="宋体" w:cs="宋体"/>
        </w:rPr>
        <w:t>1.</w:t>
      </w:r>
      <w:r>
        <w:rPr>
          <w:rFonts w:hint="eastAsia" w:ascii="宋体" w:hAnsi="宋体" w:cs="宋体"/>
        </w:rPr>
        <w:t>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w:t>
      </w:r>
      <w:r>
        <w:rPr>
          <w:rFonts w:hint="eastAsia" w:cs="宋体" w:asciiTheme="minorEastAsia" w:hAnsiTheme="minorEastAsia" w:eastAsiaTheme="minorEastAsia"/>
          <w:szCs w:val="21"/>
          <w:lang w:val="en-US" w:eastAsia="zh-CN"/>
        </w:rPr>
        <w:t>2-</w:t>
      </w:r>
      <w:r>
        <w:rPr>
          <w:rFonts w:ascii="宋体" w:hAnsi="宋体" w:cs="宋体"/>
        </w:rPr>
        <w:t>3</w:t>
      </w:r>
      <w:r>
        <w:rPr>
          <w:rFonts w:hint="eastAsia" w:ascii="宋体" w:hAnsi="宋体" w:cs="宋体"/>
        </w:rPr>
        <w:t>系列（隧道工程施工项目业绩）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297492B4">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0703A537">
      <w:pPr>
        <w:spacing w:line="300" w:lineRule="exact"/>
        <w:ind w:left="609" w:leftChars="190" w:hanging="210" w:hangingChars="100"/>
        <w:rPr>
          <w:rFonts w:ascii="宋体" w:hAnsi="宋体" w:cs="宋体"/>
        </w:rPr>
      </w:pPr>
      <w:r>
        <w:rPr>
          <w:rFonts w:hint="eastAsia" w:ascii="宋体" w:hAnsi="宋体" w:cs="宋体"/>
        </w:rPr>
        <w:t>3</w:t>
      </w:r>
      <w:r>
        <w:rPr>
          <w:rFonts w:ascii="宋体" w:hAnsi="宋体" w:cs="宋体"/>
        </w:rPr>
        <w:t>.</w:t>
      </w:r>
      <w:r>
        <w:rPr>
          <w:rFonts w:hint="eastAsia" w:ascii="宋体" w:hAnsi="宋体" w:cs="宋体"/>
          <w:spacing w:val="-3"/>
          <w:lang w:bidi="ar"/>
        </w:rPr>
        <w:t>隧道工程可为路基土建工程中包含的施工内容或单独隧道工程合同的项目。</w:t>
      </w:r>
    </w:p>
    <w:p w14:paraId="1B2938DC">
      <w:pPr>
        <w:spacing w:line="300" w:lineRule="exact"/>
        <w:ind w:left="0" w:leftChars="0" w:firstLine="420" w:firstLineChars="200"/>
        <w:rPr>
          <w:rFonts w:ascii="宋体" w:hAnsi="宋体" w:cs="宋体"/>
        </w:rPr>
      </w:pPr>
      <w:r>
        <w:rPr>
          <w:rFonts w:hint="eastAsia" w:ascii="宋体" w:hAnsi="宋体" w:cs="宋体"/>
        </w:rPr>
        <w:t>4.</w:t>
      </w:r>
      <w:r>
        <w:rPr>
          <w:rFonts w:ascii="宋体" w:hAnsi="宋体" w:cs="宋体"/>
        </w:rPr>
        <w:t>对于具有双洞的隧道，其隧道长度以左右线隧道长度</w:t>
      </w:r>
      <w:r>
        <w:rPr>
          <w:rFonts w:hint="eastAsia" w:ascii="宋体" w:hAnsi="宋体" w:cs="宋体"/>
        </w:rPr>
        <w:t>较</w:t>
      </w:r>
      <w:r>
        <w:rPr>
          <w:rFonts w:ascii="宋体" w:hAnsi="宋体" w:cs="宋体"/>
        </w:rPr>
        <w:t>长的为准；若只有单洞的，则以单洞隧道长度数据为准。</w:t>
      </w:r>
      <w:r>
        <w:rPr>
          <w:rFonts w:hint="eastAsia" w:ascii="宋体" w:hAnsi="宋体" w:cs="宋体"/>
        </w:rPr>
        <w:t>隧道单洞长度不含</w:t>
      </w:r>
      <w:r>
        <w:rPr>
          <w:rFonts w:hint="eastAsia"/>
          <w:szCs w:val="21"/>
        </w:rPr>
        <w:t>斜井、竖井、支洞。</w:t>
      </w:r>
    </w:p>
    <w:p w14:paraId="5C63D574">
      <w:pPr>
        <w:spacing w:line="300" w:lineRule="exact"/>
        <w:ind w:firstLine="420" w:firstLineChars="200"/>
        <w:rPr>
          <w:rFonts w:ascii="宋体" w:hAnsi="宋体" w:cs="宋体"/>
        </w:rPr>
      </w:pPr>
      <w:r>
        <w:rPr>
          <w:rFonts w:hint="eastAsia" w:ascii="宋体" w:hAnsi="宋体" w:cs="宋体"/>
        </w:rPr>
        <w:t>5</w:t>
      </w:r>
      <w:r>
        <w:rPr>
          <w:rFonts w:ascii="宋体" w:hAnsi="宋体" w:cs="宋体"/>
        </w:rPr>
        <w:t>.本表所列合同价格一般为项目结算价格，无结算价格的以签约合同价格为准。</w:t>
      </w:r>
    </w:p>
    <w:p w14:paraId="65D983F5">
      <w:pPr>
        <w:spacing w:line="300" w:lineRule="exact"/>
        <w:ind w:firstLine="420" w:firstLineChars="200"/>
        <w:rPr>
          <w:rFonts w:ascii="宋体" w:hAnsi="宋体" w:cs="宋体"/>
        </w:rPr>
      </w:pPr>
      <w:r>
        <w:rPr>
          <w:rFonts w:hint="eastAsia" w:ascii="宋体" w:hAnsi="宋体" w:cs="宋体"/>
        </w:rPr>
        <w:t>6</w:t>
      </w:r>
      <w:r>
        <w:rPr>
          <w:rFonts w:ascii="宋体" w:hAnsi="宋体" w:cs="宋体"/>
        </w:rPr>
        <w:t>.如近年来，投标人法人机构发生合法变更或重组或法人名称变更时，应提供相关部门的合法批件或其他相关证明材料来证明其所附业绩的继承性。</w:t>
      </w:r>
    </w:p>
    <w:p w14:paraId="2416FA8F">
      <w:pPr>
        <w:spacing w:line="300" w:lineRule="exact"/>
        <w:ind w:firstLine="420" w:firstLineChars="200"/>
        <w:rPr>
          <w:rFonts w:ascii="宋体" w:hAnsi="宋体" w:cs="宋体"/>
        </w:rPr>
      </w:pPr>
      <w:r>
        <w:rPr>
          <w:rFonts w:hint="eastAsia" w:ascii="宋体" w:hAnsi="宋体" w:cs="宋体"/>
          <w:szCs w:val="21"/>
        </w:rPr>
        <w:t>7</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2E8B9ABB">
      <w:pPr>
        <w:spacing w:line="300" w:lineRule="exact"/>
        <w:ind w:left="0" w:leftChars="0" w:firstLine="420" w:firstLineChars="200"/>
        <w:rPr>
          <w:rFonts w:ascii="宋体" w:hAnsi="宋体" w:cs="宋体"/>
        </w:rPr>
      </w:pPr>
      <w:r>
        <w:rPr>
          <w:rFonts w:hint="eastAsia" w:ascii="宋体" w:hAnsi="宋体" w:cs="宋体"/>
        </w:rPr>
        <w:t>8</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p>
    <w:p w14:paraId="7D6321EF">
      <w:pPr>
        <w:spacing w:line="360" w:lineRule="auto"/>
        <w:ind w:firstLine="562" w:firstLineChars="200"/>
        <w:rPr>
          <w:rFonts w:ascii="黑体" w:hAnsi="黑体" w:eastAsia="黑体" w:cs="宋体"/>
          <w:sz w:val="24"/>
        </w:rPr>
      </w:pPr>
      <w:r>
        <w:rPr>
          <w:rFonts w:ascii="宋体" w:hAnsi="宋体" w:cs="宋体"/>
          <w:b/>
          <w:sz w:val="28"/>
          <w:szCs w:val="28"/>
        </w:rPr>
        <w:br w:type="page"/>
      </w:r>
      <w:r>
        <w:rPr>
          <w:rFonts w:ascii="宋体" w:hAnsi="宋体" w:cs="宋体"/>
          <w:b/>
          <w:sz w:val="28"/>
          <w:szCs w:val="28"/>
        </w:rPr>
        <w:t xml:space="preserve">                 </w:t>
      </w:r>
      <w:r>
        <w:rPr>
          <w:rFonts w:hint="eastAsia" w:ascii="宋体" w:hAnsi="宋体" w:cs="宋体"/>
          <w:b/>
          <w:sz w:val="28"/>
          <w:szCs w:val="28"/>
        </w:rPr>
        <w:t xml:space="preserve">           </w:t>
      </w:r>
      <w:r>
        <w:rPr>
          <w:rFonts w:ascii="宋体" w:hAnsi="宋体" w:cs="宋体"/>
          <w:b/>
          <w:sz w:val="28"/>
          <w:szCs w:val="28"/>
        </w:rPr>
        <w:t xml:space="preserve">   </w:t>
      </w:r>
      <w:r>
        <w:rPr>
          <w:rFonts w:hint="eastAsia" w:ascii="黑体" w:hAnsi="黑体" w:eastAsia="黑体" w:cs="宋体"/>
          <w:b/>
          <w:sz w:val="24"/>
          <w:szCs w:val="28"/>
        </w:rPr>
        <w:t>□</w:t>
      </w:r>
      <w:r>
        <w:rPr>
          <w:rFonts w:ascii="宋体" w:hAnsi="宋体" w:cs="宋体"/>
          <w:b/>
          <w:sz w:val="28"/>
          <w:szCs w:val="28"/>
        </w:rPr>
        <w:t xml:space="preserve"> </w:t>
      </w:r>
      <w:r>
        <w:rPr>
          <w:rFonts w:hint="eastAsia" w:ascii="黑体" w:hAnsi="黑体" w:eastAsia="黑体" w:cs="宋体"/>
          <w:sz w:val="24"/>
        </w:rPr>
        <w:t>近年完成的公路路面工程施工情况</w:t>
      </w:r>
      <w:r>
        <w:rPr>
          <w:rFonts w:ascii="黑体" w:hAnsi="黑体" w:eastAsia="黑体" w:cs="宋体"/>
          <w:sz w:val="24"/>
        </w:rPr>
        <w:t xml:space="preserve">                            表</w:t>
      </w:r>
      <w:r>
        <w:rPr>
          <w:rFonts w:hint="eastAsia" w:ascii="黑体" w:hAnsi="黑体" w:eastAsia="黑体" w:cs="宋体"/>
          <w:sz w:val="24"/>
        </w:rPr>
        <w:t>2</w:t>
      </w:r>
      <w:r>
        <w:rPr>
          <w:rFonts w:ascii="黑体" w:hAnsi="黑体" w:eastAsia="黑体" w:cs="宋体"/>
          <w:sz w:val="24"/>
        </w:rPr>
        <w:t>-4</w:t>
      </w:r>
    </w:p>
    <w:tbl>
      <w:tblPr>
        <w:tblStyle w:val="49"/>
        <w:tblW w:w="140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901"/>
        <w:gridCol w:w="1518"/>
        <w:gridCol w:w="605"/>
        <w:gridCol w:w="1203"/>
        <w:gridCol w:w="717"/>
        <w:gridCol w:w="910"/>
        <w:gridCol w:w="930"/>
        <w:gridCol w:w="929"/>
        <w:gridCol w:w="1062"/>
        <w:gridCol w:w="929"/>
        <w:gridCol w:w="1062"/>
        <w:gridCol w:w="929"/>
        <w:gridCol w:w="907"/>
        <w:gridCol w:w="975"/>
      </w:tblGrid>
      <w:tr w14:paraId="7315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487" w:type="dxa"/>
            <w:vAlign w:val="center"/>
          </w:tcPr>
          <w:p w14:paraId="20863177">
            <w:pPr>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901" w:type="dxa"/>
            <w:tcMar>
              <w:top w:w="0" w:type="dxa"/>
              <w:left w:w="108" w:type="dxa"/>
              <w:bottom w:w="0" w:type="dxa"/>
              <w:right w:w="108" w:type="dxa"/>
            </w:tcMar>
            <w:vAlign w:val="center"/>
          </w:tcPr>
          <w:p w14:paraId="210C886B">
            <w:pPr>
              <w:jc w:val="center"/>
              <w:rPr>
                <w:rFonts w:cs="宋体" w:asciiTheme="minorEastAsia" w:hAnsiTheme="minorEastAsia" w:eastAsiaTheme="minorEastAsia"/>
              </w:rPr>
            </w:pPr>
            <w:r>
              <w:rPr>
                <w:rFonts w:hint="eastAsia" w:cs="宋体" w:asciiTheme="minorEastAsia" w:hAnsiTheme="minorEastAsia" w:eastAsiaTheme="minorEastAsia"/>
              </w:rPr>
              <w:t>项目</w:t>
            </w:r>
          </w:p>
          <w:p w14:paraId="6F984C44">
            <w:pPr>
              <w:jc w:val="center"/>
              <w:rPr>
                <w:rFonts w:cs="宋体" w:asciiTheme="minorEastAsia" w:hAnsiTheme="minorEastAsia" w:eastAsiaTheme="minorEastAsia"/>
              </w:rPr>
            </w:pPr>
            <w:r>
              <w:rPr>
                <w:rFonts w:hint="eastAsia" w:cs="宋体" w:asciiTheme="minorEastAsia" w:hAnsiTheme="minorEastAsia" w:eastAsiaTheme="minorEastAsia"/>
              </w:rPr>
              <w:t>业主</w:t>
            </w:r>
          </w:p>
        </w:tc>
        <w:tc>
          <w:tcPr>
            <w:tcW w:w="1518" w:type="dxa"/>
            <w:tcMar>
              <w:top w:w="0" w:type="dxa"/>
              <w:left w:w="108" w:type="dxa"/>
              <w:bottom w:w="0" w:type="dxa"/>
              <w:right w:w="108" w:type="dxa"/>
            </w:tcMar>
            <w:vAlign w:val="center"/>
          </w:tcPr>
          <w:p w14:paraId="44A05742">
            <w:pPr>
              <w:jc w:val="center"/>
              <w:rPr>
                <w:rFonts w:cs="宋体" w:asciiTheme="minorEastAsia" w:hAnsiTheme="minorEastAsia" w:eastAsiaTheme="minorEastAsia"/>
              </w:rPr>
            </w:pPr>
            <w:r>
              <w:rPr>
                <w:rFonts w:hint="eastAsia" w:cs="宋体" w:asciiTheme="minorEastAsia" w:hAnsiTheme="minorEastAsia" w:eastAsiaTheme="minorEastAsia"/>
              </w:rPr>
              <w:t>项目名称</w:t>
            </w:r>
          </w:p>
        </w:tc>
        <w:tc>
          <w:tcPr>
            <w:tcW w:w="605" w:type="dxa"/>
            <w:vAlign w:val="center"/>
          </w:tcPr>
          <w:p w14:paraId="7B72575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公路</w:t>
            </w:r>
          </w:p>
          <w:p w14:paraId="713A3F2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1203" w:type="dxa"/>
            <w:tcMar>
              <w:top w:w="0" w:type="dxa"/>
              <w:left w:w="108" w:type="dxa"/>
              <w:bottom w:w="0" w:type="dxa"/>
              <w:right w:w="108" w:type="dxa"/>
            </w:tcMar>
            <w:vAlign w:val="center"/>
          </w:tcPr>
          <w:p w14:paraId="10E34A5A">
            <w:pPr>
              <w:jc w:val="center"/>
              <w:rPr>
                <w:rFonts w:ascii="宋体" w:hAnsi="宋体" w:cs="宋体"/>
                <w:szCs w:val="21"/>
              </w:rPr>
            </w:pPr>
            <w:r>
              <w:rPr>
                <w:rFonts w:hint="eastAsia" w:cs="宋体" w:asciiTheme="minorEastAsia" w:hAnsiTheme="minorEastAsia" w:eastAsiaTheme="minorEastAsia"/>
                <w:szCs w:val="21"/>
              </w:rPr>
              <w:t>建设形式</w:t>
            </w:r>
          </w:p>
        </w:tc>
        <w:tc>
          <w:tcPr>
            <w:tcW w:w="717" w:type="dxa"/>
            <w:tcMar>
              <w:top w:w="0" w:type="dxa"/>
              <w:left w:w="108" w:type="dxa"/>
              <w:bottom w:w="0" w:type="dxa"/>
              <w:right w:w="108" w:type="dxa"/>
            </w:tcMar>
            <w:vAlign w:val="center"/>
          </w:tcPr>
          <w:p w14:paraId="0BA8E87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标段号</w:t>
            </w:r>
          </w:p>
        </w:tc>
        <w:tc>
          <w:tcPr>
            <w:tcW w:w="910" w:type="dxa"/>
            <w:vAlign w:val="center"/>
          </w:tcPr>
          <w:p w14:paraId="5DB5D3A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标段长度（</w:t>
            </w:r>
            <w:r>
              <w:rPr>
                <w:rFonts w:cs="宋体" w:asciiTheme="minorEastAsia" w:hAnsiTheme="minorEastAsia" w:eastAsiaTheme="minorEastAsia"/>
                <w:szCs w:val="21"/>
              </w:rPr>
              <w:t>km）</w:t>
            </w:r>
          </w:p>
        </w:tc>
        <w:tc>
          <w:tcPr>
            <w:tcW w:w="930" w:type="dxa"/>
            <w:tcMar>
              <w:top w:w="0" w:type="dxa"/>
              <w:left w:w="108" w:type="dxa"/>
              <w:bottom w:w="0" w:type="dxa"/>
              <w:right w:w="108" w:type="dxa"/>
            </w:tcMar>
            <w:vAlign w:val="center"/>
          </w:tcPr>
          <w:p w14:paraId="41BB638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开工</w:t>
            </w:r>
          </w:p>
          <w:p w14:paraId="46CC1B3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日期</w:t>
            </w:r>
          </w:p>
        </w:tc>
        <w:tc>
          <w:tcPr>
            <w:tcW w:w="929" w:type="dxa"/>
            <w:vAlign w:val="center"/>
          </w:tcPr>
          <w:p w14:paraId="14AE4B8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完成（交工）日期</w:t>
            </w:r>
          </w:p>
        </w:tc>
        <w:tc>
          <w:tcPr>
            <w:tcW w:w="1062" w:type="dxa"/>
            <w:tcMar>
              <w:top w:w="0" w:type="dxa"/>
              <w:left w:w="108" w:type="dxa"/>
              <w:bottom w:w="0" w:type="dxa"/>
              <w:right w:w="108" w:type="dxa"/>
            </w:tcMar>
            <w:vAlign w:val="center"/>
          </w:tcPr>
          <w:p w14:paraId="4318A87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建设规模</w:t>
            </w:r>
          </w:p>
        </w:tc>
        <w:tc>
          <w:tcPr>
            <w:tcW w:w="929" w:type="dxa"/>
            <w:vAlign w:val="center"/>
          </w:tcPr>
          <w:p w14:paraId="08C49D6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合同价格（元）</w:t>
            </w:r>
          </w:p>
        </w:tc>
        <w:tc>
          <w:tcPr>
            <w:tcW w:w="1062" w:type="dxa"/>
            <w:vAlign w:val="center"/>
          </w:tcPr>
          <w:p w14:paraId="33E778F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路面结构</w:t>
            </w:r>
          </w:p>
          <w:p w14:paraId="64ADB6D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类型</w:t>
            </w:r>
          </w:p>
        </w:tc>
        <w:tc>
          <w:tcPr>
            <w:tcW w:w="929" w:type="dxa"/>
            <w:vAlign w:val="center"/>
          </w:tcPr>
          <w:p w14:paraId="2EB230CF">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w:t>
            </w:r>
          </w:p>
          <w:p w14:paraId="7D29E636">
            <w:pPr>
              <w:jc w:val="center"/>
              <w:rPr>
                <w:rFonts w:cs="宋体" w:asciiTheme="minorEastAsia" w:hAnsiTheme="minorEastAsia" w:eastAsiaTheme="minorEastAsia"/>
                <w:szCs w:val="21"/>
              </w:rPr>
            </w:pPr>
            <w:r>
              <w:rPr>
                <w:rFonts w:hint="eastAsia" w:asciiTheme="minorEastAsia" w:hAnsiTheme="minorEastAsia" w:eastAsiaTheme="minorEastAsia"/>
                <w:szCs w:val="21"/>
              </w:rPr>
              <w:t>经理</w:t>
            </w:r>
          </w:p>
        </w:tc>
        <w:tc>
          <w:tcPr>
            <w:tcW w:w="907" w:type="dxa"/>
            <w:tcMar>
              <w:top w:w="0" w:type="dxa"/>
              <w:left w:w="108" w:type="dxa"/>
              <w:bottom w:w="0" w:type="dxa"/>
              <w:right w:w="108" w:type="dxa"/>
            </w:tcMar>
            <w:vAlign w:val="center"/>
          </w:tcPr>
          <w:p w14:paraId="53A7689D">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w:t>
            </w:r>
          </w:p>
          <w:p w14:paraId="65071298">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总工</w:t>
            </w:r>
          </w:p>
        </w:tc>
        <w:tc>
          <w:tcPr>
            <w:tcW w:w="975" w:type="dxa"/>
            <w:vAlign w:val="center"/>
          </w:tcPr>
          <w:p w14:paraId="6CDA20A5">
            <w:pPr>
              <w:jc w:val="center"/>
              <w:rPr>
                <w:rFonts w:cs="宋体" w:asciiTheme="minorEastAsia" w:hAnsiTheme="minorEastAsia" w:eastAsiaTheme="minorEastAsia"/>
              </w:rPr>
            </w:pPr>
            <w:r>
              <w:rPr>
                <w:rFonts w:hint="eastAsia" w:cs="宋体" w:asciiTheme="minorEastAsia" w:hAnsiTheme="minorEastAsia" w:eastAsiaTheme="minorEastAsia"/>
              </w:rPr>
              <w:t>业绩证明材料附件</w:t>
            </w:r>
          </w:p>
        </w:tc>
      </w:tr>
      <w:tr w14:paraId="3D44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487" w:type="dxa"/>
            <w:vAlign w:val="center"/>
          </w:tcPr>
          <w:p w14:paraId="4A9F342F">
            <w:pPr>
              <w:jc w:val="center"/>
              <w:rPr>
                <w:rFonts w:cs="宋体" w:asciiTheme="minorEastAsia" w:hAnsiTheme="minorEastAsia" w:eastAsiaTheme="minorEastAsia"/>
              </w:rPr>
            </w:pPr>
          </w:p>
        </w:tc>
        <w:tc>
          <w:tcPr>
            <w:tcW w:w="901" w:type="dxa"/>
            <w:tcMar>
              <w:top w:w="0" w:type="dxa"/>
              <w:left w:w="108" w:type="dxa"/>
              <w:bottom w:w="0" w:type="dxa"/>
              <w:right w:w="108" w:type="dxa"/>
            </w:tcMar>
            <w:vAlign w:val="center"/>
          </w:tcPr>
          <w:p w14:paraId="51CC8812">
            <w:pPr>
              <w:jc w:val="center"/>
              <w:rPr>
                <w:rFonts w:cs="宋体" w:asciiTheme="minorEastAsia" w:hAnsiTheme="minorEastAsia" w:eastAsiaTheme="minorEastAsia"/>
              </w:rPr>
            </w:pPr>
          </w:p>
        </w:tc>
        <w:tc>
          <w:tcPr>
            <w:tcW w:w="1518" w:type="dxa"/>
            <w:tcMar>
              <w:top w:w="0" w:type="dxa"/>
              <w:left w:w="108" w:type="dxa"/>
              <w:bottom w:w="0" w:type="dxa"/>
              <w:right w:w="108" w:type="dxa"/>
            </w:tcMar>
            <w:vAlign w:val="center"/>
          </w:tcPr>
          <w:p w14:paraId="7832A29D">
            <w:pPr>
              <w:jc w:val="center"/>
              <w:rPr>
                <w:rFonts w:cs="宋体" w:asciiTheme="minorEastAsia" w:hAnsiTheme="minorEastAsia" w:eastAsiaTheme="minorEastAsia"/>
              </w:rPr>
            </w:pPr>
          </w:p>
        </w:tc>
        <w:tc>
          <w:tcPr>
            <w:tcW w:w="605" w:type="dxa"/>
          </w:tcPr>
          <w:p w14:paraId="1F70D6B3">
            <w:pPr>
              <w:jc w:val="center"/>
              <w:rPr>
                <w:rFonts w:cs="宋体" w:asciiTheme="minorEastAsia" w:hAnsiTheme="minorEastAsia" w:eastAsiaTheme="minorEastAsia"/>
              </w:rPr>
            </w:pPr>
          </w:p>
        </w:tc>
        <w:tc>
          <w:tcPr>
            <w:tcW w:w="1203" w:type="dxa"/>
            <w:tcMar>
              <w:top w:w="0" w:type="dxa"/>
              <w:left w:w="108" w:type="dxa"/>
              <w:bottom w:w="0" w:type="dxa"/>
              <w:right w:w="108" w:type="dxa"/>
            </w:tcMar>
            <w:vAlign w:val="center"/>
          </w:tcPr>
          <w:p w14:paraId="37E615C2">
            <w:pPr>
              <w:widowControl/>
              <w:spacing w:line="400" w:lineRule="exact"/>
              <w:jc w:val="left"/>
              <w:rPr>
                <w:rFonts w:ascii="宋体" w:hAnsi="宋体"/>
                <w:szCs w:val="21"/>
              </w:rPr>
            </w:pPr>
            <w:r>
              <w:rPr>
                <w:rFonts w:hint="eastAsia" w:ascii="宋体" w:hAnsi="宋体"/>
                <w:szCs w:val="21"/>
              </w:rPr>
              <w:t>□新建</w:t>
            </w:r>
          </w:p>
          <w:p w14:paraId="5944F91E">
            <w:pPr>
              <w:jc w:val="left"/>
              <w:rPr>
                <w:rFonts w:ascii="宋体" w:hAnsi="宋体" w:cs="宋体"/>
                <w:szCs w:val="21"/>
              </w:rPr>
            </w:pPr>
            <w:r>
              <w:rPr>
                <w:rFonts w:hint="eastAsia" w:ascii="宋体" w:hAnsi="宋体"/>
                <w:szCs w:val="21"/>
              </w:rPr>
              <w:t>□改扩建</w:t>
            </w:r>
          </w:p>
        </w:tc>
        <w:tc>
          <w:tcPr>
            <w:tcW w:w="717" w:type="dxa"/>
            <w:tcMar>
              <w:top w:w="0" w:type="dxa"/>
              <w:left w:w="108" w:type="dxa"/>
              <w:bottom w:w="0" w:type="dxa"/>
              <w:right w:w="108" w:type="dxa"/>
            </w:tcMar>
            <w:vAlign w:val="center"/>
          </w:tcPr>
          <w:p w14:paraId="4DBEC4B8">
            <w:pPr>
              <w:jc w:val="center"/>
              <w:rPr>
                <w:rFonts w:cs="宋体" w:asciiTheme="minorEastAsia" w:hAnsiTheme="minorEastAsia" w:eastAsiaTheme="minorEastAsia"/>
              </w:rPr>
            </w:pPr>
          </w:p>
        </w:tc>
        <w:tc>
          <w:tcPr>
            <w:tcW w:w="910" w:type="dxa"/>
            <w:vAlign w:val="center"/>
          </w:tcPr>
          <w:p w14:paraId="537D7374">
            <w:pPr>
              <w:jc w:val="center"/>
              <w:rPr>
                <w:rFonts w:cs="宋体" w:asciiTheme="minorEastAsia" w:hAnsiTheme="minorEastAsia" w:eastAsiaTheme="minorEastAsia"/>
              </w:rPr>
            </w:pPr>
          </w:p>
        </w:tc>
        <w:tc>
          <w:tcPr>
            <w:tcW w:w="930" w:type="dxa"/>
            <w:tcMar>
              <w:top w:w="0" w:type="dxa"/>
              <w:left w:w="108" w:type="dxa"/>
              <w:bottom w:w="0" w:type="dxa"/>
              <w:right w:w="108" w:type="dxa"/>
            </w:tcMar>
            <w:vAlign w:val="center"/>
          </w:tcPr>
          <w:p w14:paraId="5B17782E">
            <w:pPr>
              <w:jc w:val="center"/>
              <w:rPr>
                <w:rFonts w:cs="宋体" w:asciiTheme="minorEastAsia" w:hAnsiTheme="minorEastAsia" w:eastAsiaTheme="minorEastAsia"/>
              </w:rPr>
            </w:pPr>
          </w:p>
        </w:tc>
        <w:tc>
          <w:tcPr>
            <w:tcW w:w="929" w:type="dxa"/>
            <w:vAlign w:val="center"/>
          </w:tcPr>
          <w:p w14:paraId="19860571">
            <w:pPr>
              <w:jc w:val="center"/>
              <w:rPr>
                <w:rFonts w:cs="宋体" w:asciiTheme="minorEastAsia" w:hAnsiTheme="minorEastAsia" w:eastAsiaTheme="minorEastAsia"/>
              </w:rPr>
            </w:pPr>
          </w:p>
        </w:tc>
        <w:tc>
          <w:tcPr>
            <w:tcW w:w="1062" w:type="dxa"/>
            <w:tcMar>
              <w:top w:w="0" w:type="dxa"/>
              <w:left w:w="108" w:type="dxa"/>
              <w:bottom w:w="0" w:type="dxa"/>
              <w:right w:w="108" w:type="dxa"/>
            </w:tcMar>
            <w:vAlign w:val="center"/>
          </w:tcPr>
          <w:p w14:paraId="269B5F52">
            <w:pPr>
              <w:jc w:val="center"/>
              <w:rPr>
                <w:rFonts w:cs="宋体" w:asciiTheme="minorEastAsia" w:hAnsiTheme="minorEastAsia" w:eastAsiaTheme="minorEastAsia"/>
              </w:rPr>
            </w:pPr>
          </w:p>
        </w:tc>
        <w:tc>
          <w:tcPr>
            <w:tcW w:w="929" w:type="dxa"/>
            <w:vAlign w:val="center"/>
          </w:tcPr>
          <w:p w14:paraId="2C54D6DA">
            <w:pPr>
              <w:jc w:val="center"/>
              <w:rPr>
                <w:rFonts w:cs="宋体" w:asciiTheme="minorEastAsia" w:hAnsiTheme="minorEastAsia" w:eastAsiaTheme="minorEastAsia"/>
              </w:rPr>
            </w:pPr>
          </w:p>
        </w:tc>
        <w:tc>
          <w:tcPr>
            <w:tcW w:w="1062" w:type="dxa"/>
            <w:vAlign w:val="center"/>
          </w:tcPr>
          <w:p w14:paraId="0A06A6BE">
            <w:pPr>
              <w:jc w:val="center"/>
              <w:rPr>
                <w:rFonts w:cs="宋体" w:asciiTheme="minorEastAsia" w:hAnsiTheme="minorEastAsia" w:eastAsiaTheme="minorEastAsia"/>
              </w:rPr>
            </w:pPr>
          </w:p>
        </w:tc>
        <w:tc>
          <w:tcPr>
            <w:tcW w:w="929" w:type="dxa"/>
            <w:vAlign w:val="center"/>
          </w:tcPr>
          <w:p w14:paraId="3F1AC25B">
            <w:pPr>
              <w:jc w:val="center"/>
              <w:rPr>
                <w:rFonts w:cs="宋体" w:asciiTheme="minorEastAsia" w:hAnsiTheme="minorEastAsia" w:eastAsiaTheme="minorEastAsia"/>
              </w:rPr>
            </w:pPr>
          </w:p>
        </w:tc>
        <w:tc>
          <w:tcPr>
            <w:tcW w:w="907" w:type="dxa"/>
            <w:tcMar>
              <w:top w:w="0" w:type="dxa"/>
              <w:left w:w="108" w:type="dxa"/>
              <w:bottom w:w="0" w:type="dxa"/>
              <w:right w:w="108" w:type="dxa"/>
            </w:tcMar>
            <w:vAlign w:val="center"/>
          </w:tcPr>
          <w:p w14:paraId="6A59AC15">
            <w:pPr>
              <w:jc w:val="center"/>
              <w:rPr>
                <w:rFonts w:cs="宋体" w:asciiTheme="minorEastAsia" w:hAnsiTheme="minorEastAsia" w:eastAsiaTheme="minorEastAsia"/>
              </w:rPr>
            </w:pPr>
          </w:p>
        </w:tc>
        <w:tc>
          <w:tcPr>
            <w:tcW w:w="975" w:type="dxa"/>
            <w:vAlign w:val="center"/>
          </w:tcPr>
          <w:p w14:paraId="4F9E39E6">
            <w:pPr>
              <w:jc w:val="center"/>
              <w:rPr>
                <w:rFonts w:cs="宋体" w:asciiTheme="minorEastAsia" w:hAnsiTheme="minorEastAsia" w:eastAsiaTheme="minorEastAsia"/>
              </w:rPr>
            </w:pPr>
            <w:r>
              <w:rPr>
                <w:rFonts w:hint="eastAsia" w:cs="宋体" w:asciiTheme="minorEastAsia" w:hAnsiTheme="minorEastAsia" w:eastAsiaTheme="minorEastAsia"/>
              </w:rPr>
              <w:t>附件</w:t>
            </w:r>
            <w:r>
              <w:rPr>
                <w:rFonts w:cs="宋体" w:asciiTheme="minorEastAsia" w:hAnsiTheme="minorEastAsia" w:eastAsiaTheme="minorEastAsia"/>
              </w:rPr>
              <w:t>C</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rPr>
              <w:t>4.1</w:t>
            </w:r>
          </w:p>
        </w:tc>
      </w:tr>
      <w:tr w14:paraId="4CD0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487" w:type="dxa"/>
            <w:vAlign w:val="center"/>
          </w:tcPr>
          <w:p w14:paraId="05A6B2B6">
            <w:pPr>
              <w:jc w:val="center"/>
              <w:rPr>
                <w:rFonts w:cs="宋体" w:asciiTheme="minorEastAsia" w:hAnsiTheme="minorEastAsia" w:eastAsiaTheme="minorEastAsia"/>
              </w:rPr>
            </w:pPr>
          </w:p>
        </w:tc>
        <w:tc>
          <w:tcPr>
            <w:tcW w:w="901" w:type="dxa"/>
            <w:tcMar>
              <w:top w:w="0" w:type="dxa"/>
              <w:left w:w="108" w:type="dxa"/>
              <w:bottom w:w="0" w:type="dxa"/>
              <w:right w:w="108" w:type="dxa"/>
            </w:tcMar>
            <w:vAlign w:val="center"/>
          </w:tcPr>
          <w:p w14:paraId="17C88068">
            <w:pPr>
              <w:jc w:val="center"/>
              <w:rPr>
                <w:rFonts w:cs="宋体" w:asciiTheme="minorEastAsia" w:hAnsiTheme="minorEastAsia" w:eastAsiaTheme="minorEastAsia"/>
              </w:rPr>
            </w:pPr>
          </w:p>
        </w:tc>
        <w:tc>
          <w:tcPr>
            <w:tcW w:w="1518" w:type="dxa"/>
            <w:tcMar>
              <w:top w:w="0" w:type="dxa"/>
              <w:left w:w="108" w:type="dxa"/>
              <w:bottom w:w="0" w:type="dxa"/>
              <w:right w:w="108" w:type="dxa"/>
            </w:tcMar>
            <w:vAlign w:val="center"/>
          </w:tcPr>
          <w:p w14:paraId="0C330844">
            <w:pPr>
              <w:jc w:val="center"/>
              <w:rPr>
                <w:rFonts w:cs="宋体" w:asciiTheme="minorEastAsia" w:hAnsiTheme="minorEastAsia" w:eastAsiaTheme="minorEastAsia"/>
              </w:rPr>
            </w:pPr>
          </w:p>
        </w:tc>
        <w:tc>
          <w:tcPr>
            <w:tcW w:w="605" w:type="dxa"/>
          </w:tcPr>
          <w:p w14:paraId="791A0C6C">
            <w:pPr>
              <w:jc w:val="center"/>
              <w:rPr>
                <w:rFonts w:cs="宋体" w:asciiTheme="minorEastAsia" w:hAnsiTheme="minorEastAsia" w:eastAsiaTheme="minorEastAsia"/>
              </w:rPr>
            </w:pPr>
          </w:p>
        </w:tc>
        <w:tc>
          <w:tcPr>
            <w:tcW w:w="1203" w:type="dxa"/>
            <w:tcMar>
              <w:top w:w="0" w:type="dxa"/>
              <w:left w:w="108" w:type="dxa"/>
              <w:bottom w:w="0" w:type="dxa"/>
              <w:right w:w="108" w:type="dxa"/>
            </w:tcMar>
            <w:vAlign w:val="center"/>
          </w:tcPr>
          <w:p w14:paraId="4EB603B5">
            <w:pPr>
              <w:widowControl/>
              <w:spacing w:line="400" w:lineRule="exact"/>
              <w:jc w:val="left"/>
              <w:rPr>
                <w:rFonts w:ascii="宋体" w:hAnsi="宋体"/>
                <w:szCs w:val="21"/>
              </w:rPr>
            </w:pPr>
            <w:r>
              <w:rPr>
                <w:rFonts w:hint="eastAsia" w:ascii="宋体" w:hAnsi="宋体"/>
                <w:szCs w:val="21"/>
              </w:rPr>
              <w:t>□新建</w:t>
            </w:r>
          </w:p>
          <w:p w14:paraId="65639576">
            <w:pPr>
              <w:jc w:val="left"/>
              <w:rPr>
                <w:rFonts w:ascii="宋体" w:hAnsi="宋体" w:cs="宋体"/>
                <w:szCs w:val="21"/>
              </w:rPr>
            </w:pPr>
            <w:r>
              <w:rPr>
                <w:rFonts w:hint="eastAsia" w:ascii="宋体" w:hAnsi="宋体"/>
                <w:szCs w:val="21"/>
              </w:rPr>
              <w:t>□改扩建</w:t>
            </w:r>
          </w:p>
        </w:tc>
        <w:tc>
          <w:tcPr>
            <w:tcW w:w="717" w:type="dxa"/>
            <w:tcMar>
              <w:top w:w="0" w:type="dxa"/>
              <w:left w:w="108" w:type="dxa"/>
              <w:bottom w:w="0" w:type="dxa"/>
              <w:right w:w="108" w:type="dxa"/>
            </w:tcMar>
            <w:vAlign w:val="center"/>
          </w:tcPr>
          <w:p w14:paraId="7B1D06CF">
            <w:pPr>
              <w:jc w:val="center"/>
              <w:rPr>
                <w:rFonts w:cs="宋体" w:asciiTheme="minorEastAsia" w:hAnsiTheme="minorEastAsia" w:eastAsiaTheme="minorEastAsia"/>
              </w:rPr>
            </w:pPr>
          </w:p>
        </w:tc>
        <w:tc>
          <w:tcPr>
            <w:tcW w:w="910" w:type="dxa"/>
            <w:vAlign w:val="center"/>
          </w:tcPr>
          <w:p w14:paraId="71DF8047">
            <w:pPr>
              <w:jc w:val="center"/>
              <w:rPr>
                <w:rFonts w:cs="宋体" w:asciiTheme="minorEastAsia" w:hAnsiTheme="minorEastAsia" w:eastAsiaTheme="minorEastAsia"/>
              </w:rPr>
            </w:pPr>
          </w:p>
        </w:tc>
        <w:tc>
          <w:tcPr>
            <w:tcW w:w="930" w:type="dxa"/>
            <w:tcMar>
              <w:top w:w="0" w:type="dxa"/>
              <w:left w:w="108" w:type="dxa"/>
              <w:bottom w:w="0" w:type="dxa"/>
              <w:right w:w="108" w:type="dxa"/>
            </w:tcMar>
            <w:vAlign w:val="center"/>
          </w:tcPr>
          <w:p w14:paraId="0E1B4D08">
            <w:pPr>
              <w:jc w:val="center"/>
              <w:rPr>
                <w:rFonts w:cs="宋体" w:asciiTheme="minorEastAsia" w:hAnsiTheme="minorEastAsia" w:eastAsiaTheme="minorEastAsia"/>
              </w:rPr>
            </w:pPr>
          </w:p>
        </w:tc>
        <w:tc>
          <w:tcPr>
            <w:tcW w:w="929" w:type="dxa"/>
            <w:vAlign w:val="center"/>
          </w:tcPr>
          <w:p w14:paraId="0A6BD5D5">
            <w:pPr>
              <w:jc w:val="center"/>
              <w:rPr>
                <w:rFonts w:cs="宋体" w:asciiTheme="minorEastAsia" w:hAnsiTheme="minorEastAsia" w:eastAsiaTheme="minorEastAsia"/>
              </w:rPr>
            </w:pPr>
          </w:p>
        </w:tc>
        <w:tc>
          <w:tcPr>
            <w:tcW w:w="1062" w:type="dxa"/>
            <w:tcMar>
              <w:top w:w="0" w:type="dxa"/>
              <w:left w:w="108" w:type="dxa"/>
              <w:bottom w:w="0" w:type="dxa"/>
              <w:right w:w="108" w:type="dxa"/>
            </w:tcMar>
            <w:vAlign w:val="center"/>
          </w:tcPr>
          <w:p w14:paraId="1BFB1F98">
            <w:pPr>
              <w:jc w:val="center"/>
              <w:rPr>
                <w:rFonts w:cs="宋体" w:asciiTheme="minorEastAsia" w:hAnsiTheme="minorEastAsia" w:eastAsiaTheme="minorEastAsia"/>
              </w:rPr>
            </w:pPr>
          </w:p>
        </w:tc>
        <w:tc>
          <w:tcPr>
            <w:tcW w:w="929" w:type="dxa"/>
            <w:vAlign w:val="center"/>
          </w:tcPr>
          <w:p w14:paraId="6127778C">
            <w:pPr>
              <w:jc w:val="center"/>
              <w:rPr>
                <w:rFonts w:cs="宋体" w:asciiTheme="minorEastAsia" w:hAnsiTheme="minorEastAsia" w:eastAsiaTheme="minorEastAsia"/>
              </w:rPr>
            </w:pPr>
          </w:p>
        </w:tc>
        <w:tc>
          <w:tcPr>
            <w:tcW w:w="1062" w:type="dxa"/>
            <w:vAlign w:val="center"/>
          </w:tcPr>
          <w:p w14:paraId="4C136587">
            <w:pPr>
              <w:jc w:val="center"/>
              <w:rPr>
                <w:rFonts w:cs="宋体" w:asciiTheme="minorEastAsia" w:hAnsiTheme="minorEastAsia" w:eastAsiaTheme="minorEastAsia"/>
              </w:rPr>
            </w:pPr>
          </w:p>
        </w:tc>
        <w:tc>
          <w:tcPr>
            <w:tcW w:w="929" w:type="dxa"/>
            <w:vAlign w:val="center"/>
          </w:tcPr>
          <w:p w14:paraId="65E05270">
            <w:pPr>
              <w:jc w:val="center"/>
              <w:rPr>
                <w:rFonts w:cs="宋体" w:asciiTheme="minorEastAsia" w:hAnsiTheme="minorEastAsia" w:eastAsiaTheme="minorEastAsia"/>
              </w:rPr>
            </w:pPr>
          </w:p>
        </w:tc>
        <w:tc>
          <w:tcPr>
            <w:tcW w:w="907" w:type="dxa"/>
            <w:tcMar>
              <w:top w:w="0" w:type="dxa"/>
              <w:left w:w="108" w:type="dxa"/>
              <w:bottom w:w="0" w:type="dxa"/>
              <w:right w:w="108" w:type="dxa"/>
            </w:tcMar>
            <w:vAlign w:val="center"/>
          </w:tcPr>
          <w:p w14:paraId="02C8E09E">
            <w:pPr>
              <w:jc w:val="center"/>
              <w:rPr>
                <w:rFonts w:cs="宋体" w:asciiTheme="minorEastAsia" w:hAnsiTheme="minorEastAsia" w:eastAsiaTheme="minorEastAsia"/>
              </w:rPr>
            </w:pPr>
          </w:p>
        </w:tc>
        <w:tc>
          <w:tcPr>
            <w:tcW w:w="975" w:type="dxa"/>
            <w:vAlign w:val="center"/>
          </w:tcPr>
          <w:p w14:paraId="5C43F21D">
            <w:pPr>
              <w:jc w:val="center"/>
              <w:rPr>
                <w:rFonts w:cs="宋体" w:asciiTheme="minorEastAsia" w:hAnsiTheme="minorEastAsia" w:eastAsiaTheme="minorEastAsia"/>
              </w:rPr>
            </w:pPr>
            <w:r>
              <w:rPr>
                <w:rFonts w:hint="eastAsia" w:cs="宋体" w:asciiTheme="minorEastAsia" w:hAnsiTheme="minorEastAsia" w:eastAsiaTheme="minorEastAsia"/>
              </w:rPr>
              <w:t>附件</w:t>
            </w:r>
            <w:r>
              <w:rPr>
                <w:rFonts w:cs="宋体" w:asciiTheme="minorEastAsia" w:hAnsiTheme="minorEastAsia" w:eastAsiaTheme="minorEastAsia"/>
              </w:rPr>
              <w:t>C</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rPr>
              <w:t>4.2</w:t>
            </w:r>
          </w:p>
        </w:tc>
      </w:tr>
      <w:tr w14:paraId="4D03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487" w:type="dxa"/>
            <w:vAlign w:val="center"/>
          </w:tcPr>
          <w:p w14:paraId="6802C972">
            <w:pPr>
              <w:jc w:val="center"/>
              <w:rPr>
                <w:rFonts w:cs="宋体" w:asciiTheme="minorEastAsia" w:hAnsiTheme="minorEastAsia" w:eastAsiaTheme="minorEastAsia"/>
              </w:rPr>
            </w:pPr>
          </w:p>
        </w:tc>
        <w:tc>
          <w:tcPr>
            <w:tcW w:w="901" w:type="dxa"/>
            <w:tcMar>
              <w:top w:w="0" w:type="dxa"/>
              <w:left w:w="108" w:type="dxa"/>
              <w:bottom w:w="0" w:type="dxa"/>
              <w:right w:w="108" w:type="dxa"/>
            </w:tcMar>
            <w:vAlign w:val="center"/>
          </w:tcPr>
          <w:p w14:paraId="102DAF23">
            <w:pPr>
              <w:jc w:val="center"/>
              <w:rPr>
                <w:rFonts w:cs="宋体" w:asciiTheme="minorEastAsia" w:hAnsiTheme="minorEastAsia" w:eastAsiaTheme="minorEastAsia"/>
              </w:rPr>
            </w:pPr>
          </w:p>
        </w:tc>
        <w:tc>
          <w:tcPr>
            <w:tcW w:w="1518" w:type="dxa"/>
            <w:tcMar>
              <w:top w:w="0" w:type="dxa"/>
              <w:left w:w="108" w:type="dxa"/>
              <w:bottom w:w="0" w:type="dxa"/>
              <w:right w:w="108" w:type="dxa"/>
            </w:tcMar>
            <w:vAlign w:val="center"/>
          </w:tcPr>
          <w:p w14:paraId="050EF760">
            <w:pPr>
              <w:jc w:val="center"/>
              <w:rPr>
                <w:rFonts w:cs="宋体" w:asciiTheme="minorEastAsia" w:hAnsiTheme="minorEastAsia" w:eastAsiaTheme="minorEastAsia"/>
              </w:rPr>
            </w:pPr>
          </w:p>
        </w:tc>
        <w:tc>
          <w:tcPr>
            <w:tcW w:w="605" w:type="dxa"/>
          </w:tcPr>
          <w:p w14:paraId="3429E282">
            <w:pPr>
              <w:jc w:val="center"/>
              <w:rPr>
                <w:rFonts w:cs="宋体" w:asciiTheme="minorEastAsia" w:hAnsiTheme="minorEastAsia" w:eastAsiaTheme="minorEastAsia"/>
              </w:rPr>
            </w:pPr>
          </w:p>
        </w:tc>
        <w:tc>
          <w:tcPr>
            <w:tcW w:w="1203" w:type="dxa"/>
            <w:tcMar>
              <w:top w:w="0" w:type="dxa"/>
              <w:left w:w="108" w:type="dxa"/>
              <w:bottom w:w="0" w:type="dxa"/>
              <w:right w:w="108" w:type="dxa"/>
            </w:tcMar>
            <w:vAlign w:val="center"/>
          </w:tcPr>
          <w:p w14:paraId="692FFA14">
            <w:pPr>
              <w:widowControl/>
              <w:spacing w:line="400" w:lineRule="exact"/>
              <w:jc w:val="left"/>
              <w:rPr>
                <w:rFonts w:ascii="宋体" w:hAnsi="宋体"/>
                <w:szCs w:val="21"/>
              </w:rPr>
            </w:pPr>
            <w:r>
              <w:rPr>
                <w:rFonts w:hint="eastAsia" w:ascii="宋体" w:hAnsi="宋体"/>
                <w:szCs w:val="21"/>
              </w:rPr>
              <w:t>□新建</w:t>
            </w:r>
          </w:p>
          <w:p w14:paraId="67A63F37">
            <w:pPr>
              <w:jc w:val="left"/>
              <w:rPr>
                <w:rFonts w:ascii="宋体" w:hAnsi="宋体" w:cs="宋体"/>
                <w:szCs w:val="21"/>
              </w:rPr>
            </w:pPr>
            <w:r>
              <w:rPr>
                <w:rFonts w:hint="eastAsia" w:ascii="宋体" w:hAnsi="宋体"/>
                <w:szCs w:val="21"/>
              </w:rPr>
              <w:t>□改扩建</w:t>
            </w:r>
          </w:p>
        </w:tc>
        <w:tc>
          <w:tcPr>
            <w:tcW w:w="717" w:type="dxa"/>
            <w:tcMar>
              <w:top w:w="0" w:type="dxa"/>
              <w:left w:w="108" w:type="dxa"/>
              <w:bottom w:w="0" w:type="dxa"/>
              <w:right w:w="108" w:type="dxa"/>
            </w:tcMar>
            <w:vAlign w:val="center"/>
          </w:tcPr>
          <w:p w14:paraId="265DF80B">
            <w:pPr>
              <w:jc w:val="center"/>
              <w:rPr>
                <w:rFonts w:cs="宋体" w:asciiTheme="minorEastAsia" w:hAnsiTheme="minorEastAsia" w:eastAsiaTheme="minorEastAsia"/>
              </w:rPr>
            </w:pPr>
          </w:p>
        </w:tc>
        <w:tc>
          <w:tcPr>
            <w:tcW w:w="910" w:type="dxa"/>
            <w:vAlign w:val="center"/>
          </w:tcPr>
          <w:p w14:paraId="4CEF4133">
            <w:pPr>
              <w:jc w:val="center"/>
              <w:rPr>
                <w:rFonts w:cs="宋体" w:asciiTheme="minorEastAsia" w:hAnsiTheme="minorEastAsia" w:eastAsiaTheme="minorEastAsia"/>
              </w:rPr>
            </w:pPr>
          </w:p>
        </w:tc>
        <w:tc>
          <w:tcPr>
            <w:tcW w:w="930" w:type="dxa"/>
            <w:tcMar>
              <w:top w:w="0" w:type="dxa"/>
              <w:left w:w="108" w:type="dxa"/>
              <w:bottom w:w="0" w:type="dxa"/>
              <w:right w:w="108" w:type="dxa"/>
            </w:tcMar>
            <w:vAlign w:val="center"/>
          </w:tcPr>
          <w:p w14:paraId="0ACD6E76">
            <w:pPr>
              <w:jc w:val="center"/>
              <w:rPr>
                <w:rFonts w:cs="宋体" w:asciiTheme="minorEastAsia" w:hAnsiTheme="minorEastAsia" w:eastAsiaTheme="minorEastAsia"/>
              </w:rPr>
            </w:pPr>
          </w:p>
        </w:tc>
        <w:tc>
          <w:tcPr>
            <w:tcW w:w="929" w:type="dxa"/>
            <w:vAlign w:val="center"/>
          </w:tcPr>
          <w:p w14:paraId="60ADD0B6">
            <w:pPr>
              <w:jc w:val="center"/>
              <w:rPr>
                <w:rFonts w:cs="宋体" w:asciiTheme="minorEastAsia" w:hAnsiTheme="minorEastAsia" w:eastAsiaTheme="minorEastAsia"/>
              </w:rPr>
            </w:pPr>
          </w:p>
        </w:tc>
        <w:tc>
          <w:tcPr>
            <w:tcW w:w="1062" w:type="dxa"/>
            <w:tcMar>
              <w:top w:w="0" w:type="dxa"/>
              <w:left w:w="108" w:type="dxa"/>
              <w:bottom w:w="0" w:type="dxa"/>
              <w:right w:w="108" w:type="dxa"/>
            </w:tcMar>
            <w:vAlign w:val="center"/>
          </w:tcPr>
          <w:p w14:paraId="00589246">
            <w:pPr>
              <w:jc w:val="center"/>
              <w:rPr>
                <w:rFonts w:cs="宋体" w:asciiTheme="minorEastAsia" w:hAnsiTheme="minorEastAsia" w:eastAsiaTheme="minorEastAsia"/>
              </w:rPr>
            </w:pPr>
          </w:p>
        </w:tc>
        <w:tc>
          <w:tcPr>
            <w:tcW w:w="929" w:type="dxa"/>
            <w:vAlign w:val="center"/>
          </w:tcPr>
          <w:p w14:paraId="07F5BAE4">
            <w:pPr>
              <w:jc w:val="center"/>
              <w:rPr>
                <w:rFonts w:cs="宋体" w:asciiTheme="minorEastAsia" w:hAnsiTheme="minorEastAsia" w:eastAsiaTheme="minorEastAsia"/>
              </w:rPr>
            </w:pPr>
          </w:p>
        </w:tc>
        <w:tc>
          <w:tcPr>
            <w:tcW w:w="1062" w:type="dxa"/>
            <w:vAlign w:val="center"/>
          </w:tcPr>
          <w:p w14:paraId="75D4CE3F">
            <w:pPr>
              <w:jc w:val="center"/>
              <w:rPr>
                <w:rFonts w:cs="宋体" w:asciiTheme="minorEastAsia" w:hAnsiTheme="minorEastAsia" w:eastAsiaTheme="minorEastAsia"/>
              </w:rPr>
            </w:pPr>
          </w:p>
        </w:tc>
        <w:tc>
          <w:tcPr>
            <w:tcW w:w="929" w:type="dxa"/>
            <w:vAlign w:val="center"/>
          </w:tcPr>
          <w:p w14:paraId="61A56E6A">
            <w:pPr>
              <w:jc w:val="center"/>
              <w:rPr>
                <w:rFonts w:cs="宋体" w:asciiTheme="minorEastAsia" w:hAnsiTheme="minorEastAsia" w:eastAsiaTheme="minorEastAsia"/>
              </w:rPr>
            </w:pPr>
          </w:p>
        </w:tc>
        <w:tc>
          <w:tcPr>
            <w:tcW w:w="907" w:type="dxa"/>
            <w:tcMar>
              <w:top w:w="0" w:type="dxa"/>
              <w:left w:w="108" w:type="dxa"/>
              <w:bottom w:w="0" w:type="dxa"/>
              <w:right w:w="108" w:type="dxa"/>
            </w:tcMar>
            <w:vAlign w:val="center"/>
          </w:tcPr>
          <w:p w14:paraId="2B9BDC1B">
            <w:pPr>
              <w:jc w:val="center"/>
              <w:rPr>
                <w:rFonts w:cs="宋体" w:asciiTheme="minorEastAsia" w:hAnsiTheme="minorEastAsia" w:eastAsiaTheme="minorEastAsia"/>
              </w:rPr>
            </w:pPr>
          </w:p>
        </w:tc>
        <w:tc>
          <w:tcPr>
            <w:tcW w:w="975" w:type="dxa"/>
            <w:vAlign w:val="center"/>
          </w:tcPr>
          <w:p w14:paraId="158343FC">
            <w:pPr>
              <w:jc w:val="center"/>
              <w:rPr>
                <w:rFonts w:cs="宋体" w:asciiTheme="minorEastAsia" w:hAnsiTheme="minorEastAsia" w:eastAsiaTheme="minorEastAsia"/>
              </w:rPr>
            </w:pPr>
            <w:r>
              <w:rPr>
                <w:rFonts w:hint="eastAsia" w:cs="宋体" w:asciiTheme="minorEastAsia" w:hAnsiTheme="minorEastAsia" w:eastAsiaTheme="minorEastAsia"/>
              </w:rPr>
              <w:t>附件</w:t>
            </w:r>
            <w:r>
              <w:rPr>
                <w:rFonts w:cs="宋体" w:asciiTheme="minorEastAsia" w:hAnsiTheme="minorEastAsia" w:eastAsiaTheme="minorEastAsia"/>
              </w:rPr>
              <w:t>C</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rPr>
              <w:t>4.3</w:t>
            </w:r>
          </w:p>
        </w:tc>
      </w:tr>
      <w:tr w14:paraId="732E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487" w:type="dxa"/>
            <w:vAlign w:val="center"/>
          </w:tcPr>
          <w:p w14:paraId="2A7E0C42">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01" w:type="dxa"/>
            <w:tcMar>
              <w:top w:w="0" w:type="dxa"/>
              <w:left w:w="108" w:type="dxa"/>
              <w:bottom w:w="0" w:type="dxa"/>
              <w:right w:w="108" w:type="dxa"/>
            </w:tcMar>
            <w:vAlign w:val="center"/>
          </w:tcPr>
          <w:p w14:paraId="131DF50B">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1518" w:type="dxa"/>
            <w:tcMar>
              <w:top w:w="0" w:type="dxa"/>
              <w:left w:w="108" w:type="dxa"/>
              <w:bottom w:w="0" w:type="dxa"/>
              <w:right w:w="108" w:type="dxa"/>
            </w:tcMar>
            <w:vAlign w:val="center"/>
          </w:tcPr>
          <w:p w14:paraId="5C3B5FC7">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605" w:type="dxa"/>
            <w:vAlign w:val="center"/>
          </w:tcPr>
          <w:p w14:paraId="12C0B274">
            <w:pPr>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203" w:type="dxa"/>
            <w:tcMar>
              <w:top w:w="0" w:type="dxa"/>
              <w:left w:w="108" w:type="dxa"/>
              <w:bottom w:w="0" w:type="dxa"/>
              <w:right w:w="108" w:type="dxa"/>
            </w:tcMar>
            <w:vAlign w:val="center"/>
          </w:tcPr>
          <w:p w14:paraId="6054BD5D">
            <w:pPr>
              <w:jc w:val="center"/>
              <w:rPr>
                <w:rFonts w:ascii="宋体" w:hAnsi="宋体" w:cs="宋体"/>
                <w:kern w:val="0"/>
                <w:szCs w:val="21"/>
              </w:rPr>
            </w:pPr>
            <w:r>
              <w:rPr>
                <w:rFonts w:hint="eastAsia" w:ascii="宋体" w:hAnsi="宋体" w:cs="宋体"/>
                <w:kern w:val="0"/>
                <w:szCs w:val="21"/>
              </w:rPr>
              <w:t>…</w:t>
            </w:r>
          </w:p>
        </w:tc>
        <w:tc>
          <w:tcPr>
            <w:tcW w:w="717" w:type="dxa"/>
            <w:tcMar>
              <w:top w:w="0" w:type="dxa"/>
              <w:left w:w="108" w:type="dxa"/>
              <w:bottom w:w="0" w:type="dxa"/>
              <w:right w:w="108" w:type="dxa"/>
            </w:tcMar>
            <w:vAlign w:val="center"/>
          </w:tcPr>
          <w:p w14:paraId="510DCE90">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10" w:type="dxa"/>
            <w:vAlign w:val="center"/>
          </w:tcPr>
          <w:p w14:paraId="734E0698">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30" w:type="dxa"/>
            <w:tcMar>
              <w:top w:w="0" w:type="dxa"/>
              <w:left w:w="108" w:type="dxa"/>
              <w:bottom w:w="0" w:type="dxa"/>
              <w:right w:w="108" w:type="dxa"/>
            </w:tcMar>
            <w:vAlign w:val="center"/>
          </w:tcPr>
          <w:p w14:paraId="4CF21AB4">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29" w:type="dxa"/>
            <w:vAlign w:val="center"/>
          </w:tcPr>
          <w:p w14:paraId="56DD22CF">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1062" w:type="dxa"/>
            <w:tcMar>
              <w:top w:w="0" w:type="dxa"/>
              <w:left w:w="108" w:type="dxa"/>
              <w:bottom w:w="0" w:type="dxa"/>
              <w:right w:w="108" w:type="dxa"/>
            </w:tcMar>
            <w:vAlign w:val="center"/>
          </w:tcPr>
          <w:p w14:paraId="5153E866">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29" w:type="dxa"/>
            <w:vAlign w:val="center"/>
          </w:tcPr>
          <w:p w14:paraId="1A38AFF0">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62" w:type="dxa"/>
            <w:vAlign w:val="center"/>
          </w:tcPr>
          <w:p w14:paraId="2BC79F81">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29" w:type="dxa"/>
            <w:vAlign w:val="center"/>
          </w:tcPr>
          <w:p w14:paraId="3A1D0C1E">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07" w:type="dxa"/>
            <w:tcMar>
              <w:top w:w="0" w:type="dxa"/>
              <w:left w:w="108" w:type="dxa"/>
              <w:bottom w:w="0" w:type="dxa"/>
              <w:right w:w="108" w:type="dxa"/>
            </w:tcMar>
            <w:vAlign w:val="center"/>
          </w:tcPr>
          <w:p w14:paraId="0F734C2D">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c>
          <w:tcPr>
            <w:tcW w:w="975" w:type="dxa"/>
            <w:vAlign w:val="center"/>
          </w:tcPr>
          <w:p w14:paraId="1820C5AA">
            <w:pPr>
              <w:jc w:val="center"/>
              <w:rPr>
                <w:rFonts w:cs="宋体" w:asciiTheme="minorEastAsia" w:hAnsiTheme="minorEastAsia" w:eastAsiaTheme="minorEastAsia"/>
              </w:rPr>
            </w:pPr>
            <w:r>
              <w:rPr>
                <w:rFonts w:hint="eastAsia" w:cs="宋体" w:asciiTheme="minorEastAsia" w:hAnsiTheme="minorEastAsia" w:eastAsiaTheme="minorEastAsia"/>
                <w:kern w:val="0"/>
                <w:szCs w:val="21"/>
              </w:rPr>
              <w:t>…</w:t>
            </w:r>
          </w:p>
        </w:tc>
      </w:tr>
    </w:tbl>
    <w:p w14:paraId="07570F23">
      <w:pPr>
        <w:pStyle w:val="299"/>
        <w:spacing w:line="300" w:lineRule="exact"/>
        <w:ind w:left="0" w:leftChars="0" w:firstLine="0" w:firstLineChars="0"/>
        <w:rPr>
          <w:rFonts w:ascii="宋体" w:hAnsi="宋体" w:cs="宋体"/>
          <w:spacing w:val="-3"/>
        </w:rPr>
      </w:pPr>
      <w:r>
        <w:rPr>
          <w:rFonts w:hint="eastAsia" w:ascii="宋体" w:hAnsi="宋体" w:cs="宋体"/>
        </w:rPr>
        <w:t>注：</w:t>
      </w:r>
      <w:r>
        <w:rPr>
          <w:rFonts w:ascii="宋体" w:hAnsi="宋体" w:cs="宋体"/>
        </w:rPr>
        <w:t>1.</w:t>
      </w:r>
      <w:r>
        <w:rPr>
          <w:rFonts w:hint="eastAsia" w:ascii="宋体" w:hAnsi="宋体" w:cs="宋体"/>
        </w:rPr>
        <w:t>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w:t>
      </w:r>
      <w:r>
        <w:rPr>
          <w:rFonts w:hint="eastAsia" w:cs="宋体" w:asciiTheme="minorEastAsia" w:hAnsiTheme="minorEastAsia" w:eastAsiaTheme="minorEastAsia"/>
          <w:szCs w:val="21"/>
          <w:lang w:val="en-US" w:eastAsia="zh-CN"/>
        </w:rPr>
        <w:t>2-</w:t>
      </w:r>
      <w:r>
        <w:rPr>
          <w:rFonts w:ascii="宋体" w:hAnsi="宋体" w:cs="宋体"/>
        </w:rPr>
        <w:t>4</w:t>
      </w:r>
      <w:r>
        <w:rPr>
          <w:rFonts w:hint="eastAsia" w:ascii="宋体" w:hAnsi="宋体" w:cs="宋体"/>
        </w:rPr>
        <w:t>系列（路面工程施工项目业绩）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39658068">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0D939B6B">
      <w:pPr>
        <w:spacing w:line="300" w:lineRule="exact"/>
        <w:ind w:firstLine="420" w:firstLineChars="200"/>
        <w:rPr>
          <w:rFonts w:ascii="宋体" w:hAnsi="宋体" w:cs="宋体"/>
        </w:rPr>
      </w:pPr>
      <w:r>
        <w:rPr>
          <w:rFonts w:hint="eastAsia" w:ascii="宋体" w:hAnsi="宋体" w:cs="宋体"/>
        </w:rPr>
        <w:t>3</w:t>
      </w:r>
      <w:r>
        <w:rPr>
          <w:rFonts w:ascii="宋体" w:hAnsi="宋体" w:cs="宋体"/>
        </w:rPr>
        <w:t>.本表所列合同价格一般为项目结算价格，无结算价格的以签约合同价格为准。</w:t>
      </w:r>
    </w:p>
    <w:p w14:paraId="2235B9F8">
      <w:pPr>
        <w:spacing w:line="300" w:lineRule="exact"/>
        <w:ind w:firstLine="420" w:firstLineChars="200"/>
        <w:rPr>
          <w:rFonts w:ascii="宋体" w:hAnsi="宋体" w:cs="宋体"/>
        </w:rPr>
      </w:pPr>
      <w:r>
        <w:rPr>
          <w:rFonts w:hint="eastAsia" w:ascii="宋体" w:hAnsi="宋体" w:cs="宋体"/>
        </w:rPr>
        <w:t>4</w:t>
      </w:r>
      <w:r>
        <w:rPr>
          <w:rFonts w:ascii="宋体" w:hAnsi="宋体" w:cs="宋体"/>
        </w:rPr>
        <w:t>.</w:t>
      </w:r>
      <w:r>
        <w:rPr>
          <w:rFonts w:hint="eastAsia" w:ascii="宋体" w:hAnsi="宋体" w:cs="宋体"/>
          <w:spacing w:val="-3"/>
          <w:lang w:bidi="ar"/>
        </w:rPr>
        <w:t>路面工程可为合同中包含的施工内容或单独路面工程合同的项目。</w:t>
      </w:r>
    </w:p>
    <w:p w14:paraId="55BF6C91">
      <w:pPr>
        <w:spacing w:line="300" w:lineRule="exact"/>
        <w:ind w:firstLine="420" w:firstLineChars="200"/>
        <w:rPr>
          <w:rFonts w:ascii="宋体" w:hAnsi="宋体" w:cs="宋体"/>
        </w:rPr>
      </w:pPr>
      <w:r>
        <w:rPr>
          <w:rFonts w:hint="eastAsia" w:ascii="宋体" w:hAnsi="宋体" w:cs="宋体"/>
        </w:rPr>
        <w:t>5.</w:t>
      </w:r>
      <w:r>
        <w:rPr>
          <w:rFonts w:ascii="宋体" w:hAnsi="宋体" w:cs="宋体"/>
        </w:rPr>
        <w:t>如近年来，投标人法人机构发生合法变更或重组或法人名称变更时，应提供相关部门的合法批件或其他相关证明材料来证明其所附业绩的继承性。</w:t>
      </w:r>
    </w:p>
    <w:p w14:paraId="147D9012">
      <w:pPr>
        <w:spacing w:line="300" w:lineRule="exact"/>
        <w:ind w:firstLine="420" w:firstLineChars="200"/>
        <w:rPr>
          <w:rFonts w:ascii="宋体" w:hAnsi="宋体" w:cs="宋体"/>
        </w:rPr>
      </w:pPr>
      <w:bookmarkStart w:id="894" w:name="_Hlk52813213"/>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6AE6FDE0">
      <w:pPr>
        <w:spacing w:line="300" w:lineRule="exact"/>
        <w:ind w:firstLine="420" w:firstLineChars="200"/>
        <w:rPr>
          <w:rFonts w:hint="eastAsia" w:ascii="宋体" w:hAnsi="宋体" w:cs="宋体"/>
        </w:rPr>
      </w:pPr>
      <w:r>
        <w:rPr>
          <w:rFonts w:hint="eastAsia" w:ascii="宋体" w:hAnsi="宋体" w:cs="宋体"/>
        </w:rPr>
        <w:t>7</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bookmarkEnd w:id="894"/>
    </w:p>
    <w:p w14:paraId="219F34C2">
      <w:pPr>
        <w:spacing w:line="360" w:lineRule="auto"/>
        <w:ind w:firstLine="562" w:firstLineChars="200"/>
        <w:rPr>
          <w:rFonts w:cs="黑体"/>
          <w:b/>
          <w:sz w:val="28"/>
          <w:szCs w:val="28"/>
        </w:rPr>
      </w:pPr>
      <w:r>
        <w:rPr>
          <w:rFonts w:cs="宋体"/>
          <w:b/>
          <w:sz w:val="28"/>
          <w:szCs w:val="28"/>
        </w:rPr>
        <w:br w:type="page"/>
      </w:r>
    </w:p>
    <w:p w14:paraId="4310FA3A">
      <w:pPr>
        <w:spacing w:line="360" w:lineRule="auto"/>
        <w:ind w:left="1418"/>
        <w:jc w:val="center"/>
        <w:rPr>
          <w:rFonts w:ascii="黑体" w:hAnsi="黑体" w:eastAsia="黑体" w:cs="宋体"/>
          <w:sz w:val="24"/>
        </w:rPr>
      </w:pPr>
      <w:r>
        <w:rPr>
          <w:rFonts w:ascii="黑体" w:hAnsi="黑体" w:eastAsia="黑体" w:cs="宋体"/>
          <w:sz w:val="24"/>
        </w:rPr>
        <w:t xml:space="preserve">             </w:t>
      </w: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公路交通安全设施工程施工情况</w:t>
      </w:r>
      <w:r>
        <w:rPr>
          <w:rFonts w:ascii="黑体" w:hAnsi="黑体" w:eastAsia="黑体" w:cs="宋体"/>
          <w:sz w:val="24"/>
        </w:rPr>
        <w:t xml:space="preserve">                          表</w:t>
      </w:r>
      <w:r>
        <w:rPr>
          <w:rFonts w:hint="eastAsia" w:ascii="黑体" w:hAnsi="黑体" w:eastAsia="黑体" w:cs="宋体"/>
          <w:sz w:val="24"/>
        </w:rPr>
        <w:t>2</w:t>
      </w:r>
      <w:r>
        <w:rPr>
          <w:rFonts w:ascii="黑体" w:hAnsi="黑体" w:eastAsia="黑体" w:cs="宋体"/>
          <w:sz w:val="24"/>
        </w:rPr>
        <w:t>-5</w:t>
      </w:r>
    </w:p>
    <w:tbl>
      <w:tblPr>
        <w:tblStyle w:val="49"/>
        <w:tblW w:w="140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
        <w:gridCol w:w="638"/>
        <w:gridCol w:w="1194"/>
        <w:gridCol w:w="536"/>
        <w:gridCol w:w="1111"/>
        <w:gridCol w:w="606"/>
        <w:gridCol w:w="898"/>
        <w:gridCol w:w="770"/>
        <w:gridCol w:w="898"/>
        <w:gridCol w:w="898"/>
        <w:gridCol w:w="642"/>
        <w:gridCol w:w="642"/>
        <w:gridCol w:w="1027"/>
        <w:gridCol w:w="773"/>
        <w:gridCol w:w="876"/>
        <w:gridCol w:w="1003"/>
        <w:gridCol w:w="1185"/>
      </w:tblGrid>
      <w:tr w14:paraId="28ADB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76" w:type="dxa"/>
            <w:vMerge w:val="restart"/>
            <w:vAlign w:val="center"/>
          </w:tcPr>
          <w:p w14:paraId="7D76370D">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38" w:type="dxa"/>
            <w:vMerge w:val="restart"/>
            <w:tcMar>
              <w:top w:w="0" w:type="dxa"/>
              <w:left w:w="108" w:type="dxa"/>
              <w:bottom w:w="0" w:type="dxa"/>
              <w:right w:w="108" w:type="dxa"/>
            </w:tcMar>
            <w:vAlign w:val="center"/>
          </w:tcPr>
          <w:p w14:paraId="1ABD712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w:t>
            </w:r>
          </w:p>
          <w:p w14:paraId="70524728">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业主</w:t>
            </w:r>
          </w:p>
        </w:tc>
        <w:tc>
          <w:tcPr>
            <w:tcW w:w="1194" w:type="dxa"/>
            <w:vMerge w:val="restart"/>
            <w:tcMar>
              <w:top w:w="0" w:type="dxa"/>
              <w:left w:w="108" w:type="dxa"/>
              <w:bottom w:w="0" w:type="dxa"/>
              <w:right w:w="108" w:type="dxa"/>
            </w:tcMar>
            <w:vAlign w:val="center"/>
          </w:tcPr>
          <w:p w14:paraId="6827665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536" w:type="dxa"/>
            <w:vMerge w:val="restart"/>
            <w:vAlign w:val="center"/>
          </w:tcPr>
          <w:p w14:paraId="2F3CBC4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公路</w:t>
            </w:r>
          </w:p>
          <w:p w14:paraId="7FBC41F4">
            <w:pPr>
              <w:pStyle w:val="299"/>
              <w:jc w:val="center"/>
              <w:rPr>
                <w:rFonts w:asciiTheme="minorEastAsia" w:hAnsiTheme="minorEastAsia" w:eastAsiaTheme="minorEastAsia"/>
                <w:szCs w:val="21"/>
              </w:rPr>
            </w:pPr>
            <w:r>
              <w:rPr>
                <w:rFonts w:hint="eastAsia" w:asciiTheme="minorEastAsia" w:hAnsiTheme="minorEastAsia" w:eastAsiaTheme="minorEastAsia"/>
                <w:szCs w:val="21"/>
              </w:rPr>
              <w:t>等级</w:t>
            </w:r>
          </w:p>
        </w:tc>
        <w:tc>
          <w:tcPr>
            <w:tcW w:w="1111" w:type="dxa"/>
            <w:vMerge w:val="restart"/>
            <w:tcMar>
              <w:top w:w="0" w:type="dxa"/>
              <w:left w:w="108" w:type="dxa"/>
              <w:bottom w:w="0" w:type="dxa"/>
              <w:right w:w="108" w:type="dxa"/>
            </w:tcMar>
            <w:vAlign w:val="center"/>
          </w:tcPr>
          <w:p w14:paraId="106C71BA">
            <w:pPr>
              <w:jc w:val="center"/>
              <w:rPr>
                <w:rFonts w:ascii="宋体" w:hAnsi="宋体" w:cs="宋体"/>
                <w:szCs w:val="21"/>
              </w:rPr>
            </w:pPr>
            <w:r>
              <w:rPr>
                <w:rFonts w:hint="eastAsia" w:cs="宋体" w:asciiTheme="minorEastAsia" w:hAnsiTheme="minorEastAsia" w:eastAsiaTheme="minorEastAsia"/>
                <w:szCs w:val="21"/>
              </w:rPr>
              <w:t>项目建设形式</w:t>
            </w:r>
          </w:p>
        </w:tc>
        <w:tc>
          <w:tcPr>
            <w:tcW w:w="606" w:type="dxa"/>
            <w:vMerge w:val="restart"/>
            <w:tcMar>
              <w:top w:w="0" w:type="dxa"/>
              <w:left w:w="108" w:type="dxa"/>
              <w:bottom w:w="0" w:type="dxa"/>
              <w:right w:w="108" w:type="dxa"/>
            </w:tcMar>
            <w:vAlign w:val="center"/>
          </w:tcPr>
          <w:p w14:paraId="7CC6B0EF">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898" w:type="dxa"/>
            <w:vMerge w:val="restart"/>
            <w:vAlign w:val="center"/>
          </w:tcPr>
          <w:p w14:paraId="602DFB2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770" w:type="dxa"/>
            <w:vMerge w:val="restart"/>
            <w:tcMar>
              <w:top w:w="0" w:type="dxa"/>
              <w:left w:w="108" w:type="dxa"/>
              <w:bottom w:w="0" w:type="dxa"/>
              <w:right w:w="108" w:type="dxa"/>
            </w:tcMar>
            <w:vAlign w:val="center"/>
          </w:tcPr>
          <w:p w14:paraId="31BE6B0F">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开工</w:t>
            </w:r>
          </w:p>
          <w:p w14:paraId="774C854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898" w:type="dxa"/>
            <w:vMerge w:val="restart"/>
            <w:vAlign w:val="center"/>
          </w:tcPr>
          <w:p w14:paraId="02EBA79E">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完成（交工）日期</w:t>
            </w:r>
          </w:p>
        </w:tc>
        <w:tc>
          <w:tcPr>
            <w:tcW w:w="898" w:type="dxa"/>
            <w:vMerge w:val="restart"/>
            <w:vAlign w:val="center"/>
          </w:tcPr>
          <w:p w14:paraId="6EB28F46">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3084" w:type="dxa"/>
            <w:gridSpan w:val="4"/>
            <w:vAlign w:val="center"/>
          </w:tcPr>
          <w:p w14:paraId="3D6B43CD">
            <w:pPr>
              <w:pStyle w:val="299"/>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交通安全设施包含类型</w:t>
            </w:r>
          </w:p>
        </w:tc>
        <w:tc>
          <w:tcPr>
            <w:tcW w:w="876" w:type="dxa"/>
            <w:vMerge w:val="restart"/>
            <w:vAlign w:val="center"/>
          </w:tcPr>
          <w:p w14:paraId="1C7DD880">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w:t>
            </w:r>
          </w:p>
          <w:p w14:paraId="64DFEDA9">
            <w:pPr>
              <w:pStyle w:val="299"/>
              <w:jc w:val="center"/>
              <w:rPr>
                <w:rFonts w:asciiTheme="minorEastAsia" w:hAnsiTheme="minorEastAsia" w:eastAsiaTheme="minorEastAsia"/>
                <w:szCs w:val="21"/>
              </w:rPr>
            </w:pPr>
            <w:r>
              <w:rPr>
                <w:rFonts w:hint="eastAsia" w:asciiTheme="minorEastAsia" w:hAnsiTheme="minorEastAsia" w:eastAsiaTheme="minorEastAsia"/>
                <w:szCs w:val="21"/>
              </w:rPr>
              <w:t>经理</w:t>
            </w:r>
          </w:p>
        </w:tc>
        <w:tc>
          <w:tcPr>
            <w:tcW w:w="1003" w:type="dxa"/>
            <w:vMerge w:val="restart"/>
            <w:tcMar>
              <w:top w:w="0" w:type="dxa"/>
              <w:left w:w="108" w:type="dxa"/>
              <w:bottom w:w="0" w:type="dxa"/>
              <w:right w:w="108" w:type="dxa"/>
            </w:tcMar>
            <w:vAlign w:val="center"/>
          </w:tcPr>
          <w:p w14:paraId="1802E9DF">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w:t>
            </w:r>
          </w:p>
          <w:p w14:paraId="386D63D7">
            <w:pPr>
              <w:pStyle w:val="299"/>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总工</w:t>
            </w:r>
          </w:p>
        </w:tc>
        <w:tc>
          <w:tcPr>
            <w:tcW w:w="1185" w:type="dxa"/>
            <w:vMerge w:val="restart"/>
            <w:vAlign w:val="center"/>
          </w:tcPr>
          <w:p w14:paraId="4A8BB85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6ED4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76" w:type="dxa"/>
            <w:vMerge w:val="continue"/>
            <w:vAlign w:val="center"/>
          </w:tcPr>
          <w:p w14:paraId="3B9863F9">
            <w:pPr>
              <w:pStyle w:val="299"/>
              <w:jc w:val="center"/>
              <w:rPr>
                <w:rFonts w:asciiTheme="minorEastAsia" w:hAnsiTheme="minorEastAsia" w:eastAsiaTheme="minorEastAsia"/>
                <w:szCs w:val="21"/>
              </w:rPr>
            </w:pPr>
          </w:p>
        </w:tc>
        <w:tc>
          <w:tcPr>
            <w:tcW w:w="638" w:type="dxa"/>
            <w:vMerge w:val="continue"/>
            <w:tcMar>
              <w:top w:w="0" w:type="dxa"/>
              <w:left w:w="108" w:type="dxa"/>
              <w:bottom w:w="0" w:type="dxa"/>
              <w:right w:w="108" w:type="dxa"/>
            </w:tcMar>
            <w:vAlign w:val="center"/>
          </w:tcPr>
          <w:p w14:paraId="0E499E1B">
            <w:pPr>
              <w:pStyle w:val="299"/>
              <w:jc w:val="center"/>
              <w:rPr>
                <w:rFonts w:asciiTheme="minorEastAsia" w:hAnsiTheme="minorEastAsia" w:eastAsiaTheme="minorEastAsia"/>
                <w:szCs w:val="21"/>
              </w:rPr>
            </w:pPr>
          </w:p>
        </w:tc>
        <w:tc>
          <w:tcPr>
            <w:tcW w:w="1194" w:type="dxa"/>
            <w:vMerge w:val="continue"/>
            <w:tcMar>
              <w:top w:w="0" w:type="dxa"/>
              <w:left w:w="108" w:type="dxa"/>
              <w:bottom w:w="0" w:type="dxa"/>
              <w:right w:w="108" w:type="dxa"/>
            </w:tcMar>
            <w:vAlign w:val="center"/>
          </w:tcPr>
          <w:p w14:paraId="3D8D6FE5">
            <w:pPr>
              <w:pStyle w:val="299"/>
              <w:jc w:val="center"/>
              <w:rPr>
                <w:rFonts w:asciiTheme="minorEastAsia" w:hAnsiTheme="minorEastAsia" w:eastAsiaTheme="minorEastAsia"/>
                <w:szCs w:val="21"/>
              </w:rPr>
            </w:pPr>
          </w:p>
        </w:tc>
        <w:tc>
          <w:tcPr>
            <w:tcW w:w="536" w:type="dxa"/>
            <w:vMerge w:val="continue"/>
            <w:vAlign w:val="center"/>
          </w:tcPr>
          <w:p w14:paraId="33D07DA4">
            <w:pPr>
              <w:pStyle w:val="299"/>
              <w:jc w:val="center"/>
              <w:rPr>
                <w:rFonts w:asciiTheme="minorEastAsia" w:hAnsiTheme="minorEastAsia" w:eastAsiaTheme="minorEastAsia"/>
                <w:szCs w:val="21"/>
              </w:rPr>
            </w:pPr>
          </w:p>
        </w:tc>
        <w:tc>
          <w:tcPr>
            <w:tcW w:w="1111" w:type="dxa"/>
            <w:vMerge w:val="continue"/>
            <w:tcMar>
              <w:top w:w="0" w:type="dxa"/>
              <w:left w:w="108" w:type="dxa"/>
              <w:bottom w:w="0" w:type="dxa"/>
              <w:right w:w="108" w:type="dxa"/>
            </w:tcMar>
            <w:vAlign w:val="center"/>
          </w:tcPr>
          <w:p w14:paraId="66F29EF5">
            <w:pPr>
              <w:jc w:val="left"/>
              <w:rPr>
                <w:rFonts w:ascii="宋体" w:hAnsi="宋体" w:cs="宋体"/>
                <w:szCs w:val="21"/>
              </w:rPr>
            </w:pPr>
          </w:p>
        </w:tc>
        <w:tc>
          <w:tcPr>
            <w:tcW w:w="606" w:type="dxa"/>
            <w:vMerge w:val="continue"/>
            <w:tcMar>
              <w:top w:w="0" w:type="dxa"/>
              <w:left w:w="108" w:type="dxa"/>
              <w:bottom w:w="0" w:type="dxa"/>
              <w:right w:w="108" w:type="dxa"/>
            </w:tcMar>
            <w:vAlign w:val="center"/>
          </w:tcPr>
          <w:p w14:paraId="5B518A50">
            <w:pPr>
              <w:pStyle w:val="299"/>
              <w:jc w:val="center"/>
              <w:rPr>
                <w:rFonts w:asciiTheme="minorEastAsia" w:hAnsiTheme="minorEastAsia" w:eastAsiaTheme="minorEastAsia"/>
                <w:szCs w:val="21"/>
              </w:rPr>
            </w:pPr>
          </w:p>
        </w:tc>
        <w:tc>
          <w:tcPr>
            <w:tcW w:w="898" w:type="dxa"/>
            <w:vMerge w:val="continue"/>
            <w:vAlign w:val="center"/>
          </w:tcPr>
          <w:p w14:paraId="25EF5E07">
            <w:pPr>
              <w:pStyle w:val="299"/>
              <w:jc w:val="center"/>
              <w:rPr>
                <w:rFonts w:asciiTheme="minorEastAsia" w:hAnsiTheme="minorEastAsia" w:eastAsiaTheme="minorEastAsia"/>
                <w:szCs w:val="21"/>
              </w:rPr>
            </w:pPr>
          </w:p>
        </w:tc>
        <w:tc>
          <w:tcPr>
            <w:tcW w:w="770" w:type="dxa"/>
            <w:vMerge w:val="continue"/>
            <w:tcMar>
              <w:top w:w="0" w:type="dxa"/>
              <w:left w:w="108" w:type="dxa"/>
              <w:bottom w:w="0" w:type="dxa"/>
              <w:right w:w="108" w:type="dxa"/>
            </w:tcMar>
            <w:vAlign w:val="center"/>
          </w:tcPr>
          <w:p w14:paraId="1A673C39">
            <w:pPr>
              <w:pStyle w:val="299"/>
              <w:jc w:val="center"/>
              <w:rPr>
                <w:rFonts w:asciiTheme="minorEastAsia" w:hAnsiTheme="minorEastAsia" w:eastAsiaTheme="minorEastAsia"/>
                <w:szCs w:val="21"/>
              </w:rPr>
            </w:pPr>
          </w:p>
        </w:tc>
        <w:tc>
          <w:tcPr>
            <w:tcW w:w="898" w:type="dxa"/>
            <w:vMerge w:val="continue"/>
            <w:vAlign w:val="center"/>
          </w:tcPr>
          <w:p w14:paraId="01555D31">
            <w:pPr>
              <w:pStyle w:val="299"/>
              <w:jc w:val="center"/>
              <w:rPr>
                <w:rFonts w:asciiTheme="minorEastAsia" w:hAnsiTheme="minorEastAsia" w:eastAsiaTheme="minorEastAsia"/>
                <w:szCs w:val="21"/>
              </w:rPr>
            </w:pPr>
          </w:p>
        </w:tc>
        <w:tc>
          <w:tcPr>
            <w:tcW w:w="898" w:type="dxa"/>
            <w:vMerge w:val="continue"/>
          </w:tcPr>
          <w:p w14:paraId="205AC3D5">
            <w:pPr>
              <w:pStyle w:val="299"/>
              <w:jc w:val="center"/>
              <w:rPr>
                <w:rFonts w:cs="宋体" w:asciiTheme="minorEastAsia" w:hAnsiTheme="minorEastAsia" w:eastAsiaTheme="minorEastAsia"/>
                <w:kern w:val="0"/>
                <w:szCs w:val="21"/>
              </w:rPr>
            </w:pPr>
          </w:p>
        </w:tc>
        <w:tc>
          <w:tcPr>
            <w:tcW w:w="642" w:type="dxa"/>
            <w:vAlign w:val="center"/>
          </w:tcPr>
          <w:p w14:paraId="07030D03">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标志（个）</w:t>
            </w:r>
          </w:p>
        </w:tc>
        <w:tc>
          <w:tcPr>
            <w:tcW w:w="642" w:type="dxa"/>
            <w:vAlign w:val="center"/>
          </w:tcPr>
          <w:p w14:paraId="1AC5B458">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标线（</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w:t>
            </w:r>
          </w:p>
        </w:tc>
        <w:tc>
          <w:tcPr>
            <w:tcW w:w="1027" w:type="dxa"/>
            <w:vAlign w:val="center"/>
          </w:tcPr>
          <w:p w14:paraId="19E4C381">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波形梁护栏</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773" w:type="dxa"/>
            <w:vAlign w:val="center"/>
          </w:tcPr>
          <w:p w14:paraId="030F18DF">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□其他</w:t>
            </w:r>
          </w:p>
        </w:tc>
        <w:tc>
          <w:tcPr>
            <w:tcW w:w="876" w:type="dxa"/>
            <w:vMerge w:val="continue"/>
          </w:tcPr>
          <w:p w14:paraId="557FAAAD">
            <w:pPr>
              <w:pStyle w:val="299"/>
              <w:jc w:val="center"/>
              <w:rPr>
                <w:rFonts w:asciiTheme="minorEastAsia" w:hAnsiTheme="minorEastAsia" w:eastAsiaTheme="minorEastAsia"/>
                <w:szCs w:val="21"/>
              </w:rPr>
            </w:pPr>
          </w:p>
        </w:tc>
        <w:tc>
          <w:tcPr>
            <w:tcW w:w="1003" w:type="dxa"/>
            <w:vMerge w:val="continue"/>
            <w:tcMar>
              <w:top w:w="0" w:type="dxa"/>
              <w:left w:w="108" w:type="dxa"/>
              <w:bottom w:w="0" w:type="dxa"/>
              <w:right w:w="108" w:type="dxa"/>
            </w:tcMar>
            <w:vAlign w:val="center"/>
          </w:tcPr>
          <w:p w14:paraId="38CBC022">
            <w:pPr>
              <w:pStyle w:val="299"/>
              <w:jc w:val="center"/>
              <w:rPr>
                <w:rFonts w:asciiTheme="minorEastAsia" w:hAnsiTheme="minorEastAsia" w:eastAsiaTheme="minorEastAsia"/>
                <w:szCs w:val="21"/>
              </w:rPr>
            </w:pPr>
          </w:p>
        </w:tc>
        <w:tc>
          <w:tcPr>
            <w:tcW w:w="1185" w:type="dxa"/>
            <w:vMerge w:val="continue"/>
            <w:vAlign w:val="center"/>
          </w:tcPr>
          <w:p w14:paraId="543D52C3">
            <w:pPr>
              <w:pStyle w:val="299"/>
              <w:jc w:val="center"/>
              <w:rPr>
                <w:rFonts w:asciiTheme="minorEastAsia" w:hAnsiTheme="minorEastAsia" w:eastAsiaTheme="minorEastAsia"/>
                <w:szCs w:val="21"/>
              </w:rPr>
            </w:pPr>
          </w:p>
        </w:tc>
      </w:tr>
      <w:tr w14:paraId="42C4A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14:paraId="010F06BF">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30A73335">
            <w:pPr>
              <w:pStyle w:val="299"/>
              <w:jc w:val="center"/>
              <w:rPr>
                <w:rFonts w:asciiTheme="minorEastAsia" w:hAnsiTheme="minorEastAsia" w:eastAsiaTheme="minorEastAsia"/>
                <w:szCs w:val="21"/>
              </w:rPr>
            </w:pPr>
          </w:p>
        </w:tc>
        <w:tc>
          <w:tcPr>
            <w:tcW w:w="1194" w:type="dxa"/>
            <w:tcMar>
              <w:top w:w="0" w:type="dxa"/>
              <w:left w:w="108" w:type="dxa"/>
              <w:bottom w:w="0" w:type="dxa"/>
              <w:right w:w="108" w:type="dxa"/>
            </w:tcMar>
            <w:vAlign w:val="center"/>
          </w:tcPr>
          <w:p w14:paraId="3C9BD642">
            <w:pPr>
              <w:pStyle w:val="299"/>
              <w:jc w:val="center"/>
              <w:rPr>
                <w:rFonts w:asciiTheme="minorEastAsia" w:hAnsiTheme="minorEastAsia" w:eastAsiaTheme="minorEastAsia"/>
                <w:szCs w:val="21"/>
              </w:rPr>
            </w:pPr>
          </w:p>
        </w:tc>
        <w:tc>
          <w:tcPr>
            <w:tcW w:w="536" w:type="dxa"/>
          </w:tcPr>
          <w:p w14:paraId="7B23407C">
            <w:pPr>
              <w:pStyle w:val="299"/>
              <w:jc w:val="center"/>
              <w:rPr>
                <w:rFonts w:asciiTheme="minorEastAsia" w:hAnsiTheme="minorEastAsia" w:eastAsiaTheme="minorEastAsia"/>
                <w:szCs w:val="21"/>
              </w:rPr>
            </w:pPr>
          </w:p>
        </w:tc>
        <w:tc>
          <w:tcPr>
            <w:tcW w:w="1111" w:type="dxa"/>
            <w:tcMar>
              <w:top w:w="0" w:type="dxa"/>
              <w:left w:w="108" w:type="dxa"/>
              <w:bottom w:w="0" w:type="dxa"/>
              <w:right w:w="108" w:type="dxa"/>
            </w:tcMar>
            <w:vAlign w:val="center"/>
          </w:tcPr>
          <w:p w14:paraId="5FFB37B8">
            <w:pPr>
              <w:widowControl/>
              <w:spacing w:line="400" w:lineRule="exact"/>
              <w:jc w:val="left"/>
              <w:rPr>
                <w:rFonts w:ascii="宋体" w:hAnsi="宋体"/>
                <w:szCs w:val="21"/>
              </w:rPr>
            </w:pPr>
            <w:r>
              <w:rPr>
                <w:rFonts w:hint="eastAsia" w:ascii="宋体" w:hAnsi="宋体"/>
                <w:szCs w:val="21"/>
              </w:rPr>
              <w:t>□新建</w:t>
            </w:r>
          </w:p>
          <w:p w14:paraId="1478BE22">
            <w:pPr>
              <w:jc w:val="left"/>
              <w:rPr>
                <w:rFonts w:ascii="宋体" w:hAnsi="宋体" w:cs="宋体"/>
                <w:szCs w:val="21"/>
              </w:rPr>
            </w:pPr>
            <w:r>
              <w:rPr>
                <w:rFonts w:hint="eastAsia" w:ascii="宋体" w:hAnsi="宋体"/>
                <w:szCs w:val="21"/>
              </w:rPr>
              <w:t>□改扩建</w:t>
            </w:r>
          </w:p>
        </w:tc>
        <w:tc>
          <w:tcPr>
            <w:tcW w:w="606" w:type="dxa"/>
            <w:tcMar>
              <w:top w:w="0" w:type="dxa"/>
              <w:left w:w="108" w:type="dxa"/>
              <w:bottom w:w="0" w:type="dxa"/>
              <w:right w:w="108" w:type="dxa"/>
            </w:tcMar>
            <w:vAlign w:val="center"/>
          </w:tcPr>
          <w:p w14:paraId="540E8DF8">
            <w:pPr>
              <w:pStyle w:val="299"/>
              <w:jc w:val="center"/>
              <w:rPr>
                <w:rFonts w:asciiTheme="minorEastAsia" w:hAnsiTheme="minorEastAsia" w:eastAsiaTheme="minorEastAsia"/>
                <w:szCs w:val="21"/>
              </w:rPr>
            </w:pPr>
          </w:p>
        </w:tc>
        <w:tc>
          <w:tcPr>
            <w:tcW w:w="898" w:type="dxa"/>
            <w:vAlign w:val="center"/>
          </w:tcPr>
          <w:p w14:paraId="357DEBF0">
            <w:pPr>
              <w:pStyle w:val="299"/>
              <w:jc w:val="center"/>
              <w:rPr>
                <w:rFonts w:asciiTheme="minorEastAsia" w:hAnsiTheme="minorEastAsia" w:eastAsiaTheme="minorEastAsia"/>
                <w:szCs w:val="21"/>
              </w:rPr>
            </w:pPr>
          </w:p>
        </w:tc>
        <w:tc>
          <w:tcPr>
            <w:tcW w:w="770" w:type="dxa"/>
            <w:tcMar>
              <w:top w:w="0" w:type="dxa"/>
              <w:left w:w="108" w:type="dxa"/>
              <w:bottom w:w="0" w:type="dxa"/>
              <w:right w:w="108" w:type="dxa"/>
            </w:tcMar>
            <w:vAlign w:val="center"/>
          </w:tcPr>
          <w:p w14:paraId="38CCCA9D">
            <w:pPr>
              <w:pStyle w:val="299"/>
              <w:jc w:val="center"/>
              <w:rPr>
                <w:rFonts w:asciiTheme="minorEastAsia" w:hAnsiTheme="minorEastAsia" w:eastAsiaTheme="minorEastAsia"/>
                <w:szCs w:val="21"/>
              </w:rPr>
            </w:pPr>
          </w:p>
        </w:tc>
        <w:tc>
          <w:tcPr>
            <w:tcW w:w="898" w:type="dxa"/>
            <w:vAlign w:val="center"/>
          </w:tcPr>
          <w:p w14:paraId="04C98C9F">
            <w:pPr>
              <w:pStyle w:val="299"/>
              <w:jc w:val="center"/>
              <w:rPr>
                <w:rFonts w:asciiTheme="minorEastAsia" w:hAnsiTheme="minorEastAsia" w:eastAsiaTheme="minorEastAsia"/>
                <w:szCs w:val="21"/>
              </w:rPr>
            </w:pPr>
          </w:p>
        </w:tc>
        <w:tc>
          <w:tcPr>
            <w:tcW w:w="898" w:type="dxa"/>
            <w:vAlign w:val="center"/>
          </w:tcPr>
          <w:p w14:paraId="5CD36AD3">
            <w:pPr>
              <w:pStyle w:val="299"/>
              <w:jc w:val="center"/>
              <w:rPr>
                <w:rFonts w:asciiTheme="minorEastAsia" w:hAnsiTheme="minorEastAsia" w:eastAsiaTheme="minorEastAsia"/>
                <w:szCs w:val="21"/>
              </w:rPr>
            </w:pPr>
          </w:p>
        </w:tc>
        <w:tc>
          <w:tcPr>
            <w:tcW w:w="642" w:type="dxa"/>
            <w:vAlign w:val="center"/>
          </w:tcPr>
          <w:p w14:paraId="0D3FAEDD">
            <w:pPr>
              <w:pStyle w:val="299"/>
              <w:jc w:val="center"/>
              <w:rPr>
                <w:rFonts w:asciiTheme="minorEastAsia" w:hAnsiTheme="minorEastAsia" w:eastAsiaTheme="minorEastAsia"/>
                <w:szCs w:val="21"/>
              </w:rPr>
            </w:pPr>
          </w:p>
        </w:tc>
        <w:tc>
          <w:tcPr>
            <w:tcW w:w="642" w:type="dxa"/>
            <w:vAlign w:val="center"/>
          </w:tcPr>
          <w:p w14:paraId="1C65E5EB">
            <w:pPr>
              <w:pStyle w:val="299"/>
              <w:jc w:val="center"/>
              <w:rPr>
                <w:rFonts w:asciiTheme="minorEastAsia" w:hAnsiTheme="minorEastAsia" w:eastAsiaTheme="minorEastAsia"/>
                <w:szCs w:val="21"/>
              </w:rPr>
            </w:pPr>
          </w:p>
        </w:tc>
        <w:tc>
          <w:tcPr>
            <w:tcW w:w="1027" w:type="dxa"/>
            <w:vAlign w:val="center"/>
          </w:tcPr>
          <w:p w14:paraId="625D0AB3">
            <w:pPr>
              <w:pStyle w:val="299"/>
              <w:jc w:val="center"/>
              <w:rPr>
                <w:rFonts w:asciiTheme="minorEastAsia" w:hAnsiTheme="minorEastAsia" w:eastAsiaTheme="minorEastAsia"/>
                <w:szCs w:val="21"/>
              </w:rPr>
            </w:pPr>
          </w:p>
        </w:tc>
        <w:tc>
          <w:tcPr>
            <w:tcW w:w="773" w:type="dxa"/>
            <w:vAlign w:val="center"/>
          </w:tcPr>
          <w:p w14:paraId="4AAC2A43">
            <w:pPr>
              <w:pStyle w:val="299"/>
              <w:jc w:val="center"/>
              <w:rPr>
                <w:rFonts w:asciiTheme="minorEastAsia" w:hAnsiTheme="minorEastAsia" w:eastAsiaTheme="minorEastAsia"/>
                <w:szCs w:val="21"/>
              </w:rPr>
            </w:pPr>
          </w:p>
        </w:tc>
        <w:tc>
          <w:tcPr>
            <w:tcW w:w="876" w:type="dxa"/>
            <w:vAlign w:val="center"/>
          </w:tcPr>
          <w:p w14:paraId="4FA049CD">
            <w:pPr>
              <w:pStyle w:val="299"/>
              <w:jc w:val="center"/>
              <w:rPr>
                <w:rFonts w:asciiTheme="minorEastAsia" w:hAnsiTheme="minorEastAsia" w:eastAsiaTheme="minorEastAsia"/>
                <w:szCs w:val="21"/>
              </w:rPr>
            </w:pPr>
          </w:p>
        </w:tc>
        <w:tc>
          <w:tcPr>
            <w:tcW w:w="1003" w:type="dxa"/>
            <w:tcMar>
              <w:top w:w="0" w:type="dxa"/>
              <w:left w:w="108" w:type="dxa"/>
              <w:bottom w:w="0" w:type="dxa"/>
              <w:right w:w="108" w:type="dxa"/>
            </w:tcMar>
            <w:vAlign w:val="center"/>
          </w:tcPr>
          <w:p w14:paraId="2320C253">
            <w:pPr>
              <w:pStyle w:val="299"/>
              <w:jc w:val="center"/>
              <w:rPr>
                <w:rFonts w:asciiTheme="minorEastAsia" w:hAnsiTheme="minorEastAsia" w:eastAsiaTheme="minorEastAsia"/>
                <w:szCs w:val="21"/>
              </w:rPr>
            </w:pPr>
          </w:p>
        </w:tc>
        <w:tc>
          <w:tcPr>
            <w:tcW w:w="1185" w:type="dxa"/>
            <w:vAlign w:val="center"/>
          </w:tcPr>
          <w:p w14:paraId="5B6238D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asciiTheme="minorEastAsia" w:hAnsiTheme="minorEastAsia" w:eastAsiaTheme="minorEastAsia"/>
                <w:szCs w:val="21"/>
              </w:rPr>
              <w:t>5.1</w:t>
            </w:r>
          </w:p>
        </w:tc>
      </w:tr>
      <w:tr w14:paraId="79BE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14:paraId="1D1E03F7">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0454DF84">
            <w:pPr>
              <w:pStyle w:val="299"/>
              <w:jc w:val="center"/>
              <w:rPr>
                <w:rFonts w:asciiTheme="minorEastAsia" w:hAnsiTheme="minorEastAsia" w:eastAsiaTheme="minorEastAsia"/>
                <w:szCs w:val="21"/>
              </w:rPr>
            </w:pPr>
          </w:p>
        </w:tc>
        <w:tc>
          <w:tcPr>
            <w:tcW w:w="1194" w:type="dxa"/>
            <w:tcMar>
              <w:top w:w="0" w:type="dxa"/>
              <w:left w:w="108" w:type="dxa"/>
              <w:bottom w:w="0" w:type="dxa"/>
              <w:right w:w="108" w:type="dxa"/>
            </w:tcMar>
            <w:vAlign w:val="center"/>
          </w:tcPr>
          <w:p w14:paraId="1C38F16B">
            <w:pPr>
              <w:pStyle w:val="299"/>
              <w:jc w:val="center"/>
              <w:rPr>
                <w:rFonts w:asciiTheme="minorEastAsia" w:hAnsiTheme="minorEastAsia" w:eastAsiaTheme="minorEastAsia"/>
                <w:szCs w:val="21"/>
              </w:rPr>
            </w:pPr>
          </w:p>
        </w:tc>
        <w:tc>
          <w:tcPr>
            <w:tcW w:w="536" w:type="dxa"/>
          </w:tcPr>
          <w:p w14:paraId="338A6AED">
            <w:pPr>
              <w:pStyle w:val="299"/>
              <w:jc w:val="center"/>
              <w:rPr>
                <w:rFonts w:asciiTheme="minorEastAsia" w:hAnsiTheme="minorEastAsia" w:eastAsiaTheme="minorEastAsia"/>
                <w:szCs w:val="21"/>
              </w:rPr>
            </w:pPr>
          </w:p>
        </w:tc>
        <w:tc>
          <w:tcPr>
            <w:tcW w:w="1111" w:type="dxa"/>
            <w:tcMar>
              <w:top w:w="0" w:type="dxa"/>
              <w:left w:w="108" w:type="dxa"/>
              <w:bottom w:w="0" w:type="dxa"/>
              <w:right w:w="108" w:type="dxa"/>
            </w:tcMar>
            <w:vAlign w:val="center"/>
          </w:tcPr>
          <w:p w14:paraId="63911F54">
            <w:pPr>
              <w:widowControl/>
              <w:spacing w:line="400" w:lineRule="exact"/>
              <w:jc w:val="left"/>
              <w:rPr>
                <w:rFonts w:ascii="宋体" w:hAnsi="宋体"/>
                <w:szCs w:val="21"/>
              </w:rPr>
            </w:pPr>
            <w:r>
              <w:rPr>
                <w:rFonts w:hint="eastAsia" w:ascii="宋体" w:hAnsi="宋体"/>
                <w:szCs w:val="21"/>
              </w:rPr>
              <w:t>□新建</w:t>
            </w:r>
          </w:p>
          <w:p w14:paraId="3AC6DC8F">
            <w:pPr>
              <w:jc w:val="left"/>
              <w:rPr>
                <w:rFonts w:ascii="宋体" w:hAnsi="宋体" w:cs="宋体"/>
                <w:szCs w:val="21"/>
              </w:rPr>
            </w:pPr>
            <w:r>
              <w:rPr>
                <w:rFonts w:hint="eastAsia" w:ascii="宋体" w:hAnsi="宋体"/>
                <w:szCs w:val="21"/>
              </w:rPr>
              <w:t>□改扩建</w:t>
            </w:r>
          </w:p>
        </w:tc>
        <w:tc>
          <w:tcPr>
            <w:tcW w:w="606" w:type="dxa"/>
            <w:tcMar>
              <w:top w:w="0" w:type="dxa"/>
              <w:left w:w="108" w:type="dxa"/>
              <w:bottom w:w="0" w:type="dxa"/>
              <w:right w:w="108" w:type="dxa"/>
            </w:tcMar>
            <w:vAlign w:val="center"/>
          </w:tcPr>
          <w:p w14:paraId="5D267459">
            <w:pPr>
              <w:pStyle w:val="299"/>
              <w:jc w:val="center"/>
              <w:rPr>
                <w:rFonts w:asciiTheme="minorEastAsia" w:hAnsiTheme="minorEastAsia" w:eastAsiaTheme="minorEastAsia"/>
                <w:szCs w:val="21"/>
              </w:rPr>
            </w:pPr>
          </w:p>
        </w:tc>
        <w:tc>
          <w:tcPr>
            <w:tcW w:w="898" w:type="dxa"/>
            <w:vAlign w:val="center"/>
          </w:tcPr>
          <w:p w14:paraId="64BE1315">
            <w:pPr>
              <w:pStyle w:val="299"/>
              <w:jc w:val="center"/>
              <w:rPr>
                <w:rFonts w:asciiTheme="minorEastAsia" w:hAnsiTheme="minorEastAsia" w:eastAsiaTheme="minorEastAsia"/>
                <w:szCs w:val="21"/>
              </w:rPr>
            </w:pPr>
          </w:p>
        </w:tc>
        <w:tc>
          <w:tcPr>
            <w:tcW w:w="770" w:type="dxa"/>
            <w:tcMar>
              <w:top w:w="0" w:type="dxa"/>
              <w:left w:w="108" w:type="dxa"/>
              <w:bottom w:w="0" w:type="dxa"/>
              <w:right w:w="108" w:type="dxa"/>
            </w:tcMar>
            <w:vAlign w:val="center"/>
          </w:tcPr>
          <w:p w14:paraId="001B34AC">
            <w:pPr>
              <w:pStyle w:val="299"/>
              <w:jc w:val="center"/>
              <w:rPr>
                <w:rFonts w:asciiTheme="minorEastAsia" w:hAnsiTheme="minorEastAsia" w:eastAsiaTheme="minorEastAsia"/>
                <w:szCs w:val="21"/>
              </w:rPr>
            </w:pPr>
          </w:p>
        </w:tc>
        <w:tc>
          <w:tcPr>
            <w:tcW w:w="898" w:type="dxa"/>
            <w:vAlign w:val="center"/>
          </w:tcPr>
          <w:p w14:paraId="69DF4782">
            <w:pPr>
              <w:pStyle w:val="299"/>
              <w:jc w:val="center"/>
              <w:rPr>
                <w:rFonts w:asciiTheme="minorEastAsia" w:hAnsiTheme="minorEastAsia" w:eastAsiaTheme="minorEastAsia"/>
                <w:szCs w:val="21"/>
              </w:rPr>
            </w:pPr>
          </w:p>
        </w:tc>
        <w:tc>
          <w:tcPr>
            <w:tcW w:w="898" w:type="dxa"/>
            <w:vAlign w:val="center"/>
          </w:tcPr>
          <w:p w14:paraId="2C138543">
            <w:pPr>
              <w:pStyle w:val="299"/>
              <w:jc w:val="center"/>
              <w:rPr>
                <w:rFonts w:asciiTheme="minorEastAsia" w:hAnsiTheme="minorEastAsia" w:eastAsiaTheme="minorEastAsia"/>
                <w:szCs w:val="21"/>
              </w:rPr>
            </w:pPr>
          </w:p>
        </w:tc>
        <w:tc>
          <w:tcPr>
            <w:tcW w:w="642" w:type="dxa"/>
            <w:vAlign w:val="center"/>
          </w:tcPr>
          <w:p w14:paraId="6C1E7C09">
            <w:pPr>
              <w:pStyle w:val="299"/>
              <w:jc w:val="center"/>
              <w:rPr>
                <w:rFonts w:asciiTheme="minorEastAsia" w:hAnsiTheme="minorEastAsia" w:eastAsiaTheme="minorEastAsia"/>
                <w:szCs w:val="21"/>
              </w:rPr>
            </w:pPr>
          </w:p>
        </w:tc>
        <w:tc>
          <w:tcPr>
            <w:tcW w:w="642" w:type="dxa"/>
            <w:vAlign w:val="center"/>
          </w:tcPr>
          <w:p w14:paraId="72436FD5">
            <w:pPr>
              <w:pStyle w:val="299"/>
              <w:jc w:val="center"/>
              <w:rPr>
                <w:rFonts w:asciiTheme="minorEastAsia" w:hAnsiTheme="minorEastAsia" w:eastAsiaTheme="minorEastAsia"/>
                <w:szCs w:val="21"/>
              </w:rPr>
            </w:pPr>
          </w:p>
        </w:tc>
        <w:tc>
          <w:tcPr>
            <w:tcW w:w="1027" w:type="dxa"/>
            <w:vAlign w:val="center"/>
          </w:tcPr>
          <w:p w14:paraId="23DBF033">
            <w:pPr>
              <w:pStyle w:val="299"/>
              <w:jc w:val="center"/>
              <w:rPr>
                <w:rFonts w:asciiTheme="minorEastAsia" w:hAnsiTheme="minorEastAsia" w:eastAsiaTheme="minorEastAsia"/>
                <w:szCs w:val="21"/>
              </w:rPr>
            </w:pPr>
          </w:p>
        </w:tc>
        <w:tc>
          <w:tcPr>
            <w:tcW w:w="773" w:type="dxa"/>
            <w:vAlign w:val="center"/>
          </w:tcPr>
          <w:p w14:paraId="7BCBAD4B">
            <w:pPr>
              <w:pStyle w:val="299"/>
              <w:jc w:val="center"/>
              <w:rPr>
                <w:rFonts w:asciiTheme="minorEastAsia" w:hAnsiTheme="minorEastAsia" w:eastAsiaTheme="minorEastAsia"/>
                <w:szCs w:val="21"/>
              </w:rPr>
            </w:pPr>
          </w:p>
        </w:tc>
        <w:tc>
          <w:tcPr>
            <w:tcW w:w="876" w:type="dxa"/>
            <w:vAlign w:val="center"/>
          </w:tcPr>
          <w:p w14:paraId="0EE504F3">
            <w:pPr>
              <w:pStyle w:val="299"/>
              <w:jc w:val="center"/>
              <w:rPr>
                <w:rFonts w:asciiTheme="minorEastAsia" w:hAnsiTheme="minorEastAsia" w:eastAsiaTheme="minorEastAsia"/>
                <w:szCs w:val="21"/>
              </w:rPr>
            </w:pPr>
          </w:p>
        </w:tc>
        <w:tc>
          <w:tcPr>
            <w:tcW w:w="1003" w:type="dxa"/>
            <w:tcMar>
              <w:top w:w="0" w:type="dxa"/>
              <w:left w:w="108" w:type="dxa"/>
              <w:bottom w:w="0" w:type="dxa"/>
              <w:right w:w="108" w:type="dxa"/>
            </w:tcMar>
            <w:vAlign w:val="center"/>
          </w:tcPr>
          <w:p w14:paraId="1AEE0170">
            <w:pPr>
              <w:pStyle w:val="299"/>
              <w:jc w:val="center"/>
              <w:rPr>
                <w:rFonts w:asciiTheme="minorEastAsia" w:hAnsiTheme="minorEastAsia" w:eastAsiaTheme="minorEastAsia"/>
                <w:szCs w:val="21"/>
              </w:rPr>
            </w:pPr>
          </w:p>
        </w:tc>
        <w:tc>
          <w:tcPr>
            <w:tcW w:w="1185" w:type="dxa"/>
            <w:vAlign w:val="center"/>
          </w:tcPr>
          <w:p w14:paraId="5A4D125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asciiTheme="minorEastAsia" w:hAnsiTheme="minorEastAsia" w:eastAsiaTheme="minorEastAsia"/>
                <w:szCs w:val="21"/>
              </w:rPr>
              <w:t>5.2</w:t>
            </w:r>
          </w:p>
        </w:tc>
      </w:tr>
      <w:tr w14:paraId="5BE5E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 w:type="dxa"/>
            <w:vAlign w:val="center"/>
          </w:tcPr>
          <w:p w14:paraId="2A59EDD1">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2B95AEF3">
            <w:pPr>
              <w:pStyle w:val="299"/>
              <w:jc w:val="center"/>
              <w:rPr>
                <w:rFonts w:asciiTheme="minorEastAsia" w:hAnsiTheme="minorEastAsia" w:eastAsiaTheme="minorEastAsia"/>
                <w:szCs w:val="21"/>
              </w:rPr>
            </w:pPr>
          </w:p>
        </w:tc>
        <w:tc>
          <w:tcPr>
            <w:tcW w:w="1194" w:type="dxa"/>
            <w:tcMar>
              <w:top w:w="0" w:type="dxa"/>
              <w:left w:w="108" w:type="dxa"/>
              <w:bottom w:w="0" w:type="dxa"/>
              <w:right w:w="108" w:type="dxa"/>
            </w:tcMar>
            <w:vAlign w:val="center"/>
          </w:tcPr>
          <w:p w14:paraId="6997E795">
            <w:pPr>
              <w:pStyle w:val="299"/>
              <w:jc w:val="center"/>
              <w:rPr>
                <w:rFonts w:asciiTheme="minorEastAsia" w:hAnsiTheme="minorEastAsia" w:eastAsiaTheme="minorEastAsia"/>
                <w:szCs w:val="21"/>
              </w:rPr>
            </w:pPr>
          </w:p>
        </w:tc>
        <w:tc>
          <w:tcPr>
            <w:tcW w:w="536" w:type="dxa"/>
          </w:tcPr>
          <w:p w14:paraId="217AEC13">
            <w:pPr>
              <w:pStyle w:val="299"/>
              <w:jc w:val="center"/>
              <w:rPr>
                <w:rFonts w:asciiTheme="minorEastAsia" w:hAnsiTheme="minorEastAsia" w:eastAsiaTheme="minorEastAsia"/>
                <w:szCs w:val="21"/>
              </w:rPr>
            </w:pPr>
          </w:p>
        </w:tc>
        <w:tc>
          <w:tcPr>
            <w:tcW w:w="1111" w:type="dxa"/>
            <w:tcMar>
              <w:top w:w="0" w:type="dxa"/>
              <w:left w:w="108" w:type="dxa"/>
              <w:bottom w:w="0" w:type="dxa"/>
              <w:right w:w="108" w:type="dxa"/>
            </w:tcMar>
            <w:vAlign w:val="center"/>
          </w:tcPr>
          <w:p w14:paraId="71917F62">
            <w:pPr>
              <w:widowControl/>
              <w:spacing w:line="400" w:lineRule="exact"/>
              <w:jc w:val="left"/>
              <w:rPr>
                <w:rFonts w:ascii="宋体" w:hAnsi="宋体"/>
                <w:szCs w:val="21"/>
              </w:rPr>
            </w:pPr>
            <w:r>
              <w:rPr>
                <w:rFonts w:hint="eastAsia" w:ascii="宋体" w:hAnsi="宋体"/>
                <w:szCs w:val="21"/>
              </w:rPr>
              <w:t>□新建</w:t>
            </w:r>
          </w:p>
          <w:p w14:paraId="530BBF81">
            <w:pPr>
              <w:jc w:val="left"/>
              <w:rPr>
                <w:rFonts w:ascii="宋体" w:hAnsi="宋体" w:cs="宋体"/>
                <w:szCs w:val="21"/>
              </w:rPr>
            </w:pPr>
            <w:r>
              <w:rPr>
                <w:rFonts w:hint="eastAsia" w:ascii="宋体" w:hAnsi="宋体"/>
                <w:szCs w:val="21"/>
              </w:rPr>
              <w:t>□改扩建</w:t>
            </w:r>
          </w:p>
        </w:tc>
        <w:tc>
          <w:tcPr>
            <w:tcW w:w="606" w:type="dxa"/>
            <w:tcMar>
              <w:top w:w="0" w:type="dxa"/>
              <w:left w:w="108" w:type="dxa"/>
              <w:bottom w:w="0" w:type="dxa"/>
              <w:right w:w="108" w:type="dxa"/>
            </w:tcMar>
            <w:vAlign w:val="center"/>
          </w:tcPr>
          <w:p w14:paraId="24A97BF2">
            <w:pPr>
              <w:pStyle w:val="299"/>
              <w:jc w:val="center"/>
              <w:rPr>
                <w:rFonts w:asciiTheme="minorEastAsia" w:hAnsiTheme="minorEastAsia" w:eastAsiaTheme="minorEastAsia"/>
                <w:szCs w:val="21"/>
              </w:rPr>
            </w:pPr>
          </w:p>
        </w:tc>
        <w:tc>
          <w:tcPr>
            <w:tcW w:w="898" w:type="dxa"/>
            <w:vAlign w:val="center"/>
          </w:tcPr>
          <w:p w14:paraId="1FFC39C3">
            <w:pPr>
              <w:pStyle w:val="299"/>
              <w:jc w:val="center"/>
              <w:rPr>
                <w:rFonts w:asciiTheme="minorEastAsia" w:hAnsiTheme="minorEastAsia" w:eastAsiaTheme="minorEastAsia"/>
                <w:szCs w:val="21"/>
              </w:rPr>
            </w:pPr>
          </w:p>
        </w:tc>
        <w:tc>
          <w:tcPr>
            <w:tcW w:w="770" w:type="dxa"/>
            <w:tcMar>
              <w:top w:w="0" w:type="dxa"/>
              <w:left w:w="108" w:type="dxa"/>
              <w:bottom w:w="0" w:type="dxa"/>
              <w:right w:w="108" w:type="dxa"/>
            </w:tcMar>
            <w:vAlign w:val="center"/>
          </w:tcPr>
          <w:p w14:paraId="65334C97">
            <w:pPr>
              <w:pStyle w:val="299"/>
              <w:jc w:val="center"/>
              <w:rPr>
                <w:rFonts w:asciiTheme="minorEastAsia" w:hAnsiTheme="minorEastAsia" w:eastAsiaTheme="minorEastAsia"/>
                <w:szCs w:val="21"/>
              </w:rPr>
            </w:pPr>
          </w:p>
        </w:tc>
        <w:tc>
          <w:tcPr>
            <w:tcW w:w="898" w:type="dxa"/>
            <w:vAlign w:val="center"/>
          </w:tcPr>
          <w:p w14:paraId="782A926E">
            <w:pPr>
              <w:pStyle w:val="299"/>
              <w:jc w:val="center"/>
              <w:rPr>
                <w:rFonts w:asciiTheme="minorEastAsia" w:hAnsiTheme="minorEastAsia" w:eastAsiaTheme="minorEastAsia"/>
                <w:szCs w:val="21"/>
              </w:rPr>
            </w:pPr>
          </w:p>
        </w:tc>
        <w:tc>
          <w:tcPr>
            <w:tcW w:w="898" w:type="dxa"/>
            <w:vAlign w:val="center"/>
          </w:tcPr>
          <w:p w14:paraId="2AB23BAB">
            <w:pPr>
              <w:pStyle w:val="299"/>
              <w:jc w:val="center"/>
              <w:rPr>
                <w:rFonts w:asciiTheme="minorEastAsia" w:hAnsiTheme="minorEastAsia" w:eastAsiaTheme="minorEastAsia"/>
                <w:szCs w:val="21"/>
              </w:rPr>
            </w:pPr>
          </w:p>
        </w:tc>
        <w:tc>
          <w:tcPr>
            <w:tcW w:w="642" w:type="dxa"/>
            <w:vAlign w:val="center"/>
          </w:tcPr>
          <w:p w14:paraId="11FCD649">
            <w:pPr>
              <w:pStyle w:val="299"/>
              <w:jc w:val="center"/>
              <w:rPr>
                <w:rFonts w:asciiTheme="minorEastAsia" w:hAnsiTheme="minorEastAsia" w:eastAsiaTheme="minorEastAsia"/>
                <w:szCs w:val="21"/>
              </w:rPr>
            </w:pPr>
          </w:p>
        </w:tc>
        <w:tc>
          <w:tcPr>
            <w:tcW w:w="642" w:type="dxa"/>
            <w:vAlign w:val="center"/>
          </w:tcPr>
          <w:p w14:paraId="53C37E00">
            <w:pPr>
              <w:pStyle w:val="299"/>
              <w:jc w:val="center"/>
              <w:rPr>
                <w:rFonts w:asciiTheme="minorEastAsia" w:hAnsiTheme="minorEastAsia" w:eastAsiaTheme="minorEastAsia"/>
                <w:szCs w:val="21"/>
              </w:rPr>
            </w:pPr>
          </w:p>
        </w:tc>
        <w:tc>
          <w:tcPr>
            <w:tcW w:w="1027" w:type="dxa"/>
            <w:vAlign w:val="center"/>
          </w:tcPr>
          <w:p w14:paraId="1802960E">
            <w:pPr>
              <w:pStyle w:val="299"/>
              <w:jc w:val="center"/>
              <w:rPr>
                <w:rFonts w:asciiTheme="minorEastAsia" w:hAnsiTheme="minorEastAsia" w:eastAsiaTheme="minorEastAsia"/>
                <w:szCs w:val="21"/>
              </w:rPr>
            </w:pPr>
          </w:p>
        </w:tc>
        <w:tc>
          <w:tcPr>
            <w:tcW w:w="773" w:type="dxa"/>
            <w:vAlign w:val="center"/>
          </w:tcPr>
          <w:p w14:paraId="279072B2">
            <w:pPr>
              <w:pStyle w:val="299"/>
              <w:jc w:val="center"/>
              <w:rPr>
                <w:rFonts w:asciiTheme="minorEastAsia" w:hAnsiTheme="minorEastAsia" w:eastAsiaTheme="minorEastAsia"/>
                <w:szCs w:val="21"/>
              </w:rPr>
            </w:pPr>
          </w:p>
        </w:tc>
        <w:tc>
          <w:tcPr>
            <w:tcW w:w="876" w:type="dxa"/>
            <w:vAlign w:val="center"/>
          </w:tcPr>
          <w:p w14:paraId="033FE287">
            <w:pPr>
              <w:pStyle w:val="299"/>
              <w:jc w:val="center"/>
              <w:rPr>
                <w:rFonts w:asciiTheme="minorEastAsia" w:hAnsiTheme="minorEastAsia" w:eastAsiaTheme="minorEastAsia"/>
                <w:szCs w:val="21"/>
              </w:rPr>
            </w:pPr>
          </w:p>
        </w:tc>
        <w:tc>
          <w:tcPr>
            <w:tcW w:w="1003" w:type="dxa"/>
            <w:tcMar>
              <w:top w:w="0" w:type="dxa"/>
              <w:left w:w="108" w:type="dxa"/>
              <w:bottom w:w="0" w:type="dxa"/>
              <w:right w:w="108" w:type="dxa"/>
            </w:tcMar>
            <w:vAlign w:val="center"/>
          </w:tcPr>
          <w:p w14:paraId="17928C45">
            <w:pPr>
              <w:pStyle w:val="299"/>
              <w:jc w:val="center"/>
              <w:rPr>
                <w:rFonts w:asciiTheme="minorEastAsia" w:hAnsiTheme="minorEastAsia" w:eastAsiaTheme="minorEastAsia"/>
                <w:szCs w:val="21"/>
              </w:rPr>
            </w:pPr>
          </w:p>
        </w:tc>
        <w:tc>
          <w:tcPr>
            <w:tcW w:w="1185" w:type="dxa"/>
            <w:vAlign w:val="center"/>
          </w:tcPr>
          <w:p w14:paraId="1864E398">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asciiTheme="minorEastAsia" w:hAnsiTheme="minorEastAsia" w:eastAsiaTheme="minorEastAsia"/>
                <w:szCs w:val="21"/>
              </w:rPr>
              <w:t>5.3</w:t>
            </w:r>
          </w:p>
        </w:tc>
      </w:tr>
      <w:tr w14:paraId="2FA50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76" w:type="dxa"/>
            <w:vAlign w:val="center"/>
          </w:tcPr>
          <w:p w14:paraId="1508BFE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38" w:type="dxa"/>
            <w:tcMar>
              <w:top w:w="0" w:type="dxa"/>
              <w:left w:w="108" w:type="dxa"/>
              <w:bottom w:w="0" w:type="dxa"/>
              <w:right w:w="108" w:type="dxa"/>
            </w:tcMar>
            <w:vAlign w:val="center"/>
          </w:tcPr>
          <w:p w14:paraId="0E7D546E">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94" w:type="dxa"/>
            <w:tcMar>
              <w:top w:w="0" w:type="dxa"/>
              <w:left w:w="108" w:type="dxa"/>
              <w:bottom w:w="0" w:type="dxa"/>
              <w:right w:w="108" w:type="dxa"/>
            </w:tcMar>
            <w:vAlign w:val="center"/>
          </w:tcPr>
          <w:p w14:paraId="460BD26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536" w:type="dxa"/>
            <w:vAlign w:val="center"/>
          </w:tcPr>
          <w:p w14:paraId="2F57B9E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11" w:type="dxa"/>
            <w:tcMar>
              <w:top w:w="0" w:type="dxa"/>
              <w:left w:w="108" w:type="dxa"/>
              <w:bottom w:w="0" w:type="dxa"/>
              <w:right w:w="108" w:type="dxa"/>
            </w:tcMar>
            <w:vAlign w:val="center"/>
          </w:tcPr>
          <w:p w14:paraId="32D61E46">
            <w:pPr>
              <w:jc w:val="center"/>
              <w:rPr>
                <w:rFonts w:ascii="宋体" w:hAnsi="宋体" w:cs="宋体"/>
                <w:kern w:val="0"/>
                <w:szCs w:val="21"/>
              </w:rPr>
            </w:pPr>
            <w:r>
              <w:rPr>
                <w:rFonts w:hint="eastAsia" w:ascii="宋体" w:hAnsi="宋体" w:cs="宋体"/>
                <w:kern w:val="0"/>
                <w:szCs w:val="21"/>
              </w:rPr>
              <w:t>…</w:t>
            </w:r>
          </w:p>
        </w:tc>
        <w:tc>
          <w:tcPr>
            <w:tcW w:w="606" w:type="dxa"/>
            <w:tcMar>
              <w:top w:w="0" w:type="dxa"/>
              <w:left w:w="108" w:type="dxa"/>
              <w:bottom w:w="0" w:type="dxa"/>
              <w:right w:w="108" w:type="dxa"/>
            </w:tcMar>
            <w:vAlign w:val="center"/>
          </w:tcPr>
          <w:p w14:paraId="7724BEED">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98" w:type="dxa"/>
            <w:vAlign w:val="center"/>
          </w:tcPr>
          <w:p w14:paraId="158AAEEC">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770" w:type="dxa"/>
            <w:tcMar>
              <w:top w:w="0" w:type="dxa"/>
              <w:left w:w="108" w:type="dxa"/>
              <w:bottom w:w="0" w:type="dxa"/>
              <w:right w:w="108" w:type="dxa"/>
            </w:tcMar>
            <w:vAlign w:val="center"/>
          </w:tcPr>
          <w:p w14:paraId="2CDE0412">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98" w:type="dxa"/>
            <w:vAlign w:val="center"/>
          </w:tcPr>
          <w:p w14:paraId="663CF42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98" w:type="dxa"/>
            <w:vAlign w:val="center"/>
          </w:tcPr>
          <w:p w14:paraId="0CDA1E0D">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642" w:type="dxa"/>
            <w:vAlign w:val="center"/>
          </w:tcPr>
          <w:p w14:paraId="622FA9E4">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642" w:type="dxa"/>
            <w:vAlign w:val="center"/>
          </w:tcPr>
          <w:p w14:paraId="017F08A8">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027" w:type="dxa"/>
            <w:vAlign w:val="center"/>
          </w:tcPr>
          <w:p w14:paraId="60C57F51">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773" w:type="dxa"/>
            <w:vAlign w:val="center"/>
          </w:tcPr>
          <w:p w14:paraId="5F8B03B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876" w:type="dxa"/>
            <w:vAlign w:val="center"/>
          </w:tcPr>
          <w:p w14:paraId="737EFAC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003" w:type="dxa"/>
            <w:tcMar>
              <w:top w:w="0" w:type="dxa"/>
              <w:left w:w="108" w:type="dxa"/>
              <w:bottom w:w="0" w:type="dxa"/>
              <w:right w:w="108" w:type="dxa"/>
            </w:tcMar>
            <w:vAlign w:val="center"/>
          </w:tcPr>
          <w:p w14:paraId="52EB7FF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85" w:type="dxa"/>
            <w:vAlign w:val="center"/>
          </w:tcPr>
          <w:p w14:paraId="18E5CDC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6EB528E6">
      <w:pPr>
        <w:pStyle w:val="299"/>
        <w:spacing w:line="300" w:lineRule="exact"/>
        <w:ind w:left="0" w:firstLine="0" w:firstLineChars="0"/>
        <w:rPr>
          <w:rFonts w:ascii="宋体" w:hAnsi="宋体" w:cs="宋体"/>
          <w:spacing w:val="-3"/>
        </w:rPr>
      </w:pPr>
      <w:r>
        <w:rPr>
          <w:rFonts w:hint="eastAsia" w:ascii="宋体" w:hAnsi="宋体" w:cs="宋体"/>
        </w:rPr>
        <w:t>注：</w:t>
      </w:r>
      <w:r>
        <w:rPr>
          <w:rFonts w:ascii="宋体" w:hAnsi="宋体" w:cs="宋体"/>
        </w:rPr>
        <w:t>1.投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w:t>
      </w:r>
      <w:r>
        <w:rPr>
          <w:rFonts w:hint="eastAsia" w:cs="宋体" w:asciiTheme="minorEastAsia" w:hAnsiTheme="minorEastAsia" w:eastAsiaTheme="minorEastAsia"/>
          <w:szCs w:val="21"/>
          <w:lang w:val="en-US" w:eastAsia="zh-CN"/>
        </w:rPr>
        <w:t>2-</w:t>
      </w:r>
      <w:r>
        <w:rPr>
          <w:rFonts w:ascii="宋体" w:hAnsi="宋体" w:cs="宋体"/>
        </w:rPr>
        <w:t>5</w:t>
      </w:r>
      <w:r>
        <w:rPr>
          <w:rFonts w:hint="eastAsia" w:ascii="宋体" w:hAnsi="宋体" w:cs="宋体"/>
        </w:rPr>
        <w:t>系列（交通安全设施工程施工项目业绩）</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00337507">
      <w:pPr>
        <w:spacing w:line="300" w:lineRule="exact"/>
        <w:ind w:firstLine="408" w:firstLineChars="200"/>
        <w:rPr>
          <w:rFonts w:ascii="宋体" w:hAnsi="宋体" w:cs="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ascii="宋体" w:hAnsi="宋体" w:cs="宋体"/>
        </w:rPr>
        <w:t xml:space="preserve"> </w:t>
      </w:r>
    </w:p>
    <w:p w14:paraId="2653CA0F">
      <w:pPr>
        <w:pStyle w:val="299"/>
        <w:spacing w:line="300" w:lineRule="exact"/>
        <w:ind w:firstLine="420" w:firstLineChars="200"/>
        <w:rPr>
          <w:rFonts w:ascii="宋体" w:hAnsi="宋体"/>
        </w:rPr>
      </w:pPr>
      <w:r>
        <w:rPr>
          <w:rFonts w:hint="eastAsia" w:ascii="宋体" w:hAnsi="宋体"/>
        </w:rPr>
        <w:t>3</w:t>
      </w:r>
      <w:r>
        <w:rPr>
          <w:rFonts w:ascii="宋体" w:hAnsi="宋体"/>
        </w:rPr>
        <w:t>.本表所列合同价格一般为项目结算价格，无结算价格的以签约合同价格为准。</w:t>
      </w:r>
    </w:p>
    <w:p w14:paraId="1FBE15E2">
      <w:pPr>
        <w:pStyle w:val="299"/>
        <w:spacing w:line="300" w:lineRule="exact"/>
        <w:ind w:firstLine="420" w:firstLineChars="200"/>
        <w:rPr>
          <w:rFonts w:ascii="宋体" w:hAnsi="宋体"/>
        </w:rPr>
      </w:pPr>
      <w:r>
        <w:rPr>
          <w:rFonts w:hint="eastAsia" w:ascii="宋体" w:hAnsi="宋体"/>
        </w:rPr>
        <w:t>4</w:t>
      </w:r>
      <w:r>
        <w:rPr>
          <w:rFonts w:ascii="宋体" w:hAnsi="宋体"/>
        </w:rPr>
        <w:t>.</w:t>
      </w:r>
      <w:r>
        <w:rPr>
          <w:rFonts w:hint="eastAsia" w:ascii="宋体" w:hAnsi="宋体" w:cs="宋体"/>
          <w:spacing w:val="-3"/>
          <w:lang w:bidi="ar"/>
        </w:rPr>
        <w:t>交通安全设施工程可为合同中包含的施工内容或单独交通安全设施工程合同的项目。</w:t>
      </w:r>
    </w:p>
    <w:p w14:paraId="77C0DD21">
      <w:pPr>
        <w:pStyle w:val="299"/>
        <w:spacing w:line="300" w:lineRule="exact"/>
        <w:ind w:firstLine="420" w:firstLineChars="200"/>
        <w:rPr>
          <w:rFonts w:ascii="宋体" w:hAnsi="宋体"/>
        </w:rPr>
      </w:pPr>
      <w:r>
        <w:rPr>
          <w:rFonts w:hint="eastAsia" w:ascii="宋体" w:hAnsi="宋体"/>
        </w:rPr>
        <w:t>5.如近年来，投标人法人机构发生合法变更或重组或法人名称变更时，应提供相关部门的合法批件或其他相关证明材料来证明其所附业绩的继承性。</w:t>
      </w:r>
    </w:p>
    <w:p w14:paraId="72AB9851">
      <w:pPr>
        <w:spacing w:line="300" w:lineRule="exact"/>
        <w:ind w:firstLine="420" w:firstLineChars="200"/>
        <w:rPr>
          <w:rFonts w:ascii="宋体" w:hAnsi="宋体" w:cs="宋体"/>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6AB424EF">
      <w:pPr>
        <w:spacing w:line="300" w:lineRule="exact"/>
        <w:ind w:firstLine="420" w:firstLineChars="200"/>
        <w:rPr>
          <w:rFonts w:hint="eastAsia" w:ascii="宋体" w:hAnsi="宋体" w:cs="宋体"/>
        </w:rPr>
      </w:pPr>
      <w:r>
        <w:rPr>
          <w:rFonts w:hint="eastAsia" w:ascii="宋体" w:hAnsi="宋体" w:cs="宋体"/>
        </w:rPr>
        <w:t>7</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p>
    <w:p w14:paraId="47AFD768">
      <w:pPr>
        <w:spacing w:line="360" w:lineRule="auto"/>
        <w:ind w:firstLine="420" w:firstLineChars="200"/>
        <w:rPr>
          <w:rFonts w:ascii="宋体" w:hAnsi="宋体" w:cs="宋体"/>
        </w:rPr>
      </w:pPr>
      <w:r>
        <w:rPr>
          <w:rFonts w:ascii="宋体" w:hAnsi="宋体" w:cs="宋体"/>
        </w:rPr>
        <w:br w:type="page"/>
      </w:r>
    </w:p>
    <w:p w14:paraId="3551E6CB">
      <w:pPr>
        <w:spacing w:line="360" w:lineRule="auto"/>
        <w:ind w:left="0" w:firstLine="482" w:firstLineChars="200"/>
        <w:jc w:val="center"/>
        <w:rPr>
          <w:rFonts w:hint="eastAsia" w:ascii="黑体" w:hAnsi="黑体" w:eastAsia="黑体" w:cs="宋体"/>
          <w:sz w:val="24"/>
          <w:lang w:eastAsia="zh-CN"/>
        </w:rPr>
      </w:pPr>
      <w:r>
        <w:rPr>
          <w:rFonts w:ascii="黑体" w:hAnsi="黑体" w:eastAsia="黑体" w:cs="宋体"/>
          <w:b/>
          <w:bCs/>
          <w:sz w:val="24"/>
        </w:rPr>
        <w:t>□</w:t>
      </w:r>
      <w:r>
        <w:rPr>
          <w:rFonts w:ascii="黑体" w:hAnsi="黑体" w:eastAsia="黑体" w:cs="宋体"/>
          <w:sz w:val="24"/>
        </w:rPr>
        <w:t xml:space="preserve"> </w:t>
      </w:r>
      <w:r>
        <w:rPr>
          <w:rFonts w:hint="eastAsia" w:ascii="黑体" w:hAnsi="黑体" w:eastAsia="黑体" w:cs="宋体"/>
          <w:sz w:val="24"/>
        </w:rPr>
        <w:t>近年完成的公路隧道机电工程施工情况</w:t>
      </w:r>
      <w:r>
        <w:rPr>
          <w:rFonts w:ascii="黑体" w:hAnsi="黑体" w:eastAsia="黑体" w:cs="宋体"/>
          <w:sz w:val="24"/>
        </w:rPr>
        <w:t xml:space="preserve">                             表2-</w:t>
      </w:r>
      <w:r>
        <w:rPr>
          <w:rFonts w:hint="eastAsia" w:ascii="黑体" w:hAnsi="黑体" w:eastAsia="黑体" w:cs="宋体"/>
          <w:sz w:val="24"/>
          <w:lang w:val="en-US" w:eastAsia="zh-CN"/>
        </w:rPr>
        <w:t>6</w:t>
      </w:r>
    </w:p>
    <w:tbl>
      <w:tblPr>
        <w:tblStyle w:val="49"/>
        <w:tblW w:w="139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679"/>
        <w:gridCol w:w="1270"/>
        <w:gridCol w:w="645"/>
        <w:gridCol w:w="1141"/>
        <w:gridCol w:w="764"/>
        <w:gridCol w:w="861"/>
        <w:gridCol w:w="656"/>
        <w:gridCol w:w="936"/>
        <w:gridCol w:w="990"/>
        <w:gridCol w:w="1420"/>
        <w:gridCol w:w="1399"/>
        <w:gridCol w:w="818"/>
        <w:gridCol w:w="871"/>
        <w:gridCol w:w="1062"/>
      </w:tblGrid>
      <w:tr w14:paraId="3B1E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00" w:type="dxa"/>
            <w:vMerge w:val="restart"/>
            <w:vAlign w:val="center"/>
          </w:tcPr>
          <w:p w14:paraId="1B444237">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79" w:type="dxa"/>
            <w:vMerge w:val="restart"/>
            <w:tcMar>
              <w:top w:w="0" w:type="dxa"/>
              <w:left w:w="108" w:type="dxa"/>
              <w:bottom w:w="0" w:type="dxa"/>
              <w:right w:w="108" w:type="dxa"/>
            </w:tcMar>
            <w:vAlign w:val="center"/>
          </w:tcPr>
          <w:p w14:paraId="576FC8B5">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w:t>
            </w:r>
          </w:p>
          <w:p w14:paraId="48F63D9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业主</w:t>
            </w:r>
          </w:p>
        </w:tc>
        <w:tc>
          <w:tcPr>
            <w:tcW w:w="1270" w:type="dxa"/>
            <w:vMerge w:val="restart"/>
            <w:tcMar>
              <w:top w:w="0" w:type="dxa"/>
              <w:left w:w="108" w:type="dxa"/>
              <w:bottom w:w="0" w:type="dxa"/>
              <w:right w:w="108" w:type="dxa"/>
            </w:tcMar>
            <w:vAlign w:val="center"/>
          </w:tcPr>
          <w:p w14:paraId="561439FE">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45" w:type="dxa"/>
            <w:vMerge w:val="restart"/>
            <w:tcMar>
              <w:top w:w="0" w:type="dxa"/>
              <w:left w:w="108" w:type="dxa"/>
              <w:bottom w:w="0" w:type="dxa"/>
              <w:right w:w="108" w:type="dxa"/>
            </w:tcMar>
            <w:vAlign w:val="center"/>
          </w:tcPr>
          <w:p w14:paraId="15D6D60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公路等级</w:t>
            </w:r>
          </w:p>
        </w:tc>
        <w:tc>
          <w:tcPr>
            <w:tcW w:w="1141" w:type="dxa"/>
            <w:vMerge w:val="restart"/>
            <w:tcMar>
              <w:top w:w="0" w:type="dxa"/>
              <w:left w:w="108" w:type="dxa"/>
              <w:bottom w:w="0" w:type="dxa"/>
              <w:right w:w="108" w:type="dxa"/>
            </w:tcMar>
            <w:vAlign w:val="center"/>
          </w:tcPr>
          <w:p w14:paraId="7992071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项目建设形式</w:t>
            </w:r>
          </w:p>
        </w:tc>
        <w:tc>
          <w:tcPr>
            <w:tcW w:w="764" w:type="dxa"/>
            <w:vMerge w:val="restart"/>
            <w:tcMar>
              <w:top w:w="0" w:type="dxa"/>
              <w:left w:w="108" w:type="dxa"/>
              <w:bottom w:w="0" w:type="dxa"/>
              <w:right w:w="108" w:type="dxa"/>
            </w:tcMar>
            <w:vAlign w:val="center"/>
          </w:tcPr>
          <w:p w14:paraId="2946388A">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861" w:type="dxa"/>
            <w:vMerge w:val="restart"/>
            <w:vAlign w:val="center"/>
          </w:tcPr>
          <w:p w14:paraId="7B5412B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656" w:type="dxa"/>
            <w:vMerge w:val="restart"/>
            <w:tcMar>
              <w:top w:w="0" w:type="dxa"/>
              <w:left w:w="108" w:type="dxa"/>
              <w:bottom w:w="0" w:type="dxa"/>
              <w:right w:w="108" w:type="dxa"/>
            </w:tcMar>
            <w:vAlign w:val="center"/>
          </w:tcPr>
          <w:p w14:paraId="2F7A2733">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开工</w:t>
            </w:r>
          </w:p>
          <w:p w14:paraId="5BC10E94">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936" w:type="dxa"/>
            <w:vMerge w:val="restart"/>
            <w:vAlign w:val="center"/>
          </w:tcPr>
          <w:p w14:paraId="284E363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完成（交工）日期</w:t>
            </w:r>
          </w:p>
        </w:tc>
        <w:tc>
          <w:tcPr>
            <w:tcW w:w="990" w:type="dxa"/>
            <w:vMerge w:val="restart"/>
            <w:vAlign w:val="center"/>
          </w:tcPr>
          <w:p w14:paraId="56B9D19D">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1420" w:type="dxa"/>
            <w:vAlign w:val="center"/>
          </w:tcPr>
          <w:p w14:paraId="47F8C2DD">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机电工程</w:t>
            </w:r>
          </w:p>
        </w:tc>
        <w:tc>
          <w:tcPr>
            <w:tcW w:w="1399" w:type="dxa"/>
            <w:vAlign w:val="center"/>
          </w:tcPr>
          <w:p w14:paraId="02672B41">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隧道机电</w:t>
            </w:r>
          </w:p>
        </w:tc>
        <w:tc>
          <w:tcPr>
            <w:tcW w:w="818" w:type="dxa"/>
            <w:vMerge w:val="restart"/>
            <w:vAlign w:val="center"/>
          </w:tcPr>
          <w:p w14:paraId="27992C10">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项目经理</w:t>
            </w:r>
          </w:p>
        </w:tc>
        <w:tc>
          <w:tcPr>
            <w:tcW w:w="871" w:type="dxa"/>
            <w:vMerge w:val="restart"/>
            <w:tcMar>
              <w:top w:w="0" w:type="dxa"/>
              <w:left w:w="108" w:type="dxa"/>
              <w:bottom w:w="0" w:type="dxa"/>
              <w:right w:w="108" w:type="dxa"/>
            </w:tcMar>
            <w:vAlign w:val="center"/>
          </w:tcPr>
          <w:p w14:paraId="0BD44006">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项目总工</w:t>
            </w:r>
          </w:p>
        </w:tc>
        <w:tc>
          <w:tcPr>
            <w:tcW w:w="1062" w:type="dxa"/>
            <w:vMerge w:val="restart"/>
            <w:vAlign w:val="center"/>
          </w:tcPr>
          <w:p w14:paraId="4F2B26EF">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4E4B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400" w:type="dxa"/>
            <w:vMerge w:val="continue"/>
            <w:vAlign w:val="center"/>
          </w:tcPr>
          <w:p w14:paraId="0A255883">
            <w:pPr>
              <w:pStyle w:val="299"/>
              <w:jc w:val="center"/>
              <w:rPr>
                <w:rFonts w:asciiTheme="minorEastAsia" w:hAnsiTheme="minorEastAsia" w:eastAsiaTheme="minorEastAsia"/>
                <w:szCs w:val="21"/>
              </w:rPr>
            </w:pPr>
          </w:p>
        </w:tc>
        <w:tc>
          <w:tcPr>
            <w:tcW w:w="679" w:type="dxa"/>
            <w:vMerge w:val="continue"/>
            <w:tcMar>
              <w:top w:w="0" w:type="dxa"/>
              <w:left w:w="108" w:type="dxa"/>
              <w:bottom w:w="0" w:type="dxa"/>
              <w:right w:w="108" w:type="dxa"/>
            </w:tcMar>
            <w:vAlign w:val="center"/>
          </w:tcPr>
          <w:p w14:paraId="228DE52B">
            <w:pPr>
              <w:pStyle w:val="299"/>
              <w:jc w:val="center"/>
              <w:rPr>
                <w:rFonts w:asciiTheme="minorEastAsia" w:hAnsiTheme="minorEastAsia" w:eastAsiaTheme="minorEastAsia"/>
                <w:szCs w:val="21"/>
              </w:rPr>
            </w:pPr>
          </w:p>
        </w:tc>
        <w:tc>
          <w:tcPr>
            <w:tcW w:w="1270" w:type="dxa"/>
            <w:vMerge w:val="continue"/>
            <w:tcMar>
              <w:top w:w="0" w:type="dxa"/>
              <w:left w:w="108" w:type="dxa"/>
              <w:bottom w:w="0" w:type="dxa"/>
              <w:right w:w="108" w:type="dxa"/>
            </w:tcMar>
            <w:vAlign w:val="center"/>
          </w:tcPr>
          <w:p w14:paraId="7B68B983">
            <w:pPr>
              <w:pStyle w:val="299"/>
              <w:jc w:val="center"/>
              <w:rPr>
                <w:rFonts w:asciiTheme="minorEastAsia" w:hAnsiTheme="minorEastAsia" w:eastAsiaTheme="minorEastAsia"/>
                <w:szCs w:val="21"/>
              </w:rPr>
            </w:pPr>
          </w:p>
        </w:tc>
        <w:tc>
          <w:tcPr>
            <w:tcW w:w="645" w:type="dxa"/>
            <w:vMerge w:val="continue"/>
            <w:tcMar>
              <w:top w:w="0" w:type="dxa"/>
              <w:left w:w="108" w:type="dxa"/>
              <w:bottom w:w="0" w:type="dxa"/>
              <w:right w:w="108" w:type="dxa"/>
            </w:tcMar>
            <w:vAlign w:val="center"/>
          </w:tcPr>
          <w:p w14:paraId="66DE631B">
            <w:pPr>
              <w:pStyle w:val="299"/>
              <w:jc w:val="center"/>
              <w:rPr>
                <w:rFonts w:asciiTheme="minorEastAsia" w:hAnsiTheme="minorEastAsia" w:eastAsiaTheme="minorEastAsia"/>
                <w:szCs w:val="21"/>
              </w:rPr>
            </w:pPr>
          </w:p>
        </w:tc>
        <w:tc>
          <w:tcPr>
            <w:tcW w:w="1141" w:type="dxa"/>
            <w:vMerge w:val="continue"/>
            <w:tcMar>
              <w:top w:w="0" w:type="dxa"/>
              <w:left w:w="108" w:type="dxa"/>
              <w:bottom w:w="0" w:type="dxa"/>
              <w:right w:w="108" w:type="dxa"/>
            </w:tcMar>
            <w:vAlign w:val="center"/>
          </w:tcPr>
          <w:p w14:paraId="221D1ACD">
            <w:pPr>
              <w:pStyle w:val="299"/>
              <w:jc w:val="center"/>
              <w:rPr>
                <w:rFonts w:asciiTheme="minorEastAsia" w:hAnsiTheme="minorEastAsia" w:eastAsiaTheme="minorEastAsia"/>
                <w:szCs w:val="21"/>
              </w:rPr>
            </w:pPr>
          </w:p>
        </w:tc>
        <w:tc>
          <w:tcPr>
            <w:tcW w:w="764" w:type="dxa"/>
            <w:vMerge w:val="continue"/>
            <w:tcMar>
              <w:top w:w="0" w:type="dxa"/>
              <w:left w:w="108" w:type="dxa"/>
              <w:bottom w:w="0" w:type="dxa"/>
              <w:right w:w="108" w:type="dxa"/>
            </w:tcMar>
            <w:vAlign w:val="center"/>
          </w:tcPr>
          <w:p w14:paraId="703B0A89">
            <w:pPr>
              <w:pStyle w:val="299"/>
              <w:jc w:val="center"/>
              <w:rPr>
                <w:rFonts w:asciiTheme="minorEastAsia" w:hAnsiTheme="minorEastAsia" w:eastAsiaTheme="minorEastAsia"/>
                <w:szCs w:val="21"/>
              </w:rPr>
            </w:pPr>
          </w:p>
        </w:tc>
        <w:tc>
          <w:tcPr>
            <w:tcW w:w="861" w:type="dxa"/>
            <w:vMerge w:val="continue"/>
            <w:vAlign w:val="center"/>
          </w:tcPr>
          <w:p w14:paraId="27626296">
            <w:pPr>
              <w:pStyle w:val="299"/>
              <w:jc w:val="center"/>
              <w:rPr>
                <w:rFonts w:asciiTheme="minorEastAsia" w:hAnsiTheme="minorEastAsia" w:eastAsiaTheme="minorEastAsia"/>
                <w:szCs w:val="21"/>
              </w:rPr>
            </w:pPr>
          </w:p>
        </w:tc>
        <w:tc>
          <w:tcPr>
            <w:tcW w:w="656" w:type="dxa"/>
            <w:vMerge w:val="continue"/>
            <w:tcMar>
              <w:top w:w="0" w:type="dxa"/>
              <w:left w:w="108" w:type="dxa"/>
              <w:bottom w:w="0" w:type="dxa"/>
              <w:right w:w="108" w:type="dxa"/>
            </w:tcMar>
            <w:vAlign w:val="center"/>
          </w:tcPr>
          <w:p w14:paraId="1EA9F8AF">
            <w:pPr>
              <w:pStyle w:val="299"/>
              <w:jc w:val="center"/>
              <w:rPr>
                <w:rFonts w:asciiTheme="minorEastAsia" w:hAnsiTheme="minorEastAsia" w:eastAsiaTheme="minorEastAsia"/>
                <w:szCs w:val="21"/>
              </w:rPr>
            </w:pPr>
          </w:p>
        </w:tc>
        <w:tc>
          <w:tcPr>
            <w:tcW w:w="936" w:type="dxa"/>
            <w:vMerge w:val="continue"/>
            <w:vAlign w:val="center"/>
          </w:tcPr>
          <w:p w14:paraId="23CB3CF8">
            <w:pPr>
              <w:pStyle w:val="299"/>
              <w:jc w:val="center"/>
              <w:rPr>
                <w:rFonts w:asciiTheme="minorEastAsia" w:hAnsiTheme="minorEastAsia" w:eastAsiaTheme="minorEastAsia"/>
                <w:szCs w:val="21"/>
              </w:rPr>
            </w:pPr>
          </w:p>
        </w:tc>
        <w:tc>
          <w:tcPr>
            <w:tcW w:w="990" w:type="dxa"/>
            <w:vMerge w:val="continue"/>
          </w:tcPr>
          <w:p w14:paraId="4550F781">
            <w:pPr>
              <w:pStyle w:val="299"/>
              <w:jc w:val="center"/>
              <w:rPr>
                <w:rFonts w:cs="宋体" w:asciiTheme="minorEastAsia" w:hAnsiTheme="minorEastAsia" w:eastAsiaTheme="minorEastAsia"/>
                <w:kern w:val="0"/>
                <w:szCs w:val="21"/>
              </w:rPr>
            </w:pPr>
          </w:p>
        </w:tc>
        <w:tc>
          <w:tcPr>
            <w:tcW w:w="1420" w:type="dxa"/>
            <w:vAlign w:val="center"/>
          </w:tcPr>
          <w:p w14:paraId="69FD359D">
            <w:pPr>
              <w:pStyle w:val="299"/>
              <w:jc w:val="center"/>
              <w:rPr>
                <w:rFonts w:ascii="宋体" w:hAnsi="宋体" w:cs="宋体"/>
              </w:rPr>
            </w:pPr>
            <w:r>
              <w:rPr>
                <w:rFonts w:hint="eastAsia" w:ascii="宋体" w:hAnsi="宋体" w:cs="宋体"/>
              </w:rPr>
              <w:t>包含的</w:t>
            </w:r>
          </w:p>
          <w:p w14:paraId="004E2726">
            <w:pPr>
              <w:pStyle w:val="299"/>
              <w:jc w:val="center"/>
              <w:rPr>
                <w:rFonts w:ascii="宋体" w:hAnsi="宋体" w:cs="宋体"/>
              </w:rPr>
            </w:pPr>
            <w:r>
              <w:rPr>
                <w:rFonts w:hint="eastAsia" w:ascii="宋体" w:hAnsi="宋体" w:cs="宋体"/>
              </w:rPr>
              <w:t>系统类型及完成长度（km）</w:t>
            </w:r>
          </w:p>
        </w:tc>
        <w:tc>
          <w:tcPr>
            <w:tcW w:w="1399" w:type="dxa"/>
            <w:vAlign w:val="center"/>
          </w:tcPr>
          <w:p w14:paraId="3097436A">
            <w:pPr>
              <w:pStyle w:val="299"/>
              <w:jc w:val="center"/>
              <w:rPr>
                <w:rFonts w:ascii="宋体" w:hAnsi="宋体" w:cs="宋体"/>
              </w:rPr>
            </w:pPr>
            <w:r>
              <w:rPr>
                <w:rFonts w:hint="eastAsia" w:ascii="宋体" w:hAnsi="宋体" w:cs="宋体"/>
              </w:rPr>
              <w:t>包含的</w:t>
            </w:r>
          </w:p>
          <w:p w14:paraId="09E314DE">
            <w:pPr>
              <w:pStyle w:val="299"/>
              <w:jc w:val="center"/>
              <w:rPr>
                <w:rFonts w:ascii="宋体" w:hAnsi="宋体" w:cs="宋体"/>
              </w:rPr>
            </w:pPr>
            <w:r>
              <w:rPr>
                <w:rFonts w:hint="eastAsia" w:ascii="宋体" w:hAnsi="宋体" w:cs="宋体"/>
              </w:rPr>
              <w:t>系统类型及完成长度（km）</w:t>
            </w:r>
          </w:p>
        </w:tc>
        <w:tc>
          <w:tcPr>
            <w:tcW w:w="818" w:type="dxa"/>
            <w:vMerge w:val="continue"/>
          </w:tcPr>
          <w:p w14:paraId="0FF19602">
            <w:pPr>
              <w:pStyle w:val="299"/>
              <w:jc w:val="center"/>
              <w:rPr>
                <w:rFonts w:asciiTheme="minorEastAsia" w:hAnsiTheme="minorEastAsia" w:eastAsiaTheme="minorEastAsia"/>
                <w:szCs w:val="21"/>
              </w:rPr>
            </w:pPr>
          </w:p>
        </w:tc>
        <w:tc>
          <w:tcPr>
            <w:tcW w:w="871" w:type="dxa"/>
            <w:vMerge w:val="continue"/>
            <w:tcMar>
              <w:top w:w="0" w:type="dxa"/>
              <w:left w:w="108" w:type="dxa"/>
              <w:bottom w:w="0" w:type="dxa"/>
              <w:right w:w="108" w:type="dxa"/>
            </w:tcMar>
            <w:vAlign w:val="center"/>
          </w:tcPr>
          <w:p w14:paraId="49094E5A">
            <w:pPr>
              <w:pStyle w:val="299"/>
              <w:jc w:val="center"/>
              <w:rPr>
                <w:rFonts w:asciiTheme="minorEastAsia" w:hAnsiTheme="minorEastAsia" w:eastAsiaTheme="minorEastAsia"/>
                <w:szCs w:val="21"/>
              </w:rPr>
            </w:pPr>
          </w:p>
        </w:tc>
        <w:tc>
          <w:tcPr>
            <w:tcW w:w="1062" w:type="dxa"/>
            <w:vMerge w:val="continue"/>
            <w:vAlign w:val="center"/>
          </w:tcPr>
          <w:p w14:paraId="4CB9B0F2">
            <w:pPr>
              <w:pStyle w:val="299"/>
              <w:jc w:val="center"/>
              <w:rPr>
                <w:rFonts w:asciiTheme="minorEastAsia" w:hAnsiTheme="minorEastAsia" w:eastAsiaTheme="minorEastAsia"/>
                <w:szCs w:val="21"/>
              </w:rPr>
            </w:pPr>
          </w:p>
        </w:tc>
      </w:tr>
      <w:tr w14:paraId="021A0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00" w:type="dxa"/>
            <w:vAlign w:val="center"/>
          </w:tcPr>
          <w:p w14:paraId="47C62C7C">
            <w:pPr>
              <w:pStyle w:val="299"/>
              <w:jc w:val="center"/>
              <w:rPr>
                <w:rFonts w:asciiTheme="minorEastAsia" w:hAnsiTheme="minorEastAsia" w:eastAsiaTheme="minorEastAsia"/>
                <w:szCs w:val="21"/>
              </w:rPr>
            </w:pPr>
          </w:p>
        </w:tc>
        <w:tc>
          <w:tcPr>
            <w:tcW w:w="679" w:type="dxa"/>
            <w:tcMar>
              <w:top w:w="0" w:type="dxa"/>
              <w:left w:w="108" w:type="dxa"/>
              <w:bottom w:w="0" w:type="dxa"/>
              <w:right w:w="108" w:type="dxa"/>
            </w:tcMar>
            <w:vAlign w:val="center"/>
          </w:tcPr>
          <w:p w14:paraId="2285F328">
            <w:pPr>
              <w:pStyle w:val="299"/>
              <w:jc w:val="center"/>
              <w:rPr>
                <w:rFonts w:asciiTheme="minorEastAsia" w:hAnsiTheme="minorEastAsia" w:eastAsiaTheme="minorEastAsia"/>
                <w:szCs w:val="21"/>
              </w:rPr>
            </w:pPr>
          </w:p>
        </w:tc>
        <w:tc>
          <w:tcPr>
            <w:tcW w:w="1270" w:type="dxa"/>
            <w:tcMar>
              <w:top w:w="0" w:type="dxa"/>
              <w:left w:w="108" w:type="dxa"/>
              <w:bottom w:w="0" w:type="dxa"/>
              <w:right w:w="108" w:type="dxa"/>
            </w:tcMar>
            <w:vAlign w:val="center"/>
          </w:tcPr>
          <w:p w14:paraId="23F56E28">
            <w:pPr>
              <w:pStyle w:val="299"/>
              <w:jc w:val="center"/>
              <w:rPr>
                <w:rFonts w:asciiTheme="minorEastAsia" w:hAnsiTheme="minorEastAsia" w:eastAsiaTheme="minorEastAsia"/>
                <w:szCs w:val="21"/>
              </w:rPr>
            </w:pPr>
          </w:p>
        </w:tc>
        <w:tc>
          <w:tcPr>
            <w:tcW w:w="645" w:type="dxa"/>
            <w:tcMar>
              <w:top w:w="0" w:type="dxa"/>
              <w:left w:w="108" w:type="dxa"/>
              <w:bottom w:w="0" w:type="dxa"/>
              <w:right w:w="108" w:type="dxa"/>
            </w:tcMar>
            <w:vAlign w:val="center"/>
          </w:tcPr>
          <w:p w14:paraId="2990A28E">
            <w:pPr>
              <w:pStyle w:val="299"/>
              <w:jc w:val="center"/>
              <w:rPr>
                <w:rFonts w:asciiTheme="minorEastAsia" w:hAnsiTheme="minorEastAsia" w:eastAsiaTheme="minorEastAsia"/>
                <w:szCs w:val="21"/>
              </w:rPr>
            </w:pPr>
          </w:p>
        </w:tc>
        <w:tc>
          <w:tcPr>
            <w:tcW w:w="1141" w:type="dxa"/>
            <w:tcMar>
              <w:top w:w="0" w:type="dxa"/>
              <w:left w:w="108" w:type="dxa"/>
              <w:bottom w:w="0" w:type="dxa"/>
              <w:right w:w="108" w:type="dxa"/>
            </w:tcMar>
            <w:vAlign w:val="center"/>
          </w:tcPr>
          <w:p w14:paraId="60D0E243">
            <w:pPr>
              <w:widowControl/>
              <w:spacing w:line="400" w:lineRule="exact"/>
              <w:jc w:val="left"/>
              <w:rPr>
                <w:rFonts w:ascii="宋体" w:hAnsi="宋体"/>
                <w:szCs w:val="21"/>
              </w:rPr>
            </w:pPr>
            <w:r>
              <w:rPr>
                <w:rFonts w:hint="eastAsia" w:ascii="宋体" w:hAnsi="宋体"/>
                <w:szCs w:val="21"/>
              </w:rPr>
              <w:t>□新建</w:t>
            </w:r>
          </w:p>
          <w:p w14:paraId="2F3BB5F1">
            <w:pPr>
              <w:jc w:val="left"/>
              <w:rPr>
                <w:rFonts w:ascii="宋体" w:hAnsi="宋体" w:cs="宋体"/>
                <w:szCs w:val="21"/>
              </w:rPr>
            </w:pPr>
            <w:r>
              <w:rPr>
                <w:rFonts w:hint="eastAsia" w:ascii="宋体" w:hAnsi="宋体"/>
                <w:szCs w:val="21"/>
              </w:rPr>
              <w:t>□改扩建</w:t>
            </w:r>
          </w:p>
        </w:tc>
        <w:tc>
          <w:tcPr>
            <w:tcW w:w="764" w:type="dxa"/>
            <w:tcMar>
              <w:top w:w="0" w:type="dxa"/>
              <w:left w:w="108" w:type="dxa"/>
              <w:bottom w:w="0" w:type="dxa"/>
              <w:right w:w="108" w:type="dxa"/>
            </w:tcMar>
            <w:vAlign w:val="center"/>
          </w:tcPr>
          <w:p w14:paraId="29C7E13D">
            <w:pPr>
              <w:pStyle w:val="299"/>
              <w:jc w:val="center"/>
              <w:rPr>
                <w:rFonts w:asciiTheme="minorEastAsia" w:hAnsiTheme="minorEastAsia" w:eastAsiaTheme="minorEastAsia"/>
                <w:szCs w:val="21"/>
              </w:rPr>
            </w:pPr>
          </w:p>
        </w:tc>
        <w:tc>
          <w:tcPr>
            <w:tcW w:w="861" w:type="dxa"/>
            <w:vAlign w:val="center"/>
          </w:tcPr>
          <w:p w14:paraId="1EFAAE7C">
            <w:pPr>
              <w:pStyle w:val="299"/>
              <w:jc w:val="center"/>
              <w:rPr>
                <w:rFonts w:asciiTheme="minorEastAsia" w:hAnsiTheme="minorEastAsia" w:eastAsiaTheme="minorEastAsia"/>
                <w:szCs w:val="21"/>
              </w:rPr>
            </w:pPr>
          </w:p>
        </w:tc>
        <w:tc>
          <w:tcPr>
            <w:tcW w:w="656" w:type="dxa"/>
            <w:tcMar>
              <w:top w:w="0" w:type="dxa"/>
              <w:left w:w="108" w:type="dxa"/>
              <w:bottom w:w="0" w:type="dxa"/>
              <w:right w:w="108" w:type="dxa"/>
            </w:tcMar>
            <w:vAlign w:val="center"/>
          </w:tcPr>
          <w:p w14:paraId="40D9E1A0">
            <w:pPr>
              <w:pStyle w:val="299"/>
              <w:jc w:val="center"/>
              <w:rPr>
                <w:rFonts w:asciiTheme="minorEastAsia" w:hAnsiTheme="minorEastAsia" w:eastAsiaTheme="minorEastAsia"/>
                <w:szCs w:val="21"/>
              </w:rPr>
            </w:pPr>
          </w:p>
        </w:tc>
        <w:tc>
          <w:tcPr>
            <w:tcW w:w="936" w:type="dxa"/>
            <w:vAlign w:val="center"/>
          </w:tcPr>
          <w:p w14:paraId="373C2896">
            <w:pPr>
              <w:pStyle w:val="299"/>
              <w:jc w:val="center"/>
              <w:rPr>
                <w:rFonts w:asciiTheme="minorEastAsia" w:hAnsiTheme="minorEastAsia" w:eastAsiaTheme="minorEastAsia"/>
                <w:szCs w:val="21"/>
              </w:rPr>
            </w:pPr>
          </w:p>
        </w:tc>
        <w:tc>
          <w:tcPr>
            <w:tcW w:w="990" w:type="dxa"/>
          </w:tcPr>
          <w:p w14:paraId="7128A2FD">
            <w:pPr>
              <w:pStyle w:val="299"/>
              <w:jc w:val="center"/>
              <w:rPr>
                <w:rFonts w:asciiTheme="minorEastAsia" w:hAnsiTheme="minorEastAsia" w:eastAsiaTheme="minorEastAsia"/>
                <w:szCs w:val="21"/>
              </w:rPr>
            </w:pPr>
          </w:p>
        </w:tc>
        <w:tc>
          <w:tcPr>
            <w:tcW w:w="1420" w:type="dxa"/>
          </w:tcPr>
          <w:p w14:paraId="63EF7258">
            <w:pPr>
              <w:pStyle w:val="299"/>
              <w:jc w:val="center"/>
              <w:rPr>
                <w:rFonts w:asciiTheme="minorEastAsia" w:hAnsiTheme="minorEastAsia" w:eastAsiaTheme="minorEastAsia"/>
                <w:szCs w:val="21"/>
              </w:rPr>
            </w:pPr>
          </w:p>
        </w:tc>
        <w:tc>
          <w:tcPr>
            <w:tcW w:w="1399" w:type="dxa"/>
          </w:tcPr>
          <w:p w14:paraId="75ECF9E7">
            <w:pPr>
              <w:pStyle w:val="299"/>
              <w:jc w:val="center"/>
              <w:rPr>
                <w:rFonts w:asciiTheme="minorEastAsia" w:hAnsiTheme="minorEastAsia" w:eastAsiaTheme="minorEastAsia"/>
                <w:szCs w:val="21"/>
              </w:rPr>
            </w:pPr>
          </w:p>
        </w:tc>
        <w:tc>
          <w:tcPr>
            <w:tcW w:w="818" w:type="dxa"/>
          </w:tcPr>
          <w:p w14:paraId="2B8D6864">
            <w:pPr>
              <w:pStyle w:val="299"/>
              <w:jc w:val="center"/>
              <w:rPr>
                <w:rFonts w:asciiTheme="minorEastAsia" w:hAnsiTheme="minorEastAsia" w:eastAsiaTheme="minorEastAsia"/>
                <w:szCs w:val="21"/>
              </w:rPr>
            </w:pPr>
          </w:p>
        </w:tc>
        <w:tc>
          <w:tcPr>
            <w:tcW w:w="871" w:type="dxa"/>
            <w:tcMar>
              <w:top w:w="0" w:type="dxa"/>
              <w:left w:w="108" w:type="dxa"/>
              <w:bottom w:w="0" w:type="dxa"/>
              <w:right w:w="108" w:type="dxa"/>
            </w:tcMar>
            <w:vAlign w:val="center"/>
          </w:tcPr>
          <w:p w14:paraId="14DC4825">
            <w:pPr>
              <w:pStyle w:val="299"/>
              <w:jc w:val="center"/>
              <w:rPr>
                <w:rFonts w:asciiTheme="minorEastAsia" w:hAnsiTheme="minorEastAsia" w:eastAsiaTheme="minorEastAsia"/>
                <w:szCs w:val="21"/>
              </w:rPr>
            </w:pPr>
          </w:p>
        </w:tc>
        <w:tc>
          <w:tcPr>
            <w:tcW w:w="1062" w:type="dxa"/>
            <w:vAlign w:val="center"/>
          </w:tcPr>
          <w:p w14:paraId="36CD92E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hint="eastAsia" w:asciiTheme="minorEastAsia" w:hAnsiTheme="minorEastAsia" w:eastAsiaTheme="minorEastAsia"/>
                <w:szCs w:val="21"/>
              </w:rPr>
              <w:t>6</w:t>
            </w:r>
            <w:r>
              <w:rPr>
                <w:rFonts w:asciiTheme="minorEastAsia" w:hAnsiTheme="minorEastAsia" w:eastAsiaTheme="minorEastAsia"/>
                <w:szCs w:val="21"/>
              </w:rPr>
              <w:t>.1</w:t>
            </w:r>
          </w:p>
        </w:tc>
      </w:tr>
      <w:tr w14:paraId="32403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00" w:type="dxa"/>
            <w:vAlign w:val="center"/>
          </w:tcPr>
          <w:p w14:paraId="2A45C511">
            <w:pPr>
              <w:pStyle w:val="299"/>
              <w:jc w:val="center"/>
              <w:rPr>
                <w:rFonts w:asciiTheme="minorEastAsia" w:hAnsiTheme="minorEastAsia" w:eastAsiaTheme="minorEastAsia"/>
                <w:szCs w:val="21"/>
              </w:rPr>
            </w:pPr>
          </w:p>
        </w:tc>
        <w:tc>
          <w:tcPr>
            <w:tcW w:w="679" w:type="dxa"/>
            <w:tcMar>
              <w:top w:w="0" w:type="dxa"/>
              <w:left w:w="108" w:type="dxa"/>
              <w:bottom w:w="0" w:type="dxa"/>
              <w:right w:w="108" w:type="dxa"/>
            </w:tcMar>
            <w:vAlign w:val="center"/>
          </w:tcPr>
          <w:p w14:paraId="02D10277">
            <w:pPr>
              <w:pStyle w:val="299"/>
              <w:jc w:val="center"/>
              <w:rPr>
                <w:rFonts w:asciiTheme="minorEastAsia" w:hAnsiTheme="minorEastAsia" w:eastAsiaTheme="minorEastAsia"/>
                <w:szCs w:val="21"/>
              </w:rPr>
            </w:pPr>
          </w:p>
        </w:tc>
        <w:tc>
          <w:tcPr>
            <w:tcW w:w="1270" w:type="dxa"/>
            <w:tcMar>
              <w:top w:w="0" w:type="dxa"/>
              <w:left w:w="108" w:type="dxa"/>
              <w:bottom w:w="0" w:type="dxa"/>
              <w:right w:w="108" w:type="dxa"/>
            </w:tcMar>
            <w:vAlign w:val="center"/>
          </w:tcPr>
          <w:p w14:paraId="00584776">
            <w:pPr>
              <w:pStyle w:val="299"/>
              <w:jc w:val="center"/>
              <w:rPr>
                <w:rFonts w:asciiTheme="minorEastAsia" w:hAnsiTheme="minorEastAsia" w:eastAsiaTheme="minorEastAsia"/>
                <w:szCs w:val="21"/>
              </w:rPr>
            </w:pPr>
          </w:p>
        </w:tc>
        <w:tc>
          <w:tcPr>
            <w:tcW w:w="645" w:type="dxa"/>
            <w:tcMar>
              <w:top w:w="0" w:type="dxa"/>
              <w:left w:w="108" w:type="dxa"/>
              <w:bottom w:w="0" w:type="dxa"/>
              <w:right w:w="108" w:type="dxa"/>
            </w:tcMar>
            <w:vAlign w:val="center"/>
          </w:tcPr>
          <w:p w14:paraId="07E3CE83">
            <w:pPr>
              <w:pStyle w:val="299"/>
              <w:jc w:val="center"/>
              <w:rPr>
                <w:rFonts w:asciiTheme="minorEastAsia" w:hAnsiTheme="minorEastAsia" w:eastAsiaTheme="minorEastAsia"/>
                <w:szCs w:val="21"/>
              </w:rPr>
            </w:pPr>
          </w:p>
        </w:tc>
        <w:tc>
          <w:tcPr>
            <w:tcW w:w="1141" w:type="dxa"/>
            <w:tcMar>
              <w:top w:w="0" w:type="dxa"/>
              <w:left w:w="108" w:type="dxa"/>
              <w:bottom w:w="0" w:type="dxa"/>
              <w:right w:w="108" w:type="dxa"/>
            </w:tcMar>
            <w:vAlign w:val="center"/>
          </w:tcPr>
          <w:p w14:paraId="0DEDAC43">
            <w:pPr>
              <w:widowControl/>
              <w:spacing w:line="400" w:lineRule="exact"/>
              <w:jc w:val="left"/>
              <w:rPr>
                <w:rFonts w:ascii="宋体" w:hAnsi="宋体"/>
                <w:szCs w:val="21"/>
              </w:rPr>
            </w:pPr>
            <w:r>
              <w:rPr>
                <w:rFonts w:hint="eastAsia" w:ascii="宋体" w:hAnsi="宋体"/>
                <w:szCs w:val="21"/>
              </w:rPr>
              <w:t>□新建</w:t>
            </w:r>
          </w:p>
          <w:p w14:paraId="16C66B73">
            <w:pPr>
              <w:jc w:val="left"/>
              <w:rPr>
                <w:rFonts w:ascii="宋体" w:hAnsi="宋体" w:cs="宋体"/>
                <w:szCs w:val="21"/>
              </w:rPr>
            </w:pPr>
            <w:r>
              <w:rPr>
                <w:rFonts w:hint="eastAsia" w:ascii="宋体" w:hAnsi="宋体"/>
                <w:szCs w:val="21"/>
              </w:rPr>
              <w:t>□改扩建</w:t>
            </w:r>
          </w:p>
        </w:tc>
        <w:tc>
          <w:tcPr>
            <w:tcW w:w="764" w:type="dxa"/>
            <w:tcMar>
              <w:top w:w="0" w:type="dxa"/>
              <w:left w:w="108" w:type="dxa"/>
              <w:bottom w:w="0" w:type="dxa"/>
              <w:right w:w="108" w:type="dxa"/>
            </w:tcMar>
            <w:vAlign w:val="center"/>
          </w:tcPr>
          <w:p w14:paraId="35119B28">
            <w:pPr>
              <w:pStyle w:val="299"/>
              <w:jc w:val="center"/>
              <w:rPr>
                <w:rFonts w:asciiTheme="minorEastAsia" w:hAnsiTheme="minorEastAsia" w:eastAsiaTheme="minorEastAsia"/>
                <w:szCs w:val="21"/>
              </w:rPr>
            </w:pPr>
          </w:p>
        </w:tc>
        <w:tc>
          <w:tcPr>
            <w:tcW w:w="861" w:type="dxa"/>
            <w:vAlign w:val="center"/>
          </w:tcPr>
          <w:p w14:paraId="6B3169E1">
            <w:pPr>
              <w:pStyle w:val="299"/>
              <w:jc w:val="center"/>
              <w:rPr>
                <w:rFonts w:asciiTheme="minorEastAsia" w:hAnsiTheme="minorEastAsia" w:eastAsiaTheme="minorEastAsia"/>
                <w:szCs w:val="21"/>
              </w:rPr>
            </w:pPr>
          </w:p>
        </w:tc>
        <w:tc>
          <w:tcPr>
            <w:tcW w:w="656" w:type="dxa"/>
            <w:tcMar>
              <w:top w:w="0" w:type="dxa"/>
              <w:left w:w="108" w:type="dxa"/>
              <w:bottom w:w="0" w:type="dxa"/>
              <w:right w:w="108" w:type="dxa"/>
            </w:tcMar>
            <w:vAlign w:val="center"/>
          </w:tcPr>
          <w:p w14:paraId="662C9533">
            <w:pPr>
              <w:pStyle w:val="299"/>
              <w:jc w:val="center"/>
              <w:rPr>
                <w:rFonts w:asciiTheme="minorEastAsia" w:hAnsiTheme="minorEastAsia" w:eastAsiaTheme="minorEastAsia"/>
                <w:szCs w:val="21"/>
              </w:rPr>
            </w:pPr>
          </w:p>
        </w:tc>
        <w:tc>
          <w:tcPr>
            <w:tcW w:w="936" w:type="dxa"/>
            <w:vAlign w:val="center"/>
          </w:tcPr>
          <w:p w14:paraId="35A03ACA">
            <w:pPr>
              <w:pStyle w:val="299"/>
              <w:jc w:val="center"/>
              <w:rPr>
                <w:rFonts w:asciiTheme="minorEastAsia" w:hAnsiTheme="minorEastAsia" w:eastAsiaTheme="minorEastAsia"/>
                <w:szCs w:val="21"/>
              </w:rPr>
            </w:pPr>
          </w:p>
        </w:tc>
        <w:tc>
          <w:tcPr>
            <w:tcW w:w="990" w:type="dxa"/>
          </w:tcPr>
          <w:p w14:paraId="517F60AB">
            <w:pPr>
              <w:pStyle w:val="299"/>
              <w:jc w:val="center"/>
              <w:rPr>
                <w:rFonts w:asciiTheme="minorEastAsia" w:hAnsiTheme="minorEastAsia" w:eastAsiaTheme="minorEastAsia"/>
                <w:szCs w:val="21"/>
              </w:rPr>
            </w:pPr>
          </w:p>
        </w:tc>
        <w:tc>
          <w:tcPr>
            <w:tcW w:w="1420" w:type="dxa"/>
          </w:tcPr>
          <w:p w14:paraId="421D4230">
            <w:pPr>
              <w:pStyle w:val="299"/>
              <w:jc w:val="center"/>
              <w:rPr>
                <w:rFonts w:asciiTheme="minorEastAsia" w:hAnsiTheme="minorEastAsia" w:eastAsiaTheme="minorEastAsia"/>
                <w:szCs w:val="21"/>
              </w:rPr>
            </w:pPr>
          </w:p>
        </w:tc>
        <w:tc>
          <w:tcPr>
            <w:tcW w:w="1399" w:type="dxa"/>
          </w:tcPr>
          <w:p w14:paraId="349CE865">
            <w:pPr>
              <w:pStyle w:val="299"/>
              <w:jc w:val="center"/>
              <w:rPr>
                <w:rFonts w:asciiTheme="minorEastAsia" w:hAnsiTheme="minorEastAsia" w:eastAsiaTheme="minorEastAsia"/>
                <w:szCs w:val="21"/>
              </w:rPr>
            </w:pPr>
          </w:p>
        </w:tc>
        <w:tc>
          <w:tcPr>
            <w:tcW w:w="818" w:type="dxa"/>
          </w:tcPr>
          <w:p w14:paraId="6938F47F">
            <w:pPr>
              <w:pStyle w:val="299"/>
              <w:jc w:val="center"/>
              <w:rPr>
                <w:rFonts w:asciiTheme="minorEastAsia" w:hAnsiTheme="minorEastAsia" w:eastAsiaTheme="minorEastAsia"/>
                <w:szCs w:val="21"/>
              </w:rPr>
            </w:pPr>
          </w:p>
        </w:tc>
        <w:tc>
          <w:tcPr>
            <w:tcW w:w="871" w:type="dxa"/>
            <w:tcMar>
              <w:top w:w="0" w:type="dxa"/>
              <w:left w:w="108" w:type="dxa"/>
              <w:bottom w:w="0" w:type="dxa"/>
              <w:right w:w="108" w:type="dxa"/>
            </w:tcMar>
            <w:vAlign w:val="center"/>
          </w:tcPr>
          <w:p w14:paraId="4A457B40">
            <w:pPr>
              <w:pStyle w:val="299"/>
              <w:jc w:val="center"/>
              <w:rPr>
                <w:rFonts w:asciiTheme="minorEastAsia" w:hAnsiTheme="minorEastAsia" w:eastAsiaTheme="minorEastAsia"/>
                <w:szCs w:val="21"/>
              </w:rPr>
            </w:pPr>
          </w:p>
        </w:tc>
        <w:tc>
          <w:tcPr>
            <w:tcW w:w="1062" w:type="dxa"/>
            <w:vAlign w:val="center"/>
          </w:tcPr>
          <w:p w14:paraId="36D1B9B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hint="eastAsia" w:asciiTheme="minorEastAsia" w:hAnsiTheme="minorEastAsia" w:eastAsiaTheme="minorEastAsia"/>
                <w:szCs w:val="21"/>
              </w:rPr>
              <w:t>6</w:t>
            </w:r>
            <w:r>
              <w:rPr>
                <w:rFonts w:asciiTheme="minorEastAsia" w:hAnsiTheme="minorEastAsia" w:eastAsiaTheme="minorEastAsia"/>
                <w:szCs w:val="21"/>
              </w:rPr>
              <w:t>.2</w:t>
            </w:r>
          </w:p>
        </w:tc>
      </w:tr>
      <w:tr w14:paraId="40B8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00" w:type="dxa"/>
            <w:vAlign w:val="center"/>
          </w:tcPr>
          <w:p w14:paraId="21F9C65F">
            <w:pPr>
              <w:pStyle w:val="299"/>
              <w:jc w:val="center"/>
              <w:rPr>
                <w:rFonts w:asciiTheme="minorEastAsia" w:hAnsiTheme="minorEastAsia" w:eastAsiaTheme="minorEastAsia"/>
                <w:szCs w:val="21"/>
              </w:rPr>
            </w:pPr>
          </w:p>
        </w:tc>
        <w:tc>
          <w:tcPr>
            <w:tcW w:w="679" w:type="dxa"/>
            <w:tcMar>
              <w:top w:w="0" w:type="dxa"/>
              <w:left w:w="108" w:type="dxa"/>
              <w:bottom w:w="0" w:type="dxa"/>
              <w:right w:w="108" w:type="dxa"/>
            </w:tcMar>
            <w:vAlign w:val="center"/>
          </w:tcPr>
          <w:p w14:paraId="44E9FC74">
            <w:pPr>
              <w:pStyle w:val="299"/>
              <w:jc w:val="center"/>
              <w:rPr>
                <w:rFonts w:asciiTheme="minorEastAsia" w:hAnsiTheme="minorEastAsia" w:eastAsiaTheme="minorEastAsia"/>
                <w:szCs w:val="21"/>
              </w:rPr>
            </w:pPr>
          </w:p>
        </w:tc>
        <w:tc>
          <w:tcPr>
            <w:tcW w:w="1270" w:type="dxa"/>
            <w:tcMar>
              <w:top w:w="0" w:type="dxa"/>
              <w:left w:w="108" w:type="dxa"/>
              <w:bottom w:w="0" w:type="dxa"/>
              <w:right w:w="108" w:type="dxa"/>
            </w:tcMar>
            <w:vAlign w:val="center"/>
          </w:tcPr>
          <w:p w14:paraId="1D494F58">
            <w:pPr>
              <w:pStyle w:val="299"/>
              <w:jc w:val="center"/>
              <w:rPr>
                <w:rFonts w:asciiTheme="minorEastAsia" w:hAnsiTheme="minorEastAsia" w:eastAsiaTheme="minorEastAsia"/>
                <w:szCs w:val="21"/>
              </w:rPr>
            </w:pPr>
          </w:p>
        </w:tc>
        <w:tc>
          <w:tcPr>
            <w:tcW w:w="645" w:type="dxa"/>
            <w:tcMar>
              <w:top w:w="0" w:type="dxa"/>
              <w:left w:w="108" w:type="dxa"/>
              <w:bottom w:w="0" w:type="dxa"/>
              <w:right w:w="108" w:type="dxa"/>
            </w:tcMar>
            <w:vAlign w:val="center"/>
          </w:tcPr>
          <w:p w14:paraId="236D2343">
            <w:pPr>
              <w:pStyle w:val="299"/>
              <w:jc w:val="center"/>
              <w:rPr>
                <w:rFonts w:asciiTheme="minorEastAsia" w:hAnsiTheme="minorEastAsia" w:eastAsiaTheme="minorEastAsia"/>
                <w:szCs w:val="21"/>
              </w:rPr>
            </w:pPr>
          </w:p>
        </w:tc>
        <w:tc>
          <w:tcPr>
            <w:tcW w:w="1141" w:type="dxa"/>
            <w:tcMar>
              <w:top w:w="0" w:type="dxa"/>
              <w:left w:w="108" w:type="dxa"/>
              <w:bottom w:w="0" w:type="dxa"/>
              <w:right w:w="108" w:type="dxa"/>
            </w:tcMar>
            <w:vAlign w:val="center"/>
          </w:tcPr>
          <w:p w14:paraId="394A0080">
            <w:pPr>
              <w:widowControl/>
              <w:spacing w:line="400" w:lineRule="exact"/>
              <w:jc w:val="left"/>
              <w:rPr>
                <w:rFonts w:ascii="宋体" w:hAnsi="宋体"/>
                <w:szCs w:val="21"/>
              </w:rPr>
            </w:pPr>
            <w:r>
              <w:rPr>
                <w:rFonts w:hint="eastAsia" w:ascii="宋体" w:hAnsi="宋体"/>
                <w:szCs w:val="21"/>
              </w:rPr>
              <w:t>□新建</w:t>
            </w:r>
          </w:p>
          <w:p w14:paraId="755D111C">
            <w:pPr>
              <w:jc w:val="left"/>
              <w:rPr>
                <w:rFonts w:ascii="宋体" w:hAnsi="宋体" w:cs="宋体"/>
                <w:szCs w:val="21"/>
              </w:rPr>
            </w:pPr>
            <w:r>
              <w:rPr>
                <w:rFonts w:hint="eastAsia" w:ascii="宋体" w:hAnsi="宋体"/>
                <w:szCs w:val="21"/>
              </w:rPr>
              <w:t>□改扩建</w:t>
            </w:r>
          </w:p>
        </w:tc>
        <w:tc>
          <w:tcPr>
            <w:tcW w:w="764" w:type="dxa"/>
            <w:tcMar>
              <w:top w:w="0" w:type="dxa"/>
              <w:left w:w="108" w:type="dxa"/>
              <w:bottom w:w="0" w:type="dxa"/>
              <w:right w:w="108" w:type="dxa"/>
            </w:tcMar>
            <w:vAlign w:val="center"/>
          </w:tcPr>
          <w:p w14:paraId="70B49697">
            <w:pPr>
              <w:pStyle w:val="299"/>
              <w:jc w:val="center"/>
              <w:rPr>
                <w:rFonts w:asciiTheme="minorEastAsia" w:hAnsiTheme="minorEastAsia" w:eastAsiaTheme="minorEastAsia"/>
                <w:szCs w:val="21"/>
              </w:rPr>
            </w:pPr>
          </w:p>
        </w:tc>
        <w:tc>
          <w:tcPr>
            <w:tcW w:w="861" w:type="dxa"/>
          </w:tcPr>
          <w:p w14:paraId="3D1C16AB">
            <w:pPr>
              <w:pStyle w:val="299"/>
              <w:jc w:val="center"/>
              <w:rPr>
                <w:rFonts w:asciiTheme="minorEastAsia" w:hAnsiTheme="minorEastAsia" w:eastAsiaTheme="minorEastAsia"/>
                <w:szCs w:val="21"/>
              </w:rPr>
            </w:pPr>
          </w:p>
        </w:tc>
        <w:tc>
          <w:tcPr>
            <w:tcW w:w="656" w:type="dxa"/>
            <w:tcMar>
              <w:top w:w="0" w:type="dxa"/>
              <w:left w:w="108" w:type="dxa"/>
              <w:bottom w:w="0" w:type="dxa"/>
              <w:right w:w="108" w:type="dxa"/>
            </w:tcMar>
            <w:vAlign w:val="center"/>
          </w:tcPr>
          <w:p w14:paraId="1EF36D0D">
            <w:pPr>
              <w:pStyle w:val="299"/>
              <w:jc w:val="center"/>
              <w:rPr>
                <w:rFonts w:asciiTheme="minorEastAsia" w:hAnsiTheme="minorEastAsia" w:eastAsiaTheme="minorEastAsia"/>
                <w:szCs w:val="21"/>
              </w:rPr>
            </w:pPr>
          </w:p>
        </w:tc>
        <w:tc>
          <w:tcPr>
            <w:tcW w:w="936" w:type="dxa"/>
            <w:vAlign w:val="center"/>
          </w:tcPr>
          <w:p w14:paraId="64B0F2D0">
            <w:pPr>
              <w:pStyle w:val="299"/>
              <w:jc w:val="center"/>
              <w:rPr>
                <w:rFonts w:asciiTheme="minorEastAsia" w:hAnsiTheme="minorEastAsia" w:eastAsiaTheme="minorEastAsia"/>
                <w:szCs w:val="21"/>
              </w:rPr>
            </w:pPr>
          </w:p>
        </w:tc>
        <w:tc>
          <w:tcPr>
            <w:tcW w:w="990" w:type="dxa"/>
          </w:tcPr>
          <w:p w14:paraId="416D1802">
            <w:pPr>
              <w:pStyle w:val="299"/>
              <w:jc w:val="center"/>
              <w:rPr>
                <w:rFonts w:asciiTheme="minorEastAsia" w:hAnsiTheme="minorEastAsia" w:eastAsiaTheme="minorEastAsia"/>
                <w:szCs w:val="21"/>
              </w:rPr>
            </w:pPr>
          </w:p>
        </w:tc>
        <w:tc>
          <w:tcPr>
            <w:tcW w:w="1420" w:type="dxa"/>
          </w:tcPr>
          <w:p w14:paraId="6B861056">
            <w:pPr>
              <w:pStyle w:val="299"/>
              <w:jc w:val="center"/>
              <w:rPr>
                <w:rFonts w:asciiTheme="minorEastAsia" w:hAnsiTheme="minorEastAsia" w:eastAsiaTheme="minorEastAsia"/>
                <w:szCs w:val="21"/>
              </w:rPr>
            </w:pPr>
          </w:p>
        </w:tc>
        <w:tc>
          <w:tcPr>
            <w:tcW w:w="1399" w:type="dxa"/>
          </w:tcPr>
          <w:p w14:paraId="084F8BF3">
            <w:pPr>
              <w:pStyle w:val="299"/>
              <w:jc w:val="center"/>
              <w:rPr>
                <w:rFonts w:asciiTheme="minorEastAsia" w:hAnsiTheme="minorEastAsia" w:eastAsiaTheme="minorEastAsia"/>
                <w:szCs w:val="21"/>
              </w:rPr>
            </w:pPr>
          </w:p>
        </w:tc>
        <w:tc>
          <w:tcPr>
            <w:tcW w:w="818" w:type="dxa"/>
          </w:tcPr>
          <w:p w14:paraId="0C9E332F">
            <w:pPr>
              <w:pStyle w:val="299"/>
              <w:jc w:val="center"/>
              <w:rPr>
                <w:rFonts w:asciiTheme="minorEastAsia" w:hAnsiTheme="minorEastAsia" w:eastAsiaTheme="minorEastAsia"/>
                <w:szCs w:val="21"/>
              </w:rPr>
            </w:pPr>
          </w:p>
        </w:tc>
        <w:tc>
          <w:tcPr>
            <w:tcW w:w="871" w:type="dxa"/>
            <w:tcMar>
              <w:top w:w="0" w:type="dxa"/>
              <w:left w:w="108" w:type="dxa"/>
              <w:bottom w:w="0" w:type="dxa"/>
              <w:right w:w="108" w:type="dxa"/>
            </w:tcMar>
            <w:vAlign w:val="center"/>
          </w:tcPr>
          <w:p w14:paraId="5AA52AD1">
            <w:pPr>
              <w:pStyle w:val="299"/>
              <w:jc w:val="center"/>
              <w:rPr>
                <w:rFonts w:asciiTheme="minorEastAsia" w:hAnsiTheme="minorEastAsia" w:eastAsiaTheme="minorEastAsia"/>
                <w:szCs w:val="21"/>
              </w:rPr>
            </w:pPr>
          </w:p>
        </w:tc>
        <w:tc>
          <w:tcPr>
            <w:tcW w:w="1062" w:type="dxa"/>
            <w:vAlign w:val="center"/>
          </w:tcPr>
          <w:p w14:paraId="0E99924A">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hint="eastAsia" w:asciiTheme="minorEastAsia" w:hAnsiTheme="minorEastAsia" w:eastAsiaTheme="minorEastAsia"/>
                <w:szCs w:val="21"/>
              </w:rPr>
              <w:t>6</w:t>
            </w:r>
            <w:r>
              <w:rPr>
                <w:rFonts w:asciiTheme="minorEastAsia" w:hAnsiTheme="minorEastAsia" w:eastAsiaTheme="minorEastAsia"/>
                <w:szCs w:val="21"/>
              </w:rPr>
              <w:t>.3</w:t>
            </w:r>
          </w:p>
        </w:tc>
      </w:tr>
      <w:tr w14:paraId="777E8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00" w:type="dxa"/>
            <w:vAlign w:val="center"/>
          </w:tcPr>
          <w:p w14:paraId="48DFBA87">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79" w:type="dxa"/>
            <w:tcMar>
              <w:top w:w="0" w:type="dxa"/>
              <w:left w:w="108" w:type="dxa"/>
              <w:bottom w:w="0" w:type="dxa"/>
              <w:right w:w="108" w:type="dxa"/>
            </w:tcMar>
            <w:vAlign w:val="center"/>
          </w:tcPr>
          <w:p w14:paraId="5C53A35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270" w:type="dxa"/>
            <w:tcMar>
              <w:top w:w="0" w:type="dxa"/>
              <w:left w:w="108" w:type="dxa"/>
              <w:bottom w:w="0" w:type="dxa"/>
              <w:right w:w="108" w:type="dxa"/>
            </w:tcMar>
            <w:vAlign w:val="center"/>
          </w:tcPr>
          <w:p w14:paraId="6E03427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45" w:type="dxa"/>
            <w:tcMar>
              <w:top w:w="0" w:type="dxa"/>
              <w:left w:w="108" w:type="dxa"/>
              <w:bottom w:w="0" w:type="dxa"/>
              <w:right w:w="108" w:type="dxa"/>
            </w:tcMar>
            <w:vAlign w:val="center"/>
          </w:tcPr>
          <w:p w14:paraId="28207861">
            <w:pPr>
              <w:pStyle w:val="299"/>
              <w:jc w:val="center"/>
              <w:rPr>
                <w:rFonts w:cs="宋体" w:asciiTheme="minorEastAsia" w:hAnsiTheme="minorEastAsia" w:eastAsiaTheme="minorEastAsia"/>
                <w:kern w:val="0"/>
                <w:szCs w:val="21"/>
              </w:rPr>
            </w:pPr>
            <w:r>
              <w:rPr>
                <w:rFonts w:hint="eastAsia" w:ascii="宋体" w:hAnsi="宋体" w:cs="宋体"/>
                <w:kern w:val="0"/>
                <w:szCs w:val="21"/>
              </w:rPr>
              <w:t>…</w:t>
            </w:r>
          </w:p>
        </w:tc>
        <w:tc>
          <w:tcPr>
            <w:tcW w:w="1141" w:type="dxa"/>
            <w:tcMar>
              <w:top w:w="0" w:type="dxa"/>
              <w:left w:w="108" w:type="dxa"/>
              <w:bottom w:w="0" w:type="dxa"/>
              <w:right w:w="108" w:type="dxa"/>
            </w:tcMar>
            <w:vAlign w:val="center"/>
          </w:tcPr>
          <w:p w14:paraId="4810A398">
            <w:pPr>
              <w:jc w:val="center"/>
              <w:rPr>
                <w:rFonts w:ascii="宋体" w:hAnsi="宋体" w:cs="宋体"/>
                <w:kern w:val="0"/>
                <w:szCs w:val="21"/>
              </w:rPr>
            </w:pPr>
            <w:r>
              <w:rPr>
                <w:rFonts w:hint="eastAsia" w:ascii="宋体" w:hAnsi="宋体" w:cs="宋体"/>
                <w:kern w:val="0"/>
                <w:szCs w:val="21"/>
              </w:rPr>
              <w:t>…</w:t>
            </w:r>
          </w:p>
        </w:tc>
        <w:tc>
          <w:tcPr>
            <w:tcW w:w="764" w:type="dxa"/>
            <w:tcMar>
              <w:top w:w="0" w:type="dxa"/>
              <w:left w:w="108" w:type="dxa"/>
              <w:bottom w:w="0" w:type="dxa"/>
              <w:right w:w="108" w:type="dxa"/>
            </w:tcMar>
            <w:vAlign w:val="center"/>
          </w:tcPr>
          <w:p w14:paraId="6105C3CE">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61" w:type="dxa"/>
            <w:vAlign w:val="center"/>
          </w:tcPr>
          <w:p w14:paraId="00A4DDF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56" w:type="dxa"/>
            <w:tcMar>
              <w:top w:w="0" w:type="dxa"/>
              <w:left w:w="108" w:type="dxa"/>
              <w:bottom w:w="0" w:type="dxa"/>
              <w:right w:w="108" w:type="dxa"/>
            </w:tcMar>
            <w:vAlign w:val="center"/>
          </w:tcPr>
          <w:p w14:paraId="5981D5D0">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936" w:type="dxa"/>
            <w:vAlign w:val="center"/>
          </w:tcPr>
          <w:p w14:paraId="5A36673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990" w:type="dxa"/>
            <w:vAlign w:val="center"/>
          </w:tcPr>
          <w:p w14:paraId="2315A1D4">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420" w:type="dxa"/>
            <w:vAlign w:val="center"/>
          </w:tcPr>
          <w:p w14:paraId="23458EDF">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399" w:type="dxa"/>
            <w:vAlign w:val="center"/>
          </w:tcPr>
          <w:p w14:paraId="55189289">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818" w:type="dxa"/>
            <w:vAlign w:val="center"/>
          </w:tcPr>
          <w:p w14:paraId="6A2935D5">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871" w:type="dxa"/>
            <w:tcMar>
              <w:top w:w="0" w:type="dxa"/>
              <w:left w:w="108" w:type="dxa"/>
              <w:bottom w:w="0" w:type="dxa"/>
              <w:right w:w="108" w:type="dxa"/>
            </w:tcMar>
            <w:vAlign w:val="center"/>
          </w:tcPr>
          <w:p w14:paraId="1851A202">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62" w:type="dxa"/>
            <w:vAlign w:val="center"/>
          </w:tcPr>
          <w:p w14:paraId="25FD3E1B">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246E8859">
      <w:pPr>
        <w:pStyle w:val="299"/>
      </w:pPr>
    </w:p>
    <w:p w14:paraId="0BEA431B">
      <w:pPr>
        <w:pStyle w:val="299"/>
        <w:spacing w:line="300" w:lineRule="exact"/>
        <w:ind w:left="0" w:leftChars="0" w:firstLine="0" w:firstLineChars="0"/>
        <w:rPr>
          <w:rFonts w:ascii="宋体" w:hAnsi="宋体" w:cs="宋体"/>
          <w:spacing w:val="-3"/>
        </w:rPr>
      </w:pPr>
      <w:r>
        <w:rPr>
          <w:rFonts w:hint="eastAsia" w:ascii="宋体" w:hAnsi="宋体"/>
        </w:rPr>
        <w:t>注：</w:t>
      </w:r>
      <w:r>
        <w:rPr>
          <w:rFonts w:ascii="宋体" w:hAnsi="宋体"/>
        </w:rPr>
        <w:t>1.投标人</w:t>
      </w:r>
      <w:r>
        <w:rPr>
          <w:rFonts w:hint="eastAsia" w:ascii="宋体" w:hAnsi="宋体"/>
        </w:rPr>
        <w:t>应</w:t>
      </w:r>
      <w:r>
        <w:rPr>
          <w:rFonts w:ascii="宋体" w:hAnsi="宋体"/>
        </w:rPr>
        <w:t>在表后</w:t>
      </w:r>
      <w:r>
        <w:rPr>
          <w:rFonts w:hint="eastAsia" w:ascii="宋体" w:hAnsi="宋体"/>
        </w:rPr>
        <w:t>提供相关业绩情况证明材料附件</w:t>
      </w:r>
      <w:r>
        <w:rPr>
          <w:rFonts w:ascii="宋体" w:hAnsi="宋体"/>
        </w:rPr>
        <w:t>C</w:t>
      </w:r>
      <w:r>
        <w:rPr>
          <w:rFonts w:hint="eastAsia" w:cs="宋体" w:asciiTheme="minorEastAsia" w:hAnsiTheme="minorEastAsia" w:eastAsiaTheme="minorEastAsia"/>
          <w:szCs w:val="21"/>
          <w:lang w:val="en-US" w:eastAsia="zh-CN"/>
        </w:rPr>
        <w:t>2-</w:t>
      </w:r>
      <w:r>
        <w:rPr>
          <w:rFonts w:hint="eastAsia" w:ascii="宋体" w:hAnsi="宋体"/>
        </w:rPr>
        <w:t>6系列</w:t>
      </w:r>
      <w:r>
        <w:rPr>
          <w:rFonts w:hint="eastAsia" w:ascii="宋体" w:hAnsi="宋体" w:cs="宋体"/>
        </w:rPr>
        <w:t>［</w:t>
      </w:r>
      <w:r>
        <w:rPr>
          <w:rFonts w:hint="eastAsia" w:ascii="宋体" w:hAnsi="宋体"/>
        </w:rPr>
        <w:t>机电工程（含隧道机电）施工项目业绩</w:t>
      </w:r>
      <w:r>
        <w:rPr>
          <w:rFonts w:hint="eastAsia" w:ascii="宋体" w:hAnsi="宋体" w:cs="宋体"/>
        </w:rPr>
        <w:t>]</w:t>
      </w:r>
      <w:r>
        <w:rPr>
          <w:rFonts w:hint="eastAsia" w:ascii="宋体" w:hAnsi="宋体" w:cs="宋体"/>
          <w:spacing w:val="-3"/>
        </w:rPr>
        <w:t>：</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cs="宋体"/>
          <w:lang w:eastAsia="zh-CN"/>
        </w:rPr>
        <w:t>（</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lang w:eastAsia="zh-CN"/>
        </w:rPr>
        <w:t>）</w:t>
      </w:r>
      <w:r>
        <w:rPr>
          <w:rFonts w:hint="eastAsia" w:ascii="宋体" w:hAnsi="宋体"/>
          <w:szCs w:val="21"/>
        </w:rPr>
        <w:t>。</w:t>
      </w:r>
    </w:p>
    <w:p w14:paraId="198F2162">
      <w:pPr>
        <w:pStyle w:val="299"/>
        <w:spacing w:line="300" w:lineRule="exact"/>
        <w:ind w:firstLine="408" w:firstLineChars="200"/>
        <w:rPr>
          <w:rFonts w:ascii="宋体" w:hAnsi="宋体"/>
        </w:rPr>
      </w:pPr>
      <w:r>
        <w:rPr>
          <w:rFonts w:hint="eastAsia" w:ascii="宋体" w:hAnsi="宋体" w:cs="宋体"/>
          <w:spacing w:val="-3"/>
        </w:rPr>
        <w:t>2.因投标人自身原因未提供附件或提供的附件不能与所证明的内容相匹配，造成业绩或其他内容不予认可时，投标人自行承担相关责任</w:t>
      </w:r>
      <w:r>
        <w:rPr>
          <w:rFonts w:hint="eastAsia" w:ascii="宋体" w:hAnsi="宋体"/>
        </w:rPr>
        <w:t>。</w:t>
      </w:r>
    </w:p>
    <w:p w14:paraId="2D7CB398">
      <w:pPr>
        <w:pStyle w:val="299"/>
        <w:spacing w:line="300" w:lineRule="exact"/>
        <w:ind w:firstLine="420" w:firstLineChars="200"/>
        <w:rPr>
          <w:rFonts w:ascii="宋体" w:hAnsi="宋体"/>
        </w:rPr>
      </w:pPr>
      <w:r>
        <w:rPr>
          <w:rFonts w:hint="eastAsia" w:ascii="宋体" w:hAnsi="宋体"/>
        </w:rPr>
        <w:t>3</w:t>
      </w:r>
      <w:r>
        <w:rPr>
          <w:rFonts w:ascii="宋体" w:hAnsi="宋体"/>
        </w:rPr>
        <w:t>.</w:t>
      </w:r>
      <w:r>
        <w:rPr>
          <w:rFonts w:hint="eastAsia" w:ascii="宋体" w:hAnsi="宋体"/>
        </w:rPr>
        <w:t>本表所列合同价格一般为项目结算价格，无结算价格的以签约合同价格为准。</w:t>
      </w:r>
    </w:p>
    <w:p w14:paraId="15634629">
      <w:pPr>
        <w:pStyle w:val="299"/>
        <w:spacing w:line="300" w:lineRule="exact"/>
        <w:ind w:firstLine="420" w:firstLineChars="200"/>
        <w:rPr>
          <w:rFonts w:ascii="宋体" w:hAnsi="宋体"/>
        </w:rPr>
      </w:pPr>
      <w:r>
        <w:rPr>
          <w:rFonts w:hint="eastAsia" w:ascii="宋体" w:hAnsi="宋体"/>
        </w:rPr>
        <w:t>4</w:t>
      </w:r>
      <w:r>
        <w:rPr>
          <w:rFonts w:ascii="宋体" w:hAnsi="宋体"/>
        </w:rPr>
        <w:t>.</w:t>
      </w:r>
      <w:r>
        <w:rPr>
          <w:rFonts w:hint="eastAsia" w:ascii="宋体" w:hAnsi="宋体" w:cs="宋体"/>
          <w:spacing w:val="-3"/>
          <w:lang w:bidi="ar"/>
        </w:rPr>
        <w:t>公路机电工程（含隧道机电）可为合同中包含的施工内容或单独公路机电工程（含隧道机电）合同的项目。</w:t>
      </w:r>
    </w:p>
    <w:p w14:paraId="38F5E4E7">
      <w:pPr>
        <w:pStyle w:val="299"/>
        <w:spacing w:line="300" w:lineRule="exact"/>
        <w:ind w:firstLine="420" w:firstLineChars="200"/>
        <w:rPr>
          <w:rFonts w:ascii="宋体" w:hAnsi="宋体"/>
        </w:rPr>
      </w:pPr>
      <w:r>
        <w:rPr>
          <w:rFonts w:hint="eastAsia" w:ascii="宋体" w:hAnsi="宋体"/>
        </w:rPr>
        <w:t>5.如近年来，投标人法人机构发生合法变更或重组或法人名称变更时，应提供相关部门的合法批件或其他相关证明材料来证明其所附业绩的继承性。</w:t>
      </w:r>
    </w:p>
    <w:p w14:paraId="6E88B3B2">
      <w:pPr>
        <w:pStyle w:val="299"/>
        <w:spacing w:line="3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填写的格式统一以阿拉伯数字表示。如：2021年5月1日，填写为20210501；2021年5月，填写为202105。</w:t>
      </w:r>
    </w:p>
    <w:p w14:paraId="7DD29987">
      <w:pPr>
        <w:pStyle w:val="299"/>
        <w:spacing w:line="300" w:lineRule="exact"/>
        <w:ind w:firstLine="420" w:firstLineChars="200"/>
        <w:rPr>
          <w:rFonts w:hint="eastAsia"/>
          <w:szCs w:val="21"/>
        </w:rPr>
      </w:pPr>
      <w:r>
        <w:rPr>
          <w:rFonts w:hint="eastAsia" w:ascii="宋体" w:hAnsi="宋体" w:cs="宋体"/>
          <w:szCs w:val="21"/>
        </w:rPr>
        <w:t>7.机电工程施工系统类型应是“监控系统、通信系统、收费系统”中的一种或多种；隧道机电工程施工系统类型应是隧道“监控系统、通风系统、供配电系统、照明系统、消防系统、其他”中的一种或多种。</w:t>
      </w:r>
      <w:r>
        <w:rPr>
          <w:rFonts w:hint="eastAsia" w:ascii="宋体" w:hAnsi="宋体" w:cs="宋体"/>
        </w:rPr>
        <w:t>对于具有双洞的隧道，其承担隧道长度以左右线隧道长度较长的为准；若只有单洞的，则以承担单洞隧道长度数据为准。隧道单洞长度不含</w:t>
      </w:r>
      <w:r>
        <w:rPr>
          <w:rFonts w:hint="eastAsia"/>
          <w:szCs w:val="21"/>
        </w:rPr>
        <w:t>斜井、竖井、支洞。</w:t>
      </w:r>
    </w:p>
    <w:p w14:paraId="73872038">
      <w:pPr>
        <w:pStyle w:val="299"/>
        <w:spacing w:line="300" w:lineRule="exact"/>
        <w:ind w:firstLine="420" w:firstLineChars="200"/>
        <w:rPr>
          <w:rFonts w:ascii="黑体" w:hAnsi="黑体" w:eastAsia="黑体" w:cs="宋体"/>
        </w:rPr>
      </w:pPr>
      <w:r>
        <w:rPr>
          <w:rFonts w:hint="eastAsia" w:ascii="宋体" w:hAnsi="宋体" w:cs="宋体"/>
        </w:rPr>
        <w:t>8</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r>
        <w:rPr>
          <w:rFonts w:hint="eastAsia" w:ascii="黑体" w:hAnsi="黑体" w:eastAsia="黑体" w:cs="宋体"/>
          <w:b/>
          <w:sz w:val="24"/>
        </w:rPr>
        <w:t xml:space="preserve"> </w:t>
      </w:r>
      <w:r>
        <w:rPr>
          <w:rFonts w:ascii="黑体" w:hAnsi="黑体" w:eastAsia="黑体" w:cs="宋体"/>
          <w:b/>
          <w:sz w:val="24"/>
        </w:rPr>
        <w:t xml:space="preserve">  </w:t>
      </w:r>
      <w:r>
        <w:rPr>
          <w:rFonts w:ascii="黑体" w:hAnsi="黑体" w:eastAsia="黑体" w:cs="宋体"/>
        </w:rPr>
        <w:t xml:space="preserve">                        </w:t>
      </w:r>
    </w:p>
    <w:p w14:paraId="1172913E">
      <w:pPr>
        <w:kinsoku w:val="0"/>
        <w:overflowPunct w:val="0"/>
        <w:spacing w:before="189"/>
        <w:jc w:val="center"/>
        <w:rPr>
          <w:rFonts w:ascii="黑体" w:hAnsi="黑体" w:eastAsia="黑体" w:cs="宋体"/>
        </w:rPr>
      </w:pPr>
      <w:r>
        <w:rPr>
          <w:rFonts w:ascii="黑体" w:hAnsi="黑体" w:eastAsia="黑体" w:cs="宋体"/>
        </w:rPr>
        <w:br w:type="page"/>
      </w:r>
    </w:p>
    <w:p w14:paraId="3D562700">
      <w:pPr>
        <w:pStyle w:val="20"/>
        <w:kinsoku w:val="0"/>
        <w:overflowPunct w:val="0"/>
        <w:spacing w:before="189" w:line="360" w:lineRule="auto"/>
        <w:jc w:val="center"/>
        <w:rPr>
          <w:rFonts w:hint="eastAsia" w:eastAsia="黑体" w:cs="黑体"/>
          <w:sz w:val="15"/>
          <w:szCs w:val="15"/>
          <w:lang w:eastAsia="zh-CN"/>
        </w:rPr>
      </w:pPr>
      <w:r>
        <w:rPr>
          <w:rFonts w:hint="eastAsia" w:ascii="黑体" w:hAnsi="黑体" w:eastAsia="黑体" w:cs="宋体"/>
          <w:b/>
          <w:bCs/>
          <w:lang w:eastAsia="zh-CN"/>
        </w:rPr>
        <w:t>□</w:t>
      </w:r>
      <w:r>
        <w:rPr>
          <w:rFonts w:ascii="黑体" w:hAnsi="黑体" w:eastAsia="黑体" w:cs="宋体"/>
          <w:b/>
          <w:bCs/>
        </w:rPr>
        <w:t xml:space="preserve"> </w:t>
      </w:r>
      <w:r>
        <w:rPr>
          <w:rFonts w:hint="eastAsia" w:ascii="黑体" w:hAnsi="黑体" w:eastAsia="黑体" w:cs="宋体"/>
        </w:rPr>
        <w:t xml:space="preserve">近年完成房屋建筑工程施工业绩情况  </w:t>
      </w:r>
      <w:r>
        <w:rPr>
          <w:rFonts w:ascii="黑体" w:hAnsi="黑体" w:eastAsia="黑体" w:cs="宋体"/>
        </w:rPr>
        <w:t xml:space="preserve">                            </w:t>
      </w:r>
      <w:r>
        <w:rPr>
          <w:rFonts w:hint="eastAsia" w:ascii="黑体" w:hAnsi="黑体" w:eastAsia="黑体" w:cs="宋体"/>
        </w:rPr>
        <w:t>表</w:t>
      </w:r>
      <w:r>
        <w:rPr>
          <w:rFonts w:ascii="黑体" w:hAnsi="黑体" w:eastAsia="黑体" w:cs="宋体"/>
        </w:rPr>
        <w:t>2-</w:t>
      </w:r>
      <w:r>
        <w:rPr>
          <w:rFonts w:hint="eastAsia" w:ascii="黑体" w:hAnsi="黑体" w:eastAsia="黑体" w:cs="宋体"/>
          <w:lang w:val="en-US" w:eastAsia="zh-CN"/>
        </w:rPr>
        <w:t>7</w:t>
      </w:r>
    </w:p>
    <w:tbl>
      <w:tblPr>
        <w:tblStyle w:val="49"/>
        <w:tblW w:w="137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766"/>
        <w:gridCol w:w="1320"/>
        <w:gridCol w:w="727"/>
        <w:gridCol w:w="1078"/>
        <w:gridCol w:w="925"/>
        <w:gridCol w:w="1078"/>
        <w:gridCol w:w="1078"/>
        <w:gridCol w:w="966"/>
        <w:gridCol w:w="1115"/>
        <w:gridCol w:w="959"/>
        <w:gridCol w:w="956"/>
        <w:gridCol w:w="1116"/>
        <w:gridCol w:w="1158"/>
      </w:tblGrid>
      <w:tr w14:paraId="4249C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51" w:type="dxa"/>
            <w:vMerge w:val="restart"/>
            <w:vAlign w:val="center"/>
          </w:tcPr>
          <w:p w14:paraId="6B27A396">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766" w:type="dxa"/>
            <w:vMerge w:val="restart"/>
            <w:tcMar>
              <w:top w:w="0" w:type="dxa"/>
              <w:left w:w="108" w:type="dxa"/>
              <w:bottom w:w="0" w:type="dxa"/>
              <w:right w:w="108" w:type="dxa"/>
            </w:tcMar>
            <w:vAlign w:val="center"/>
          </w:tcPr>
          <w:p w14:paraId="5BD7F75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w:t>
            </w:r>
          </w:p>
          <w:p w14:paraId="642A78F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业主</w:t>
            </w:r>
          </w:p>
        </w:tc>
        <w:tc>
          <w:tcPr>
            <w:tcW w:w="1320" w:type="dxa"/>
            <w:vMerge w:val="restart"/>
            <w:tcMar>
              <w:top w:w="0" w:type="dxa"/>
              <w:left w:w="108" w:type="dxa"/>
              <w:bottom w:w="0" w:type="dxa"/>
              <w:right w:w="108" w:type="dxa"/>
            </w:tcMar>
            <w:vAlign w:val="center"/>
          </w:tcPr>
          <w:p w14:paraId="29ED620C">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7" w:type="dxa"/>
            <w:vMerge w:val="restart"/>
            <w:tcMar>
              <w:top w:w="0" w:type="dxa"/>
              <w:left w:w="108" w:type="dxa"/>
              <w:bottom w:w="0" w:type="dxa"/>
              <w:right w:w="108" w:type="dxa"/>
            </w:tcMar>
            <w:vAlign w:val="center"/>
          </w:tcPr>
          <w:p w14:paraId="50C65DC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1078" w:type="dxa"/>
            <w:vMerge w:val="restart"/>
            <w:vAlign w:val="center"/>
          </w:tcPr>
          <w:p w14:paraId="5547C95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925" w:type="dxa"/>
            <w:vMerge w:val="restart"/>
            <w:tcMar>
              <w:top w:w="0" w:type="dxa"/>
              <w:left w:w="108" w:type="dxa"/>
              <w:bottom w:w="0" w:type="dxa"/>
              <w:right w:w="108" w:type="dxa"/>
            </w:tcMar>
            <w:vAlign w:val="center"/>
          </w:tcPr>
          <w:p w14:paraId="0FDD9469">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开工</w:t>
            </w:r>
          </w:p>
          <w:p w14:paraId="3C4FE407">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078" w:type="dxa"/>
            <w:vMerge w:val="restart"/>
            <w:vAlign w:val="center"/>
          </w:tcPr>
          <w:p w14:paraId="6AE64768">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完成（交工）日期</w:t>
            </w:r>
          </w:p>
        </w:tc>
        <w:tc>
          <w:tcPr>
            <w:tcW w:w="1078" w:type="dxa"/>
            <w:vMerge w:val="restart"/>
            <w:vAlign w:val="center"/>
          </w:tcPr>
          <w:p w14:paraId="34096CD3">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3040" w:type="dxa"/>
            <w:gridSpan w:val="3"/>
            <w:vAlign w:val="center"/>
          </w:tcPr>
          <w:p w14:paraId="2AA5AF53">
            <w:pPr>
              <w:pStyle w:val="299"/>
              <w:jc w:val="center"/>
              <w:rPr>
                <w:rFonts w:cs="宋体" w:asciiTheme="minorEastAsia" w:hAnsiTheme="minorEastAsia" w:eastAsiaTheme="minorEastAsia"/>
                <w:kern w:val="0"/>
                <w:szCs w:val="21"/>
              </w:rPr>
            </w:pPr>
            <w:r>
              <w:rPr>
                <w:rFonts w:hint="eastAsia" w:ascii="宋体" w:hAnsi="宋体"/>
                <w:szCs w:val="21"/>
              </w:rPr>
              <w:t>房建工程</w:t>
            </w:r>
          </w:p>
        </w:tc>
        <w:tc>
          <w:tcPr>
            <w:tcW w:w="956" w:type="dxa"/>
            <w:vMerge w:val="restart"/>
            <w:vAlign w:val="center"/>
          </w:tcPr>
          <w:p w14:paraId="48B864F2">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w:t>
            </w:r>
          </w:p>
          <w:p w14:paraId="0105CDD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经理</w:t>
            </w:r>
          </w:p>
        </w:tc>
        <w:tc>
          <w:tcPr>
            <w:tcW w:w="1116" w:type="dxa"/>
            <w:vMerge w:val="restart"/>
            <w:tcMar>
              <w:top w:w="0" w:type="dxa"/>
              <w:left w:w="108" w:type="dxa"/>
              <w:bottom w:w="0" w:type="dxa"/>
              <w:right w:w="108" w:type="dxa"/>
            </w:tcMar>
            <w:vAlign w:val="center"/>
          </w:tcPr>
          <w:p w14:paraId="1313A141">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w:t>
            </w:r>
          </w:p>
          <w:p w14:paraId="7CE66CCB">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总工</w:t>
            </w:r>
          </w:p>
        </w:tc>
        <w:tc>
          <w:tcPr>
            <w:tcW w:w="1158" w:type="dxa"/>
            <w:vMerge w:val="restart"/>
            <w:vAlign w:val="center"/>
          </w:tcPr>
          <w:p w14:paraId="4640053A">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6337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51" w:type="dxa"/>
            <w:vMerge w:val="continue"/>
            <w:vAlign w:val="center"/>
          </w:tcPr>
          <w:p w14:paraId="73601211">
            <w:pPr>
              <w:pStyle w:val="299"/>
              <w:jc w:val="center"/>
              <w:rPr>
                <w:rFonts w:asciiTheme="minorEastAsia" w:hAnsiTheme="minorEastAsia" w:eastAsiaTheme="minorEastAsia"/>
                <w:szCs w:val="21"/>
              </w:rPr>
            </w:pPr>
          </w:p>
        </w:tc>
        <w:tc>
          <w:tcPr>
            <w:tcW w:w="766" w:type="dxa"/>
            <w:vMerge w:val="continue"/>
            <w:tcMar>
              <w:top w:w="0" w:type="dxa"/>
              <w:left w:w="108" w:type="dxa"/>
              <w:bottom w:w="0" w:type="dxa"/>
              <w:right w:w="108" w:type="dxa"/>
            </w:tcMar>
            <w:vAlign w:val="center"/>
          </w:tcPr>
          <w:p w14:paraId="2814ED9F">
            <w:pPr>
              <w:pStyle w:val="299"/>
              <w:jc w:val="center"/>
              <w:rPr>
                <w:rFonts w:asciiTheme="minorEastAsia" w:hAnsiTheme="minorEastAsia" w:eastAsiaTheme="minorEastAsia"/>
                <w:szCs w:val="21"/>
              </w:rPr>
            </w:pPr>
          </w:p>
        </w:tc>
        <w:tc>
          <w:tcPr>
            <w:tcW w:w="1320" w:type="dxa"/>
            <w:vMerge w:val="continue"/>
            <w:tcMar>
              <w:top w:w="0" w:type="dxa"/>
              <w:left w:w="108" w:type="dxa"/>
              <w:bottom w:w="0" w:type="dxa"/>
              <w:right w:w="108" w:type="dxa"/>
            </w:tcMar>
            <w:vAlign w:val="center"/>
          </w:tcPr>
          <w:p w14:paraId="5DECC168">
            <w:pPr>
              <w:pStyle w:val="299"/>
              <w:jc w:val="center"/>
              <w:rPr>
                <w:rFonts w:asciiTheme="minorEastAsia" w:hAnsiTheme="minorEastAsia" w:eastAsiaTheme="minorEastAsia"/>
                <w:szCs w:val="21"/>
              </w:rPr>
            </w:pPr>
          </w:p>
        </w:tc>
        <w:tc>
          <w:tcPr>
            <w:tcW w:w="727" w:type="dxa"/>
            <w:vMerge w:val="continue"/>
            <w:tcMar>
              <w:top w:w="0" w:type="dxa"/>
              <w:left w:w="108" w:type="dxa"/>
              <w:bottom w:w="0" w:type="dxa"/>
              <w:right w:w="108" w:type="dxa"/>
            </w:tcMar>
            <w:vAlign w:val="center"/>
          </w:tcPr>
          <w:p w14:paraId="2B5A70C9">
            <w:pPr>
              <w:pStyle w:val="299"/>
              <w:jc w:val="center"/>
              <w:rPr>
                <w:rFonts w:asciiTheme="minorEastAsia" w:hAnsiTheme="minorEastAsia" w:eastAsiaTheme="minorEastAsia"/>
                <w:szCs w:val="21"/>
              </w:rPr>
            </w:pPr>
          </w:p>
        </w:tc>
        <w:tc>
          <w:tcPr>
            <w:tcW w:w="1078" w:type="dxa"/>
            <w:vMerge w:val="continue"/>
            <w:vAlign w:val="center"/>
          </w:tcPr>
          <w:p w14:paraId="2C157613">
            <w:pPr>
              <w:pStyle w:val="299"/>
              <w:jc w:val="center"/>
              <w:rPr>
                <w:rFonts w:asciiTheme="minorEastAsia" w:hAnsiTheme="minorEastAsia" w:eastAsiaTheme="minorEastAsia"/>
                <w:szCs w:val="21"/>
              </w:rPr>
            </w:pPr>
          </w:p>
        </w:tc>
        <w:tc>
          <w:tcPr>
            <w:tcW w:w="925" w:type="dxa"/>
            <w:vMerge w:val="continue"/>
            <w:tcMar>
              <w:top w:w="0" w:type="dxa"/>
              <w:left w:w="108" w:type="dxa"/>
              <w:bottom w:w="0" w:type="dxa"/>
              <w:right w:w="108" w:type="dxa"/>
            </w:tcMar>
            <w:vAlign w:val="center"/>
          </w:tcPr>
          <w:p w14:paraId="2C4D7305">
            <w:pPr>
              <w:pStyle w:val="299"/>
              <w:jc w:val="center"/>
              <w:rPr>
                <w:rFonts w:asciiTheme="minorEastAsia" w:hAnsiTheme="minorEastAsia" w:eastAsiaTheme="minorEastAsia"/>
                <w:szCs w:val="21"/>
              </w:rPr>
            </w:pPr>
          </w:p>
        </w:tc>
        <w:tc>
          <w:tcPr>
            <w:tcW w:w="1078" w:type="dxa"/>
            <w:vMerge w:val="continue"/>
            <w:vAlign w:val="center"/>
          </w:tcPr>
          <w:p w14:paraId="351EE177">
            <w:pPr>
              <w:pStyle w:val="299"/>
              <w:jc w:val="center"/>
              <w:rPr>
                <w:rFonts w:asciiTheme="minorEastAsia" w:hAnsiTheme="minorEastAsia" w:eastAsiaTheme="minorEastAsia"/>
                <w:szCs w:val="21"/>
              </w:rPr>
            </w:pPr>
          </w:p>
        </w:tc>
        <w:tc>
          <w:tcPr>
            <w:tcW w:w="1078" w:type="dxa"/>
            <w:vMerge w:val="continue"/>
          </w:tcPr>
          <w:p w14:paraId="27B6E4ED">
            <w:pPr>
              <w:pStyle w:val="299"/>
              <w:jc w:val="center"/>
              <w:rPr>
                <w:rFonts w:cs="宋体" w:asciiTheme="minorEastAsia" w:hAnsiTheme="minorEastAsia" w:eastAsiaTheme="minorEastAsia"/>
                <w:kern w:val="0"/>
                <w:szCs w:val="21"/>
              </w:rPr>
            </w:pPr>
          </w:p>
        </w:tc>
        <w:tc>
          <w:tcPr>
            <w:tcW w:w="966" w:type="dxa"/>
            <w:vAlign w:val="center"/>
          </w:tcPr>
          <w:p w14:paraId="13B07F77">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□主体</w:t>
            </w:r>
            <w:r>
              <w:rPr>
                <w:rFonts w:hint="eastAsia" w:asciiTheme="minorEastAsia" w:hAnsiTheme="minorEastAsia" w:eastAsiaTheme="minorEastAsia"/>
                <w:szCs w:val="21"/>
              </w:rPr>
              <w:t>结构形式</w:t>
            </w:r>
          </w:p>
        </w:tc>
        <w:tc>
          <w:tcPr>
            <w:tcW w:w="1115" w:type="dxa"/>
            <w:vAlign w:val="center"/>
          </w:tcPr>
          <w:p w14:paraId="7B5E86B4">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□累计</w:t>
            </w:r>
            <w:r>
              <w:rPr>
                <w:rFonts w:hint="eastAsia" w:asciiTheme="minorEastAsia" w:hAnsiTheme="minorEastAsia" w:eastAsiaTheme="minorEastAsia"/>
                <w:szCs w:val="21"/>
              </w:rPr>
              <w:t>建筑面积（</w:t>
            </w:r>
            <w:r>
              <w:rPr>
                <w:rFonts w:asciiTheme="minorEastAsia" w:hAnsiTheme="minorEastAsia" w:eastAsiaTheme="minorEastAsia"/>
                <w:szCs w:val="21"/>
              </w:rPr>
              <w:t>m</w:t>
            </w:r>
            <w:r>
              <w:rPr>
                <w:rFonts w:asciiTheme="minorEastAsia" w:hAnsiTheme="minorEastAsia" w:eastAsiaTheme="minorEastAsia"/>
                <w:szCs w:val="21"/>
                <w:vertAlign w:val="superscript"/>
              </w:rPr>
              <w:t>2</w:t>
            </w:r>
            <w:r>
              <w:rPr>
                <w:rFonts w:hint="eastAsia" w:asciiTheme="minorEastAsia" w:hAnsiTheme="minorEastAsia" w:eastAsiaTheme="minorEastAsia"/>
                <w:szCs w:val="21"/>
              </w:rPr>
              <w:t>）</w:t>
            </w:r>
          </w:p>
        </w:tc>
        <w:tc>
          <w:tcPr>
            <w:tcW w:w="959" w:type="dxa"/>
            <w:vAlign w:val="center"/>
          </w:tcPr>
          <w:p w14:paraId="10615EBF">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□其他</w:t>
            </w:r>
          </w:p>
        </w:tc>
        <w:tc>
          <w:tcPr>
            <w:tcW w:w="956" w:type="dxa"/>
            <w:vMerge w:val="continue"/>
          </w:tcPr>
          <w:p w14:paraId="2989D138">
            <w:pPr>
              <w:pStyle w:val="299"/>
              <w:jc w:val="center"/>
              <w:rPr>
                <w:rFonts w:asciiTheme="minorEastAsia" w:hAnsiTheme="minorEastAsia" w:eastAsiaTheme="minorEastAsia"/>
                <w:szCs w:val="21"/>
              </w:rPr>
            </w:pPr>
          </w:p>
        </w:tc>
        <w:tc>
          <w:tcPr>
            <w:tcW w:w="1116" w:type="dxa"/>
            <w:vMerge w:val="continue"/>
            <w:tcMar>
              <w:top w:w="0" w:type="dxa"/>
              <w:left w:w="108" w:type="dxa"/>
              <w:bottom w:w="0" w:type="dxa"/>
              <w:right w:w="108" w:type="dxa"/>
            </w:tcMar>
            <w:vAlign w:val="center"/>
          </w:tcPr>
          <w:p w14:paraId="3C0B0A7E">
            <w:pPr>
              <w:pStyle w:val="299"/>
              <w:jc w:val="center"/>
              <w:rPr>
                <w:rFonts w:asciiTheme="minorEastAsia" w:hAnsiTheme="minorEastAsia" w:eastAsiaTheme="minorEastAsia"/>
                <w:szCs w:val="21"/>
              </w:rPr>
            </w:pPr>
          </w:p>
        </w:tc>
        <w:tc>
          <w:tcPr>
            <w:tcW w:w="1158" w:type="dxa"/>
            <w:vMerge w:val="continue"/>
            <w:vAlign w:val="center"/>
          </w:tcPr>
          <w:p w14:paraId="0DA0EFF7">
            <w:pPr>
              <w:pStyle w:val="299"/>
              <w:jc w:val="center"/>
              <w:rPr>
                <w:rFonts w:asciiTheme="minorEastAsia" w:hAnsiTheme="minorEastAsia" w:eastAsiaTheme="minorEastAsia"/>
                <w:szCs w:val="21"/>
              </w:rPr>
            </w:pPr>
          </w:p>
        </w:tc>
      </w:tr>
      <w:tr w14:paraId="54809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451" w:type="dxa"/>
            <w:vAlign w:val="center"/>
          </w:tcPr>
          <w:p w14:paraId="08A6F88B">
            <w:pPr>
              <w:pStyle w:val="299"/>
              <w:jc w:val="center"/>
              <w:rPr>
                <w:rFonts w:asciiTheme="minorEastAsia" w:hAnsiTheme="minorEastAsia" w:eastAsiaTheme="minorEastAsia"/>
                <w:szCs w:val="21"/>
              </w:rPr>
            </w:pPr>
          </w:p>
        </w:tc>
        <w:tc>
          <w:tcPr>
            <w:tcW w:w="766" w:type="dxa"/>
            <w:tcMar>
              <w:top w:w="0" w:type="dxa"/>
              <w:left w:w="108" w:type="dxa"/>
              <w:bottom w:w="0" w:type="dxa"/>
              <w:right w:w="108" w:type="dxa"/>
            </w:tcMar>
            <w:vAlign w:val="center"/>
          </w:tcPr>
          <w:p w14:paraId="25101451">
            <w:pPr>
              <w:pStyle w:val="299"/>
              <w:jc w:val="center"/>
              <w:rPr>
                <w:rFonts w:asciiTheme="minorEastAsia" w:hAnsiTheme="minorEastAsia" w:eastAsiaTheme="minorEastAsia"/>
                <w:szCs w:val="21"/>
              </w:rPr>
            </w:pPr>
          </w:p>
        </w:tc>
        <w:tc>
          <w:tcPr>
            <w:tcW w:w="1320" w:type="dxa"/>
            <w:tcMar>
              <w:top w:w="0" w:type="dxa"/>
              <w:left w:w="108" w:type="dxa"/>
              <w:bottom w:w="0" w:type="dxa"/>
              <w:right w:w="108" w:type="dxa"/>
            </w:tcMar>
            <w:vAlign w:val="center"/>
          </w:tcPr>
          <w:p w14:paraId="778079D7">
            <w:pPr>
              <w:pStyle w:val="299"/>
              <w:jc w:val="center"/>
              <w:rPr>
                <w:rFonts w:asciiTheme="minorEastAsia" w:hAnsiTheme="minorEastAsia" w:eastAsiaTheme="minorEastAsia"/>
                <w:szCs w:val="21"/>
              </w:rPr>
            </w:pPr>
          </w:p>
        </w:tc>
        <w:tc>
          <w:tcPr>
            <w:tcW w:w="727" w:type="dxa"/>
            <w:tcMar>
              <w:top w:w="0" w:type="dxa"/>
              <w:left w:w="108" w:type="dxa"/>
              <w:bottom w:w="0" w:type="dxa"/>
              <w:right w:w="108" w:type="dxa"/>
            </w:tcMar>
            <w:vAlign w:val="center"/>
          </w:tcPr>
          <w:p w14:paraId="05620375">
            <w:pPr>
              <w:pStyle w:val="299"/>
              <w:jc w:val="center"/>
              <w:rPr>
                <w:rFonts w:asciiTheme="minorEastAsia" w:hAnsiTheme="minorEastAsia" w:eastAsiaTheme="minorEastAsia"/>
                <w:szCs w:val="21"/>
              </w:rPr>
            </w:pPr>
          </w:p>
        </w:tc>
        <w:tc>
          <w:tcPr>
            <w:tcW w:w="1078" w:type="dxa"/>
            <w:vAlign w:val="center"/>
          </w:tcPr>
          <w:p w14:paraId="09530479">
            <w:pPr>
              <w:pStyle w:val="299"/>
              <w:jc w:val="center"/>
              <w:rPr>
                <w:rFonts w:asciiTheme="minorEastAsia" w:hAnsiTheme="minorEastAsia" w:eastAsiaTheme="minorEastAsia"/>
                <w:szCs w:val="21"/>
              </w:rPr>
            </w:pPr>
          </w:p>
        </w:tc>
        <w:tc>
          <w:tcPr>
            <w:tcW w:w="925" w:type="dxa"/>
            <w:tcMar>
              <w:top w:w="0" w:type="dxa"/>
              <w:left w:w="108" w:type="dxa"/>
              <w:bottom w:w="0" w:type="dxa"/>
              <w:right w:w="108" w:type="dxa"/>
            </w:tcMar>
            <w:vAlign w:val="center"/>
          </w:tcPr>
          <w:p w14:paraId="2E4B18FE">
            <w:pPr>
              <w:pStyle w:val="299"/>
              <w:jc w:val="center"/>
              <w:rPr>
                <w:rFonts w:asciiTheme="minorEastAsia" w:hAnsiTheme="minorEastAsia" w:eastAsiaTheme="minorEastAsia"/>
                <w:szCs w:val="21"/>
              </w:rPr>
            </w:pPr>
          </w:p>
        </w:tc>
        <w:tc>
          <w:tcPr>
            <w:tcW w:w="1078" w:type="dxa"/>
            <w:vAlign w:val="center"/>
          </w:tcPr>
          <w:p w14:paraId="23EE7BBC">
            <w:pPr>
              <w:pStyle w:val="299"/>
              <w:jc w:val="center"/>
              <w:rPr>
                <w:rFonts w:asciiTheme="minorEastAsia" w:hAnsiTheme="minorEastAsia" w:eastAsiaTheme="minorEastAsia"/>
                <w:szCs w:val="21"/>
              </w:rPr>
            </w:pPr>
          </w:p>
        </w:tc>
        <w:tc>
          <w:tcPr>
            <w:tcW w:w="1078" w:type="dxa"/>
            <w:vAlign w:val="center"/>
          </w:tcPr>
          <w:p w14:paraId="5490C145">
            <w:pPr>
              <w:pStyle w:val="299"/>
              <w:jc w:val="center"/>
              <w:rPr>
                <w:rFonts w:asciiTheme="minorEastAsia" w:hAnsiTheme="minorEastAsia" w:eastAsiaTheme="minorEastAsia"/>
                <w:szCs w:val="21"/>
              </w:rPr>
            </w:pPr>
          </w:p>
        </w:tc>
        <w:tc>
          <w:tcPr>
            <w:tcW w:w="966" w:type="dxa"/>
            <w:vAlign w:val="center"/>
          </w:tcPr>
          <w:p w14:paraId="1CB65B4C">
            <w:pPr>
              <w:pStyle w:val="299"/>
              <w:jc w:val="center"/>
              <w:rPr>
                <w:rFonts w:asciiTheme="minorEastAsia" w:hAnsiTheme="minorEastAsia" w:eastAsiaTheme="minorEastAsia"/>
                <w:szCs w:val="21"/>
              </w:rPr>
            </w:pPr>
          </w:p>
        </w:tc>
        <w:tc>
          <w:tcPr>
            <w:tcW w:w="1115" w:type="dxa"/>
            <w:vAlign w:val="center"/>
          </w:tcPr>
          <w:p w14:paraId="6DF49450">
            <w:pPr>
              <w:pStyle w:val="299"/>
              <w:jc w:val="center"/>
              <w:rPr>
                <w:rFonts w:asciiTheme="minorEastAsia" w:hAnsiTheme="minorEastAsia" w:eastAsiaTheme="minorEastAsia"/>
                <w:szCs w:val="21"/>
              </w:rPr>
            </w:pPr>
          </w:p>
        </w:tc>
        <w:tc>
          <w:tcPr>
            <w:tcW w:w="959" w:type="dxa"/>
            <w:vAlign w:val="center"/>
          </w:tcPr>
          <w:p w14:paraId="2FAA73EE">
            <w:pPr>
              <w:pStyle w:val="299"/>
              <w:jc w:val="center"/>
              <w:rPr>
                <w:rFonts w:asciiTheme="minorEastAsia" w:hAnsiTheme="minorEastAsia" w:eastAsiaTheme="minorEastAsia"/>
                <w:szCs w:val="21"/>
              </w:rPr>
            </w:pPr>
          </w:p>
        </w:tc>
        <w:tc>
          <w:tcPr>
            <w:tcW w:w="956" w:type="dxa"/>
            <w:vAlign w:val="center"/>
          </w:tcPr>
          <w:p w14:paraId="45C0F5C0">
            <w:pPr>
              <w:pStyle w:val="299"/>
              <w:jc w:val="center"/>
              <w:rPr>
                <w:rFonts w:asciiTheme="minorEastAsia" w:hAnsiTheme="minorEastAsia" w:eastAsiaTheme="minorEastAsia"/>
                <w:szCs w:val="21"/>
              </w:rPr>
            </w:pPr>
          </w:p>
        </w:tc>
        <w:tc>
          <w:tcPr>
            <w:tcW w:w="1116" w:type="dxa"/>
            <w:tcMar>
              <w:top w:w="0" w:type="dxa"/>
              <w:left w:w="108" w:type="dxa"/>
              <w:bottom w:w="0" w:type="dxa"/>
              <w:right w:w="108" w:type="dxa"/>
            </w:tcMar>
            <w:vAlign w:val="center"/>
          </w:tcPr>
          <w:p w14:paraId="6727115C">
            <w:pPr>
              <w:pStyle w:val="299"/>
              <w:jc w:val="center"/>
              <w:rPr>
                <w:rFonts w:asciiTheme="minorEastAsia" w:hAnsiTheme="minorEastAsia" w:eastAsiaTheme="minorEastAsia"/>
                <w:szCs w:val="21"/>
              </w:rPr>
            </w:pPr>
          </w:p>
        </w:tc>
        <w:tc>
          <w:tcPr>
            <w:tcW w:w="1158" w:type="dxa"/>
            <w:vAlign w:val="center"/>
          </w:tcPr>
          <w:p w14:paraId="2E17407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hint="eastAsia" w:asciiTheme="minorEastAsia" w:hAnsiTheme="minorEastAsia" w:eastAsiaTheme="minorEastAsia"/>
                <w:szCs w:val="21"/>
              </w:rPr>
              <w:t>7</w:t>
            </w:r>
            <w:r>
              <w:rPr>
                <w:rFonts w:asciiTheme="minorEastAsia" w:hAnsiTheme="minorEastAsia" w:eastAsiaTheme="minorEastAsia"/>
                <w:szCs w:val="21"/>
              </w:rPr>
              <w:t>.1</w:t>
            </w:r>
          </w:p>
        </w:tc>
      </w:tr>
      <w:tr w14:paraId="2105A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51" w:type="dxa"/>
            <w:vAlign w:val="center"/>
          </w:tcPr>
          <w:p w14:paraId="662B20D0">
            <w:pPr>
              <w:pStyle w:val="299"/>
              <w:jc w:val="center"/>
              <w:rPr>
                <w:rFonts w:asciiTheme="minorEastAsia" w:hAnsiTheme="minorEastAsia" w:eastAsiaTheme="minorEastAsia"/>
                <w:szCs w:val="21"/>
              </w:rPr>
            </w:pPr>
          </w:p>
        </w:tc>
        <w:tc>
          <w:tcPr>
            <w:tcW w:w="766" w:type="dxa"/>
            <w:tcMar>
              <w:top w:w="0" w:type="dxa"/>
              <w:left w:w="108" w:type="dxa"/>
              <w:bottom w:w="0" w:type="dxa"/>
              <w:right w:w="108" w:type="dxa"/>
            </w:tcMar>
            <w:vAlign w:val="center"/>
          </w:tcPr>
          <w:p w14:paraId="0E48CE7E">
            <w:pPr>
              <w:pStyle w:val="299"/>
              <w:jc w:val="center"/>
              <w:rPr>
                <w:rFonts w:asciiTheme="minorEastAsia" w:hAnsiTheme="minorEastAsia" w:eastAsiaTheme="minorEastAsia"/>
                <w:szCs w:val="21"/>
              </w:rPr>
            </w:pPr>
          </w:p>
        </w:tc>
        <w:tc>
          <w:tcPr>
            <w:tcW w:w="1320" w:type="dxa"/>
            <w:tcMar>
              <w:top w:w="0" w:type="dxa"/>
              <w:left w:w="108" w:type="dxa"/>
              <w:bottom w:w="0" w:type="dxa"/>
              <w:right w:w="108" w:type="dxa"/>
            </w:tcMar>
            <w:vAlign w:val="center"/>
          </w:tcPr>
          <w:p w14:paraId="7F335A5E">
            <w:pPr>
              <w:pStyle w:val="299"/>
              <w:jc w:val="center"/>
              <w:rPr>
                <w:rFonts w:asciiTheme="minorEastAsia" w:hAnsiTheme="minorEastAsia" w:eastAsiaTheme="minorEastAsia"/>
                <w:szCs w:val="21"/>
              </w:rPr>
            </w:pPr>
          </w:p>
        </w:tc>
        <w:tc>
          <w:tcPr>
            <w:tcW w:w="727" w:type="dxa"/>
            <w:tcMar>
              <w:top w:w="0" w:type="dxa"/>
              <w:left w:w="108" w:type="dxa"/>
              <w:bottom w:w="0" w:type="dxa"/>
              <w:right w:w="108" w:type="dxa"/>
            </w:tcMar>
            <w:vAlign w:val="center"/>
          </w:tcPr>
          <w:p w14:paraId="334957DB">
            <w:pPr>
              <w:pStyle w:val="299"/>
              <w:jc w:val="center"/>
              <w:rPr>
                <w:rFonts w:asciiTheme="minorEastAsia" w:hAnsiTheme="minorEastAsia" w:eastAsiaTheme="minorEastAsia"/>
                <w:szCs w:val="21"/>
              </w:rPr>
            </w:pPr>
          </w:p>
        </w:tc>
        <w:tc>
          <w:tcPr>
            <w:tcW w:w="1078" w:type="dxa"/>
            <w:vAlign w:val="center"/>
          </w:tcPr>
          <w:p w14:paraId="67534416">
            <w:pPr>
              <w:pStyle w:val="299"/>
              <w:jc w:val="center"/>
              <w:rPr>
                <w:rFonts w:asciiTheme="minorEastAsia" w:hAnsiTheme="minorEastAsia" w:eastAsiaTheme="minorEastAsia"/>
                <w:szCs w:val="21"/>
              </w:rPr>
            </w:pPr>
          </w:p>
        </w:tc>
        <w:tc>
          <w:tcPr>
            <w:tcW w:w="925" w:type="dxa"/>
            <w:tcMar>
              <w:top w:w="0" w:type="dxa"/>
              <w:left w:w="108" w:type="dxa"/>
              <w:bottom w:w="0" w:type="dxa"/>
              <w:right w:w="108" w:type="dxa"/>
            </w:tcMar>
            <w:vAlign w:val="center"/>
          </w:tcPr>
          <w:p w14:paraId="154232AE">
            <w:pPr>
              <w:pStyle w:val="299"/>
              <w:jc w:val="center"/>
              <w:rPr>
                <w:rFonts w:asciiTheme="minorEastAsia" w:hAnsiTheme="minorEastAsia" w:eastAsiaTheme="minorEastAsia"/>
                <w:szCs w:val="21"/>
              </w:rPr>
            </w:pPr>
          </w:p>
        </w:tc>
        <w:tc>
          <w:tcPr>
            <w:tcW w:w="1078" w:type="dxa"/>
            <w:vAlign w:val="center"/>
          </w:tcPr>
          <w:p w14:paraId="6DCAC8D8">
            <w:pPr>
              <w:pStyle w:val="299"/>
              <w:jc w:val="center"/>
              <w:rPr>
                <w:rFonts w:asciiTheme="minorEastAsia" w:hAnsiTheme="minorEastAsia" w:eastAsiaTheme="minorEastAsia"/>
                <w:szCs w:val="21"/>
              </w:rPr>
            </w:pPr>
          </w:p>
        </w:tc>
        <w:tc>
          <w:tcPr>
            <w:tcW w:w="1078" w:type="dxa"/>
            <w:vAlign w:val="center"/>
          </w:tcPr>
          <w:p w14:paraId="60BBFEC4">
            <w:pPr>
              <w:pStyle w:val="299"/>
              <w:jc w:val="center"/>
              <w:rPr>
                <w:rFonts w:asciiTheme="minorEastAsia" w:hAnsiTheme="minorEastAsia" w:eastAsiaTheme="minorEastAsia"/>
                <w:szCs w:val="21"/>
              </w:rPr>
            </w:pPr>
          </w:p>
        </w:tc>
        <w:tc>
          <w:tcPr>
            <w:tcW w:w="966" w:type="dxa"/>
            <w:vAlign w:val="center"/>
          </w:tcPr>
          <w:p w14:paraId="34032CB6">
            <w:pPr>
              <w:pStyle w:val="299"/>
              <w:jc w:val="center"/>
              <w:rPr>
                <w:rFonts w:asciiTheme="minorEastAsia" w:hAnsiTheme="minorEastAsia" w:eastAsiaTheme="minorEastAsia"/>
                <w:szCs w:val="21"/>
              </w:rPr>
            </w:pPr>
          </w:p>
        </w:tc>
        <w:tc>
          <w:tcPr>
            <w:tcW w:w="1115" w:type="dxa"/>
            <w:vAlign w:val="center"/>
          </w:tcPr>
          <w:p w14:paraId="541CC809">
            <w:pPr>
              <w:pStyle w:val="299"/>
              <w:jc w:val="center"/>
              <w:rPr>
                <w:rFonts w:asciiTheme="minorEastAsia" w:hAnsiTheme="minorEastAsia" w:eastAsiaTheme="minorEastAsia"/>
                <w:szCs w:val="21"/>
              </w:rPr>
            </w:pPr>
          </w:p>
        </w:tc>
        <w:tc>
          <w:tcPr>
            <w:tcW w:w="959" w:type="dxa"/>
            <w:vAlign w:val="center"/>
          </w:tcPr>
          <w:p w14:paraId="301C9A00">
            <w:pPr>
              <w:pStyle w:val="299"/>
              <w:jc w:val="center"/>
              <w:rPr>
                <w:rFonts w:asciiTheme="minorEastAsia" w:hAnsiTheme="minorEastAsia" w:eastAsiaTheme="minorEastAsia"/>
                <w:szCs w:val="21"/>
              </w:rPr>
            </w:pPr>
          </w:p>
        </w:tc>
        <w:tc>
          <w:tcPr>
            <w:tcW w:w="956" w:type="dxa"/>
            <w:vAlign w:val="center"/>
          </w:tcPr>
          <w:p w14:paraId="37B9F1EF">
            <w:pPr>
              <w:pStyle w:val="299"/>
              <w:jc w:val="center"/>
              <w:rPr>
                <w:rFonts w:asciiTheme="minorEastAsia" w:hAnsiTheme="minorEastAsia" w:eastAsiaTheme="minorEastAsia"/>
                <w:szCs w:val="21"/>
              </w:rPr>
            </w:pPr>
          </w:p>
        </w:tc>
        <w:tc>
          <w:tcPr>
            <w:tcW w:w="1116" w:type="dxa"/>
            <w:tcMar>
              <w:top w:w="0" w:type="dxa"/>
              <w:left w:w="108" w:type="dxa"/>
              <w:bottom w:w="0" w:type="dxa"/>
              <w:right w:w="108" w:type="dxa"/>
            </w:tcMar>
            <w:vAlign w:val="center"/>
          </w:tcPr>
          <w:p w14:paraId="2BC5D087">
            <w:pPr>
              <w:pStyle w:val="299"/>
              <w:jc w:val="center"/>
              <w:rPr>
                <w:rFonts w:asciiTheme="minorEastAsia" w:hAnsiTheme="minorEastAsia" w:eastAsiaTheme="minorEastAsia"/>
                <w:szCs w:val="21"/>
              </w:rPr>
            </w:pPr>
          </w:p>
        </w:tc>
        <w:tc>
          <w:tcPr>
            <w:tcW w:w="1158" w:type="dxa"/>
            <w:vAlign w:val="center"/>
          </w:tcPr>
          <w:p w14:paraId="0BB82931">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hint="eastAsia" w:asciiTheme="minorEastAsia" w:hAnsiTheme="minorEastAsia" w:eastAsiaTheme="minorEastAsia"/>
                <w:szCs w:val="21"/>
              </w:rPr>
              <w:t>7</w:t>
            </w:r>
            <w:r>
              <w:rPr>
                <w:rFonts w:asciiTheme="minorEastAsia" w:hAnsiTheme="minorEastAsia" w:eastAsiaTheme="minorEastAsia"/>
                <w:szCs w:val="21"/>
              </w:rPr>
              <w:t>.2</w:t>
            </w:r>
          </w:p>
        </w:tc>
      </w:tr>
      <w:tr w14:paraId="4B598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51" w:type="dxa"/>
            <w:vAlign w:val="center"/>
          </w:tcPr>
          <w:p w14:paraId="2B4209CC">
            <w:pPr>
              <w:pStyle w:val="299"/>
              <w:jc w:val="center"/>
              <w:rPr>
                <w:rFonts w:asciiTheme="minorEastAsia" w:hAnsiTheme="minorEastAsia" w:eastAsiaTheme="minorEastAsia"/>
                <w:szCs w:val="21"/>
              </w:rPr>
            </w:pPr>
          </w:p>
        </w:tc>
        <w:tc>
          <w:tcPr>
            <w:tcW w:w="766" w:type="dxa"/>
            <w:tcMar>
              <w:top w:w="0" w:type="dxa"/>
              <w:left w:w="108" w:type="dxa"/>
              <w:bottom w:w="0" w:type="dxa"/>
              <w:right w:w="108" w:type="dxa"/>
            </w:tcMar>
            <w:vAlign w:val="center"/>
          </w:tcPr>
          <w:p w14:paraId="281E0DCC">
            <w:pPr>
              <w:pStyle w:val="299"/>
              <w:jc w:val="center"/>
              <w:rPr>
                <w:rFonts w:asciiTheme="minorEastAsia" w:hAnsiTheme="minorEastAsia" w:eastAsiaTheme="minorEastAsia"/>
                <w:szCs w:val="21"/>
              </w:rPr>
            </w:pPr>
          </w:p>
        </w:tc>
        <w:tc>
          <w:tcPr>
            <w:tcW w:w="1320" w:type="dxa"/>
            <w:tcMar>
              <w:top w:w="0" w:type="dxa"/>
              <w:left w:w="108" w:type="dxa"/>
              <w:bottom w:w="0" w:type="dxa"/>
              <w:right w:w="108" w:type="dxa"/>
            </w:tcMar>
            <w:vAlign w:val="center"/>
          </w:tcPr>
          <w:p w14:paraId="1E6B9AD3">
            <w:pPr>
              <w:pStyle w:val="299"/>
              <w:jc w:val="center"/>
              <w:rPr>
                <w:rFonts w:asciiTheme="minorEastAsia" w:hAnsiTheme="minorEastAsia" w:eastAsiaTheme="minorEastAsia"/>
                <w:szCs w:val="21"/>
              </w:rPr>
            </w:pPr>
          </w:p>
        </w:tc>
        <w:tc>
          <w:tcPr>
            <w:tcW w:w="727" w:type="dxa"/>
            <w:tcMar>
              <w:top w:w="0" w:type="dxa"/>
              <w:left w:w="108" w:type="dxa"/>
              <w:bottom w:w="0" w:type="dxa"/>
              <w:right w:w="108" w:type="dxa"/>
            </w:tcMar>
            <w:vAlign w:val="center"/>
          </w:tcPr>
          <w:p w14:paraId="6B60F08B">
            <w:pPr>
              <w:pStyle w:val="299"/>
              <w:jc w:val="center"/>
              <w:rPr>
                <w:rFonts w:asciiTheme="minorEastAsia" w:hAnsiTheme="minorEastAsia" w:eastAsiaTheme="minorEastAsia"/>
                <w:szCs w:val="21"/>
              </w:rPr>
            </w:pPr>
          </w:p>
        </w:tc>
        <w:tc>
          <w:tcPr>
            <w:tcW w:w="1078" w:type="dxa"/>
            <w:vAlign w:val="center"/>
          </w:tcPr>
          <w:p w14:paraId="2209CD00">
            <w:pPr>
              <w:pStyle w:val="299"/>
              <w:jc w:val="center"/>
              <w:rPr>
                <w:rFonts w:asciiTheme="minorEastAsia" w:hAnsiTheme="minorEastAsia" w:eastAsiaTheme="minorEastAsia"/>
                <w:szCs w:val="21"/>
              </w:rPr>
            </w:pPr>
          </w:p>
        </w:tc>
        <w:tc>
          <w:tcPr>
            <w:tcW w:w="925" w:type="dxa"/>
            <w:tcMar>
              <w:top w:w="0" w:type="dxa"/>
              <w:left w:w="108" w:type="dxa"/>
              <w:bottom w:w="0" w:type="dxa"/>
              <w:right w:w="108" w:type="dxa"/>
            </w:tcMar>
            <w:vAlign w:val="center"/>
          </w:tcPr>
          <w:p w14:paraId="5B0C542A">
            <w:pPr>
              <w:pStyle w:val="299"/>
              <w:jc w:val="center"/>
              <w:rPr>
                <w:rFonts w:asciiTheme="minorEastAsia" w:hAnsiTheme="minorEastAsia" w:eastAsiaTheme="minorEastAsia"/>
                <w:szCs w:val="21"/>
              </w:rPr>
            </w:pPr>
          </w:p>
        </w:tc>
        <w:tc>
          <w:tcPr>
            <w:tcW w:w="1078" w:type="dxa"/>
            <w:vAlign w:val="center"/>
          </w:tcPr>
          <w:p w14:paraId="43C832A5">
            <w:pPr>
              <w:pStyle w:val="299"/>
              <w:jc w:val="center"/>
              <w:rPr>
                <w:rFonts w:asciiTheme="minorEastAsia" w:hAnsiTheme="minorEastAsia" w:eastAsiaTheme="minorEastAsia"/>
                <w:szCs w:val="21"/>
              </w:rPr>
            </w:pPr>
          </w:p>
        </w:tc>
        <w:tc>
          <w:tcPr>
            <w:tcW w:w="1078" w:type="dxa"/>
            <w:vAlign w:val="center"/>
          </w:tcPr>
          <w:p w14:paraId="1CE3B894">
            <w:pPr>
              <w:pStyle w:val="299"/>
              <w:jc w:val="center"/>
              <w:rPr>
                <w:rFonts w:asciiTheme="minorEastAsia" w:hAnsiTheme="minorEastAsia" w:eastAsiaTheme="minorEastAsia"/>
                <w:szCs w:val="21"/>
              </w:rPr>
            </w:pPr>
          </w:p>
        </w:tc>
        <w:tc>
          <w:tcPr>
            <w:tcW w:w="966" w:type="dxa"/>
            <w:vAlign w:val="center"/>
          </w:tcPr>
          <w:p w14:paraId="5F88F39D">
            <w:pPr>
              <w:pStyle w:val="299"/>
              <w:jc w:val="center"/>
              <w:rPr>
                <w:rFonts w:asciiTheme="minorEastAsia" w:hAnsiTheme="minorEastAsia" w:eastAsiaTheme="minorEastAsia"/>
                <w:szCs w:val="21"/>
              </w:rPr>
            </w:pPr>
          </w:p>
        </w:tc>
        <w:tc>
          <w:tcPr>
            <w:tcW w:w="1115" w:type="dxa"/>
            <w:vAlign w:val="center"/>
          </w:tcPr>
          <w:p w14:paraId="35680B77">
            <w:pPr>
              <w:pStyle w:val="299"/>
              <w:jc w:val="center"/>
              <w:rPr>
                <w:rFonts w:asciiTheme="minorEastAsia" w:hAnsiTheme="minorEastAsia" w:eastAsiaTheme="minorEastAsia"/>
                <w:szCs w:val="21"/>
              </w:rPr>
            </w:pPr>
          </w:p>
        </w:tc>
        <w:tc>
          <w:tcPr>
            <w:tcW w:w="959" w:type="dxa"/>
            <w:vAlign w:val="center"/>
          </w:tcPr>
          <w:p w14:paraId="784D091C">
            <w:pPr>
              <w:pStyle w:val="299"/>
              <w:jc w:val="center"/>
              <w:rPr>
                <w:rFonts w:asciiTheme="minorEastAsia" w:hAnsiTheme="minorEastAsia" w:eastAsiaTheme="minorEastAsia"/>
                <w:szCs w:val="21"/>
              </w:rPr>
            </w:pPr>
          </w:p>
        </w:tc>
        <w:tc>
          <w:tcPr>
            <w:tcW w:w="956" w:type="dxa"/>
            <w:vAlign w:val="center"/>
          </w:tcPr>
          <w:p w14:paraId="6B3221E3">
            <w:pPr>
              <w:pStyle w:val="299"/>
              <w:jc w:val="center"/>
              <w:rPr>
                <w:rFonts w:asciiTheme="minorEastAsia" w:hAnsiTheme="minorEastAsia" w:eastAsiaTheme="minorEastAsia"/>
                <w:szCs w:val="21"/>
              </w:rPr>
            </w:pPr>
          </w:p>
        </w:tc>
        <w:tc>
          <w:tcPr>
            <w:tcW w:w="1116" w:type="dxa"/>
            <w:tcMar>
              <w:top w:w="0" w:type="dxa"/>
              <w:left w:w="108" w:type="dxa"/>
              <w:bottom w:w="0" w:type="dxa"/>
              <w:right w:w="108" w:type="dxa"/>
            </w:tcMar>
            <w:vAlign w:val="center"/>
          </w:tcPr>
          <w:p w14:paraId="6C321D06">
            <w:pPr>
              <w:pStyle w:val="299"/>
              <w:jc w:val="center"/>
              <w:rPr>
                <w:rFonts w:asciiTheme="minorEastAsia" w:hAnsiTheme="minorEastAsia" w:eastAsiaTheme="minorEastAsia"/>
                <w:szCs w:val="21"/>
              </w:rPr>
            </w:pPr>
          </w:p>
        </w:tc>
        <w:tc>
          <w:tcPr>
            <w:tcW w:w="1158" w:type="dxa"/>
            <w:vAlign w:val="center"/>
          </w:tcPr>
          <w:p w14:paraId="1ADBCCAD">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hint="eastAsia" w:asciiTheme="minorEastAsia" w:hAnsiTheme="minorEastAsia" w:eastAsiaTheme="minorEastAsia"/>
                <w:szCs w:val="21"/>
              </w:rPr>
              <w:t>7</w:t>
            </w:r>
            <w:r>
              <w:rPr>
                <w:rFonts w:asciiTheme="minorEastAsia" w:hAnsiTheme="minorEastAsia" w:eastAsiaTheme="minorEastAsia"/>
                <w:szCs w:val="21"/>
              </w:rPr>
              <w:t>.3</w:t>
            </w:r>
          </w:p>
        </w:tc>
      </w:tr>
      <w:tr w14:paraId="4782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51" w:type="dxa"/>
            <w:vAlign w:val="center"/>
          </w:tcPr>
          <w:p w14:paraId="1E9888B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766" w:type="dxa"/>
            <w:tcMar>
              <w:top w:w="0" w:type="dxa"/>
              <w:left w:w="108" w:type="dxa"/>
              <w:bottom w:w="0" w:type="dxa"/>
              <w:right w:w="108" w:type="dxa"/>
            </w:tcMar>
            <w:vAlign w:val="center"/>
          </w:tcPr>
          <w:p w14:paraId="4F52ABD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320" w:type="dxa"/>
            <w:tcMar>
              <w:top w:w="0" w:type="dxa"/>
              <w:left w:w="108" w:type="dxa"/>
              <w:bottom w:w="0" w:type="dxa"/>
              <w:right w:w="108" w:type="dxa"/>
            </w:tcMar>
            <w:vAlign w:val="center"/>
          </w:tcPr>
          <w:p w14:paraId="7F63AC9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727" w:type="dxa"/>
            <w:tcMar>
              <w:top w:w="0" w:type="dxa"/>
              <w:left w:w="108" w:type="dxa"/>
              <w:bottom w:w="0" w:type="dxa"/>
              <w:right w:w="108" w:type="dxa"/>
            </w:tcMar>
            <w:vAlign w:val="center"/>
          </w:tcPr>
          <w:p w14:paraId="739A2DE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78" w:type="dxa"/>
            <w:vAlign w:val="center"/>
          </w:tcPr>
          <w:p w14:paraId="6B18D5B8">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925" w:type="dxa"/>
            <w:tcMar>
              <w:top w:w="0" w:type="dxa"/>
              <w:left w:w="108" w:type="dxa"/>
              <w:bottom w:w="0" w:type="dxa"/>
              <w:right w:w="108" w:type="dxa"/>
            </w:tcMar>
            <w:vAlign w:val="center"/>
          </w:tcPr>
          <w:p w14:paraId="4C973C13">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78" w:type="dxa"/>
            <w:vAlign w:val="center"/>
          </w:tcPr>
          <w:p w14:paraId="1153E61D">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78" w:type="dxa"/>
            <w:vAlign w:val="center"/>
          </w:tcPr>
          <w:p w14:paraId="2D2B42A2">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966" w:type="dxa"/>
            <w:vAlign w:val="center"/>
          </w:tcPr>
          <w:p w14:paraId="5885DB9C">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15" w:type="dxa"/>
            <w:vAlign w:val="center"/>
          </w:tcPr>
          <w:p w14:paraId="0D751D62">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959" w:type="dxa"/>
            <w:vAlign w:val="center"/>
          </w:tcPr>
          <w:p w14:paraId="18EE55F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956" w:type="dxa"/>
            <w:vAlign w:val="center"/>
          </w:tcPr>
          <w:p w14:paraId="639659CA">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116" w:type="dxa"/>
            <w:tcMar>
              <w:top w:w="0" w:type="dxa"/>
              <w:left w:w="108" w:type="dxa"/>
              <w:bottom w:w="0" w:type="dxa"/>
              <w:right w:w="108" w:type="dxa"/>
            </w:tcMar>
            <w:vAlign w:val="center"/>
          </w:tcPr>
          <w:p w14:paraId="2CDC0EDB">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58" w:type="dxa"/>
            <w:vAlign w:val="center"/>
          </w:tcPr>
          <w:p w14:paraId="5F658B40">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71846DF0">
      <w:pPr>
        <w:spacing w:line="300" w:lineRule="exact"/>
        <w:rPr>
          <w:rFonts w:ascii="宋体" w:hAnsi="宋体" w:cs="宋体"/>
          <w:spacing w:val="-3"/>
        </w:rPr>
      </w:pPr>
      <w:r>
        <w:rPr>
          <w:rFonts w:hint="eastAsia" w:ascii="宋体" w:hAnsi="宋体" w:cs="宋体"/>
        </w:rPr>
        <w:t>注：</w:t>
      </w:r>
      <w:r>
        <w:rPr>
          <w:rFonts w:ascii="宋体" w:hAnsi="宋体" w:cs="宋体"/>
        </w:rPr>
        <w:t>1.投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w:t>
      </w:r>
      <w:r>
        <w:rPr>
          <w:rFonts w:hint="eastAsia" w:cs="宋体" w:asciiTheme="minorEastAsia" w:hAnsiTheme="minorEastAsia" w:eastAsiaTheme="minorEastAsia"/>
          <w:szCs w:val="21"/>
          <w:lang w:val="en-US" w:eastAsia="zh-CN"/>
        </w:rPr>
        <w:t>2-</w:t>
      </w:r>
      <w:r>
        <w:rPr>
          <w:rFonts w:hint="eastAsia" w:ascii="宋体" w:hAnsi="宋体" w:cs="宋体"/>
        </w:rPr>
        <w:t>7系列（房建工程施工项目业绩）</w:t>
      </w:r>
      <w:r>
        <w:rPr>
          <w:rFonts w:hint="eastAsia" w:ascii="宋体" w:hAnsi="宋体" w:cs="宋体"/>
          <w:spacing w:val="-3"/>
        </w:rPr>
        <w:t>：</w:t>
      </w:r>
    </w:p>
    <w:p w14:paraId="67BC7C9F">
      <w:pPr>
        <w:spacing w:line="300" w:lineRule="exact"/>
        <w:ind w:left="0" w:leftChars="0" w:firstLine="632" w:firstLineChars="300"/>
        <w:rPr>
          <w:rFonts w:ascii="宋体" w:hAnsi="宋体" w:cs="宋体"/>
        </w:rPr>
      </w:pPr>
      <w:r>
        <w:rPr>
          <w:rFonts w:hint="eastAsia" w:ascii="宋体" w:hAnsi="宋体" w:cs="宋体"/>
          <w:b/>
          <w:bCs/>
        </w:rPr>
        <w:t>□</w:t>
      </w:r>
      <w:r>
        <w:rPr>
          <w:rFonts w:hint="eastAsia" w:ascii="宋体" w:hAnsi="宋体" w:cs="宋体"/>
        </w:rPr>
        <w:t xml:space="preserve"> 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号）要求，招标人应通过名录对投标人资质条件进行审核的公路施工企业。否则，招标人可对相关业绩提出其他证明材料要求</w:t>
      </w:r>
      <w:r>
        <w:rPr>
          <w:rFonts w:hint="eastAsia" w:ascii="宋体" w:hAnsi="宋体" w:cs="宋体"/>
        </w:rPr>
        <w:t>）。</w:t>
      </w:r>
      <w:r>
        <w:rPr>
          <w:rFonts w:hint="eastAsia" w:ascii="宋体" w:hAnsi="宋体" w:cs="宋体"/>
        </w:rPr>
        <w:sym w:font="Wingdings 2" w:char="00A3"/>
      </w:r>
      <w:r>
        <w:rPr>
          <w:rFonts w:hint="eastAsia" w:ascii="宋体" w:hAnsi="宋体" w:cs="宋体"/>
        </w:rPr>
        <w:t>或</w:t>
      </w:r>
    </w:p>
    <w:p w14:paraId="46DCDDF0">
      <w:pPr>
        <w:spacing w:line="300" w:lineRule="exact"/>
        <w:ind w:firstLine="632" w:firstLineChars="300"/>
        <w:rPr>
          <w:rFonts w:ascii="宋体" w:hAnsi="宋体" w:cs="宋体"/>
        </w:rPr>
      </w:pPr>
      <w:r>
        <w:rPr>
          <w:rFonts w:hint="eastAsia" w:ascii="宋体" w:hAnsi="宋体" w:cs="宋体"/>
          <w:b/>
          <w:bCs/>
        </w:rPr>
        <w:t>□</w:t>
      </w:r>
      <w:r>
        <w:rPr>
          <w:rFonts w:hint="eastAsia" w:ascii="宋体" w:hAnsi="宋体" w:cs="宋体"/>
        </w:rPr>
        <w:t xml:space="preserve"> </w:t>
      </w:r>
      <w:r>
        <w:rPr>
          <w:rFonts w:hint="eastAsia" w:ascii="宋体" w:hAnsi="宋体" w:cs="宋体"/>
          <w:spacing w:val="-3"/>
        </w:rPr>
        <w:t>在</w:t>
      </w:r>
      <w:r>
        <w:rPr>
          <w:rFonts w:ascii="宋体" w:hAnsi="宋体" w:cs="宋体"/>
          <w:spacing w:val="-3"/>
        </w:rPr>
        <w:t>“</w:t>
      </w:r>
      <w:r>
        <w:rPr>
          <w:rFonts w:hint="eastAsia" w:ascii="宋体" w:hAnsi="宋体" w:cs="宋体"/>
          <w:spacing w:val="-3"/>
        </w:rPr>
        <w:t>全国建筑市场监管公共服务平台</w:t>
      </w:r>
      <w:r>
        <w:rPr>
          <w:rFonts w:ascii="宋体" w:hAnsi="宋体" w:cs="宋体"/>
          <w:spacing w:val="-3"/>
        </w:rPr>
        <w:t>”</w:t>
      </w:r>
      <w:r>
        <w:rPr>
          <w:rFonts w:hint="eastAsia" w:ascii="宋体" w:hAnsi="宋体" w:cs="宋体"/>
          <w:spacing w:val="-3"/>
        </w:rPr>
        <w:t>中查询到的企业数据</w:t>
      </w:r>
      <w:r>
        <w:rPr>
          <w:rFonts w:ascii="宋体" w:hAnsi="宋体" w:cs="宋体"/>
          <w:spacing w:val="-3"/>
        </w:rPr>
        <w:t>“</w:t>
      </w:r>
      <w:r>
        <w:rPr>
          <w:rFonts w:hint="eastAsia" w:ascii="宋体" w:hAnsi="宋体" w:cs="宋体"/>
          <w:spacing w:val="-3"/>
        </w:rPr>
        <w:t>工程项目</w:t>
      </w:r>
      <w:r>
        <w:rPr>
          <w:rFonts w:ascii="宋体" w:hAnsi="宋体" w:cs="宋体"/>
          <w:spacing w:val="-3"/>
        </w:rPr>
        <w:t>”</w:t>
      </w:r>
      <w:r>
        <w:rPr>
          <w:rFonts w:hint="eastAsia" w:ascii="宋体" w:hAnsi="宋体" w:cs="宋体"/>
        </w:rPr>
        <w:t>网页截图(</w:t>
      </w:r>
      <w:r>
        <w:rPr>
          <w:rFonts w:hint="eastAsia"/>
        </w:rPr>
        <w:t>适用于</w:t>
      </w:r>
      <w:r>
        <w:rPr>
          <w:rFonts w:hint="eastAsia" w:ascii="宋体" w:hAnsi="宋体" w:cs="宋体"/>
          <w:szCs w:val="21"/>
        </w:rPr>
        <w:t>招标人设定的业绩为房建工程或市政类施工项目</w:t>
      </w:r>
      <w:r>
        <w:rPr>
          <w:rFonts w:ascii="宋体" w:hAnsi="宋体" w:cs="宋体"/>
        </w:rPr>
        <w:t>)</w:t>
      </w:r>
      <w:r>
        <w:rPr>
          <w:rFonts w:hint="eastAsia" w:ascii="宋体" w:hAnsi="宋体" w:cs="宋体"/>
        </w:rPr>
        <w:t>。</w:t>
      </w:r>
    </w:p>
    <w:p w14:paraId="1D25892F">
      <w:pPr>
        <w:spacing w:line="300" w:lineRule="exact"/>
        <w:ind w:firstLine="420" w:firstLineChars="200"/>
        <w:rPr>
          <w:rFonts w:ascii="宋体" w:hAnsi="宋体" w:cs="宋体"/>
        </w:rPr>
      </w:pPr>
      <w:r>
        <w:rPr>
          <w:rFonts w:hint="eastAsia" w:ascii="宋体" w:hAnsi="宋体" w:cs="宋体"/>
        </w:rPr>
        <w:t>2.</w:t>
      </w:r>
      <w:r>
        <w:rPr>
          <w:rFonts w:hint="eastAsia" w:ascii="宋体" w:hAnsi="宋体" w:cs="宋体"/>
          <w:spacing w:val="-3"/>
        </w:rPr>
        <w:t>因投标人自身原因未提供附件或提供的附件不能与所证明的内容相匹配，造成业绩或其他内容不予认可时，投标人自行承担相关责任。</w:t>
      </w:r>
      <w:r>
        <w:rPr>
          <w:rFonts w:ascii="宋体" w:hAnsi="宋体" w:cs="宋体"/>
        </w:rPr>
        <w:t xml:space="preserve"> </w:t>
      </w:r>
    </w:p>
    <w:p w14:paraId="49AB0E62">
      <w:pPr>
        <w:pStyle w:val="299"/>
        <w:spacing w:line="300" w:lineRule="exact"/>
        <w:ind w:firstLine="420" w:firstLineChars="200"/>
        <w:rPr>
          <w:rFonts w:ascii="宋体" w:hAnsi="宋体"/>
        </w:rPr>
      </w:pPr>
      <w:r>
        <w:rPr>
          <w:rFonts w:hint="eastAsia" w:ascii="宋体" w:hAnsi="宋体"/>
        </w:rPr>
        <w:t>3</w:t>
      </w:r>
      <w:r>
        <w:rPr>
          <w:rFonts w:ascii="宋体" w:hAnsi="宋体"/>
        </w:rPr>
        <w:t>.本表所列合同价格一般为项目结算价格，无结算价格的以签约合同价格为准。</w:t>
      </w:r>
    </w:p>
    <w:p w14:paraId="2D18119D">
      <w:pPr>
        <w:pStyle w:val="299"/>
        <w:spacing w:line="300" w:lineRule="exact"/>
        <w:ind w:firstLine="420" w:firstLineChars="200"/>
        <w:rPr>
          <w:rFonts w:ascii="宋体" w:hAnsi="宋体"/>
        </w:rPr>
      </w:pPr>
      <w:r>
        <w:rPr>
          <w:rFonts w:hint="eastAsia" w:ascii="宋体" w:hAnsi="宋体"/>
        </w:rPr>
        <w:t>4</w:t>
      </w:r>
      <w:r>
        <w:rPr>
          <w:rFonts w:ascii="宋体" w:hAnsi="宋体"/>
        </w:rPr>
        <w:t>.</w:t>
      </w:r>
      <w:r>
        <w:rPr>
          <w:rFonts w:hint="eastAsia" w:ascii="宋体" w:hAnsi="宋体"/>
        </w:rPr>
        <w:t>房建</w:t>
      </w:r>
      <w:r>
        <w:rPr>
          <w:rFonts w:hint="eastAsia" w:ascii="宋体" w:hAnsi="宋体" w:cs="宋体"/>
          <w:spacing w:val="-3"/>
          <w:lang w:bidi="ar"/>
        </w:rPr>
        <w:t>工程可为合同中包含的施工内容或单独房建工程合同的项目。</w:t>
      </w:r>
    </w:p>
    <w:p w14:paraId="3C4DCB95">
      <w:pPr>
        <w:pStyle w:val="299"/>
        <w:spacing w:line="300" w:lineRule="exact"/>
        <w:ind w:firstLine="420" w:firstLineChars="200"/>
        <w:rPr>
          <w:rFonts w:ascii="宋体" w:hAnsi="宋体"/>
        </w:rPr>
      </w:pPr>
      <w:r>
        <w:rPr>
          <w:rFonts w:hint="eastAsia" w:ascii="宋体" w:hAnsi="宋体"/>
        </w:rPr>
        <w:t>5.如近年来，投标人法人机构发生合法变更或重组或法人名称变更时，应提供相关部门的合法批件或其他相关证明材料来证明其所附业绩的继承性。</w:t>
      </w:r>
    </w:p>
    <w:p w14:paraId="24C7C386">
      <w:pPr>
        <w:spacing w:line="300" w:lineRule="exact"/>
        <w:ind w:firstLine="420" w:firstLineChars="200"/>
        <w:rPr>
          <w:rFonts w:ascii="宋体" w:hAnsi="宋体" w:cs="宋体"/>
        </w:rPr>
      </w:pPr>
      <w:r>
        <w:rPr>
          <w:rFonts w:hint="eastAsia" w:ascii="宋体" w:hAnsi="宋体" w:cs="宋体"/>
          <w:szCs w:val="21"/>
        </w:rPr>
        <w:t>6</w:t>
      </w:r>
      <w:r>
        <w:rPr>
          <w:rFonts w:ascii="宋体" w:hAnsi="宋体" w:cs="宋体"/>
          <w:szCs w:val="21"/>
        </w:rPr>
        <w:t>.</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18B11D6B">
      <w:pPr>
        <w:spacing w:line="300" w:lineRule="exact"/>
        <w:ind w:left="0" w:leftChars="0" w:firstLine="420" w:firstLineChars="200"/>
        <w:jc w:val="left"/>
        <w:rPr>
          <w:rFonts w:ascii="宋体" w:hAnsi="宋体" w:cs="宋体"/>
        </w:rPr>
      </w:pPr>
      <w:r>
        <w:rPr>
          <w:rFonts w:hint="eastAsia" w:ascii="宋体" w:hAnsi="宋体" w:cs="宋体"/>
        </w:rPr>
        <w:t>7</w:t>
      </w:r>
      <w:r>
        <w:rPr>
          <w:rFonts w:ascii="宋体" w:hAnsi="宋体" w:cs="宋体"/>
        </w:rPr>
        <w:t>.</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p>
    <w:p w14:paraId="350AC1C7">
      <w:pPr>
        <w:pStyle w:val="20"/>
        <w:kinsoku w:val="0"/>
        <w:overflowPunct w:val="0"/>
        <w:spacing w:before="44" w:line="360" w:lineRule="auto"/>
        <w:rPr>
          <w:rFonts w:cs="黑体"/>
        </w:rPr>
        <w:sectPr>
          <w:footnotePr>
            <w:numFmt w:val="decimalEnclosedCircleChinese"/>
            <w:numRestart w:val="eachPage"/>
          </w:footnotePr>
          <w:pgSz w:w="16838" w:h="11900" w:orient="landscape"/>
          <w:pgMar w:top="1418" w:right="1418" w:bottom="1418" w:left="1701" w:header="851" w:footer="624" w:gutter="0"/>
          <w:cols w:space="720" w:num="1"/>
          <w:docGrid w:linePitch="286" w:charSpace="0"/>
        </w:sectPr>
      </w:pPr>
    </w:p>
    <w:p w14:paraId="1BBFE519">
      <w:pPr>
        <w:spacing w:line="360" w:lineRule="auto"/>
        <w:ind w:firstLine="4096" w:firstLineChars="1700"/>
        <w:rPr>
          <w:rFonts w:hint="eastAsia" w:ascii="黑体" w:hAnsi="黑体" w:eastAsia="黑体" w:cs="宋体"/>
          <w:sz w:val="24"/>
          <w:lang w:eastAsia="zh-CN"/>
        </w:rPr>
      </w:pPr>
      <w:r>
        <w:rPr>
          <w:rFonts w:hint="eastAsia" w:ascii="黑体" w:hAnsi="黑体" w:eastAsia="黑体" w:cs="宋体"/>
          <w:b/>
          <w:sz w:val="24"/>
        </w:rPr>
        <w:t>□</w:t>
      </w:r>
      <w:r>
        <w:rPr>
          <w:rFonts w:ascii="黑体" w:hAnsi="黑体" w:eastAsia="黑体" w:cs="宋体"/>
          <w:sz w:val="24"/>
        </w:rPr>
        <w:t xml:space="preserve"> 近年完成的</w:t>
      </w:r>
      <w:r>
        <w:rPr>
          <w:rFonts w:hint="eastAsia" w:ascii="黑体" w:hAnsi="黑体" w:eastAsia="黑体" w:cs="宋体"/>
          <w:sz w:val="24"/>
        </w:rPr>
        <w:t>其他工程：</w:t>
      </w:r>
      <w:r>
        <w:rPr>
          <w:rFonts w:ascii="黑体" w:hAnsi="黑体" w:eastAsia="黑体" w:cs="宋体"/>
          <w:sz w:val="24"/>
          <w:u w:val="single"/>
        </w:rPr>
        <w:t xml:space="preserve">        </w:t>
      </w:r>
      <w:r>
        <w:rPr>
          <w:rFonts w:hint="eastAsia" w:ascii="黑体" w:hAnsi="黑体" w:eastAsia="黑体" w:cs="宋体"/>
          <w:sz w:val="24"/>
        </w:rPr>
        <w:t>施工情况</w:t>
      </w:r>
      <w:r>
        <w:rPr>
          <w:rFonts w:ascii="黑体" w:hAnsi="黑体" w:eastAsia="黑体" w:cs="宋体"/>
          <w:sz w:val="24"/>
        </w:rPr>
        <w:t xml:space="preserve">                           表2-</w:t>
      </w:r>
      <w:r>
        <w:rPr>
          <w:rFonts w:hint="eastAsia" w:ascii="黑体" w:hAnsi="黑体" w:eastAsia="黑体" w:cs="宋体"/>
          <w:sz w:val="24"/>
          <w:lang w:val="en-US" w:eastAsia="zh-CN"/>
        </w:rPr>
        <w:t>8</w:t>
      </w:r>
    </w:p>
    <w:tbl>
      <w:tblPr>
        <w:tblStyle w:val="49"/>
        <w:tblW w:w="140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869"/>
        <w:gridCol w:w="1513"/>
        <w:gridCol w:w="638"/>
        <w:gridCol w:w="638"/>
        <w:gridCol w:w="976"/>
        <w:gridCol w:w="1063"/>
        <w:gridCol w:w="1062"/>
        <w:gridCol w:w="1062"/>
        <w:gridCol w:w="1314"/>
        <w:gridCol w:w="633"/>
        <w:gridCol w:w="1275"/>
        <w:gridCol w:w="1359"/>
        <w:gridCol w:w="1183"/>
      </w:tblGrid>
      <w:tr w14:paraId="1FE3A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17" w:type="dxa"/>
            <w:vAlign w:val="center"/>
          </w:tcPr>
          <w:p w14:paraId="36DAAEE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869" w:type="dxa"/>
            <w:tcMar>
              <w:top w:w="0" w:type="dxa"/>
              <w:left w:w="108" w:type="dxa"/>
              <w:bottom w:w="0" w:type="dxa"/>
              <w:right w:w="108" w:type="dxa"/>
            </w:tcMar>
            <w:vAlign w:val="center"/>
          </w:tcPr>
          <w:p w14:paraId="7590C4A7">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w:t>
            </w:r>
          </w:p>
          <w:p w14:paraId="57BC0C4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业主</w:t>
            </w:r>
          </w:p>
        </w:tc>
        <w:tc>
          <w:tcPr>
            <w:tcW w:w="1513" w:type="dxa"/>
            <w:tcMar>
              <w:top w:w="0" w:type="dxa"/>
              <w:left w:w="108" w:type="dxa"/>
              <w:bottom w:w="0" w:type="dxa"/>
              <w:right w:w="108" w:type="dxa"/>
            </w:tcMar>
            <w:vAlign w:val="center"/>
          </w:tcPr>
          <w:p w14:paraId="0A214A6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38" w:type="dxa"/>
            <w:vAlign w:val="center"/>
          </w:tcPr>
          <w:p w14:paraId="2300930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公路</w:t>
            </w:r>
          </w:p>
          <w:p w14:paraId="1A9FC54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等级</w:t>
            </w:r>
          </w:p>
        </w:tc>
        <w:tc>
          <w:tcPr>
            <w:tcW w:w="638" w:type="dxa"/>
            <w:tcMar>
              <w:top w:w="0" w:type="dxa"/>
              <w:left w:w="108" w:type="dxa"/>
              <w:bottom w:w="0" w:type="dxa"/>
              <w:right w:w="108" w:type="dxa"/>
            </w:tcMar>
            <w:vAlign w:val="center"/>
          </w:tcPr>
          <w:p w14:paraId="4BD55DEE">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976" w:type="dxa"/>
            <w:vAlign w:val="center"/>
          </w:tcPr>
          <w:p w14:paraId="5C13DE40">
            <w:pPr>
              <w:pStyle w:val="299"/>
              <w:jc w:val="center"/>
              <w:rPr>
                <w:rFonts w:asciiTheme="minorEastAsia" w:hAnsiTheme="minorEastAsia" w:eastAsiaTheme="minorEastAsia"/>
                <w:szCs w:val="21"/>
              </w:rPr>
            </w:pPr>
            <w:r>
              <w:rPr>
                <w:rFonts w:hint="eastAsia" w:asciiTheme="minorEastAsia" w:hAnsiTheme="minorEastAsia" w:eastAsiaTheme="minorEastAsia"/>
                <w:szCs w:val="21"/>
              </w:rPr>
              <w:t>标段长度</w:t>
            </w:r>
            <w:r>
              <w:rPr>
                <w:rFonts w:hint="eastAsia" w:cs="宋体" w:asciiTheme="minorEastAsia" w:hAnsiTheme="minorEastAsia" w:eastAsiaTheme="minorEastAsia"/>
                <w:szCs w:val="21"/>
              </w:rPr>
              <w:t>（</w:t>
            </w:r>
            <w:r>
              <w:rPr>
                <w:rFonts w:cs="宋体" w:asciiTheme="minorEastAsia" w:hAnsiTheme="minorEastAsia" w:eastAsiaTheme="minorEastAsia"/>
                <w:szCs w:val="21"/>
              </w:rPr>
              <w:t>km）</w:t>
            </w:r>
          </w:p>
        </w:tc>
        <w:tc>
          <w:tcPr>
            <w:tcW w:w="1063" w:type="dxa"/>
            <w:tcMar>
              <w:top w:w="0" w:type="dxa"/>
              <w:left w:w="108" w:type="dxa"/>
              <w:bottom w:w="0" w:type="dxa"/>
              <w:right w:w="108" w:type="dxa"/>
            </w:tcMar>
            <w:vAlign w:val="center"/>
          </w:tcPr>
          <w:p w14:paraId="44944B16">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开工日期</w:t>
            </w:r>
          </w:p>
        </w:tc>
        <w:tc>
          <w:tcPr>
            <w:tcW w:w="1062" w:type="dxa"/>
            <w:vAlign w:val="center"/>
          </w:tcPr>
          <w:p w14:paraId="3974BA14">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完成（交工）日期</w:t>
            </w:r>
          </w:p>
        </w:tc>
        <w:tc>
          <w:tcPr>
            <w:tcW w:w="1062" w:type="dxa"/>
            <w:vAlign w:val="center"/>
          </w:tcPr>
          <w:p w14:paraId="03155187">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合同价格（元）</w:t>
            </w:r>
          </w:p>
        </w:tc>
        <w:tc>
          <w:tcPr>
            <w:tcW w:w="1314" w:type="dxa"/>
            <w:vAlign w:val="center"/>
          </w:tcPr>
          <w:p w14:paraId="51D449D2">
            <w:pPr>
              <w:pStyle w:val="299"/>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633" w:type="dxa"/>
            <w:vAlign w:val="center"/>
          </w:tcPr>
          <w:p w14:paraId="284D3635">
            <w:pPr>
              <w:pStyle w:val="299"/>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275" w:type="dxa"/>
            <w:vAlign w:val="center"/>
          </w:tcPr>
          <w:p w14:paraId="20692E1E">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项目经理</w:t>
            </w:r>
          </w:p>
        </w:tc>
        <w:tc>
          <w:tcPr>
            <w:tcW w:w="1359" w:type="dxa"/>
            <w:tcMar>
              <w:top w:w="0" w:type="dxa"/>
              <w:left w:w="108" w:type="dxa"/>
              <w:bottom w:w="0" w:type="dxa"/>
              <w:right w:w="108" w:type="dxa"/>
            </w:tcMar>
            <w:vAlign w:val="center"/>
          </w:tcPr>
          <w:p w14:paraId="42E63C60">
            <w:pPr>
              <w:pStyle w:val="299"/>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项目总工</w:t>
            </w:r>
          </w:p>
        </w:tc>
        <w:tc>
          <w:tcPr>
            <w:tcW w:w="1183" w:type="dxa"/>
            <w:vAlign w:val="center"/>
          </w:tcPr>
          <w:p w14:paraId="5A695B69">
            <w:pPr>
              <w:pStyle w:val="299"/>
              <w:jc w:val="center"/>
              <w:rPr>
                <w:rFonts w:asciiTheme="minorEastAsia" w:hAnsiTheme="minorEastAsia" w:eastAsiaTheme="minorEastAsia"/>
                <w:szCs w:val="21"/>
              </w:rPr>
            </w:pPr>
            <w:r>
              <w:rPr>
                <w:rFonts w:hint="eastAsia" w:asciiTheme="minorEastAsia" w:hAnsiTheme="minorEastAsia" w:eastAsiaTheme="minorEastAsia"/>
                <w:szCs w:val="21"/>
              </w:rPr>
              <w:t>业绩证明材料附件</w:t>
            </w:r>
          </w:p>
        </w:tc>
      </w:tr>
      <w:tr w14:paraId="5C1B3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417" w:type="dxa"/>
            <w:vAlign w:val="center"/>
          </w:tcPr>
          <w:p w14:paraId="7F3A778B">
            <w:pPr>
              <w:pStyle w:val="299"/>
              <w:jc w:val="center"/>
              <w:rPr>
                <w:rFonts w:asciiTheme="minorEastAsia" w:hAnsiTheme="minorEastAsia" w:eastAsiaTheme="minorEastAsia"/>
                <w:szCs w:val="21"/>
              </w:rPr>
            </w:pPr>
          </w:p>
        </w:tc>
        <w:tc>
          <w:tcPr>
            <w:tcW w:w="869" w:type="dxa"/>
            <w:tcMar>
              <w:top w:w="0" w:type="dxa"/>
              <w:left w:w="108" w:type="dxa"/>
              <w:bottom w:w="0" w:type="dxa"/>
              <w:right w:w="108" w:type="dxa"/>
            </w:tcMar>
            <w:vAlign w:val="center"/>
          </w:tcPr>
          <w:p w14:paraId="0EAF4B2C">
            <w:pPr>
              <w:pStyle w:val="299"/>
              <w:jc w:val="center"/>
              <w:rPr>
                <w:rFonts w:asciiTheme="minorEastAsia" w:hAnsiTheme="minorEastAsia" w:eastAsiaTheme="minorEastAsia"/>
                <w:szCs w:val="21"/>
              </w:rPr>
            </w:pPr>
          </w:p>
        </w:tc>
        <w:tc>
          <w:tcPr>
            <w:tcW w:w="1513" w:type="dxa"/>
            <w:tcMar>
              <w:top w:w="0" w:type="dxa"/>
              <w:left w:w="108" w:type="dxa"/>
              <w:bottom w:w="0" w:type="dxa"/>
              <w:right w:w="108" w:type="dxa"/>
            </w:tcMar>
            <w:vAlign w:val="center"/>
          </w:tcPr>
          <w:p w14:paraId="2CF8749B">
            <w:pPr>
              <w:pStyle w:val="299"/>
              <w:jc w:val="center"/>
              <w:rPr>
                <w:rFonts w:asciiTheme="minorEastAsia" w:hAnsiTheme="minorEastAsia" w:eastAsiaTheme="minorEastAsia"/>
                <w:szCs w:val="21"/>
              </w:rPr>
            </w:pPr>
          </w:p>
        </w:tc>
        <w:tc>
          <w:tcPr>
            <w:tcW w:w="638" w:type="dxa"/>
          </w:tcPr>
          <w:p w14:paraId="65A08C81">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4E41FC20">
            <w:pPr>
              <w:pStyle w:val="299"/>
              <w:jc w:val="center"/>
              <w:rPr>
                <w:rFonts w:asciiTheme="minorEastAsia" w:hAnsiTheme="minorEastAsia" w:eastAsiaTheme="minorEastAsia"/>
                <w:szCs w:val="21"/>
              </w:rPr>
            </w:pPr>
          </w:p>
        </w:tc>
        <w:tc>
          <w:tcPr>
            <w:tcW w:w="976" w:type="dxa"/>
            <w:vAlign w:val="center"/>
          </w:tcPr>
          <w:p w14:paraId="096634A0">
            <w:pPr>
              <w:pStyle w:val="299"/>
              <w:jc w:val="center"/>
              <w:rPr>
                <w:rFonts w:asciiTheme="minorEastAsia" w:hAnsiTheme="minorEastAsia" w:eastAsiaTheme="minorEastAsia"/>
                <w:szCs w:val="21"/>
              </w:rPr>
            </w:pPr>
          </w:p>
        </w:tc>
        <w:tc>
          <w:tcPr>
            <w:tcW w:w="1063" w:type="dxa"/>
            <w:tcMar>
              <w:top w:w="0" w:type="dxa"/>
              <w:left w:w="108" w:type="dxa"/>
              <w:bottom w:w="0" w:type="dxa"/>
              <w:right w:w="108" w:type="dxa"/>
            </w:tcMar>
            <w:vAlign w:val="center"/>
          </w:tcPr>
          <w:p w14:paraId="2798BE1D">
            <w:pPr>
              <w:pStyle w:val="299"/>
              <w:jc w:val="center"/>
              <w:rPr>
                <w:rFonts w:asciiTheme="minorEastAsia" w:hAnsiTheme="minorEastAsia" w:eastAsiaTheme="minorEastAsia"/>
                <w:szCs w:val="21"/>
              </w:rPr>
            </w:pPr>
          </w:p>
        </w:tc>
        <w:tc>
          <w:tcPr>
            <w:tcW w:w="1062" w:type="dxa"/>
            <w:vAlign w:val="center"/>
          </w:tcPr>
          <w:p w14:paraId="395B6696">
            <w:pPr>
              <w:pStyle w:val="299"/>
              <w:jc w:val="center"/>
              <w:rPr>
                <w:rFonts w:asciiTheme="minorEastAsia" w:hAnsiTheme="minorEastAsia" w:eastAsiaTheme="minorEastAsia"/>
                <w:szCs w:val="21"/>
              </w:rPr>
            </w:pPr>
          </w:p>
        </w:tc>
        <w:tc>
          <w:tcPr>
            <w:tcW w:w="1062" w:type="dxa"/>
            <w:vAlign w:val="center"/>
          </w:tcPr>
          <w:p w14:paraId="63DA1B33">
            <w:pPr>
              <w:pStyle w:val="299"/>
              <w:jc w:val="center"/>
              <w:rPr>
                <w:rFonts w:asciiTheme="minorEastAsia" w:hAnsiTheme="minorEastAsia" w:eastAsiaTheme="minorEastAsia"/>
                <w:szCs w:val="21"/>
              </w:rPr>
            </w:pPr>
          </w:p>
        </w:tc>
        <w:tc>
          <w:tcPr>
            <w:tcW w:w="1314" w:type="dxa"/>
            <w:vAlign w:val="center"/>
          </w:tcPr>
          <w:p w14:paraId="7EFA6FF9">
            <w:pPr>
              <w:pStyle w:val="299"/>
              <w:jc w:val="center"/>
              <w:rPr>
                <w:rFonts w:asciiTheme="minorEastAsia" w:hAnsiTheme="minorEastAsia" w:eastAsiaTheme="minorEastAsia"/>
                <w:szCs w:val="21"/>
              </w:rPr>
            </w:pPr>
          </w:p>
        </w:tc>
        <w:tc>
          <w:tcPr>
            <w:tcW w:w="633" w:type="dxa"/>
            <w:vAlign w:val="center"/>
          </w:tcPr>
          <w:p w14:paraId="071A0A23">
            <w:pPr>
              <w:pStyle w:val="299"/>
              <w:jc w:val="center"/>
              <w:rPr>
                <w:rFonts w:asciiTheme="minorEastAsia" w:hAnsiTheme="minorEastAsia" w:eastAsiaTheme="minorEastAsia"/>
                <w:szCs w:val="21"/>
              </w:rPr>
            </w:pPr>
          </w:p>
        </w:tc>
        <w:tc>
          <w:tcPr>
            <w:tcW w:w="1275" w:type="dxa"/>
            <w:vAlign w:val="center"/>
          </w:tcPr>
          <w:p w14:paraId="15A10227">
            <w:pPr>
              <w:pStyle w:val="299"/>
              <w:jc w:val="center"/>
              <w:rPr>
                <w:rFonts w:asciiTheme="minorEastAsia" w:hAnsiTheme="minorEastAsia" w:eastAsiaTheme="minorEastAsia"/>
                <w:szCs w:val="21"/>
              </w:rPr>
            </w:pPr>
          </w:p>
        </w:tc>
        <w:tc>
          <w:tcPr>
            <w:tcW w:w="1359" w:type="dxa"/>
            <w:tcMar>
              <w:top w:w="0" w:type="dxa"/>
              <w:left w:w="108" w:type="dxa"/>
              <w:bottom w:w="0" w:type="dxa"/>
              <w:right w:w="108" w:type="dxa"/>
            </w:tcMar>
            <w:vAlign w:val="center"/>
          </w:tcPr>
          <w:p w14:paraId="599569F6">
            <w:pPr>
              <w:pStyle w:val="299"/>
              <w:jc w:val="center"/>
              <w:rPr>
                <w:rFonts w:asciiTheme="minorEastAsia" w:hAnsiTheme="minorEastAsia" w:eastAsiaTheme="minorEastAsia"/>
                <w:szCs w:val="21"/>
              </w:rPr>
            </w:pPr>
          </w:p>
        </w:tc>
        <w:tc>
          <w:tcPr>
            <w:tcW w:w="1183" w:type="dxa"/>
            <w:vAlign w:val="center"/>
          </w:tcPr>
          <w:p w14:paraId="33EAC9A4">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asciiTheme="minorEastAsia" w:hAnsiTheme="minorEastAsia" w:eastAsiaTheme="minorEastAsia"/>
                <w:szCs w:val="21"/>
              </w:rPr>
              <w:t>8.1</w:t>
            </w:r>
          </w:p>
        </w:tc>
      </w:tr>
      <w:tr w14:paraId="616FA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7" w:type="dxa"/>
            <w:vAlign w:val="center"/>
          </w:tcPr>
          <w:p w14:paraId="22EB8A0C">
            <w:pPr>
              <w:pStyle w:val="299"/>
              <w:jc w:val="center"/>
              <w:rPr>
                <w:rFonts w:asciiTheme="minorEastAsia" w:hAnsiTheme="minorEastAsia" w:eastAsiaTheme="minorEastAsia"/>
                <w:szCs w:val="21"/>
              </w:rPr>
            </w:pPr>
          </w:p>
        </w:tc>
        <w:tc>
          <w:tcPr>
            <w:tcW w:w="869" w:type="dxa"/>
            <w:tcMar>
              <w:top w:w="0" w:type="dxa"/>
              <w:left w:w="108" w:type="dxa"/>
              <w:bottom w:w="0" w:type="dxa"/>
              <w:right w:w="108" w:type="dxa"/>
            </w:tcMar>
            <w:vAlign w:val="center"/>
          </w:tcPr>
          <w:p w14:paraId="6FD1E4B4">
            <w:pPr>
              <w:pStyle w:val="299"/>
              <w:jc w:val="center"/>
              <w:rPr>
                <w:rFonts w:asciiTheme="minorEastAsia" w:hAnsiTheme="minorEastAsia" w:eastAsiaTheme="minorEastAsia"/>
                <w:szCs w:val="21"/>
              </w:rPr>
            </w:pPr>
          </w:p>
        </w:tc>
        <w:tc>
          <w:tcPr>
            <w:tcW w:w="1513" w:type="dxa"/>
            <w:tcMar>
              <w:top w:w="0" w:type="dxa"/>
              <w:left w:w="108" w:type="dxa"/>
              <w:bottom w:w="0" w:type="dxa"/>
              <w:right w:w="108" w:type="dxa"/>
            </w:tcMar>
            <w:vAlign w:val="center"/>
          </w:tcPr>
          <w:p w14:paraId="79DC5101">
            <w:pPr>
              <w:pStyle w:val="299"/>
              <w:jc w:val="center"/>
              <w:rPr>
                <w:rFonts w:asciiTheme="minorEastAsia" w:hAnsiTheme="minorEastAsia" w:eastAsiaTheme="minorEastAsia"/>
                <w:szCs w:val="21"/>
              </w:rPr>
            </w:pPr>
          </w:p>
        </w:tc>
        <w:tc>
          <w:tcPr>
            <w:tcW w:w="638" w:type="dxa"/>
          </w:tcPr>
          <w:p w14:paraId="05D460F0">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3BEBB28D">
            <w:pPr>
              <w:pStyle w:val="299"/>
              <w:jc w:val="center"/>
              <w:rPr>
                <w:rFonts w:asciiTheme="minorEastAsia" w:hAnsiTheme="minorEastAsia" w:eastAsiaTheme="minorEastAsia"/>
                <w:szCs w:val="21"/>
              </w:rPr>
            </w:pPr>
          </w:p>
        </w:tc>
        <w:tc>
          <w:tcPr>
            <w:tcW w:w="976" w:type="dxa"/>
            <w:vAlign w:val="center"/>
          </w:tcPr>
          <w:p w14:paraId="1C7192D6">
            <w:pPr>
              <w:pStyle w:val="299"/>
              <w:jc w:val="center"/>
              <w:rPr>
                <w:rFonts w:asciiTheme="minorEastAsia" w:hAnsiTheme="minorEastAsia" w:eastAsiaTheme="minorEastAsia"/>
                <w:szCs w:val="21"/>
              </w:rPr>
            </w:pPr>
          </w:p>
        </w:tc>
        <w:tc>
          <w:tcPr>
            <w:tcW w:w="1063" w:type="dxa"/>
            <w:tcMar>
              <w:top w:w="0" w:type="dxa"/>
              <w:left w:w="108" w:type="dxa"/>
              <w:bottom w:w="0" w:type="dxa"/>
              <w:right w:w="108" w:type="dxa"/>
            </w:tcMar>
            <w:vAlign w:val="center"/>
          </w:tcPr>
          <w:p w14:paraId="1306BDC6">
            <w:pPr>
              <w:pStyle w:val="299"/>
              <w:jc w:val="center"/>
              <w:rPr>
                <w:rFonts w:asciiTheme="minorEastAsia" w:hAnsiTheme="minorEastAsia" w:eastAsiaTheme="minorEastAsia"/>
                <w:szCs w:val="21"/>
              </w:rPr>
            </w:pPr>
          </w:p>
        </w:tc>
        <w:tc>
          <w:tcPr>
            <w:tcW w:w="1062" w:type="dxa"/>
            <w:vAlign w:val="center"/>
          </w:tcPr>
          <w:p w14:paraId="60E0C74E">
            <w:pPr>
              <w:pStyle w:val="299"/>
              <w:jc w:val="center"/>
              <w:rPr>
                <w:rFonts w:asciiTheme="minorEastAsia" w:hAnsiTheme="minorEastAsia" w:eastAsiaTheme="minorEastAsia"/>
                <w:szCs w:val="21"/>
              </w:rPr>
            </w:pPr>
          </w:p>
        </w:tc>
        <w:tc>
          <w:tcPr>
            <w:tcW w:w="1062" w:type="dxa"/>
            <w:vAlign w:val="center"/>
          </w:tcPr>
          <w:p w14:paraId="11DBA153">
            <w:pPr>
              <w:pStyle w:val="299"/>
              <w:jc w:val="center"/>
              <w:rPr>
                <w:rFonts w:asciiTheme="minorEastAsia" w:hAnsiTheme="minorEastAsia" w:eastAsiaTheme="minorEastAsia"/>
                <w:szCs w:val="21"/>
              </w:rPr>
            </w:pPr>
          </w:p>
        </w:tc>
        <w:tc>
          <w:tcPr>
            <w:tcW w:w="1314" w:type="dxa"/>
            <w:vAlign w:val="center"/>
          </w:tcPr>
          <w:p w14:paraId="530F5319">
            <w:pPr>
              <w:pStyle w:val="299"/>
              <w:jc w:val="center"/>
              <w:rPr>
                <w:rFonts w:asciiTheme="minorEastAsia" w:hAnsiTheme="minorEastAsia" w:eastAsiaTheme="minorEastAsia"/>
                <w:szCs w:val="21"/>
              </w:rPr>
            </w:pPr>
          </w:p>
        </w:tc>
        <w:tc>
          <w:tcPr>
            <w:tcW w:w="633" w:type="dxa"/>
            <w:vAlign w:val="center"/>
          </w:tcPr>
          <w:p w14:paraId="78D771ED">
            <w:pPr>
              <w:pStyle w:val="299"/>
              <w:jc w:val="center"/>
              <w:rPr>
                <w:rFonts w:asciiTheme="minorEastAsia" w:hAnsiTheme="minorEastAsia" w:eastAsiaTheme="minorEastAsia"/>
                <w:szCs w:val="21"/>
              </w:rPr>
            </w:pPr>
          </w:p>
        </w:tc>
        <w:tc>
          <w:tcPr>
            <w:tcW w:w="1275" w:type="dxa"/>
            <w:vAlign w:val="center"/>
          </w:tcPr>
          <w:p w14:paraId="7835FF96">
            <w:pPr>
              <w:pStyle w:val="299"/>
              <w:jc w:val="center"/>
              <w:rPr>
                <w:rFonts w:asciiTheme="minorEastAsia" w:hAnsiTheme="minorEastAsia" w:eastAsiaTheme="minorEastAsia"/>
                <w:szCs w:val="21"/>
              </w:rPr>
            </w:pPr>
          </w:p>
        </w:tc>
        <w:tc>
          <w:tcPr>
            <w:tcW w:w="1359" w:type="dxa"/>
            <w:tcMar>
              <w:top w:w="0" w:type="dxa"/>
              <w:left w:w="108" w:type="dxa"/>
              <w:bottom w:w="0" w:type="dxa"/>
              <w:right w:w="108" w:type="dxa"/>
            </w:tcMar>
            <w:vAlign w:val="center"/>
          </w:tcPr>
          <w:p w14:paraId="06FA39AB">
            <w:pPr>
              <w:pStyle w:val="299"/>
              <w:jc w:val="center"/>
              <w:rPr>
                <w:rFonts w:asciiTheme="minorEastAsia" w:hAnsiTheme="minorEastAsia" w:eastAsiaTheme="minorEastAsia"/>
                <w:szCs w:val="21"/>
              </w:rPr>
            </w:pPr>
          </w:p>
        </w:tc>
        <w:tc>
          <w:tcPr>
            <w:tcW w:w="1183" w:type="dxa"/>
            <w:vAlign w:val="center"/>
          </w:tcPr>
          <w:p w14:paraId="54ECA079">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asciiTheme="minorEastAsia" w:hAnsiTheme="minorEastAsia" w:eastAsiaTheme="minorEastAsia"/>
                <w:szCs w:val="21"/>
              </w:rPr>
              <w:t>8.2</w:t>
            </w:r>
          </w:p>
        </w:tc>
      </w:tr>
      <w:tr w14:paraId="2DCFE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417" w:type="dxa"/>
            <w:vAlign w:val="center"/>
          </w:tcPr>
          <w:p w14:paraId="35D04B34">
            <w:pPr>
              <w:pStyle w:val="299"/>
              <w:jc w:val="center"/>
              <w:rPr>
                <w:rFonts w:asciiTheme="minorEastAsia" w:hAnsiTheme="minorEastAsia" w:eastAsiaTheme="minorEastAsia"/>
                <w:szCs w:val="21"/>
              </w:rPr>
            </w:pPr>
          </w:p>
        </w:tc>
        <w:tc>
          <w:tcPr>
            <w:tcW w:w="869" w:type="dxa"/>
            <w:tcMar>
              <w:top w:w="0" w:type="dxa"/>
              <w:left w:w="108" w:type="dxa"/>
              <w:bottom w:w="0" w:type="dxa"/>
              <w:right w:w="108" w:type="dxa"/>
            </w:tcMar>
            <w:vAlign w:val="center"/>
          </w:tcPr>
          <w:p w14:paraId="7BEC7E7F">
            <w:pPr>
              <w:pStyle w:val="299"/>
              <w:jc w:val="center"/>
              <w:rPr>
                <w:rFonts w:asciiTheme="minorEastAsia" w:hAnsiTheme="minorEastAsia" w:eastAsiaTheme="minorEastAsia"/>
                <w:szCs w:val="21"/>
              </w:rPr>
            </w:pPr>
          </w:p>
        </w:tc>
        <w:tc>
          <w:tcPr>
            <w:tcW w:w="1513" w:type="dxa"/>
            <w:tcMar>
              <w:top w:w="0" w:type="dxa"/>
              <w:left w:w="108" w:type="dxa"/>
              <w:bottom w:w="0" w:type="dxa"/>
              <w:right w:w="108" w:type="dxa"/>
            </w:tcMar>
            <w:vAlign w:val="center"/>
          </w:tcPr>
          <w:p w14:paraId="29CDB4F3">
            <w:pPr>
              <w:pStyle w:val="299"/>
              <w:jc w:val="center"/>
              <w:rPr>
                <w:rFonts w:asciiTheme="minorEastAsia" w:hAnsiTheme="minorEastAsia" w:eastAsiaTheme="minorEastAsia"/>
                <w:szCs w:val="21"/>
              </w:rPr>
            </w:pPr>
          </w:p>
        </w:tc>
        <w:tc>
          <w:tcPr>
            <w:tcW w:w="638" w:type="dxa"/>
          </w:tcPr>
          <w:p w14:paraId="4737AF5C">
            <w:pPr>
              <w:pStyle w:val="299"/>
              <w:jc w:val="center"/>
              <w:rPr>
                <w:rFonts w:asciiTheme="minorEastAsia" w:hAnsiTheme="minorEastAsia" w:eastAsiaTheme="minorEastAsia"/>
                <w:szCs w:val="21"/>
              </w:rPr>
            </w:pPr>
          </w:p>
        </w:tc>
        <w:tc>
          <w:tcPr>
            <w:tcW w:w="638" w:type="dxa"/>
            <w:tcMar>
              <w:top w:w="0" w:type="dxa"/>
              <w:left w:w="108" w:type="dxa"/>
              <w:bottom w:w="0" w:type="dxa"/>
              <w:right w:w="108" w:type="dxa"/>
            </w:tcMar>
            <w:vAlign w:val="center"/>
          </w:tcPr>
          <w:p w14:paraId="1C49335D">
            <w:pPr>
              <w:pStyle w:val="299"/>
              <w:jc w:val="center"/>
              <w:rPr>
                <w:rFonts w:asciiTheme="minorEastAsia" w:hAnsiTheme="minorEastAsia" w:eastAsiaTheme="minorEastAsia"/>
                <w:szCs w:val="21"/>
              </w:rPr>
            </w:pPr>
          </w:p>
        </w:tc>
        <w:tc>
          <w:tcPr>
            <w:tcW w:w="976" w:type="dxa"/>
            <w:vAlign w:val="center"/>
          </w:tcPr>
          <w:p w14:paraId="7BB3D23C">
            <w:pPr>
              <w:pStyle w:val="299"/>
              <w:jc w:val="center"/>
              <w:rPr>
                <w:rFonts w:asciiTheme="minorEastAsia" w:hAnsiTheme="minorEastAsia" w:eastAsiaTheme="minorEastAsia"/>
                <w:szCs w:val="21"/>
              </w:rPr>
            </w:pPr>
          </w:p>
        </w:tc>
        <w:tc>
          <w:tcPr>
            <w:tcW w:w="1063" w:type="dxa"/>
            <w:tcMar>
              <w:top w:w="0" w:type="dxa"/>
              <w:left w:w="108" w:type="dxa"/>
              <w:bottom w:w="0" w:type="dxa"/>
              <w:right w:w="108" w:type="dxa"/>
            </w:tcMar>
            <w:vAlign w:val="center"/>
          </w:tcPr>
          <w:p w14:paraId="05691A55">
            <w:pPr>
              <w:pStyle w:val="299"/>
              <w:jc w:val="center"/>
              <w:rPr>
                <w:rFonts w:asciiTheme="minorEastAsia" w:hAnsiTheme="minorEastAsia" w:eastAsiaTheme="minorEastAsia"/>
                <w:szCs w:val="21"/>
              </w:rPr>
            </w:pPr>
          </w:p>
        </w:tc>
        <w:tc>
          <w:tcPr>
            <w:tcW w:w="1062" w:type="dxa"/>
            <w:vAlign w:val="center"/>
          </w:tcPr>
          <w:p w14:paraId="103BE963">
            <w:pPr>
              <w:pStyle w:val="299"/>
              <w:jc w:val="center"/>
              <w:rPr>
                <w:rFonts w:asciiTheme="minorEastAsia" w:hAnsiTheme="minorEastAsia" w:eastAsiaTheme="minorEastAsia"/>
                <w:szCs w:val="21"/>
              </w:rPr>
            </w:pPr>
          </w:p>
        </w:tc>
        <w:tc>
          <w:tcPr>
            <w:tcW w:w="1062" w:type="dxa"/>
            <w:vAlign w:val="center"/>
          </w:tcPr>
          <w:p w14:paraId="4F19B9AE">
            <w:pPr>
              <w:pStyle w:val="299"/>
              <w:jc w:val="center"/>
              <w:rPr>
                <w:rFonts w:asciiTheme="minorEastAsia" w:hAnsiTheme="minorEastAsia" w:eastAsiaTheme="minorEastAsia"/>
                <w:szCs w:val="21"/>
              </w:rPr>
            </w:pPr>
          </w:p>
        </w:tc>
        <w:tc>
          <w:tcPr>
            <w:tcW w:w="1314" w:type="dxa"/>
            <w:vAlign w:val="center"/>
          </w:tcPr>
          <w:p w14:paraId="6F581986">
            <w:pPr>
              <w:pStyle w:val="299"/>
              <w:jc w:val="center"/>
              <w:rPr>
                <w:rFonts w:asciiTheme="minorEastAsia" w:hAnsiTheme="minorEastAsia" w:eastAsiaTheme="minorEastAsia"/>
                <w:szCs w:val="21"/>
              </w:rPr>
            </w:pPr>
          </w:p>
        </w:tc>
        <w:tc>
          <w:tcPr>
            <w:tcW w:w="633" w:type="dxa"/>
            <w:vAlign w:val="center"/>
          </w:tcPr>
          <w:p w14:paraId="08038978">
            <w:pPr>
              <w:pStyle w:val="299"/>
              <w:jc w:val="center"/>
              <w:rPr>
                <w:rFonts w:asciiTheme="minorEastAsia" w:hAnsiTheme="minorEastAsia" w:eastAsiaTheme="minorEastAsia"/>
                <w:szCs w:val="21"/>
              </w:rPr>
            </w:pPr>
          </w:p>
        </w:tc>
        <w:tc>
          <w:tcPr>
            <w:tcW w:w="1275" w:type="dxa"/>
            <w:vAlign w:val="center"/>
          </w:tcPr>
          <w:p w14:paraId="6E5E4403">
            <w:pPr>
              <w:pStyle w:val="299"/>
              <w:jc w:val="center"/>
              <w:rPr>
                <w:rFonts w:asciiTheme="minorEastAsia" w:hAnsiTheme="minorEastAsia" w:eastAsiaTheme="minorEastAsia"/>
                <w:szCs w:val="21"/>
              </w:rPr>
            </w:pPr>
          </w:p>
        </w:tc>
        <w:tc>
          <w:tcPr>
            <w:tcW w:w="1359" w:type="dxa"/>
            <w:tcMar>
              <w:top w:w="0" w:type="dxa"/>
              <w:left w:w="108" w:type="dxa"/>
              <w:bottom w:w="0" w:type="dxa"/>
              <w:right w:w="108" w:type="dxa"/>
            </w:tcMar>
            <w:vAlign w:val="center"/>
          </w:tcPr>
          <w:p w14:paraId="24EC6B3D">
            <w:pPr>
              <w:pStyle w:val="299"/>
              <w:jc w:val="center"/>
              <w:rPr>
                <w:rFonts w:asciiTheme="minorEastAsia" w:hAnsiTheme="minorEastAsia" w:eastAsiaTheme="minorEastAsia"/>
                <w:szCs w:val="21"/>
              </w:rPr>
            </w:pPr>
          </w:p>
        </w:tc>
        <w:tc>
          <w:tcPr>
            <w:tcW w:w="1183" w:type="dxa"/>
            <w:vAlign w:val="center"/>
          </w:tcPr>
          <w:p w14:paraId="55CA3A6B">
            <w:pPr>
              <w:pStyle w:val="299"/>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C</w:t>
            </w:r>
            <w:r>
              <w:rPr>
                <w:rFonts w:hint="eastAsia" w:cs="宋体" w:asciiTheme="minorEastAsia" w:hAnsiTheme="minorEastAsia" w:eastAsiaTheme="minorEastAsia"/>
                <w:szCs w:val="21"/>
                <w:lang w:val="en-US" w:eastAsia="zh-CN"/>
              </w:rPr>
              <w:t>2-</w:t>
            </w:r>
            <w:r>
              <w:rPr>
                <w:rFonts w:asciiTheme="minorEastAsia" w:hAnsiTheme="minorEastAsia" w:eastAsiaTheme="minorEastAsia"/>
                <w:szCs w:val="21"/>
              </w:rPr>
              <w:t>8.3</w:t>
            </w:r>
          </w:p>
        </w:tc>
      </w:tr>
      <w:tr w14:paraId="4A756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17" w:type="dxa"/>
            <w:vAlign w:val="center"/>
          </w:tcPr>
          <w:p w14:paraId="6FE1281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869" w:type="dxa"/>
            <w:tcMar>
              <w:top w:w="0" w:type="dxa"/>
              <w:left w:w="108" w:type="dxa"/>
              <w:bottom w:w="0" w:type="dxa"/>
              <w:right w:w="108" w:type="dxa"/>
            </w:tcMar>
            <w:vAlign w:val="center"/>
          </w:tcPr>
          <w:p w14:paraId="2D8A269F">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513" w:type="dxa"/>
            <w:tcMar>
              <w:top w:w="0" w:type="dxa"/>
              <w:left w:w="108" w:type="dxa"/>
              <w:bottom w:w="0" w:type="dxa"/>
              <w:right w:w="108" w:type="dxa"/>
            </w:tcMar>
            <w:vAlign w:val="center"/>
          </w:tcPr>
          <w:p w14:paraId="0BEC8F59">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638" w:type="dxa"/>
            <w:vAlign w:val="center"/>
          </w:tcPr>
          <w:p w14:paraId="52374761">
            <w:pPr>
              <w:pStyle w:val="299"/>
              <w:jc w:val="center"/>
              <w:rPr>
                <w:rFonts w:cs="宋体" w:asciiTheme="minorEastAsia" w:hAnsiTheme="minorEastAsia" w:eastAsiaTheme="minorEastAsia"/>
                <w:kern w:val="0"/>
                <w:szCs w:val="21"/>
              </w:rPr>
            </w:pPr>
            <w:r>
              <w:rPr>
                <w:rFonts w:hint="eastAsia" w:ascii="宋体" w:hAnsi="宋体" w:cs="宋体"/>
                <w:kern w:val="0"/>
                <w:szCs w:val="21"/>
              </w:rPr>
              <w:t>…</w:t>
            </w:r>
          </w:p>
        </w:tc>
        <w:tc>
          <w:tcPr>
            <w:tcW w:w="638" w:type="dxa"/>
            <w:tcMar>
              <w:top w:w="0" w:type="dxa"/>
              <w:left w:w="108" w:type="dxa"/>
              <w:bottom w:w="0" w:type="dxa"/>
              <w:right w:w="108" w:type="dxa"/>
            </w:tcMar>
            <w:vAlign w:val="center"/>
          </w:tcPr>
          <w:p w14:paraId="24166A9E">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976" w:type="dxa"/>
            <w:vAlign w:val="center"/>
          </w:tcPr>
          <w:p w14:paraId="7DB10A4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63" w:type="dxa"/>
            <w:tcMar>
              <w:top w:w="0" w:type="dxa"/>
              <w:left w:w="108" w:type="dxa"/>
              <w:bottom w:w="0" w:type="dxa"/>
              <w:right w:w="108" w:type="dxa"/>
            </w:tcMar>
            <w:vAlign w:val="center"/>
          </w:tcPr>
          <w:p w14:paraId="20C1D68A">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62" w:type="dxa"/>
            <w:vAlign w:val="center"/>
          </w:tcPr>
          <w:p w14:paraId="17A55D54">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062" w:type="dxa"/>
            <w:vAlign w:val="center"/>
          </w:tcPr>
          <w:p w14:paraId="75FC53C5">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314" w:type="dxa"/>
            <w:vAlign w:val="center"/>
          </w:tcPr>
          <w:p w14:paraId="55789840">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633" w:type="dxa"/>
            <w:vAlign w:val="center"/>
          </w:tcPr>
          <w:p w14:paraId="1C92C5BD">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275" w:type="dxa"/>
            <w:vAlign w:val="center"/>
          </w:tcPr>
          <w:p w14:paraId="500DCA10">
            <w:pPr>
              <w:pStyle w:val="299"/>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w:t>
            </w:r>
          </w:p>
        </w:tc>
        <w:tc>
          <w:tcPr>
            <w:tcW w:w="1359" w:type="dxa"/>
            <w:tcMar>
              <w:top w:w="0" w:type="dxa"/>
              <w:left w:w="108" w:type="dxa"/>
              <w:bottom w:w="0" w:type="dxa"/>
              <w:right w:w="108" w:type="dxa"/>
            </w:tcMar>
            <w:vAlign w:val="center"/>
          </w:tcPr>
          <w:p w14:paraId="63FB0F71">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c>
          <w:tcPr>
            <w:tcW w:w="1183" w:type="dxa"/>
            <w:vAlign w:val="center"/>
          </w:tcPr>
          <w:p w14:paraId="59218BE5">
            <w:pPr>
              <w:pStyle w:val="299"/>
              <w:jc w:val="center"/>
              <w:rPr>
                <w:rFonts w:asciiTheme="minorEastAsia" w:hAnsiTheme="minorEastAsia" w:eastAsiaTheme="minorEastAsia"/>
                <w:szCs w:val="21"/>
              </w:rPr>
            </w:pPr>
            <w:r>
              <w:rPr>
                <w:rFonts w:cs="宋体" w:asciiTheme="minorEastAsia" w:hAnsiTheme="minorEastAsia" w:eastAsiaTheme="minorEastAsia"/>
                <w:kern w:val="0"/>
                <w:szCs w:val="21"/>
              </w:rPr>
              <w:t>…</w:t>
            </w:r>
          </w:p>
        </w:tc>
      </w:tr>
    </w:tbl>
    <w:p w14:paraId="62A76621">
      <w:pPr>
        <w:spacing w:line="300" w:lineRule="exact"/>
        <w:rPr>
          <w:rFonts w:ascii="宋体" w:hAnsi="宋体" w:cs="宋体"/>
          <w:spacing w:val="-3"/>
        </w:rPr>
      </w:pPr>
      <w:r>
        <w:rPr>
          <w:rFonts w:hint="eastAsia" w:ascii="宋体" w:hAnsi="宋体" w:cs="宋体"/>
        </w:rPr>
        <w:t>注：</w:t>
      </w:r>
      <w:r>
        <w:rPr>
          <w:rFonts w:ascii="宋体" w:hAnsi="宋体" w:cs="宋体"/>
        </w:rPr>
        <w:t>1.投</w:t>
      </w:r>
      <w:r>
        <w:rPr>
          <w:rFonts w:hint="eastAsia" w:ascii="宋体" w:hAnsi="宋体" w:cs="宋体"/>
          <w:spacing w:val="-3"/>
          <w:szCs w:val="21"/>
        </w:rPr>
        <w:t>标人应在本表后提供相关业绩证明材料</w:t>
      </w:r>
      <w:r>
        <w:rPr>
          <w:rFonts w:hint="eastAsia" w:ascii="宋体" w:hAnsi="宋体" w:cs="宋体"/>
          <w:spacing w:val="-3"/>
        </w:rPr>
        <w:t>附件</w:t>
      </w:r>
      <w:r>
        <w:rPr>
          <w:rFonts w:ascii="宋体" w:hAnsi="宋体" w:cs="宋体"/>
        </w:rPr>
        <w:t>C</w:t>
      </w:r>
      <w:r>
        <w:rPr>
          <w:rFonts w:hint="eastAsia" w:cs="宋体" w:asciiTheme="minorEastAsia" w:hAnsiTheme="minorEastAsia" w:eastAsiaTheme="minorEastAsia"/>
          <w:szCs w:val="21"/>
          <w:lang w:val="en-US" w:eastAsia="zh-CN"/>
        </w:rPr>
        <w:t>2-</w:t>
      </w:r>
      <w:r>
        <w:rPr>
          <w:rFonts w:hint="eastAsia" w:ascii="宋体" w:hAnsi="宋体" w:cs="宋体"/>
        </w:rPr>
        <w:t>8系列（其他工程：</w:t>
      </w:r>
      <w:r>
        <w:rPr>
          <w:rFonts w:ascii="宋体" w:hAnsi="宋体" w:cs="宋体"/>
          <w:u w:val="single"/>
        </w:rPr>
        <w:t xml:space="preserve">      </w:t>
      </w:r>
      <w:r>
        <w:rPr>
          <w:rFonts w:hint="eastAsia" w:ascii="宋体" w:hAnsi="宋体" w:cs="宋体"/>
        </w:rPr>
        <w:t>施工项目业绩）</w:t>
      </w:r>
      <w:r>
        <w:rPr>
          <w:rFonts w:hint="eastAsia" w:ascii="宋体" w:hAnsi="宋体" w:cs="宋体"/>
          <w:spacing w:val="-3"/>
        </w:rPr>
        <w:t>：</w:t>
      </w:r>
    </w:p>
    <w:p w14:paraId="22431E74">
      <w:pPr>
        <w:spacing w:line="300" w:lineRule="exact"/>
        <w:ind w:left="0" w:leftChars="0" w:firstLine="614" w:firstLineChars="300"/>
        <w:rPr>
          <w:rFonts w:ascii="宋体" w:hAnsi="宋体" w:cs="宋体"/>
          <w:spacing w:val="-3"/>
        </w:rPr>
      </w:pPr>
      <w:r>
        <w:rPr>
          <w:rFonts w:hint="eastAsia" w:ascii="宋体" w:hAnsi="宋体" w:cs="宋体"/>
          <w:b/>
          <w:bCs/>
          <w:spacing w:val="-3"/>
        </w:rPr>
        <w:t>□</w:t>
      </w:r>
      <w:r>
        <w:rPr>
          <w:rFonts w:ascii="宋体" w:hAnsi="宋体" w:cs="宋体"/>
          <w:spacing w:val="-3"/>
        </w:rPr>
        <w:t xml:space="preserve"> </w:t>
      </w:r>
      <w:r>
        <w:rPr>
          <w:rFonts w:hint="eastAsia" w:ascii="宋体" w:hAnsi="宋体" w:cs="宋体"/>
        </w:rPr>
        <w:t>在交通运输部“</w:t>
      </w:r>
      <w:r>
        <w:rPr>
          <w:rFonts w:hint="eastAsia" w:ascii="宋体" w:hAnsi="宋体" w:cs="宋体"/>
          <w:szCs w:val="21"/>
        </w:rPr>
        <w:t>全国公路建设市场监督管理系统</w:t>
      </w:r>
      <w:r>
        <w:rPr>
          <w:rFonts w:hint="eastAsia" w:ascii="宋体" w:hAnsi="宋体" w:cs="宋体"/>
        </w:rPr>
        <w:t>”中查询到的企业“业绩信息”相关项目网页截图（</w:t>
      </w:r>
      <w:r>
        <w:rPr>
          <w:rFonts w:hint="eastAsia" w:ascii="宋体" w:hAnsi="宋体"/>
          <w:szCs w:val="21"/>
        </w:rPr>
        <w:t>本项规定仅适用于根</w:t>
      </w:r>
      <w:r>
        <w:rPr>
          <w:rFonts w:hint="eastAsia" w:ascii="宋体" w:hAnsi="宋体" w:cs="宋体"/>
        </w:rPr>
        <w:t>据《关于发布公路工程从业企业资质名录的通知》（厅公路字〔2011〕114号）要求，招标人应通过名录对投标人资质条件进行审核的公路施工企业）。□和□或</w:t>
      </w:r>
    </w:p>
    <w:p w14:paraId="36B950EF">
      <w:pPr>
        <w:spacing w:line="300" w:lineRule="exact"/>
        <w:ind w:firstLine="632" w:firstLineChars="300"/>
        <w:rPr>
          <w:rFonts w:ascii="宋体" w:hAnsi="宋体" w:cs="宋体"/>
          <w:spacing w:val="-3"/>
        </w:rPr>
      </w:pPr>
      <w:r>
        <w:rPr>
          <w:rFonts w:hint="eastAsia" w:ascii="宋体" w:hAnsi="宋体" w:cs="宋体"/>
          <w:b/>
          <w:bCs/>
        </w:rPr>
        <w:t>□</w:t>
      </w:r>
      <w:r>
        <w:rPr>
          <w:rFonts w:ascii="宋体" w:hAnsi="宋体" w:cs="宋体"/>
        </w:rPr>
        <w:t xml:space="preserve"> 证明材料：</w:t>
      </w:r>
      <w:r>
        <w:rPr>
          <w:rFonts w:ascii="宋体" w:hAnsi="宋体" w:cs="宋体"/>
          <w:u w:val="single"/>
        </w:rPr>
        <w:t xml:space="preserve">          </w:t>
      </w:r>
      <w:r>
        <w:rPr>
          <w:rFonts w:hint="eastAsia" w:ascii="宋体" w:hAnsi="宋体" w:cs="宋体"/>
        </w:rPr>
        <w:t>。（本项业绩未列入交通运输部“全国公路建设市场监督管理系统”中查询到的企业“业绩信息”中的，招标人提出其他证明材料要求）。</w:t>
      </w:r>
    </w:p>
    <w:p w14:paraId="04221607">
      <w:pPr>
        <w:spacing w:line="300" w:lineRule="exact"/>
        <w:ind w:firstLine="408" w:firstLineChars="200"/>
        <w:rPr>
          <w:rFonts w:ascii="宋体" w:hAnsi="宋体" w:cs="宋体"/>
        </w:rPr>
      </w:pPr>
      <w:r>
        <w:rPr>
          <w:rFonts w:ascii="宋体" w:hAnsi="宋体" w:cs="宋体"/>
          <w:spacing w:val="-3"/>
        </w:rPr>
        <w:t>2.</w:t>
      </w:r>
      <w:bookmarkStart w:id="895" w:name="_Hlk101082473"/>
      <w:r>
        <w:rPr>
          <w:rFonts w:hint="eastAsia" w:ascii="宋体" w:hAnsi="宋体" w:cs="宋体"/>
          <w:spacing w:val="-3"/>
        </w:rPr>
        <w:t>因投标人自身原因</w:t>
      </w:r>
      <w:bookmarkEnd w:id="895"/>
      <w:r>
        <w:rPr>
          <w:rFonts w:hint="eastAsia" w:ascii="宋体" w:hAnsi="宋体" w:cs="宋体"/>
          <w:spacing w:val="-3"/>
        </w:rPr>
        <w:t>未提供附件或提供的附件不能与所证明的内容相匹配，造成业绩或其他内容不予认可时，投标人自行承担相关责任。</w:t>
      </w:r>
    </w:p>
    <w:p w14:paraId="7A8D4CBB">
      <w:pPr>
        <w:pStyle w:val="299"/>
        <w:spacing w:line="300" w:lineRule="exact"/>
        <w:ind w:firstLine="420" w:firstLineChars="200"/>
        <w:rPr>
          <w:rFonts w:ascii="宋体" w:hAnsi="宋体"/>
        </w:rPr>
      </w:pPr>
      <w:r>
        <w:rPr>
          <w:rFonts w:ascii="宋体" w:hAnsi="宋体"/>
        </w:rPr>
        <w:t>3.本表所列合同价格一般为项目结算价格，无结算价格的以签约合同价格为准。</w:t>
      </w:r>
    </w:p>
    <w:p w14:paraId="41D039E7">
      <w:pPr>
        <w:pStyle w:val="299"/>
        <w:spacing w:line="300" w:lineRule="exact"/>
        <w:ind w:firstLine="420" w:firstLineChars="200"/>
        <w:rPr>
          <w:rFonts w:ascii="宋体" w:hAnsi="宋体"/>
        </w:rPr>
      </w:pPr>
      <w:r>
        <w:rPr>
          <w:rFonts w:ascii="宋体" w:hAnsi="宋体"/>
        </w:rPr>
        <w:t>4.</w:t>
      </w:r>
      <w:r>
        <w:rPr>
          <w:rFonts w:hint="eastAsia" w:ascii="宋体" w:hAnsi="宋体"/>
        </w:rPr>
        <w:t>如近年来，投标人法人机构发生合法变更或重组或法人名称变更时，应提供相关部门的合法批件或其他相关证明材料来证明其所附业绩的继承性。</w:t>
      </w:r>
    </w:p>
    <w:p w14:paraId="126C8808">
      <w:pPr>
        <w:spacing w:line="300" w:lineRule="exact"/>
        <w:ind w:firstLine="420" w:firstLineChars="200"/>
        <w:rPr>
          <w:rFonts w:ascii="宋体" w:hAnsi="宋体" w:cs="宋体"/>
        </w:rPr>
      </w:pPr>
      <w:r>
        <w:rPr>
          <w:rFonts w:ascii="宋体" w:hAnsi="宋体" w:cs="宋体"/>
          <w:szCs w:val="21"/>
        </w:rPr>
        <w:t>5.</w:t>
      </w:r>
      <w:r>
        <w:rPr>
          <w:rFonts w:hint="eastAsia" w:ascii="宋体" w:hAnsi="宋体" w:cs="宋体"/>
          <w:szCs w:val="21"/>
        </w:rPr>
        <w:t>表中的</w:t>
      </w:r>
      <w:r>
        <w:rPr>
          <w:rFonts w:ascii="宋体" w:hAnsi="宋体" w:cs="宋体"/>
          <w:szCs w:val="21"/>
        </w:rPr>
        <w:t>“</w:t>
      </w:r>
      <w:r>
        <w:rPr>
          <w:rFonts w:hint="eastAsia" w:ascii="宋体" w:hAnsi="宋体" w:cs="宋体"/>
          <w:szCs w:val="21"/>
        </w:rPr>
        <w:t>日期</w:t>
      </w:r>
      <w:r>
        <w:rPr>
          <w:rFonts w:ascii="宋体" w:hAnsi="宋体" w:cs="宋体"/>
          <w:szCs w:val="21"/>
        </w:rPr>
        <w:t>”</w:t>
      </w:r>
      <w:r>
        <w:rPr>
          <w:rFonts w:hint="eastAsia" w:ascii="宋体" w:hAnsi="宋体" w:cs="宋体"/>
          <w:szCs w:val="21"/>
        </w:rPr>
        <w:t>填写</w:t>
      </w:r>
      <w:r>
        <w:rPr>
          <w:rFonts w:hint="eastAsia" w:ascii="宋体" w:hAnsi="宋体"/>
          <w:szCs w:val="21"/>
        </w:rPr>
        <w:t>的格式统一以阿拉伯数字表示。如：</w:t>
      </w:r>
      <w:r>
        <w:rPr>
          <w:rFonts w:ascii="宋体" w:hAnsi="宋体"/>
          <w:szCs w:val="21"/>
        </w:rPr>
        <w:t>20</w:t>
      </w:r>
      <w:r>
        <w:rPr>
          <w:rFonts w:hint="eastAsia" w:ascii="宋体" w:hAnsi="宋体"/>
          <w:szCs w:val="21"/>
        </w:rPr>
        <w:t>21年</w:t>
      </w:r>
      <w:r>
        <w:rPr>
          <w:rFonts w:ascii="宋体" w:hAnsi="宋体"/>
          <w:szCs w:val="21"/>
        </w:rPr>
        <w:t>5月1日，填写为20</w:t>
      </w:r>
      <w:r>
        <w:rPr>
          <w:rFonts w:hint="eastAsia" w:ascii="宋体" w:hAnsi="宋体"/>
          <w:szCs w:val="21"/>
        </w:rPr>
        <w:t>21</w:t>
      </w:r>
      <w:r>
        <w:rPr>
          <w:rFonts w:ascii="宋体" w:hAnsi="宋体"/>
          <w:szCs w:val="21"/>
        </w:rPr>
        <w:t>0501；20</w:t>
      </w:r>
      <w:r>
        <w:rPr>
          <w:rFonts w:hint="eastAsia" w:ascii="宋体" w:hAnsi="宋体"/>
          <w:szCs w:val="21"/>
        </w:rPr>
        <w:t>21年</w:t>
      </w:r>
      <w:r>
        <w:rPr>
          <w:rFonts w:ascii="宋体" w:hAnsi="宋体"/>
          <w:szCs w:val="21"/>
        </w:rPr>
        <w:t>5月，填写为20</w:t>
      </w:r>
      <w:r>
        <w:rPr>
          <w:rFonts w:hint="eastAsia" w:ascii="宋体" w:hAnsi="宋体"/>
          <w:szCs w:val="21"/>
        </w:rPr>
        <w:t>21</w:t>
      </w:r>
      <w:r>
        <w:rPr>
          <w:rFonts w:ascii="宋体" w:hAnsi="宋体"/>
          <w:szCs w:val="21"/>
        </w:rPr>
        <w:t>05。</w:t>
      </w:r>
    </w:p>
    <w:p w14:paraId="667C6E06">
      <w:pPr>
        <w:kinsoku w:val="0"/>
        <w:overflowPunct w:val="0"/>
        <w:spacing w:before="44" w:line="300" w:lineRule="exact"/>
        <w:ind w:left="0" w:leftChars="0" w:firstLine="420" w:firstLineChars="200"/>
        <w:rPr>
          <w:rFonts w:cs="黑体"/>
        </w:rPr>
      </w:pPr>
      <w:r>
        <w:rPr>
          <w:rFonts w:ascii="宋体" w:hAnsi="宋体" w:cs="宋体"/>
        </w:rPr>
        <w:t>6.</w:t>
      </w:r>
      <w:r>
        <w:rPr>
          <w:rFonts w:hint="eastAsia" w:ascii="宋体" w:hAnsi="宋体" w:cs="宋体"/>
          <w:szCs w:val="21"/>
        </w:rPr>
        <w:t>允许联合体投标时，若</w:t>
      </w:r>
      <w:r>
        <w:rPr>
          <w:rFonts w:ascii="宋体" w:hAnsi="宋体" w:cs="宋体"/>
        </w:rPr>
        <w:t>以联合体形式投标的，联合体各成员应按照</w:t>
      </w:r>
      <w:r>
        <w:rPr>
          <w:rFonts w:hint="eastAsia" w:ascii="宋体" w:hAnsi="宋体" w:cs="宋体"/>
        </w:rPr>
        <w:t>第二章“</w:t>
      </w:r>
      <w:r>
        <w:rPr>
          <w:rFonts w:ascii="宋体" w:hAnsi="宋体" w:cs="宋体"/>
        </w:rPr>
        <w:t>投标人须知</w:t>
      </w:r>
      <w:r>
        <w:rPr>
          <w:rFonts w:hint="eastAsia" w:ascii="宋体" w:hAnsi="宋体" w:cs="宋体"/>
        </w:rPr>
        <w:t>”</w:t>
      </w:r>
      <w:r>
        <w:rPr>
          <w:rFonts w:ascii="宋体" w:hAnsi="宋体" w:cs="宋体"/>
        </w:rPr>
        <w:t>前附表附录3</w:t>
      </w:r>
      <w:r>
        <w:rPr>
          <w:rFonts w:hint="eastAsia" w:ascii="宋体" w:hAnsi="宋体" w:cs="宋体"/>
        </w:rPr>
        <w:t>资格审查条件要求的对应业绩及第三章“评标办法”详细评审打分条件（如有）填写本表。</w:t>
      </w:r>
    </w:p>
    <w:p w14:paraId="7D426B0D">
      <w:pPr>
        <w:kinsoku w:val="0"/>
        <w:overflowPunct w:val="0"/>
        <w:spacing w:before="44" w:line="360" w:lineRule="auto"/>
        <w:ind w:left="609" w:leftChars="190" w:hanging="210" w:hangingChars="100"/>
        <w:rPr>
          <w:rFonts w:cs="黑体"/>
        </w:rPr>
        <w:sectPr>
          <w:footnotePr>
            <w:numFmt w:val="decimalEnclosedCircleChinese"/>
            <w:numRestart w:val="eachPage"/>
          </w:footnotePr>
          <w:pgSz w:w="16838" w:h="11900" w:orient="landscape"/>
          <w:pgMar w:top="1418" w:right="1418" w:bottom="1418" w:left="1701" w:header="851" w:footer="624" w:gutter="0"/>
          <w:cols w:space="720" w:num="1"/>
          <w:docGrid w:linePitch="286" w:charSpace="0"/>
        </w:sectPr>
      </w:pPr>
      <w:r>
        <w:rPr>
          <w:rFonts w:ascii="宋体" w:hAnsi="宋体" w:cs="宋体"/>
        </w:rPr>
        <w:t>7.</w:t>
      </w:r>
      <w:r>
        <w:rPr>
          <w:rFonts w:hint="eastAsia" w:ascii="宋体" w:hAnsi="宋体" w:cs="宋体"/>
        </w:rPr>
        <w:t>招标人</w:t>
      </w:r>
      <w:r>
        <w:rPr>
          <w:rFonts w:ascii="宋体" w:hAnsi="宋体" w:cs="宋体"/>
        </w:rPr>
        <w:t>选择</w:t>
      </w:r>
      <w:r>
        <w:rPr>
          <w:rFonts w:hint="eastAsia" w:ascii="宋体" w:hAnsi="宋体" w:cs="宋体"/>
        </w:rPr>
        <w:t>前列表格</w:t>
      </w:r>
      <w:r>
        <w:rPr>
          <w:rFonts w:ascii="宋体" w:hAnsi="宋体" w:cs="宋体"/>
        </w:rPr>
        <w:t>以外的业绩</w:t>
      </w:r>
      <w:r>
        <w:rPr>
          <w:rFonts w:hint="eastAsia" w:ascii="宋体" w:hAnsi="宋体" w:cs="宋体"/>
        </w:rPr>
        <w:t>类型</w:t>
      </w:r>
      <w:r>
        <w:rPr>
          <w:rFonts w:ascii="宋体" w:hAnsi="宋体" w:cs="宋体"/>
        </w:rPr>
        <w:t>时</w:t>
      </w:r>
      <w:r>
        <w:rPr>
          <w:rFonts w:hint="eastAsia" w:ascii="宋体" w:hAnsi="宋体" w:cs="宋体"/>
        </w:rPr>
        <w:t>，</w:t>
      </w:r>
      <w:r>
        <w:rPr>
          <w:rFonts w:ascii="宋体" w:hAnsi="宋体" w:cs="宋体"/>
        </w:rPr>
        <w:t>可在此进行投标文件格式约定。</w:t>
      </w:r>
    </w:p>
    <w:p w14:paraId="5240BC94">
      <w:pPr>
        <w:pStyle w:val="20"/>
        <w:kinsoku w:val="0"/>
        <w:overflowPunct w:val="0"/>
        <w:spacing w:before="26"/>
        <w:jc w:val="center"/>
        <w:rPr>
          <w:rFonts w:ascii="黑体" w:hAnsi="黑体" w:eastAsia="黑体" w:cs="黑体"/>
          <w:sz w:val="28"/>
          <w:szCs w:val="28"/>
        </w:rPr>
      </w:pPr>
      <w:r>
        <w:rPr>
          <w:rFonts w:hint="eastAsia" w:ascii="黑体" w:hAnsi="黑体" w:eastAsia="黑体" w:cs="黑体"/>
          <w:sz w:val="28"/>
          <w:szCs w:val="28"/>
        </w:rPr>
        <w:t>（五）投标人信誉情况表</w:t>
      </w:r>
    </w:p>
    <w:p w14:paraId="17A09200">
      <w:pPr>
        <w:pStyle w:val="20"/>
        <w:kinsoku w:val="0"/>
        <w:overflowPunct w:val="0"/>
        <w:spacing w:before="26"/>
        <w:jc w:val="center"/>
        <w:rPr>
          <w:rFonts w:cs="黑体"/>
        </w:rPr>
      </w:pPr>
    </w:p>
    <w:p w14:paraId="3B1A23B9">
      <w:pPr>
        <w:pStyle w:val="299"/>
      </w:pPr>
    </w:p>
    <w:tbl>
      <w:tblPr>
        <w:tblStyle w:val="49"/>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961"/>
        <w:gridCol w:w="1192"/>
      </w:tblGrid>
      <w:tr w14:paraId="544B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34" w:type="dxa"/>
            <w:gridSpan w:val="3"/>
            <w:vAlign w:val="center"/>
          </w:tcPr>
          <w:p w14:paraId="19B2ABE7">
            <w:pPr>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投标人名称：</w:t>
            </w:r>
          </w:p>
        </w:tc>
      </w:tr>
      <w:tr w14:paraId="2F46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681" w:type="dxa"/>
            <w:vAlign w:val="center"/>
          </w:tcPr>
          <w:p w14:paraId="62C6F2F6">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资料类型</w:t>
            </w:r>
          </w:p>
        </w:tc>
        <w:tc>
          <w:tcPr>
            <w:tcW w:w="3961" w:type="dxa"/>
            <w:vAlign w:val="center"/>
          </w:tcPr>
          <w:p w14:paraId="667AB9A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评价内容</w:t>
            </w:r>
          </w:p>
        </w:tc>
        <w:tc>
          <w:tcPr>
            <w:tcW w:w="1192" w:type="dxa"/>
            <w:vAlign w:val="center"/>
          </w:tcPr>
          <w:p w14:paraId="244C69BB">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信誉情况</w:t>
            </w:r>
          </w:p>
          <w:p w14:paraId="739EB064">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p>
        </w:tc>
      </w:tr>
      <w:tr w14:paraId="570A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681" w:type="dxa"/>
            <w:vAlign w:val="center"/>
          </w:tcPr>
          <w:p w14:paraId="25C982D6">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四川省交通运输厅</w:t>
            </w:r>
            <w:r>
              <w:rPr>
                <w:rFonts w:hint="eastAsia" w:asciiTheme="minorEastAsia" w:hAnsiTheme="minorEastAsia" w:eastAsiaTheme="minorEastAsia"/>
                <w:szCs w:val="21"/>
              </w:rPr>
              <w:t>网站公布的</w:t>
            </w:r>
            <w:r>
              <w:rPr>
                <w:rFonts w:hint="eastAsia" w:ascii="宋体" w:hAnsi="宋体"/>
                <w:szCs w:val="21"/>
              </w:rPr>
              <w:t>下述信用评价等级</w:t>
            </w:r>
            <w:r>
              <w:rPr>
                <w:rFonts w:asciiTheme="minorEastAsia" w:hAnsiTheme="minorEastAsia" w:eastAsiaTheme="minorEastAsia"/>
                <w:szCs w:val="21"/>
              </w:rPr>
              <w:t>网页</w:t>
            </w:r>
            <w:r>
              <w:rPr>
                <w:rFonts w:hint="eastAsia" w:asciiTheme="minorEastAsia" w:hAnsiTheme="minorEastAsia" w:eastAsiaTheme="minorEastAsia"/>
                <w:szCs w:val="21"/>
              </w:rPr>
              <w:t>截图：</w:t>
            </w:r>
          </w:p>
          <w:p w14:paraId="5CF8C739">
            <w:pPr>
              <w:widowControl/>
              <w:spacing w:line="400" w:lineRule="exact"/>
              <w:ind w:firstLine="210" w:firstLineChars="100"/>
              <w:rPr>
                <w:rFonts w:ascii="宋体" w:hAnsi="宋体"/>
                <w:szCs w:val="21"/>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 xml:space="preserve">四川省重点公路建设从业单位信用评价等级；  </w:t>
            </w:r>
            <w:r>
              <w:rPr>
                <w:rFonts w:hint="eastAsia" w:ascii="宋体" w:hAnsi="宋体"/>
                <w:bCs/>
                <w:szCs w:val="21"/>
              </w:rPr>
              <w:sym w:font="Wingdings 2" w:char="00A3"/>
            </w:r>
            <w:r>
              <w:rPr>
                <w:rFonts w:hint="eastAsia" w:ascii="宋体" w:hAnsi="宋体"/>
                <w:bCs/>
                <w:szCs w:val="21"/>
              </w:rPr>
              <w:t xml:space="preserve"> 或</w:t>
            </w:r>
          </w:p>
          <w:p w14:paraId="0D7BE92D">
            <w:pPr>
              <w:spacing w:line="400" w:lineRule="exact"/>
              <w:ind w:firstLine="210" w:firstLineChars="100"/>
              <w:jc w:val="left"/>
              <w:rPr>
                <w:rFonts w:hint="eastAsia" w:ascii="宋体" w:hAnsi="宋体" w:eastAsia="宋体"/>
                <w:szCs w:val="21"/>
                <w:lang w:eastAsia="zh-CN"/>
              </w:rPr>
            </w:pPr>
            <w:r>
              <w:rPr>
                <w:rFonts w:hint="eastAsia" w:ascii="宋体" w:hAnsi="宋体"/>
                <w:bCs/>
                <w:szCs w:val="21"/>
              </w:rPr>
              <w:sym w:font="Wingdings 2" w:char="00A3"/>
            </w:r>
            <w:r>
              <w:rPr>
                <w:rFonts w:hint="eastAsia" w:ascii="宋体" w:hAnsi="宋体"/>
                <w:bCs/>
                <w:szCs w:val="21"/>
              </w:rPr>
              <w:t xml:space="preserve"> </w:t>
            </w:r>
            <w:r>
              <w:rPr>
                <w:rFonts w:hint="eastAsia" w:ascii="宋体" w:hAnsi="宋体"/>
                <w:szCs w:val="21"/>
              </w:rPr>
              <w:t>四川省农村公路建设从业单位信用评价等级</w:t>
            </w:r>
            <w:r>
              <w:rPr>
                <w:rFonts w:hint="eastAsia" w:ascii="宋体" w:hAnsi="宋体"/>
                <w:szCs w:val="21"/>
                <w:lang w:eastAsia="zh-CN"/>
              </w:rPr>
              <w:t>；</w:t>
            </w:r>
            <w:r>
              <w:rPr>
                <w:rFonts w:hint="eastAsia" w:ascii="宋体" w:hAnsi="宋体"/>
                <w:szCs w:val="21"/>
              </w:rPr>
              <w:t xml:space="preserve"> </w:t>
            </w:r>
            <w:r>
              <w:rPr>
                <w:rFonts w:hint="eastAsia" w:ascii="宋体" w:hAnsi="宋体"/>
                <w:bCs/>
                <w:szCs w:val="21"/>
              </w:rPr>
              <w:sym w:font="Wingdings 2" w:char="00A3"/>
            </w:r>
            <w:r>
              <w:rPr>
                <w:rFonts w:hint="eastAsia" w:ascii="宋体" w:hAnsi="宋体"/>
                <w:bCs/>
                <w:szCs w:val="21"/>
              </w:rPr>
              <w:t xml:space="preserve"> 或</w:t>
            </w:r>
          </w:p>
          <w:p w14:paraId="245F13D4">
            <w:pPr>
              <w:spacing w:line="400" w:lineRule="exact"/>
              <w:ind w:firstLine="210" w:firstLineChars="100"/>
              <w:rPr>
                <w:rFonts w:asciiTheme="minorEastAsia" w:hAnsiTheme="minorEastAsia" w:eastAsiaTheme="minorEastAsia"/>
                <w:szCs w:val="21"/>
              </w:rPr>
            </w:pPr>
            <w:r>
              <w:rPr>
                <w:rFonts w:hint="eastAsia" w:ascii="宋体" w:hAnsi="宋体"/>
                <w:bCs/>
                <w:szCs w:val="21"/>
              </w:rPr>
              <w:sym w:font="Wingdings 2" w:char="00A3"/>
            </w:r>
            <w:r>
              <w:rPr>
                <w:rFonts w:hint="eastAsia" w:ascii="宋体" w:hAnsi="宋体"/>
                <w:bCs/>
                <w:szCs w:val="21"/>
              </w:rPr>
              <w:t xml:space="preserve"> </w:t>
            </w:r>
            <w:r>
              <w:rPr>
                <w:rFonts w:hint="eastAsia"/>
                <w:szCs w:val="21"/>
                <w:u w:val="none"/>
              </w:rPr>
              <w:t>四川省重点公路养护工程从业单位信用</w:t>
            </w:r>
            <w:r>
              <w:rPr>
                <w:rFonts w:hint="eastAsia"/>
                <w:szCs w:val="21"/>
                <w:u w:val="none"/>
                <w:lang w:val="en-US" w:eastAsia="zh-CN"/>
              </w:rPr>
              <w:t>评价等级。</w:t>
            </w:r>
          </w:p>
        </w:tc>
        <w:tc>
          <w:tcPr>
            <w:tcW w:w="3961" w:type="dxa"/>
            <w:vAlign w:val="center"/>
          </w:tcPr>
          <w:p w14:paraId="4DA4C153">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信用等级：□</w:t>
            </w:r>
            <w:r>
              <w:rPr>
                <w:rFonts w:asciiTheme="minorEastAsia" w:hAnsiTheme="minorEastAsia" w:eastAsiaTheme="minorEastAsia"/>
                <w:szCs w:val="21"/>
              </w:rPr>
              <w:t xml:space="preserve">AA+ </w:t>
            </w:r>
            <w:r>
              <w:rPr>
                <w:rFonts w:hint="eastAsia" w:asciiTheme="minorEastAsia" w:hAnsiTheme="minorEastAsia" w:eastAsiaTheme="minorEastAsia"/>
                <w:szCs w:val="21"/>
              </w:rPr>
              <w:t>□</w:t>
            </w:r>
            <w:r>
              <w:rPr>
                <w:rFonts w:asciiTheme="minorEastAsia" w:hAnsiTheme="minorEastAsia" w:eastAsiaTheme="minorEastAsia"/>
                <w:szCs w:val="21"/>
              </w:rPr>
              <w:t xml:space="preserve">AA  </w:t>
            </w:r>
            <w:r>
              <w:rPr>
                <w:rFonts w:hint="eastAsia" w:asciiTheme="minorEastAsia" w:hAnsiTheme="minorEastAsia" w:eastAsiaTheme="minorEastAsia"/>
                <w:szCs w:val="21"/>
              </w:rPr>
              <w:t>□</w:t>
            </w:r>
            <w:r>
              <w:rPr>
                <w:rFonts w:asciiTheme="minorEastAsia" w:hAnsiTheme="minorEastAsia" w:eastAsiaTheme="minorEastAsia"/>
                <w:szCs w:val="21"/>
              </w:rPr>
              <w:t xml:space="preserve">A </w:t>
            </w:r>
            <w:r>
              <w:rPr>
                <w:rFonts w:hint="eastAsia" w:asciiTheme="minorEastAsia" w:hAnsiTheme="minorEastAsia" w:eastAsiaTheme="minorEastAsia"/>
                <w:szCs w:val="21"/>
              </w:rPr>
              <w:t>□</w:t>
            </w:r>
            <w:r>
              <w:rPr>
                <w:rFonts w:asciiTheme="minorEastAsia" w:hAnsiTheme="minorEastAsia" w:eastAsiaTheme="minorEastAsia"/>
                <w:szCs w:val="21"/>
              </w:rPr>
              <w:t xml:space="preserve">B </w:t>
            </w:r>
            <w:r>
              <w:rPr>
                <w:rFonts w:hint="eastAsia" w:asciiTheme="minorEastAsia" w:hAnsiTheme="minorEastAsia" w:eastAsiaTheme="minorEastAsia"/>
                <w:szCs w:val="21"/>
              </w:rPr>
              <w:t>□</w:t>
            </w:r>
            <w:r>
              <w:rPr>
                <w:rFonts w:asciiTheme="minorEastAsia" w:hAnsiTheme="minorEastAsia" w:eastAsiaTheme="minorEastAsia"/>
                <w:szCs w:val="21"/>
              </w:rPr>
              <w:t>C</w:t>
            </w:r>
          </w:p>
        </w:tc>
        <w:tc>
          <w:tcPr>
            <w:tcW w:w="1192" w:type="dxa"/>
            <w:vAlign w:val="center"/>
          </w:tcPr>
          <w:p w14:paraId="13916E2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H1</w:t>
            </w:r>
          </w:p>
        </w:tc>
      </w:tr>
      <w:tr w14:paraId="2A83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3681" w:type="dxa"/>
            <w:vAlign w:val="center"/>
          </w:tcPr>
          <w:p w14:paraId="3AD6F1EE">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国家企业信用信息公示系统网页截图</w:t>
            </w:r>
          </w:p>
        </w:tc>
        <w:tc>
          <w:tcPr>
            <w:tcW w:w="3961" w:type="dxa"/>
            <w:vAlign w:val="center"/>
          </w:tcPr>
          <w:p w14:paraId="5B929486">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未列入严重违法失信企业</w:t>
            </w:r>
          </w:p>
        </w:tc>
        <w:tc>
          <w:tcPr>
            <w:tcW w:w="1192" w:type="dxa"/>
            <w:vAlign w:val="center"/>
          </w:tcPr>
          <w:p w14:paraId="34B1BB51">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H2</w:t>
            </w:r>
          </w:p>
        </w:tc>
      </w:tr>
      <w:tr w14:paraId="2326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681" w:type="dxa"/>
            <w:vAlign w:val="center"/>
          </w:tcPr>
          <w:p w14:paraId="680F5E9F">
            <w:pPr>
              <w:spacing w:line="400" w:lineRule="exact"/>
              <w:rPr>
                <w:rFonts w:asciiTheme="minorEastAsia" w:hAnsiTheme="minorEastAsia" w:eastAsiaTheme="minorEastAsia"/>
                <w:szCs w:val="21"/>
              </w:rPr>
            </w:pPr>
            <w:r>
              <w:rPr>
                <w:rFonts w:hint="eastAsia" w:asciiTheme="minorEastAsia" w:hAnsiTheme="minorEastAsia" w:eastAsiaTheme="minorEastAsia"/>
                <w:spacing w:val="-4"/>
              </w:rPr>
              <w:t>通过“信用中国”</w:t>
            </w:r>
            <w:r>
              <w:rPr>
                <w:rFonts w:hint="eastAsia" w:asciiTheme="minorEastAsia" w:hAnsiTheme="minorEastAsia" w:eastAsiaTheme="minorEastAsia"/>
              </w:rPr>
              <w:t>查询</w:t>
            </w:r>
            <w:r>
              <w:rPr>
                <w:rFonts w:asciiTheme="minorEastAsia" w:hAnsiTheme="minorEastAsia" w:eastAsiaTheme="minorEastAsia"/>
              </w:rPr>
              <w:t>“失信被执行人”链接</w:t>
            </w:r>
            <w:r>
              <w:rPr>
                <w:rFonts w:hint="eastAsia" w:asciiTheme="minorEastAsia" w:hAnsiTheme="minorEastAsia" w:eastAsiaTheme="minorEastAsia"/>
              </w:rPr>
              <w:t>“</w:t>
            </w:r>
            <w:r>
              <w:rPr>
                <w:rFonts w:asciiTheme="minorEastAsia" w:hAnsiTheme="minorEastAsia" w:eastAsiaTheme="minorEastAsia"/>
              </w:rPr>
              <w:t>中国执行信息公开网</w:t>
            </w:r>
            <w:r>
              <w:rPr>
                <w:rFonts w:hint="eastAsia" w:asciiTheme="minorEastAsia" w:hAnsiTheme="minorEastAsia" w:eastAsiaTheme="minorEastAsia"/>
                <w:szCs w:val="21"/>
              </w:rPr>
              <w:t>”网页截图</w:t>
            </w:r>
          </w:p>
        </w:tc>
        <w:tc>
          <w:tcPr>
            <w:tcW w:w="3961" w:type="dxa"/>
            <w:vAlign w:val="center"/>
          </w:tcPr>
          <w:p w14:paraId="3E222573">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未列入</w:t>
            </w:r>
            <w:r>
              <w:rPr>
                <w:rFonts w:hint="eastAsia" w:asciiTheme="minorEastAsia" w:hAnsiTheme="minorEastAsia" w:eastAsiaTheme="minorEastAsia"/>
                <w:spacing w:val="-4"/>
                <w:szCs w:val="21"/>
              </w:rPr>
              <w:t>失信被执行人</w:t>
            </w:r>
            <w:r>
              <w:rPr>
                <w:rFonts w:hint="eastAsia" w:asciiTheme="minorEastAsia" w:hAnsiTheme="minorEastAsia" w:eastAsiaTheme="minorEastAsia"/>
                <w:szCs w:val="21"/>
              </w:rPr>
              <w:t>名单</w:t>
            </w:r>
          </w:p>
        </w:tc>
        <w:tc>
          <w:tcPr>
            <w:tcW w:w="1192" w:type="dxa"/>
            <w:vAlign w:val="center"/>
          </w:tcPr>
          <w:p w14:paraId="1BF59D03">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H3</w:t>
            </w:r>
          </w:p>
        </w:tc>
      </w:tr>
      <w:tr w14:paraId="6D0D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3681" w:type="dxa"/>
            <w:vAlign w:val="center"/>
          </w:tcPr>
          <w:p w14:paraId="585F6D8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无行贿犯罪的承诺函</w:t>
            </w:r>
          </w:p>
        </w:tc>
        <w:tc>
          <w:tcPr>
            <w:tcW w:w="3961" w:type="dxa"/>
            <w:vAlign w:val="center"/>
          </w:tcPr>
          <w:p w14:paraId="15ED57CE">
            <w:pPr>
              <w:spacing w:line="400" w:lineRule="exact"/>
              <w:rPr>
                <w:rFonts w:asciiTheme="minorEastAsia" w:hAnsiTheme="minorEastAsia" w:eastAsiaTheme="minorEastAsia"/>
                <w:szCs w:val="21"/>
              </w:rPr>
            </w:pPr>
            <w:r>
              <w:rPr>
                <w:rFonts w:hint="eastAsia" w:ascii="宋体" w:hAnsi="宋体" w:cs="宋体"/>
                <w:szCs w:val="21"/>
              </w:rPr>
              <w:t>没有被人民法院生效判决为行贿犯罪（包括行贿罪、单位行贿罪、对单位行贿罪、介绍贿赂罪等）</w:t>
            </w:r>
          </w:p>
        </w:tc>
        <w:tc>
          <w:tcPr>
            <w:tcW w:w="1192" w:type="dxa"/>
            <w:vAlign w:val="center"/>
          </w:tcPr>
          <w:p w14:paraId="64D8A79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H4</w:t>
            </w:r>
          </w:p>
        </w:tc>
      </w:tr>
      <w:tr w14:paraId="618C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681" w:type="dxa"/>
            <w:vAlign w:val="center"/>
          </w:tcPr>
          <w:p w14:paraId="753B6772">
            <w:pPr>
              <w:pStyle w:val="344"/>
              <w:numPr>
                <w:ilvl w:val="0"/>
                <w:numId w:val="3"/>
              </w:numPr>
              <w:spacing w:line="400" w:lineRule="exact"/>
              <w:ind w:firstLineChars="0"/>
              <w:jc w:val="center"/>
              <w:rPr>
                <w:rFonts w:asciiTheme="minorEastAsia" w:hAnsiTheme="minorEastAsia" w:eastAsiaTheme="minorEastAsia"/>
                <w:szCs w:val="21"/>
              </w:rPr>
            </w:pPr>
            <w:r>
              <w:rPr>
                <w:rFonts w:hint="eastAsia" w:asciiTheme="minorEastAsia" w:hAnsiTheme="minorEastAsia" w:eastAsiaTheme="minorEastAsia"/>
                <w:szCs w:val="21"/>
              </w:rPr>
              <w:t>其他信誉条件</w:t>
            </w:r>
          </w:p>
        </w:tc>
        <w:tc>
          <w:tcPr>
            <w:tcW w:w="3961" w:type="dxa"/>
            <w:vAlign w:val="center"/>
          </w:tcPr>
          <w:p w14:paraId="35E9D659">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满足：</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tc>
        <w:tc>
          <w:tcPr>
            <w:tcW w:w="1192" w:type="dxa"/>
            <w:vAlign w:val="center"/>
          </w:tcPr>
          <w:p w14:paraId="6CE7A146">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w:t>
            </w:r>
            <w:r>
              <w:rPr>
                <w:rFonts w:asciiTheme="minorEastAsia" w:hAnsiTheme="minorEastAsia" w:eastAsiaTheme="minorEastAsia"/>
                <w:szCs w:val="21"/>
              </w:rPr>
              <w:t>H5</w:t>
            </w:r>
          </w:p>
        </w:tc>
      </w:tr>
    </w:tbl>
    <w:p w14:paraId="759E8FF7">
      <w:pPr>
        <w:spacing w:line="300" w:lineRule="exact"/>
        <w:ind w:left="0" w:firstLine="0" w:firstLineChars="0"/>
        <w:rPr>
          <w:rFonts w:ascii="宋体" w:hAnsi="宋体"/>
          <w:sz w:val="24"/>
        </w:rPr>
      </w:pPr>
      <w:bookmarkStart w:id="896" w:name="_Toc513555610"/>
      <w:bookmarkStart w:id="897" w:name="_Toc513555854"/>
      <w:bookmarkStart w:id="898" w:name="_Toc513556694"/>
      <w:bookmarkStart w:id="899" w:name="_Toc519601517"/>
      <w:bookmarkStart w:id="900" w:name="_Toc519777896"/>
      <w:bookmarkStart w:id="901" w:name="_Toc519778509"/>
      <w:bookmarkStart w:id="902" w:name="_Toc519777844"/>
      <w:r>
        <w:rPr>
          <w:rFonts w:hint="eastAsia" w:ascii="宋体" w:hAnsi="宋体" w:cs="宋体"/>
          <w:szCs w:val="21"/>
        </w:rPr>
        <w:t>注：1.投标人应按第二章“投标人须知”前附表附录</w:t>
      </w:r>
      <w:r>
        <w:rPr>
          <w:rFonts w:ascii="宋体" w:hAnsi="宋体" w:cs="宋体"/>
          <w:szCs w:val="21"/>
        </w:rPr>
        <w:t>4</w:t>
      </w:r>
      <w:r>
        <w:rPr>
          <w:rFonts w:hint="eastAsia" w:ascii="宋体" w:hAnsi="宋体" w:cs="宋体"/>
          <w:szCs w:val="21"/>
        </w:rPr>
        <w:t>资格审查条件（信誉最低要求）的要求提供信誉情况相关查询结果网页截图、承诺函等证明材料附件H系列。其中附件H4无行贿犯罪的承诺函格式附后。</w:t>
      </w:r>
      <w:r>
        <w:rPr>
          <w:rFonts w:ascii="宋体" w:hAnsi="宋体"/>
          <w:sz w:val="24"/>
        </w:rPr>
        <w:t xml:space="preserve"> </w:t>
      </w:r>
    </w:p>
    <w:p w14:paraId="65F5E655">
      <w:pPr>
        <w:spacing w:line="300" w:lineRule="exact"/>
        <w:ind w:left="0" w:leftChars="0" w:firstLine="420" w:firstLineChars="200"/>
        <w:jc w:val="left"/>
        <w:rPr>
          <w:rFonts w:ascii="宋体" w:hAnsi="宋体"/>
        </w:rPr>
      </w:pPr>
      <w:r>
        <w:rPr>
          <w:rFonts w:hint="eastAsia" w:ascii="宋体" w:hAnsi="宋体" w:cs="宋体"/>
          <w:szCs w:val="21"/>
        </w:rPr>
        <w:t>2.允许联合体投标时，若</w:t>
      </w:r>
      <w:r>
        <w:rPr>
          <w:rFonts w:hint="eastAsia" w:ascii="宋体" w:hAnsi="宋体"/>
        </w:rPr>
        <w:t>以联合体形式投标的，联合体牵头人及所有成员方均应提供上述信誉情况资料。无行贿犯罪的承诺函由联合体牵头人出具对联合体所有成员的共同承诺。</w:t>
      </w:r>
    </w:p>
    <w:p w14:paraId="1D24600F">
      <w:pPr>
        <w:spacing w:line="300" w:lineRule="exact"/>
        <w:ind w:left="0" w:leftChars="0"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以</w:t>
      </w:r>
      <w:r>
        <w:rPr>
          <w:rFonts w:ascii="宋体" w:hAnsi="宋体" w:cs="宋体"/>
          <w:szCs w:val="21"/>
        </w:rPr>
        <w:t>联合体形式投标的</w:t>
      </w:r>
      <w:r>
        <w:rPr>
          <w:rFonts w:hint="eastAsia" w:ascii="宋体" w:hAnsi="宋体" w:cs="宋体"/>
          <w:szCs w:val="21"/>
        </w:rPr>
        <w:t>，投标人名称</w:t>
      </w:r>
      <w:r>
        <w:rPr>
          <w:rFonts w:ascii="宋体" w:hAnsi="宋体" w:cs="宋体"/>
          <w:szCs w:val="21"/>
        </w:rPr>
        <w:t>指联合体</w:t>
      </w:r>
      <w:r>
        <w:rPr>
          <w:rFonts w:hint="eastAsia" w:ascii="宋体" w:hAnsi="宋体" w:cs="宋体"/>
          <w:szCs w:val="21"/>
        </w:rPr>
        <w:t>牵头人</w:t>
      </w:r>
      <w:r>
        <w:rPr>
          <w:rFonts w:ascii="宋体" w:hAnsi="宋体" w:cs="宋体"/>
          <w:szCs w:val="21"/>
        </w:rPr>
        <w:t>及</w:t>
      </w:r>
      <w:r>
        <w:rPr>
          <w:rFonts w:hint="eastAsia" w:ascii="宋体" w:hAnsi="宋体" w:cs="宋体"/>
          <w:szCs w:val="21"/>
        </w:rPr>
        <w:t>所有成员方，并对应提供联合体各方的上述信誉情况资料。</w:t>
      </w:r>
    </w:p>
    <w:p w14:paraId="632F0742">
      <w:pPr>
        <w:spacing w:line="300" w:lineRule="exact"/>
        <w:ind w:left="0" w:leftChars="0" w:firstLine="420" w:firstLineChars="200"/>
        <w:jc w:val="left"/>
        <w:rPr>
          <w:rFonts w:ascii="宋体" w:hAnsi="宋体" w:cs="宋体"/>
          <w:szCs w:val="21"/>
        </w:rPr>
      </w:pPr>
      <w:r>
        <w:rPr>
          <w:rFonts w:hint="eastAsia" w:asciiTheme="minorEastAsia" w:hAnsiTheme="minorEastAsia" w:eastAsiaTheme="minorEastAsia" w:cstheme="minorEastAsia"/>
          <w:szCs w:val="21"/>
        </w:rPr>
        <w:t>4.</w:t>
      </w:r>
      <w:r>
        <w:rPr>
          <w:rFonts w:hint="eastAsia" w:ascii="宋体" w:hAnsi="宋体" w:cs="宋体"/>
          <w:szCs w:val="21"/>
        </w:rPr>
        <w:t>其他信誉条件，根据招标文件第二章“投标人须知”前附表附录</w:t>
      </w:r>
      <w:r>
        <w:rPr>
          <w:rFonts w:ascii="宋体" w:hAnsi="宋体" w:cs="宋体"/>
          <w:szCs w:val="21"/>
        </w:rPr>
        <w:t>4</w:t>
      </w:r>
      <w:r>
        <w:rPr>
          <w:rFonts w:hint="eastAsia" w:ascii="宋体" w:hAnsi="宋体" w:cs="宋体"/>
          <w:szCs w:val="21"/>
        </w:rPr>
        <w:t>资格审查条件（信誉最低要求）的其他要求内容，明确所需信誉情况资料。</w:t>
      </w:r>
    </w:p>
    <w:bookmarkEnd w:id="896"/>
    <w:bookmarkEnd w:id="897"/>
    <w:bookmarkEnd w:id="898"/>
    <w:bookmarkEnd w:id="899"/>
    <w:bookmarkEnd w:id="900"/>
    <w:bookmarkEnd w:id="901"/>
    <w:bookmarkEnd w:id="902"/>
    <w:p w14:paraId="43CE2BA3">
      <w:pPr>
        <w:pStyle w:val="20"/>
        <w:kinsoku w:val="0"/>
        <w:overflowPunct w:val="0"/>
        <w:spacing w:before="189"/>
        <w:rPr>
          <w:rFonts w:cs="黑体"/>
          <w:b/>
        </w:rPr>
      </w:pPr>
    </w:p>
    <w:p w14:paraId="478CB60A">
      <w:pPr>
        <w:jc w:val="center"/>
        <w:rPr>
          <w:rFonts w:ascii="黑体" w:hAnsi="黑体" w:eastAsia="黑体"/>
          <w:sz w:val="24"/>
        </w:rPr>
      </w:pPr>
      <w:r>
        <w:rPr>
          <w:rFonts w:ascii="宋体" w:hAnsi="宋体" w:cs="Arial"/>
          <w:b/>
          <w:kern w:val="0"/>
          <w:sz w:val="28"/>
          <w:szCs w:val="28"/>
        </w:rPr>
        <w:br w:type="page"/>
      </w:r>
      <w:r>
        <w:rPr>
          <w:rFonts w:hint="eastAsia" w:ascii="黑体" w:hAnsi="黑体" w:eastAsia="黑体" w:cs="Arial"/>
          <w:kern w:val="0"/>
          <w:sz w:val="24"/>
        </w:rPr>
        <w:t>附件</w:t>
      </w:r>
      <w:r>
        <w:rPr>
          <w:rFonts w:ascii="黑体" w:hAnsi="黑体" w:eastAsia="黑体" w:cs="Arial"/>
          <w:kern w:val="0"/>
          <w:sz w:val="24"/>
        </w:rPr>
        <w:t>H4 无行贿犯罪的承诺函</w:t>
      </w:r>
    </w:p>
    <w:p w14:paraId="5811D6C5">
      <w:pPr>
        <w:ind w:firstLine="420" w:firstLineChars="200"/>
        <w:rPr>
          <w:rFonts w:ascii="宋体" w:hAnsi="宋体"/>
          <w:szCs w:val="21"/>
        </w:rPr>
      </w:pPr>
    </w:p>
    <w:p w14:paraId="3246F748">
      <w:pPr>
        <w:ind w:firstLine="420" w:firstLineChars="200"/>
        <w:rPr>
          <w:rFonts w:ascii="宋体" w:hAnsi="宋体"/>
          <w:szCs w:val="21"/>
        </w:rPr>
      </w:pPr>
    </w:p>
    <w:p w14:paraId="74981AA6">
      <w:pPr>
        <w:spacing w:line="360" w:lineRule="auto"/>
        <w:rPr>
          <w:rFonts w:ascii="宋体" w:hAnsi="宋体"/>
          <w:sz w:val="24"/>
        </w:rPr>
      </w:pPr>
      <w:r>
        <w:rPr>
          <w:rFonts w:ascii="宋体" w:hAnsi="宋体"/>
          <w:sz w:val="24"/>
          <w:u w:val="single"/>
        </w:rPr>
        <w:t xml:space="preserve">   （招标人名称）   </w:t>
      </w:r>
      <w:r>
        <w:rPr>
          <w:rFonts w:hint="eastAsia" w:ascii="宋体" w:hAnsi="宋体"/>
          <w:sz w:val="24"/>
        </w:rPr>
        <w:t>：</w:t>
      </w:r>
    </w:p>
    <w:p w14:paraId="7E58484D">
      <w:pPr>
        <w:spacing w:line="360" w:lineRule="auto"/>
        <w:rPr>
          <w:rFonts w:ascii="宋体" w:hAnsi="宋体"/>
          <w:sz w:val="24"/>
        </w:rPr>
      </w:pPr>
    </w:p>
    <w:p w14:paraId="6DF68ED2">
      <w:pPr>
        <w:spacing w:line="360" w:lineRule="auto"/>
        <w:ind w:firstLine="480" w:firstLineChars="200"/>
        <w:rPr>
          <w:sz w:val="24"/>
        </w:rPr>
      </w:pPr>
      <w:r>
        <w:rPr>
          <w:rFonts w:hint="eastAsia" w:ascii="宋体" w:hAnsi="宋体"/>
          <w:sz w:val="24"/>
        </w:rPr>
        <w:t>我公司</w:t>
      </w:r>
      <w:r>
        <w:rPr>
          <w:rFonts w:ascii="宋体" w:hAnsi="宋体"/>
          <w:sz w:val="24"/>
          <w:u w:val="single"/>
        </w:rPr>
        <w:t xml:space="preserve">   （投标人名称）</w:t>
      </w:r>
      <w:r>
        <w:rPr>
          <w:rFonts w:hint="eastAsia" w:ascii="宋体" w:hAnsi="宋体"/>
          <w:sz w:val="24"/>
          <w:u w:val="single"/>
        </w:rPr>
        <w:t>（单位统一社会信用代码）</w:t>
      </w:r>
      <w:r>
        <w:rPr>
          <w:rFonts w:ascii="宋体" w:hAnsi="宋体"/>
          <w:sz w:val="24"/>
          <w:u w:val="single"/>
        </w:rPr>
        <w:t xml:space="preserve">   </w:t>
      </w:r>
      <w:r>
        <w:rPr>
          <w:rFonts w:hint="eastAsia" w:ascii="宋体" w:hAnsi="宋体"/>
          <w:sz w:val="24"/>
        </w:rPr>
        <w:t>、法定代表人</w:t>
      </w:r>
      <w:r>
        <w:rPr>
          <w:rFonts w:ascii="宋体" w:hAnsi="宋体"/>
          <w:sz w:val="24"/>
          <w:u w:val="single"/>
        </w:rPr>
        <w:t xml:space="preserve">  （姓名）（身份证号）</w:t>
      </w:r>
      <w:r>
        <w:rPr>
          <w:rFonts w:hint="eastAsia" w:ascii="宋体" w:hAnsi="宋体"/>
          <w:sz w:val="24"/>
        </w:rPr>
        <w:t>、</w:t>
      </w:r>
      <w:bookmarkStart w:id="903" w:name="_Hlk52813692"/>
      <w:r>
        <w:rPr>
          <w:rFonts w:hint="eastAsia"/>
          <w:sz w:val="24"/>
        </w:rPr>
        <w:t>□</w:t>
      </w:r>
      <w:r>
        <w:rPr>
          <w:rFonts w:hint="eastAsia" w:ascii="宋体" w:hAnsi="宋体"/>
          <w:sz w:val="24"/>
        </w:rPr>
        <w:t>项目总负责人</w:t>
      </w:r>
      <w:r>
        <w:rPr>
          <w:rFonts w:ascii="宋体" w:hAnsi="宋体"/>
          <w:sz w:val="24"/>
          <w:u w:val="single"/>
        </w:rPr>
        <w:t xml:space="preserve">  （姓名）（身份证号）</w:t>
      </w:r>
      <w:r>
        <w:rPr>
          <w:rFonts w:hint="eastAsia" w:ascii="宋体" w:hAnsi="宋体"/>
          <w:sz w:val="24"/>
        </w:rPr>
        <w:t>、</w:t>
      </w:r>
      <w:r>
        <w:rPr>
          <w:rFonts w:hint="eastAsia" w:ascii="宋体" w:hAnsi="宋体"/>
          <w:sz w:val="24"/>
        </w:rPr>
        <w:sym w:font="Wingdings 2" w:char="F0A3"/>
      </w:r>
      <w:r>
        <w:rPr>
          <w:rFonts w:hint="eastAsia" w:ascii="宋体" w:hAnsi="宋体"/>
          <w:sz w:val="24"/>
        </w:rPr>
        <w:t>设计项目负责人</w:t>
      </w:r>
      <w:r>
        <w:rPr>
          <w:rFonts w:hint="eastAsia" w:ascii="宋体" w:hAnsi="宋体"/>
          <w:sz w:val="24"/>
          <w:u w:val="single"/>
        </w:rPr>
        <w:t xml:space="preserve">  （姓名）（身份证号）、</w:t>
      </w:r>
      <w:r>
        <w:rPr>
          <w:rFonts w:hint="eastAsia"/>
          <w:sz w:val="24"/>
        </w:rPr>
        <w:t>□</w:t>
      </w:r>
      <w:r>
        <w:rPr>
          <w:rFonts w:hint="eastAsia" w:ascii="宋体" w:hAnsi="宋体"/>
          <w:sz w:val="24"/>
        </w:rPr>
        <w:t>勘察设计技术负责人或总设计师</w:t>
      </w:r>
      <w:r>
        <w:rPr>
          <w:rFonts w:hint="eastAsia" w:ascii="宋体" w:hAnsi="宋体"/>
          <w:sz w:val="24"/>
          <w:u w:val="single"/>
        </w:rPr>
        <w:t xml:space="preserve">  （姓名）（身份证号）、</w:t>
      </w:r>
      <w:r>
        <w:rPr>
          <w:rFonts w:hint="eastAsia"/>
          <w:sz w:val="24"/>
        </w:rPr>
        <w:t>□</w:t>
      </w:r>
      <w:r>
        <w:rPr>
          <w:rFonts w:hint="eastAsia" w:ascii="宋体" w:hAnsi="宋体"/>
          <w:sz w:val="24"/>
        </w:rPr>
        <w:t>项目</w:t>
      </w:r>
      <w:bookmarkEnd w:id="903"/>
      <w:r>
        <w:rPr>
          <w:rFonts w:hint="eastAsia" w:ascii="宋体" w:hAnsi="宋体"/>
          <w:sz w:val="24"/>
        </w:rPr>
        <w:t>经理</w:t>
      </w:r>
      <w:r>
        <w:rPr>
          <w:rFonts w:ascii="宋体" w:hAnsi="宋体"/>
          <w:sz w:val="24"/>
          <w:u w:val="single"/>
        </w:rPr>
        <w:t xml:space="preserve">  （姓名）（身份证号）</w:t>
      </w:r>
      <w:r>
        <w:rPr>
          <w:rFonts w:hint="eastAsia" w:ascii="宋体" w:hAnsi="宋体"/>
          <w:sz w:val="24"/>
        </w:rPr>
        <w:t>、</w:t>
      </w:r>
      <w:r>
        <w:rPr>
          <w:rFonts w:hint="eastAsia"/>
          <w:sz w:val="24"/>
        </w:rPr>
        <w:t>□</w:t>
      </w:r>
      <w:r>
        <w:rPr>
          <w:rFonts w:hint="eastAsia" w:ascii="宋体" w:hAnsi="宋体"/>
          <w:sz w:val="24"/>
        </w:rPr>
        <w:t>项目总工</w:t>
      </w:r>
      <w:bookmarkStart w:id="904" w:name="_Hlk52813721"/>
      <w:r>
        <w:rPr>
          <w:rFonts w:ascii="宋体" w:hAnsi="宋体"/>
          <w:sz w:val="24"/>
          <w:u w:val="single"/>
        </w:rPr>
        <w:t xml:space="preserve">  （姓名）（身份证号）</w:t>
      </w:r>
      <w:bookmarkEnd w:id="904"/>
      <w:bookmarkStart w:id="905" w:name="_Hlk52813741"/>
      <w:r>
        <w:rPr>
          <w:rFonts w:hint="eastAsia" w:ascii="宋体" w:hAnsi="宋体"/>
          <w:sz w:val="24"/>
        </w:rPr>
        <w:t>、</w:t>
      </w:r>
      <w:r>
        <w:rPr>
          <w:rFonts w:hint="eastAsia"/>
          <w:sz w:val="24"/>
        </w:rPr>
        <w:t>□</w:t>
      </w:r>
      <w:r>
        <w:rPr>
          <w:rFonts w:hint="eastAsia" w:ascii="宋体" w:hAnsi="宋体"/>
          <w:sz w:val="24"/>
        </w:rPr>
        <w:t>其他主要管理和技术人员</w:t>
      </w:r>
      <w:bookmarkEnd w:id="905"/>
      <w:r>
        <w:rPr>
          <w:rFonts w:ascii="宋体" w:hAnsi="宋体"/>
          <w:sz w:val="24"/>
          <w:u w:val="single"/>
        </w:rPr>
        <w:t xml:space="preserve">  （姓名）（身份证号）</w:t>
      </w:r>
      <w:r>
        <w:rPr>
          <w:rFonts w:hint="eastAsia" w:ascii="宋体" w:hAnsi="宋体"/>
          <w:sz w:val="24"/>
        </w:rPr>
        <w:t>在</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本项目投标截止日期间，没有被人民法院生效判决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ascii="宋体" w:hAnsi="宋体"/>
          <w:sz w:val="24"/>
          <w:u w:val="single"/>
        </w:rPr>
        <w:t xml:space="preserve">    </w:t>
      </w:r>
      <w:r>
        <w:rPr>
          <w:rFonts w:ascii="宋体" w:hAnsi="宋体"/>
          <w:sz w:val="24"/>
        </w:rPr>
        <w:t>%</w:t>
      </w:r>
      <w:r>
        <w:rPr>
          <w:rFonts w:hint="eastAsia" w:ascii="宋体" w:hAnsi="宋体"/>
          <w:sz w:val="24"/>
        </w:rPr>
        <w:t>作为违约金。</w:t>
      </w:r>
    </w:p>
    <w:p w14:paraId="4CD7B15B">
      <w:pPr>
        <w:spacing w:line="360" w:lineRule="auto"/>
        <w:ind w:firstLine="480" w:firstLineChars="200"/>
        <w:rPr>
          <w:sz w:val="24"/>
        </w:rPr>
      </w:pPr>
      <w:r>
        <w:rPr>
          <w:rFonts w:hint="eastAsia"/>
          <w:sz w:val="24"/>
        </w:rPr>
        <w:t>特此承诺。</w:t>
      </w:r>
    </w:p>
    <w:p w14:paraId="05E650DE">
      <w:pPr>
        <w:spacing w:line="360" w:lineRule="auto"/>
        <w:ind w:firstLine="420" w:firstLineChars="200"/>
      </w:pPr>
    </w:p>
    <w:p w14:paraId="7EABEEA0">
      <w:pPr>
        <w:spacing w:line="360" w:lineRule="auto"/>
        <w:ind w:firstLine="420" w:firstLineChars="200"/>
      </w:pPr>
    </w:p>
    <w:p w14:paraId="602E2583">
      <w:pPr>
        <w:spacing w:line="360" w:lineRule="auto"/>
        <w:ind w:firstLine="420" w:firstLineChars="200"/>
      </w:pPr>
    </w:p>
    <w:p w14:paraId="15E364A9">
      <w:pPr>
        <w:pStyle w:val="26"/>
        <w:spacing w:line="440" w:lineRule="exact"/>
        <w:ind w:firstLine="1200" w:firstLineChars="500"/>
        <w:rPr>
          <w:sz w:val="24"/>
          <w:szCs w:val="24"/>
          <w:u w:val="single"/>
        </w:rPr>
      </w:pPr>
      <w:r>
        <w:rPr>
          <w:rFonts w:hint="eastAsia"/>
          <w:sz w:val="24"/>
          <w:szCs w:val="24"/>
        </w:rPr>
        <w:t>投标人：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rPr>
        <w:t>（盖单位电子印章）</w:t>
      </w:r>
    </w:p>
    <w:p w14:paraId="0D85ABF4">
      <w:pPr>
        <w:spacing w:line="480" w:lineRule="exact"/>
        <w:ind w:firstLine="1200" w:firstLineChars="500"/>
        <w:rPr>
          <w:rFonts w:ascii="宋体" w:hAnsi="宋体"/>
          <w:sz w:val="24"/>
        </w:rPr>
      </w:pPr>
      <w:r>
        <w:rPr>
          <w:rFonts w:ascii="宋体" w:hAnsi="宋体"/>
          <w:sz w:val="24"/>
        </w:rPr>
        <w:t>法定代表人</w:t>
      </w:r>
    </w:p>
    <w:p w14:paraId="068D21D3">
      <w:pPr>
        <w:spacing w:line="480" w:lineRule="exact"/>
        <w:ind w:firstLine="1200" w:firstLineChars="500"/>
        <w:rPr>
          <w:rFonts w:ascii="宋体" w:hAnsi="宋体"/>
          <w:sz w:val="24"/>
        </w:rPr>
      </w:pPr>
      <w:r>
        <w:rPr>
          <w:rFonts w:ascii="宋体" w:hAnsi="宋体"/>
          <w:sz w:val="24"/>
        </w:rPr>
        <w:t>或授权的代理人：</w:t>
      </w:r>
      <w:r>
        <w:rPr>
          <w:rFonts w:ascii="宋体" w:hAnsi="宋体"/>
          <w:sz w:val="24"/>
          <w:u w:val="single"/>
        </w:rPr>
        <w:t>（职务、姓名）</w:t>
      </w:r>
      <w:r>
        <w:rPr>
          <w:rFonts w:ascii="宋体" w:hAnsi="宋体"/>
          <w:sz w:val="24"/>
        </w:rPr>
        <w:t>（</w:t>
      </w:r>
      <w:r>
        <w:rPr>
          <w:rFonts w:hint="eastAsia" w:ascii="宋体" w:hAnsi="宋体"/>
          <w:sz w:val="24"/>
        </w:rPr>
        <w:t>个人电子签名章或个人电子印章</w:t>
      </w:r>
      <w:r>
        <w:rPr>
          <w:rFonts w:ascii="宋体" w:hAnsi="宋体"/>
          <w:sz w:val="24"/>
        </w:rPr>
        <w:t>）</w:t>
      </w:r>
    </w:p>
    <w:p w14:paraId="27051599">
      <w:pPr>
        <w:pStyle w:val="26"/>
        <w:spacing w:line="440" w:lineRule="exact"/>
        <w:ind w:firstLine="1800" w:firstLineChars="750"/>
        <w:rPr>
          <w:sz w:val="24"/>
          <w:szCs w:val="24"/>
        </w:rPr>
      </w:pPr>
    </w:p>
    <w:p w14:paraId="2F1B0491">
      <w:pPr>
        <w:rPr>
          <w:sz w:val="24"/>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35E1AD10">
      <w:pPr>
        <w:spacing w:line="360" w:lineRule="auto"/>
        <w:ind w:left="0" w:leftChars="0" w:firstLine="0" w:firstLineChars="0"/>
        <w:jc w:val="left"/>
        <w:rPr>
          <w:rFonts w:hint="eastAsia" w:ascii="宋体" w:hAnsi="宋体" w:cs="宋体"/>
          <w:szCs w:val="21"/>
        </w:rPr>
      </w:pPr>
    </w:p>
    <w:p w14:paraId="3E6A3DD3">
      <w:pPr>
        <w:spacing w:line="360" w:lineRule="auto"/>
        <w:ind w:left="0" w:leftChars="0" w:firstLine="0" w:firstLineChars="0"/>
        <w:jc w:val="left"/>
        <w:rPr>
          <w:rFonts w:hint="eastAsia" w:ascii="宋体" w:hAnsi="宋体" w:cs="宋体"/>
          <w:szCs w:val="21"/>
        </w:rPr>
      </w:pPr>
      <w:r>
        <w:rPr>
          <w:rFonts w:hint="eastAsia" w:ascii="宋体" w:hAnsi="宋体" w:cs="宋体"/>
          <w:szCs w:val="21"/>
        </w:rPr>
        <w:t>注：1.以联合体形式投标的，“投标人名称及单位统一社会信用代码、法定代表人的姓名及身份证号”应逐一写明联合体所有成员的内容。</w:t>
      </w:r>
    </w:p>
    <w:p w14:paraId="0453D4DE">
      <w:pPr>
        <w:spacing w:line="360" w:lineRule="auto"/>
        <w:ind w:left="0" w:leftChars="0" w:firstLine="420" w:firstLineChars="200"/>
        <w:jc w:val="left"/>
        <w:rPr>
          <w:rFonts w:hint="eastAsia" w:ascii="宋体" w:hAnsi="宋体" w:cs="宋体"/>
          <w:szCs w:val="21"/>
        </w:rPr>
      </w:pPr>
      <w:r>
        <w:rPr>
          <w:rFonts w:hint="eastAsia" w:ascii="宋体" w:hAnsi="宋体" w:cs="宋体"/>
          <w:szCs w:val="21"/>
        </w:rPr>
        <w:t>2.主要人员被列入资格审查条件时，相应的人员也须对该项信誉条件进行资格审查。</w:t>
      </w:r>
    </w:p>
    <w:p w14:paraId="6310CB62">
      <w:pPr>
        <w:spacing w:line="360" w:lineRule="auto"/>
        <w:ind w:left="0" w:leftChars="0" w:firstLine="420" w:firstLineChars="200"/>
        <w:jc w:val="left"/>
        <w:rPr>
          <w:rFonts w:hint="eastAsia" w:ascii="宋体" w:hAnsi="宋体" w:cs="宋体"/>
          <w:szCs w:val="21"/>
        </w:rPr>
      </w:pPr>
      <w:r>
        <w:rPr>
          <w:rFonts w:hint="eastAsia" w:ascii="宋体" w:hAnsi="宋体" w:cs="宋体"/>
          <w:szCs w:val="21"/>
        </w:rPr>
        <w:t>3.由招标人根据项目情况设定违约金占合同款的比例。</w:t>
      </w:r>
    </w:p>
    <w:p w14:paraId="13757EC3">
      <w:pPr>
        <w:spacing w:line="360" w:lineRule="auto"/>
        <w:ind w:left="0" w:leftChars="0" w:firstLine="420" w:firstLineChars="200"/>
        <w:jc w:val="left"/>
        <w:rPr>
          <w:rFonts w:hint="eastAsia" w:ascii="宋体" w:hAnsi="宋体" w:cs="宋体"/>
          <w:szCs w:val="21"/>
        </w:rPr>
      </w:pPr>
      <w:r>
        <w:rPr>
          <w:rFonts w:hint="eastAsia" w:ascii="宋体" w:hAnsi="宋体" w:cs="宋体"/>
          <w:szCs w:val="21"/>
        </w:rPr>
        <w:t>4.以联合体形式投标的，由联合体牵头人盖单位电子印章。</w:t>
      </w:r>
    </w:p>
    <w:p w14:paraId="2F9F68E0">
      <w:pPr>
        <w:spacing w:line="360" w:lineRule="auto"/>
        <w:ind w:left="0" w:leftChars="0" w:firstLine="420" w:firstLineChars="200"/>
        <w:jc w:val="left"/>
        <w:rPr>
          <w:rFonts w:hint="eastAsia" w:ascii="宋体" w:hAnsi="宋体" w:cs="宋体"/>
          <w:szCs w:val="21"/>
        </w:rPr>
      </w:pPr>
      <w:r>
        <w:rPr>
          <w:rFonts w:hint="eastAsia" w:ascii="宋体" w:hAnsi="宋体" w:cs="宋体"/>
          <w:szCs w:val="21"/>
        </w:rPr>
        <w:t>5.以联合体形式投标的，由联合体牵头人的法定代表人或其委托代理人加盖个人电子签名章或个人电子印章。</w:t>
      </w:r>
    </w:p>
    <w:p w14:paraId="4E8E0738">
      <w:pPr>
        <w:jc w:val="center"/>
        <w:rPr>
          <w:rFonts w:ascii="宋体" w:hAnsi="宋体"/>
          <w:b/>
          <w:sz w:val="30"/>
          <w:szCs w:val="30"/>
        </w:rPr>
      </w:pPr>
    </w:p>
    <w:p w14:paraId="5D448227">
      <w:pPr>
        <w:pStyle w:val="20"/>
        <w:kinsoku w:val="0"/>
        <w:overflowPunct w:val="0"/>
        <w:spacing w:before="189"/>
        <w:rPr>
          <w:rFonts w:cs="黑体"/>
          <w:b/>
        </w:rPr>
        <w:sectPr>
          <w:footnotePr>
            <w:numFmt w:val="decimalEnclosedCircleChinese"/>
            <w:numRestart w:val="eachPage"/>
          </w:footnotePr>
          <w:pgSz w:w="11900" w:h="16838"/>
          <w:pgMar w:top="1418" w:right="1418" w:bottom="1418" w:left="1701" w:header="851" w:footer="624" w:gutter="0"/>
          <w:cols w:space="720" w:num="1"/>
          <w:docGrid w:linePitch="286" w:charSpace="0"/>
        </w:sectPr>
      </w:pPr>
    </w:p>
    <w:p w14:paraId="349A4BB8">
      <w:pPr>
        <w:pStyle w:val="20"/>
        <w:kinsoku w:val="0"/>
        <w:overflowPunct w:val="0"/>
        <w:adjustRightInd w:val="0"/>
        <w:snapToGrid w:val="0"/>
        <w:spacing w:line="276" w:lineRule="auto"/>
        <w:jc w:val="center"/>
        <w:rPr>
          <w:rFonts w:ascii="黑体" w:hAnsi="黑体" w:eastAsia="黑体" w:cs="黑体"/>
          <w:sz w:val="28"/>
          <w:szCs w:val="28"/>
        </w:rPr>
      </w:pPr>
      <w:r>
        <w:rPr>
          <w:rFonts w:hint="eastAsia" w:ascii="黑体" w:hAnsi="黑体" w:eastAsia="黑体" w:cs="黑体"/>
          <w:b/>
          <w:sz w:val="28"/>
          <w:szCs w:val="28"/>
        </w:rPr>
        <w:t>□</w:t>
      </w:r>
      <w:r>
        <w:rPr>
          <w:rFonts w:hint="eastAsia" w:ascii="黑体" w:hAnsi="黑体" w:eastAsia="黑体" w:cs="黑体"/>
          <w:sz w:val="28"/>
          <w:szCs w:val="28"/>
        </w:rPr>
        <w:t>（六）拟委任的主要人员资历表</w:t>
      </w:r>
    </w:p>
    <w:p w14:paraId="62EA1C15">
      <w:pPr>
        <w:pStyle w:val="43"/>
        <w:shd w:val="clear" w:color="auto" w:fill="FFFFFF"/>
        <w:adjustRightInd w:val="0"/>
        <w:snapToGrid w:val="0"/>
        <w:spacing w:line="276" w:lineRule="auto"/>
        <w:jc w:val="center"/>
        <w:rPr>
          <w:rFonts w:ascii="黑体" w:hAnsi="黑体" w:eastAsia="黑体"/>
          <w:bCs/>
        </w:rPr>
      </w:pPr>
      <w:r>
        <w:rPr>
          <w:rFonts w:hint="eastAsia" w:ascii="黑体" w:hAnsi="黑体" w:eastAsia="黑体"/>
          <w:bCs/>
        </w:rPr>
        <w:t xml:space="preserve"> </w:t>
      </w:r>
      <w:r>
        <w:rPr>
          <w:rFonts w:ascii="黑体" w:hAnsi="黑体" w:eastAsia="黑体"/>
          <w:bCs/>
        </w:rPr>
        <w:t xml:space="preserve">                                         </w:t>
      </w:r>
      <w:r>
        <w:rPr>
          <w:rFonts w:hint="eastAsia" w:ascii="黑体" w:hAnsi="黑体" w:eastAsia="黑体"/>
          <w:b/>
        </w:rPr>
        <w:t>□</w:t>
      </w:r>
      <w:r>
        <w:rPr>
          <w:rFonts w:ascii="黑体" w:hAnsi="黑体" w:eastAsia="黑体"/>
          <w:bCs/>
        </w:rPr>
        <w:t xml:space="preserve">  项目</w:t>
      </w:r>
      <w:r>
        <w:rPr>
          <w:rFonts w:hint="eastAsia" w:ascii="黑体" w:hAnsi="黑体" w:eastAsia="黑体"/>
          <w:bCs/>
        </w:rPr>
        <w:t>总负责人</w:t>
      </w:r>
      <w:r>
        <w:rPr>
          <w:rFonts w:ascii="黑体" w:hAnsi="黑体" w:eastAsia="黑体"/>
          <w:bCs/>
        </w:rPr>
        <w:t xml:space="preserve">资历情况                                         </w:t>
      </w:r>
      <w:r>
        <w:rPr>
          <w:rFonts w:hint="eastAsia" w:ascii="黑体" w:hAnsi="黑体" w:eastAsia="黑体"/>
          <w:bCs/>
        </w:rPr>
        <w:t>表</w:t>
      </w:r>
      <w:r>
        <w:rPr>
          <w:rFonts w:ascii="黑体" w:hAnsi="黑体" w:eastAsia="黑体"/>
          <w:bCs/>
        </w:rPr>
        <w:t>1</w:t>
      </w:r>
    </w:p>
    <w:tbl>
      <w:tblPr>
        <w:tblStyle w:val="49"/>
        <w:tblW w:w="14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897"/>
        <w:gridCol w:w="1932"/>
        <w:gridCol w:w="2093"/>
        <w:gridCol w:w="816"/>
        <w:gridCol w:w="1938"/>
        <w:gridCol w:w="26"/>
        <w:gridCol w:w="1318"/>
        <w:gridCol w:w="1010"/>
        <w:gridCol w:w="1466"/>
        <w:gridCol w:w="1461"/>
      </w:tblGrid>
      <w:tr w14:paraId="7591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671" w:type="dxa"/>
            <w:gridSpan w:val="10"/>
            <w:vAlign w:val="center"/>
          </w:tcPr>
          <w:p w14:paraId="026FF444">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461" w:type="dxa"/>
            <w:vAlign w:val="center"/>
          </w:tcPr>
          <w:p w14:paraId="0AE8026C">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7DFE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72" w:type="dxa"/>
            <w:gridSpan w:val="2"/>
            <w:vAlign w:val="center"/>
          </w:tcPr>
          <w:p w14:paraId="4934D56F">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4025" w:type="dxa"/>
            <w:gridSpan w:val="2"/>
            <w:vAlign w:val="center"/>
          </w:tcPr>
          <w:p w14:paraId="27AD5D60">
            <w:pPr>
              <w:widowControl/>
              <w:jc w:val="center"/>
              <w:rPr>
                <w:rFonts w:ascii="宋体" w:hAnsi="宋体" w:cs="宋体"/>
                <w:bCs/>
                <w:kern w:val="0"/>
                <w:sz w:val="18"/>
                <w:szCs w:val="18"/>
              </w:rPr>
            </w:pPr>
          </w:p>
        </w:tc>
        <w:tc>
          <w:tcPr>
            <w:tcW w:w="816" w:type="dxa"/>
            <w:vAlign w:val="center"/>
          </w:tcPr>
          <w:p w14:paraId="49FA2DC4">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964" w:type="dxa"/>
            <w:gridSpan w:val="2"/>
            <w:vAlign w:val="center"/>
          </w:tcPr>
          <w:p w14:paraId="4BB43A24">
            <w:pPr>
              <w:widowControl/>
              <w:jc w:val="center"/>
              <w:rPr>
                <w:rFonts w:ascii="宋体" w:hAnsi="宋体" w:cs="宋体"/>
                <w:bCs/>
                <w:kern w:val="0"/>
                <w:sz w:val="18"/>
                <w:szCs w:val="18"/>
              </w:rPr>
            </w:pPr>
          </w:p>
        </w:tc>
        <w:tc>
          <w:tcPr>
            <w:tcW w:w="1318" w:type="dxa"/>
            <w:vAlign w:val="center"/>
          </w:tcPr>
          <w:p w14:paraId="781010CC">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476" w:type="dxa"/>
            <w:gridSpan w:val="2"/>
            <w:vAlign w:val="center"/>
          </w:tcPr>
          <w:p w14:paraId="6684E4C9">
            <w:pPr>
              <w:widowControl/>
              <w:jc w:val="center"/>
              <w:rPr>
                <w:rFonts w:ascii="宋体" w:hAnsi="宋体" w:cs="宋体"/>
                <w:bCs/>
                <w:kern w:val="0"/>
                <w:sz w:val="18"/>
                <w:szCs w:val="18"/>
              </w:rPr>
            </w:pPr>
          </w:p>
        </w:tc>
        <w:tc>
          <w:tcPr>
            <w:tcW w:w="1461" w:type="dxa"/>
            <w:vAlign w:val="center"/>
          </w:tcPr>
          <w:p w14:paraId="2D3DB1CB">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B1.1</w:t>
            </w:r>
          </w:p>
        </w:tc>
      </w:tr>
      <w:tr w14:paraId="753E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72" w:type="dxa"/>
            <w:gridSpan w:val="2"/>
            <w:vAlign w:val="center"/>
          </w:tcPr>
          <w:p w14:paraId="096FDD06">
            <w:pPr>
              <w:widowControl/>
              <w:jc w:val="center"/>
              <w:rPr>
                <w:rFonts w:ascii="宋体" w:hAnsi="宋体" w:cs="宋体"/>
                <w:bCs/>
                <w:kern w:val="0"/>
                <w:sz w:val="18"/>
                <w:szCs w:val="18"/>
              </w:rPr>
            </w:pPr>
            <w:r>
              <w:rPr>
                <w:rFonts w:hint="eastAsia" w:ascii="宋体" w:hAnsi="宋体" w:cs="宋体"/>
                <w:bCs/>
                <w:kern w:val="0"/>
                <w:sz w:val="18"/>
                <w:szCs w:val="18"/>
              </w:rPr>
              <w:t>技术职称等级</w:t>
            </w:r>
          </w:p>
        </w:tc>
        <w:tc>
          <w:tcPr>
            <w:tcW w:w="4025" w:type="dxa"/>
            <w:gridSpan w:val="2"/>
            <w:vAlign w:val="center"/>
          </w:tcPr>
          <w:p w14:paraId="768F0F69">
            <w:pPr>
              <w:widowControl/>
              <w:jc w:val="left"/>
              <w:rPr>
                <w:rFonts w:ascii="宋体" w:hAnsi="宋体" w:cs="宋体"/>
                <w:kern w:val="0"/>
                <w:sz w:val="18"/>
                <w:szCs w:val="18"/>
              </w:rPr>
            </w:pPr>
            <w:r>
              <w:rPr>
                <w:rFonts w:hint="eastAsia" w:ascii="宋体" w:hAnsi="宋体" w:cs="宋体"/>
                <w:kern w:val="0"/>
                <w:sz w:val="18"/>
                <w:szCs w:val="18"/>
              </w:rPr>
              <w:t>□工程师</w:t>
            </w:r>
            <w:r>
              <w:rPr>
                <w:rFonts w:ascii="宋体" w:hAnsi="宋体" w:cs="宋体"/>
                <w:kern w:val="0"/>
                <w:sz w:val="18"/>
                <w:szCs w:val="18"/>
              </w:rPr>
              <w:t xml:space="preserve">  </w:t>
            </w:r>
            <w:r>
              <w:rPr>
                <w:rFonts w:hint="eastAsia" w:ascii="宋体" w:hAnsi="宋体" w:cs="宋体"/>
                <w:kern w:val="0"/>
                <w:sz w:val="18"/>
                <w:szCs w:val="18"/>
              </w:rPr>
              <w:t>□高级工程师</w:t>
            </w:r>
            <w:r>
              <w:rPr>
                <w:rFonts w:ascii="宋体" w:hAnsi="宋体" w:cs="宋体"/>
                <w:kern w:val="0"/>
                <w:sz w:val="18"/>
                <w:szCs w:val="18"/>
              </w:rPr>
              <w:t xml:space="preserve">  </w:t>
            </w:r>
          </w:p>
          <w:p w14:paraId="0F88DCFF">
            <w:pPr>
              <w:widowControl/>
              <w:jc w:val="left"/>
              <w:rPr>
                <w:rFonts w:ascii="宋体" w:hAnsi="宋体" w:cs="宋体"/>
                <w:bCs/>
                <w:kern w:val="0"/>
                <w:sz w:val="18"/>
                <w:szCs w:val="18"/>
              </w:rPr>
            </w:pPr>
            <w:r>
              <w:rPr>
                <w:rFonts w:hint="eastAsia" w:ascii="宋体" w:hAnsi="宋体" w:cs="宋体"/>
                <w:kern w:val="0"/>
                <w:sz w:val="18"/>
                <w:szCs w:val="18"/>
              </w:rPr>
              <w:t>□</w:t>
            </w:r>
            <w:bookmarkStart w:id="906" w:name="_Hlk98702277"/>
            <w:r>
              <w:rPr>
                <w:rFonts w:hint="eastAsia" w:ascii="宋体" w:hAnsi="宋体" w:cs="宋体"/>
                <w:kern w:val="0"/>
                <w:sz w:val="18"/>
                <w:szCs w:val="18"/>
              </w:rPr>
              <w:t>正（教授级或研究员级）高级工程师</w:t>
            </w:r>
            <w:bookmarkEnd w:id="906"/>
          </w:p>
        </w:tc>
        <w:tc>
          <w:tcPr>
            <w:tcW w:w="816" w:type="dxa"/>
            <w:vAlign w:val="center"/>
          </w:tcPr>
          <w:p w14:paraId="03FDD4A8">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964" w:type="dxa"/>
            <w:gridSpan w:val="2"/>
            <w:vAlign w:val="center"/>
          </w:tcPr>
          <w:p w14:paraId="2BC9116D">
            <w:pPr>
              <w:widowControl/>
              <w:jc w:val="center"/>
              <w:rPr>
                <w:rFonts w:ascii="宋体" w:hAnsi="宋体" w:cs="宋体"/>
                <w:bCs/>
                <w:kern w:val="0"/>
                <w:sz w:val="18"/>
                <w:szCs w:val="18"/>
              </w:rPr>
            </w:pPr>
          </w:p>
        </w:tc>
        <w:tc>
          <w:tcPr>
            <w:tcW w:w="1318" w:type="dxa"/>
            <w:vAlign w:val="center"/>
          </w:tcPr>
          <w:p w14:paraId="210DE13D">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476" w:type="dxa"/>
            <w:gridSpan w:val="2"/>
            <w:vAlign w:val="center"/>
          </w:tcPr>
          <w:p w14:paraId="02916464">
            <w:pPr>
              <w:widowControl/>
              <w:jc w:val="center"/>
              <w:rPr>
                <w:rFonts w:ascii="宋体" w:hAnsi="宋体" w:cs="宋体"/>
                <w:bCs/>
                <w:kern w:val="0"/>
                <w:sz w:val="18"/>
                <w:szCs w:val="18"/>
              </w:rPr>
            </w:pPr>
          </w:p>
        </w:tc>
        <w:tc>
          <w:tcPr>
            <w:tcW w:w="1461" w:type="dxa"/>
            <w:vAlign w:val="center"/>
          </w:tcPr>
          <w:p w14:paraId="2010B5B8">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B1.2</w:t>
            </w:r>
          </w:p>
        </w:tc>
      </w:tr>
      <w:tr w14:paraId="7710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72" w:type="dxa"/>
            <w:gridSpan w:val="2"/>
            <w:vAlign w:val="center"/>
          </w:tcPr>
          <w:p w14:paraId="79479D72">
            <w:pPr>
              <w:widowControl/>
              <w:jc w:val="center"/>
              <w:rPr>
                <w:rFonts w:ascii="宋体" w:hAnsi="宋体" w:cs="宋体"/>
                <w:bCs/>
                <w:kern w:val="0"/>
                <w:sz w:val="18"/>
                <w:szCs w:val="18"/>
              </w:rPr>
            </w:pPr>
            <w:r>
              <w:rPr>
                <w:rFonts w:ascii="宋体" w:hAnsi="宋体" w:cs="宋体"/>
                <w:bCs/>
                <w:kern w:val="0"/>
                <w:sz w:val="18"/>
                <w:szCs w:val="18"/>
              </w:rPr>
              <w:t>毕业院校</w:t>
            </w:r>
          </w:p>
        </w:tc>
        <w:tc>
          <w:tcPr>
            <w:tcW w:w="6805" w:type="dxa"/>
            <w:gridSpan w:val="5"/>
            <w:vAlign w:val="center"/>
          </w:tcPr>
          <w:p w14:paraId="5FB1411F">
            <w:pPr>
              <w:widowControl/>
              <w:jc w:val="center"/>
              <w:rPr>
                <w:rFonts w:ascii="宋体" w:hAnsi="宋体" w:cs="宋体"/>
                <w:bCs/>
                <w:kern w:val="0"/>
                <w:sz w:val="18"/>
                <w:szCs w:val="18"/>
              </w:rPr>
            </w:pPr>
            <w:r>
              <w:rPr>
                <w:rFonts w:ascii="宋体" w:hAnsi="宋体"/>
                <w:sz w:val="18"/>
                <w:szCs w:val="18"/>
                <w:u w:val="single"/>
              </w:rPr>
              <w:t xml:space="preserve">        </w:t>
            </w:r>
            <w:r>
              <w:rPr>
                <w:rFonts w:hint="eastAsia" w:ascii="宋体" w:hAnsi="宋体"/>
                <w:sz w:val="18"/>
                <w:szCs w:val="18"/>
              </w:rPr>
              <w:t>年</w:t>
            </w:r>
            <w:r>
              <w:rPr>
                <w:rFonts w:ascii="宋体" w:hAnsi="宋体"/>
                <w:sz w:val="18"/>
                <w:szCs w:val="18"/>
                <w:u w:val="single"/>
              </w:rPr>
              <w:t xml:space="preserve">   </w:t>
            </w:r>
            <w:r>
              <w:rPr>
                <w:rFonts w:hint="eastAsia" w:ascii="宋体" w:hAnsi="宋体"/>
                <w:sz w:val="18"/>
                <w:szCs w:val="18"/>
              </w:rPr>
              <w:t>月毕业于</w:t>
            </w:r>
            <w:r>
              <w:rPr>
                <w:rFonts w:ascii="宋体" w:hAnsi="宋体"/>
                <w:sz w:val="18"/>
                <w:szCs w:val="18"/>
                <w:u w:val="single"/>
              </w:rPr>
              <w:t xml:space="preserve">    </w:t>
            </w:r>
            <w:r>
              <w:rPr>
                <w:rFonts w:hint="eastAsia" w:ascii="宋体" w:hAnsi="宋体"/>
                <w:sz w:val="18"/>
                <w:szCs w:val="18"/>
              </w:rPr>
              <w:t>学校</w:t>
            </w:r>
            <w:r>
              <w:rPr>
                <w:rFonts w:ascii="宋体" w:hAnsi="宋体"/>
                <w:sz w:val="18"/>
                <w:szCs w:val="18"/>
                <w:u w:val="single"/>
              </w:rPr>
              <w:t xml:space="preserve">    </w:t>
            </w:r>
            <w:r>
              <w:rPr>
                <w:rFonts w:hint="eastAsia" w:ascii="宋体" w:hAnsi="宋体"/>
                <w:sz w:val="18"/>
                <w:szCs w:val="18"/>
              </w:rPr>
              <w:t>专业，学制</w:t>
            </w:r>
            <w:r>
              <w:rPr>
                <w:rFonts w:ascii="宋体" w:hAnsi="宋体"/>
                <w:sz w:val="18"/>
                <w:szCs w:val="18"/>
                <w:u w:val="single"/>
              </w:rPr>
              <w:t xml:space="preserve">   </w:t>
            </w:r>
            <w:r>
              <w:rPr>
                <w:rFonts w:hint="eastAsia" w:ascii="宋体" w:hAnsi="宋体"/>
                <w:sz w:val="18"/>
                <w:szCs w:val="18"/>
              </w:rPr>
              <w:t>年</w:t>
            </w:r>
          </w:p>
        </w:tc>
        <w:tc>
          <w:tcPr>
            <w:tcW w:w="1318" w:type="dxa"/>
            <w:vAlign w:val="center"/>
          </w:tcPr>
          <w:p w14:paraId="4877B8E9">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476" w:type="dxa"/>
            <w:gridSpan w:val="2"/>
            <w:vAlign w:val="center"/>
          </w:tcPr>
          <w:p w14:paraId="54214515">
            <w:pPr>
              <w:widowControl/>
              <w:jc w:val="center"/>
              <w:rPr>
                <w:rFonts w:ascii="宋体" w:hAnsi="宋体" w:cs="宋体"/>
                <w:bCs/>
                <w:kern w:val="0"/>
                <w:sz w:val="18"/>
                <w:szCs w:val="18"/>
              </w:rPr>
            </w:pPr>
          </w:p>
        </w:tc>
        <w:tc>
          <w:tcPr>
            <w:tcW w:w="1461" w:type="dxa"/>
            <w:vAlign w:val="center"/>
          </w:tcPr>
          <w:p w14:paraId="0F47ECDA">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B1.3</w:t>
            </w:r>
          </w:p>
        </w:tc>
      </w:tr>
      <w:tr w14:paraId="4C1B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72" w:type="dxa"/>
            <w:gridSpan w:val="2"/>
            <w:vAlign w:val="center"/>
          </w:tcPr>
          <w:p w14:paraId="1F0D7A89">
            <w:pPr>
              <w:widowControl/>
              <w:jc w:val="center"/>
              <w:rPr>
                <w:rFonts w:ascii="宋体" w:hAnsi="宋体" w:cs="宋体"/>
                <w:bCs/>
                <w:kern w:val="0"/>
                <w:sz w:val="18"/>
                <w:szCs w:val="18"/>
              </w:rPr>
            </w:pPr>
            <w:r>
              <w:rPr>
                <w:rFonts w:hint="eastAsia" w:ascii="宋体" w:hAnsi="宋体" w:cs="宋体"/>
                <w:bCs/>
                <w:kern w:val="0"/>
                <w:sz w:val="18"/>
                <w:szCs w:val="18"/>
              </w:rPr>
              <w:t>担任企业职务</w:t>
            </w:r>
          </w:p>
        </w:tc>
        <w:tc>
          <w:tcPr>
            <w:tcW w:w="6805" w:type="dxa"/>
            <w:gridSpan w:val="5"/>
            <w:vAlign w:val="center"/>
          </w:tcPr>
          <w:p w14:paraId="57E4FF2E">
            <w:pPr>
              <w:widowControl/>
              <w:jc w:val="center"/>
              <w:rPr>
                <w:rFonts w:ascii="宋体" w:hAnsi="宋体" w:cs="宋体"/>
                <w:bCs/>
                <w:kern w:val="0"/>
                <w:sz w:val="18"/>
                <w:szCs w:val="18"/>
              </w:rPr>
            </w:pPr>
          </w:p>
        </w:tc>
        <w:tc>
          <w:tcPr>
            <w:tcW w:w="1318" w:type="dxa"/>
            <w:vAlign w:val="center"/>
          </w:tcPr>
          <w:p w14:paraId="02FAE636">
            <w:pPr>
              <w:widowControl/>
              <w:jc w:val="center"/>
              <w:rPr>
                <w:rFonts w:ascii="宋体" w:hAnsi="宋体" w:cs="宋体"/>
                <w:kern w:val="0"/>
                <w:sz w:val="18"/>
                <w:szCs w:val="18"/>
              </w:rPr>
            </w:pPr>
            <w:r>
              <w:rPr>
                <w:rFonts w:hint="eastAsia" w:ascii="宋体" w:hAnsi="宋体" w:cs="宋体"/>
                <w:kern w:val="0"/>
                <w:sz w:val="18"/>
                <w:szCs w:val="18"/>
              </w:rPr>
              <w:t>任命文件文号</w:t>
            </w:r>
          </w:p>
        </w:tc>
        <w:tc>
          <w:tcPr>
            <w:tcW w:w="2476" w:type="dxa"/>
            <w:gridSpan w:val="2"/>
            <w:vAlign w:val="center"/>
          </w:tcPr>
          <w:p w14:paraId="07124CB1">
            <w:pPr>
              <w:widowControl/>
              <w:jc w:val="center"/>
              <w:rPr>
                <w:rFonts w:ascii="宋体" w:hAnsi="宋体" w:cs="宋体"/>
                <w:bCs/>
                <w:kern w:val="0"/>
                <w:sz w:val="18"/>
                <w:szCs w:val="18"/>
              </w:rPr>
            </w:pPr>
          </w:p>
        </w:tc>
        <w:tc>
          <w:tcPr>
            <w:tcW w:w="1461" w:type="dxa"/>
            <w:vAlign w:val="center"/>
          </w:tcPr>
          <w:p w14:paraId="21C05266">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B1.4</w:t>
            </w:r>
          </w:p>
        </w:tc>
      </w:tr>
      <w:tr w14:paraId="3BCC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72" w:type="dxa"/>
            <w:gridSpan w:val="2"/>
            <w:vAlign w:val="center"/>
          </w:tcPr>
          <w:p w14:paraId="2AC14C73">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4025" w:type="dxa"/>
            <w:gridSpan w:val="2"/>
            <w:vAlign w:val="center"/>
          </w:tcPr>
          <w:p w14:paraId="22CBDE1E">
            <w:pPr>
              <w:widowControl/>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2780" w:type="dxa"/>
            <w:gridSpan w:val="3"/>
            <w:vAlign w:val="center"/>
          </w:tcPr>
          <w:p w14:paraId="3D33C061">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3794" w:type="dxa"/>
            <w:gridSpan w:val="3"/>
            <w:vAlign w:val="center"/>
          </w:tcPr>
          <w:p w14:paraId="7E13C6E1">
            <w:pPr>
              <w:widowControl/>
              <w:rPr>
                <w:rFonts w:ascii="宋体" w:hAnsi="宋体" w:cs="宋体"/>
                <w:bCs/>
                <w:kern w:val="0"/>
                <w:sz w:val="18"/>
                <w:szCs w:val="18"/>
              </w:rPr>
            </w:pP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w:t>
            </w: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p>
        </w:tc>
        <w:tc>
          <w:tcPr>
            <w:tcW w:w="1461" w:type="dxa"/>
            <w:vAlign w:val="center"/>
          </w:tcPr>
          <w:p w14:paraId="3C847132">
            <w:pPr>
              <w:widowControl/>
              <w:jc w:val="center"/>
              <w:rPr>
                <w:rFonts w:ascii="宋体" w:hAnsi="宋体" w:cs="宋体"/>
                <w:bCs/>
                <w:kern w:val="0"/>
                <w:sz w:val="18"/>
                <w:szCs w:val="18"/>
              </w:rPr>
            </w:pPr>
            <w:r>
              <w:rPr>
                <w:rFonts w:hint="eastAsia" w:ascii="宋体" w:hAnsi="宋体" w:cs="宋体"/>
                <w:kern w:val="0"/>
                <w:sz w:val="18"/>
                <w:szCs w:val="18"/>
              </w:rPr>
              <w:t>附件</w:t>
            </w:r>
            <w:r>
              <w:rPr>
                <w:rFonts w:ascii="宋体" w:hAnsi="宋体" w:cs="宋体"/>
                <w:kern w:val="0"/>
                <w:sz w:val="18"/>
                <w:szCs w:val="18"/>
              </w:rPr>
              <w:t>B1.5</w:t>
            </w:r>
          </w:p>
        </w:tc>
      </w:tr>
      <w:tr w14:paraId="2ED2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671" w:type="dxa"/>
            <w:gridSpan w:val="10"/>
            <w:vAlign w:val="center"/>
          </w:tcPr>
          <w:p w14:paraId="2A6CBE0E">
            <w:pPr>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bCs/>
                <w:kern w:val="0"/>
                <w:sz w:val="18"/>
                <w:szCs w:val="18"/>
              </w:rPr>
              <w:t>担任相应职务完成业绩情况</w:t>
            </w:r>
          </w:p>
        </w:tc>
        <w:tc>
          <w:tcPr>
            <w:tcW w:w="1461" w:type="dxa"/>
            <w:vMerge w:val="restart"/>
            <w:vAlign w:val="center"/>
          </w:tcPr>
          <w:p w14:paraId="322D39EC">
            <w:pPr>
              <w:widowControl/>
              <w:jc w:val="center"/>
              <w:rPr>
                <w:rFonts w:ascii="宋体" w:hAnsi="宋体" w:cs="宋体"/>
                <w:kern w:val="0"/>
                <w:sz w:val="18"/>
                <w:szCs w:val="18"/>
              </w:rPr>
            </w:pPr>
            <w:r>
              <w:rPr>
                <w:rFonts w:hint="eastAsia" w:ascii="宋体" w:hAnsi="宋体" w:cs="宋体"/>
                <w:kern w:val="0"/>
                <w:sz w:val="18"/>
                <w:szCs w:val="18"/>
              </w:rPr>
              <w:t>业绩情况附件</w:t>
            </w:r>
          </w:p>
        </w:tc>
      </w:tr>
      <w:tr w14:paraId="1911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75" w:type="dxa"/>
            <w:vAlign w:val="center"/>
          </w:tcPr>
          <w:p w14:paraId="525E0A03">
            <w:pPr>
              <w:widowControl/>
              <w:jc w:val="center"/>
              <w:rPr>
                <w:rFonts w:ascii="宋体" w:hAnsi="宋体" w:cs="宋体"/>
                <w:kern w:val="0"/>
                <w:sz w:val="18"/>
                <w:szCs w:val="18"/>
              </w:rPr>
            </w:pPr>
            <w:r>
              <w:rPr>
                <w:rFonts w:hint="eastAsia" w:ascii="宋体" w:hAnsi="宋体" w:cs="宋体"/>
                <w:bCs/>
                <w:kern w:val="0"/>
                <w:sz w:val="18"/>
                <w:szCs w:val="18"/>
              </w:rPr>
              <w:t>项目业主</w:t>
            </w:r>
          </w:p>
        </w:tc>
        <w:tc>
          <w:tcPr>
            <w:tcW w:w="2829" w:type="dxa"/>
            <w:gridSpan w:val="2"/>
            <w:vAlign w:val="center"/>
          </w:tcPr>
          <w:p w14:paraId="258F5A08">
            <w:pPr>
              <w:jc w:val="center"/>
              <w:rPr>
                <w:rFonts w:ascii="宋体" w:hAnsi="宋体" w:cs="宋体"/>
                <w:kern w:val="0"/>
                <w:sz w:val="18"/>
                <w:szCs w:val="18"/>
              </w:rPr>
            </w:pPr>
            <w:r>
              <w:rPr>
                <w:rFonts w:hint="eastAsia" w:ascii="宋体" w:hAnsi="宋体" w:cs="宋体"/>
                <w:bCs/>
                <w:kern w:val="0"/>
                <w:sz w:val="18"/>
                <w:szCs w:val="18"/>
              </w:rPr>
              <w:t>项目名称</w:t>
            </w:r>
          </w:p>
        </w:tc>
        <w:tc>
          <w:tcPr>
            <w:tcW w:w="4847" w:type="dxa"/>
            <w:gridSpan w:val="3"/>
            <w:vAlign w:val="center"/>
          </w:tcPr>
          <w:p w14:paraId="30AA1C33">
            <w:pPr>
              <w:jc w:val="center"/>
              <w:rPr>
                <w:rFonts w:ascii="宋体" w:hAnsi="宋体" w:cs="宋体"/>
                <w:kern w:val="0"/>
                <w:sz w:val="18"/>
                <w:szCs w:val="18"/>
              </w:rPr>
            </w:pPr>
            <w:r>
              <w:rPr>
                <w:rFonts w:ascii="宋体" w:hAnsi="宋体" w:cs="宋体"/>
                <w:kern w:val="0"/>
                <w:sz w:val="18"/>
                <w:szCs w:val="18"/>
              </w:rPr>
              <w:t>建设规模</w:t>
            </w:r>
          </w:p>
        </w:tc>
        <w:tc>
          <w:tcPr>
            <w:tcW w:w="2354" w:type="dxa"/>
            <w:gridSpan w:val="3"/>
            <w:vAlign w:val="center"/>
          </w:tcPr>
          <w:p w14:paraId="0949E126">
            <w:pPr>
              <w:jc w:val="center"/>
              <w:rPr>
                <w:rFonts w:ascii="宋体" w:hAnsi="宋体" w:cs="宋体"/>
                <w:kern w:val="0"/>
                <w:sz w:val="18"/>
                <w:szCs w:val="18"/>
              </w:rPr>
            </w:pPr>
            <w:r>
              <w:rPr>
                <w:rFonts w:hint="eastAsia" w:ascii="宋体" w:hAnsi="宋体" w:cs="宋体"/>
                <w:kern w:val="0"/>
                <w:sz w:val="18"/>
                <w:szCs w:val="18"/>
              </w:rPr>
              <w:t>……</w:t>
            </w:r>
          </w:p>
        </w:tc>
        <w:tc>
          <w:tcPr>
            <w:tcW w:w="1466" w:type="dxa"/>
            <w:vAlign w:val="center"/>
          </w:tcPr>
          <w:p w14:paraId="557A65F0">
            <w:pPr>
              <w:jc w:val="center"/>
              <w:rPr>
                <w:rFonts w:ascii="宋体" w:hAnsi="宋体" w:cs="宋体"/>
                <w:kern w:val="0"/>
                <w:sz w:val="18"/>
                <w:szCs w:val="18"/>
              </w:rPr>
            </w:pPr>
            <w:r>
              <w:rPr>
                <w:rFonts w:hint="eastAsia" w:ascii="宋体" w:hAnsi="宋体" w:cs="宋体"/>
                <w:bCs/>
                <w:kern w:val="0"/>
                <w:sz w:val="18"/>
                <w:szCs w:val="18"/>
              </w:rPr>
              <w:t>职务</w:t>
            </w:r>
          </w:p>
        </w:tc>
        <w:tc>
          <w:tcPr>
            <w:tcW w:w="1461" w:type="dxa"/>
            <w:vMerge w:val="continue"/>
            <w:vAlign w:val="center"/>
          </w:tcPr>
          <w:p w14:paraId="553612B5">
            <w:pPr>
              <w:widowControl/>
              <w:jc w:val="center"/>
              <w:rPr>
                <w:rFonts w:ascii="宋体" w:hAnsi="宋体" w:cs="宋体"/>
                <w:kern w:val="0"/>
                <w:sz w:val="18"/>
                <w:szCs w:val="18"/>
              </w:rPr>
            </w:pPr>
          </w:p>
        </w:tc>
      </w:tr>
      <w:tr w14:paraId="1C3E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75" w:type="dxa"/>
            <w:vAlign w:val="center"/>
          </w:tcPr>
          <w:p w14:paraId="5E301715">
            <w:pPr>
              <w:widowControl/>
              <w:jc w:val="center"/>
              <w:rPr>
                <w:rFonts w:ascii="宋体" w:hAnsi="宋体" w:cs="宋体"/>
                <w:kern w:val="0"/>
                <w:sz w:val="18"/>
                <w:szCs w:val="18"/>
              </w:rPr>
            </w:pPr>
          </w:p>
        </w:tc>
        <w:tc>
          <w:tcPr>
            <w:tcW w:w="2829" w:type="dxa"/>
            <w:gridSpan w:val="2"/>
            <w:vAlign w:val="center"/>
          </w:tcPr>
          <w:p w14:paraId="2E3F2C49">
            <w:pPr>
              <w:jc w:val="center"/>
              <w:rPr>
                <w:rFonts w:ascii="宋体" w:hAnsi="宋体" w:cs="宋体"/>
                <w:kern w:val="0"/>
                <w:sz w:val="18"/>
                <w:szCs w:val="18"/>
              </w:rPr>
            </w:pPr>
          </w:p>
        </w:tc>
        <w:tc>
          <w:tcPr>
            <w:tcW w:w="4847" w:type="dxa"/>
            <w:gridSpan w:val="3"/>
            <w:vAlign w:val="center"/>
          </w:tcPr>
          <w:p w14:paraId="5C0ADC1B">
            <w:pPr>
              <w:jc w:val="center"/>
              <w:rPr>
                <w:rFonts w:ascii="宋体" w:hAnsi="宋体" w:cs="宋体"/>
                <w:kern w:val="0"/>
                <w:sz w:val="18"/>
                <w:szCs w:val="18"/>
              </w:rPr>
            </w:pPr>
          </w:p>
        </w:tc>
        <w:tc>
          <w:tcPr>
            <w:tcW w:w="2354" w:type="dxa"/>
            <w:gridSpan w:val="3"/>
            <w:vAlign w:val="center"/>
          </w:tcPr>
          <w:p w14:paraId="79A51085">
            <w:pPr>
              <w:jc w:val="center"/>
              <w:rPr>
                <w:rFonts w:ascii="宋体" w:hAnsi="宋体" w:cs="宋体"/>
                <w:kern w:val="0"/>
                <w:sz w:val="18"/>
                <w:szCs w:val="18"/>
              </w:rPr>
            </w:pPr>
            <w:r>
              <w:rPr>
                <w:rFonts w:hint="eastAsia" w:ascii="宋体" w:hAnsi="宋体" w:cs="宋体"/>
                <w:kern w:val="0"/>
                <w:sz w:val="18"/>
                <w:szCs w:val="18"/>
              </w:rPr>
              <w:t>……</w:t>
            </w:r>
          </w:p>
        </w:tc>
        <w:tc>
          <w:tcPr>
            <w:tcW w:w="1466" w:type="dxa"/>
            <w:vAlign w:val="center"/>
          </w:tcPr>
          <w:p w14:paraId="3513ED5F">
            <w:pPr>
              <w:jc w:val="center"/>
              <w:rPr>
                <w:rFonts w:ascii="宋体" w:hAnsi="宋体" w:cs="宋体"/>
                <w:kern w:val="0"/>
                <w:sz w:val="18"/>
                <w:szCs w:val="18"/>
              </w:rPr>
            </w:pPr>
          </w:p>
        </w:tc>
        <w:tc>
          <w:tcPr>
            <w:tcW w:w="1461" w:type="dxa"/>
            <w:vAlign w:val="center"/>
          </w:tcPr>
          <w:p w14:paraId="38337E9B">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B1.6-1</w:t>
            </w:r>
          </w:p>
        </w:tc>
      </w:tr>
      <w:tr w14:paraId="4644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75" w:type="dxa"/>
            <w:vAlign w:val="center"/>
          </w:tcPr>
          <w:p w14:paraId="6BF198C6">
            <w:pPr>
              <w:widowControl/>
              <w:jc w:val="center"/>
              <w:rPr>
                <w:rFonts w:ascii="宋体" w:hAnsi="宋体" w:cs="宋体"/>
                <w:kern w:val="0"/>
                <w:sz w:val="18"/>
                <w:szCs w:val="18"/>
              </w:rPr>
            </w:pPr>
          </w:p>
        </w:tc>
        <w:tc>
          <w:tcPr>
            <w:tcW w:w="2829" w:type="dxa"/>
            <w:gridSpan w:val="2"/>
            <w:vAlign w:val="center"/>
          </w:tcPr>
          <w:p w14:paraId="3ADF92D7">
            <w:pPr>
              <w:jc w:val="center"/>
              <w:rPr>
                <w:rFonts w:ascii="宋体" w:hAnsi="宋体" w:cs="宋体"/>
                <w:kern w:val="0"/>
                <w:sz w:val="18"/>
                <w:szCs w:val="18"/>
              </w:rPr>
            </w:pPr>
          </w:p>
        </w:tc>
        <w:tc>
          <w:tcPr>
            <w:tcW w:w="4847" w:type="dxa"/>
            <w:gridSpan w:val="3"/>
            <w:vAlign w:val="center"/>
          </w:tcPr>
          <w:p w14:paraId="30474940">
            <w:pPr>
              <w:jc w:val="center"/>
              <w:rPr>
                <w:rFonts w:ascii="宋体" w:hAnsi="宋体" w:cs="宋体"/>
                <w:kern w:val="0"/>
                <w:sz w:val="18"/>
                <w:szCs w:val="18"/>
              </w:rPr>
            </w:pPr>
          </w:p>
        </w:tc>
        <w:tc>
          <w:tcPr>
            <w:tcW w:w="2354" w:type="dxa"/>
            <w:gridSpan w:val="3"/>
            <w:vAlign w:val="center"/>
          </w:tcPr>
          <w:p w14:paraId="25EB90BD">
            <w:pPr>
              <w:jc w:val="center"/>
              <w:rPr>
                <w:rFonts w:ascii="宋体" w:hAnsi="宋体" w:cs="宋体"/>
                <w:kern w:val="0"/>
                <w:sz w:val="18"/>
                <w:szCs w:val="18"/>
              </w:rPr>
            </w:pPr>
            <w:r>
              <w:rPr>
                <w:rFonts w:hint="eastAsia" w:ascii="宋体" w:hAnsi="宋体" w:cs="宋体"/>
                <w:kern w:val="0"/>
                <w:sz w:val="18"/>
                <w:szCs w:val="18"/>
              </w:rPr>
              <w:t>……</w:t>
            </w:r>
          </w:p>
        </w:tc>
        <w:tc>
          <w:tcPr>
            <w:tcW w:w="1466" w:type="dxa"/>
            <w:vAlign w:val="center"/>
          </w:tcPr>
          <w:p w14:paraId="12A7F2BA">
            <w:pPr>
              <w:jc w:val="center"/>
              <w:rPr>
                <w:rFonts w:ascii="宋体" w:hAnsi="宋体" w:cs="宋体"/>
                <w:kern w:val="0"/>
                <w:sz w:val="18"/>
                <w:szCs w:val="18"/>
              </w:rPr>
            </w:pPr>
          </w:p>
        </w:tc>
        <w:tc>
          <w:tcPr>
            <w:tcW w:w="1461" w:type="dxa"/>
            <w:vAlign w:val="center"/>
          </w:tcPr>
          <w:p w14:paraId="6BC32B3B">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B1.6-2</w:t>
            </w:r>
          </w:p>
        </w:tc>
      </w:tr>
      <w:tr w14:paraId="1162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75" w:type="dxa"/>
            <w:vAlign w:val="center"/>
          </w:tcPr>
          <w:p w14:paraId="0561C533">
            <w:pPr>
              <w:jc w:val="center"/>
              <w:rPr>
                <w:sz w:val="18"/>
                <w:szCs w:val="18"/>
              </w:rPr>
            </w:pPr>
            <w:r>
              <w:rPr>
                <w:rFonts w:hint="eastAsia" w:ascii="宋体" w:hAnsi="宋体" w:cs="宋体"/>
                <w:kern w:val="0"/>
                <w:sz w:val="18"/>
                <w:szCs w:val="18"/>
              </w:rPr>
              <w:t>……</w:t>
            </w:r>
          </w:p>
        </w:tc>
        <w:tc>
          <w:tcPr>
            <w:tcW w:w="2829" w:type="dxa"/>
            <w:gridSpan w:val="2"/>
            <w:vAlign w:val="center"/>
          </w:tcPr>
          <w:p w14:paraId="27ABA746">
            <w:pPr>
              <w:widowControl/>
              <w:jc w:val="center"/>
              <w:rPr>
                <w:rFonts w:ascii="宋体" w:hAnsi="宋体" w:cs="宋体"/>
                <w:kern w:val="0"/>
                <w:sz w:val="18"/>
                <w:szCs w:val="18"/>
              </w:rPr>
            </w:pPr>
            <w:r>
              <w:rPr>
                <w:rFonts w:hint="eastAsia" w:ascii="宋体" w:hAnsi="宋体" w:cs="宋体"/>
                <w:kern w:val="0"/>
                <w:sz w:val="18"/>
                <w:szCs w:val="18"/>
              </w:rPr>
              <w:t>……</w:t>
            </w:r>
          </w:p>
        </w:tc>
        <w:tc>
          <w:tcPr>
            <w:tcW w:w="4847" w:type="dxa"/>
            <w:gridSpan w:val="3"/>
            <w:vAlign w:val="center"/>
          </w:tcPr>
          <w:p w14:paraId="793C4FDE">
            <w:pPr>
              <w:widowControl/>
              <w:jc w:val="center"/>
              <w:rPr>
                <w:rFonts w:ascii="宋体" w:hAnsi="宋体" w:cs="宋体"/>
                <w:kern w:val="0"/>
                <w:sz w:val="18"/>
                <w:szCs w:val="18"/>
              </w:rPr>
            </w:pPr>
            <w:r>
              <w:rPr>
                <w:rFonts w:hint="eastAsia" w:ascii="宋体" w:hAnsi="宋体" w:cs="宋体"/>
                <w:kern w:val="0"/>
                <w:sz w:val="18"/>
                <w:szCs w:val="18"/>
              </w:rPr>
              <w:t>……</w:t>
            </w:r>
          </w:p>
        </w:tc>
        <w:tc>
          <w:tcPr>
            <w:tcW w:w="2354" w:type="dxa"/>
            <w:gridSpan w:val="3"/>
            <w:vAlign w:val="center"/>
          </w:tcPr>
          <w:p w14:paraId="622309F6">
            <w:pPr>
              <w:widowControl/>
              <w:jc w:val="center"/>
              <w:rPr>
                <w:rFonts w:ascii="宋体" w:hAnsi="宋体" w:cs="宋体"/>
                <w:kern w:val="0"/>
                <w:sz w:val="18"/>
                <w:szCs w:val="18"/>
              </w:rPr>
            </w:pPr>
            <w:r>
              <w:rPr>
                <w:rFonts w:hint="eastAsia" w:ascii="宋体" w:hAnsi="宋体" w:cs="宋体"/>
                <w:kern w:val="0"/>
                <w:sz w:val="18"/>
                <w:szCs w:val="18"/>
              </w:rPr>
              <w:t>……</w:t>
            </w:r>
          </w:p>
        </w:tc>
        <w:tc>
          <w:tcPr>
            <w:tcW w:w="1466" w:type="dxa"/>
            <w:vAlign w:val="center"/>
          </w:tcPr>
          <w:p w14:paraId="6209F81B">
            <w:pPr>
              <w:widowControl/>
              <w:jc w:val="center"/>
              <w:rPr>
                <w:rFonts w:ascii="宋体" w:hAnsi="宋体" w:cs="宋体"/>
                <w:kern w:val="0"/>
                <w:sz w:val="18"/>
                <w:szCs w:val="18"/>
              </w:rPr>
            </w:pPr>
            <w:r>
              <w:rPr>
                <w:rFonts w:hint="eastAsia" w:ascii="宋体" w:hAnsi="宋体" w:cs="宋体"/>
                <w:kern w:val="0"/>
                <w:sz w:val="18"/>
                <w:szCs w:val="18"/>
              </w:rPr>
              <w:t>……</w:t>
            </w:r>
          </w:p>
        </w:tc>
        <w:tc>
          <w:tcPr>
            <w:tcW w:w="1461" w:type="dxa"/>
            <w:vAlign w:val="center"/>
          </w:tcPr>
          <w:p w14:paraId="78A09A4E">
            <w:pPr>
              <w:widowControl/>
              <w:jc w:val="center"/>
              <w:rPr>
                <w:rFonts w:ascii="宋体" w:hAnsi="宋体" w:cs="宋体"/>
                <w:kern w:val="0"/>
                <w:sz w:val="18"/>
                <w:szCs w:val="18"/>
              </w:rPr>
            </w:pPr>
            <w:r>
              <w:rPr>
                <w:rFonts w:hint="eastAsia" w:ascii="宋体" w:hAnsi="宋体" w:cs="宋体"/>
                <w:kern w:val="0"/>
                <w:sz w:val="18"/>
                <w:szCs w:val="18"/>
              </w:rPr>
              <w:t>……</w:t>
            </w:r>
          </w:p>
        </w:tc>
      </w:tr>
    </w:tbl>
    <w:p w14:paraId="1117A23C">
      <w:pPr>
        <w:keepNext/>
        <w:adjustRightInd w:val="0"/>
        <w:snapToGrid w:val="0"/>
        <w:spacing w:line="300" w:lineRule="exact"/>
        <w:ind w:left="0" w:firstLine="0" w:firstLineChars="0"/>
        <w:rPr>
          <w:rFonts w:ascii="宋体" w:hAnsi="宋体" w:cs="宋体"/>
          <w:szCs w:val="21"/>
        </w:rPr>
      </w:pPr>
      <w:r>
        <w:rPr>
          <w:rFonts w:hint="eastAsia" w:ascii="宋体" w:hAnsi="宋体" w:cs="宋体"/>
          <w:sz w:val="18"/>
          <w:szCs w:val="18"/>
        </w:rPr>
        <w:t>注：</w:t>
      </w:r>
      <w:r>
        <w:rPr>
          <w:rFonts w:ascii="宋体" w:hAnsi="宋体"/>
          <w:szCs w:val="21"/>
        </w:rPr>
        <w:t>1.</w:t>
      </w:r>
      <w:r>
        <w:rPr>
          <w:rFonts w:hint="eastAsia" w:ascii="宋体" w:hAnsi="宋体" w:cs="宋体"/>
          <w:szCs w:val="21"/>
        </w:rPr>
        <w:t>投标人应在本表后提供相关证明材料（原件原色扫描件）附件</w:t>
      </w:r>
      <w:r>
        <w:rPr>
          <w:rFonts w:ascii="宋体" w:hAnsi="宋体" w:cs="宋体"/>
          <w:szCs w:val="21"/>
        </w:rPr>
        <w:t>B1系列（身份证、职称证、执业资格证、</w:t>
      </w:r>
      <w:r>
        <w:rPr>
          <w:rFonts w:hint="eastAsia" w:ascii="宋体" w:hAnsi="宋体" w:cs="宋体"/>
          <w:kern w:val="0"/>
          <w:szCs w:val="21"/>
        </w:rPr>
        <w:t>安全生产考核合格证、社</w:t>
      </w:r>
      <w:r>
        <w:rPr>
          <w:rFonts w:hint="eastAsia" w:ascii="宋体" w:hAnsi="宋体" w:cs="宋体"/>
          <w:szCs w:val="21"/>
        </w:rPr>
        <w:t>保证明、个人业绩证明）。证明材料构成应与招标人对拟委任主要人员的要求一一对应，未作要求的内容不得要求投标人提供相应的证明材料。</w:t>
      </w:r>
    </w:p>
    <w:p w14:paraId="63FF4575">
      <w:pPr>
        <w:keepNext/>
        <w:adjustRightInd w:val="0"/>
        <w:snapToGrid w:val="0"/>
        <w:spacing w:line="300" w:lineRule="exact"/>
        <w:ind w:left="567" w:leftChars="170" w:hanging="210" w:hangingChars="100"/>
        <w:rPr>
          <w:rFonts w:ascii="宋体" w:hAnsi="宋体"/>
          <w:szCs w:val="21"/>
        </w:rPr>
      </w:pPr>
      <w:r>
        <w:rPr>
          <w:rFonts w:hint="eastAsia" w:ascii="宋体" w:hAnsi="宋体" w:cs="宋体"/>
          <w:szCs w:val="21"/>
        </w:rPr>
        <w:t>2.因投标人自身原因未提供附件或提供的附件不能与所证明的内容相匹配，造成业绩或其他内容不予认可时，投标人自行承担相关责任。</w:t>
      </w:r>
    </w:p>
    <w:p w14:paraId="367B97DA">
      <w:pPr>
        <w:keepNext/>
        <w:adjustRightInd w:val="0"/>
        <w:snapToGrid w:val="0"/>
        <w:spacing w:line="300" w:lineRule="exact"/>
        <w:ind w:left="567" w:leftChars="170" w:hanging="210" w:hangingChars="100"/>
        <w:rPr>
          <w:rFonts w:ascii="宋体" w:hAnsi="宋体" w:cs="宋体"/>
          <w:szCs w:val="21"/>
        </w:rPr>
      </w:pPr>
      <w:r>
        <w:rPr>
          <w:rFonts w:hint="eastAsia" w:ascii="宋体" w:hAnsi="宋体" w:cs="宋体"/>
          <w:szCs w:val="21"/>
        </w:rPr>
        <w:t>3</w:t>
      </w:r>
      <w:r>
        <w:rPr>
          <w:rFonts w:ascii="宋体" w:hAnsi="宋体" w:cs="宋体"/>
          <w:szCs w:val="21"/>
        </w:rPr>
        <w:t>.个人业绩证明材料为：</w:t>
      </w:r>
    </w:p>
    <w:p w14:paraId="4318A2C9">
      <w:pPr>
        <w:keepNext/>
        <w:adjustRightInd w:val="0"/>
        <w:snapToGrid w:val="0"/>
        <w:spacing w:line="300" w:lineRule="exact"/>
        <w:ind w:firstLine="632" w:firstLineChars="30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ascii="宋体" w:hAnsi="宋体" w:cs="宋体"/>
          <w:szCs w:val="21"/>
        </w:rPr>
        <w:t>交通运输部“</w:t>
      </w:r>
      <w:r>
        <w:rPr>
          <w:rFonts w:hint="eastAsia" w:ascii="宋体" w:hAnsi="宋体" w:cs="宋体"/>
          <w:szCs w:val="21"/>
        </w:rPr>
        <w:t>全国公路建设市场监督管理系统</w:t>
      </w:r>
      <w:r>
        <w:rPr>
          <w:rFonts w:ascii="宋体" w:hAnsi="宋体" w:cs="宋体"/>
          <w:szCs w:val="21"/>
        </w:rPr>
        <w:t>”</w:t>
      </w:r>
      <w:r>
        <w:rPr>
          <w:rFonts w:hint="eastAsia" w:ascii="宋体" w:hAnsi="宋体" w:cs="宋体"/>
          <w:szCs w:val="21"/>
        </w:rPr>
        <w:t>中载明的、能够证明该人员具有相关业绩的网页截图（</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号）要求，招标人应通过名录对投标人资质条件进行审核的公路施工企业单位人员。否则，招标人可对相关个人业绩提出其他证明材料要求</w:t>
      </w:r>
      <w:r>
        <w:rPr>
          <w:rFonts w:hint="eastAsia" w:ascii="宋体" w:hAnsi="宋体" w:cs="宋体"/>
          <w:szCs w:val="21"/>
        </w:rPr>
        <w:t>）。</w:t>
      </w:r>
      <w:bookmarkStart w:id="907" w:name="_Hlk100330717"/>
      <w:r>
        <w:rPr>
          <w:rFonts w:hint="eastAsia" w:ascii="宋体" w:hAnsi="宋体" w:cs="宋体"/>
          <w:szCs w:val="21"/>
        </w:rPr>
        <w:t>□</w:t>
      </w:r>
      <w:bookmarkEnd w:id="907"/>
      <w:r>
        <w:rPr>
          <w:rFonts w:ascii="宋体" w:hAnsi="宋体" w:cs="宋体"/>
          <w:b/>
          <w:bCs/>
          <w:szCs w:val="21"/>
        </w:rPr>
        <w:t xml:space="preserve"> </w:t>
      </w:r>
      <w:r>
        <w:rPr>
          <w:rFonts w:ascii="宋体" w:hAnsi="宋体" w:cs="宋体"/>
          <w:szCs w:val="21"/>
        </w:rPr>
        <w:t>或</w:t>
      </w:r>
    </w:p>
    <w:p w14:paraId="05C9A1E5">
      <w:pPr>
        <w:keepNext/>
        <w:adjustRightInd w:val="0"/>
        <w:snapToGrid w:val="0"/>
        <w:spacing w:line="300" w:lineRule="exact"/>
        <w:ind w:firstLine="632" w:firstLineChars="30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合同协议书；和</w:t>
      </w:r>
    </w:p>
    <w:p w14:paraId="75CEE262">
      <w:pPr>
        <w:keepNext/>
        <w:adjustRightInd w:val="0"/>
        <w:snapToGrid w:val="0"/>
        <w:spacing w:line="300" w:lineRule="exact"/>
        <w:ind w:firstLine="630" w:firstLineChars="300"/>
        <w:rPr>
          <w:rFonts w:ascii="宋体" w:hAnsi="宋体" w:cs="宋体"/>
          <w:szCs w:val="21"/>
        </w:rPr>
      </w:pPr>
      <w:r>
        <w:rPr>
          <w:rFonts w:ascii="宋体" w:hAnsi="宋体" w:cs="宋体"/>
          <w:szCs w:val="21"/>
        </w:rPr>
        <w:t xml:space="preserve">   </w:t>
      </w:r>
      <w:r>
        <w:rPr>
          <w:rFonts w:hint="eastAsia" w:ascii="宋体" w:hAnsi="宋体" w:cs="宋体"/>
          <w:szCs w:val="21"/>
        </w:rPr>
        <w:t>项目评定书或交工验收证书或竣工验收委员会出具的公路工程竣工验收鉴定书或发包人出具的证明原件原色扫描件，其中应能够证明该人员具有相关业绩。</w:t>
      </w:r>
    </w:p>
    <w:p w14:paraId="695DF001">
      <w:pPr>
        <w:keepNext/>
        <w:tabs>
          <w:tab w:val="left" w:pos="312"/>
        </w:tabs>
        <w:adjustRightInd w:val="0"/>
        <w:snapToGrid w:val="0"/>
        <w:spacing w:line="30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提供社保时间段要求：例如投标截止日所在月为“</w:t>
      </w:r>
      <w:r>
        <w:rPr>
          <w:rFonts w:ascii="宋体" w:hAnsi="宋体" w:cs="宋体"/>
          <w:szCs w:val="21"/>
        </w:rPr>
        <w:t>2021</w:t>
      </w:r>
      <w:r>
        <w:rPr>
          <w:rFonts w:hint="eastAsia" w:ascii="宋体" w:hAnsi="宋体" w:cs="宋体"/>
          <w:szCs w:val="21"/>
        </w:rPr>
        <w:t>年</w:t>
      </w:r>
      <w:r>
        <w:rPr>
          <w:rFonts w:ascii="宋体" w:hAnsi="宋体" w:cs="宋体"/>
          <w:szCs w:val="21"/>
        </w:rPr>
        <w:t>12</w:t>
      </w:r>
      <w:r>
        <w:rPr>
          <w:rFonts w:hint="eastAsia" w:ascii="宋体" w:hAnsi="宋体" w:cs="宋体"/>
          <w:szCs w:val="21"/>
        </w:rPr>
        <w:t>月”，则提供</w:t>
      </w:r>
      <w:r>
        <w:rPr>
          <w:rFonts w:ascii="宋体" w:hAnsi="宋体" w:cs="宋体"/>
          <w:szCs w:val="21"/>
        </w:rPr>
        <w:t xml:space="preserve"> </w:t>
      </w:r>
      <w:r>
        <w:rPr>
          <w:rFonts w:hint="eastAsia" w:ascii="宋体" w:hAnsi="宋体" w:cs="宋体"/>
          <w:szCs w:val="21"/>
        </w:rPr>
        <w:t>“</w:t>
      </w:r>
      <w:r>
        <w:rPr>
          <w:rFonts w:ascii="宋体" w:hAnsi="宋体" w:cs="宋体"/>
          <w:szCs w:val="21"/>
        </w:rPr>
        <w:t>2021</w:t>
      </w:r>
      <w:r>
        <w:rPr>
          <w:rFonts w:hint="eastAsia" w:ascii="宋体" w:hAnsi="宋体" w:cs="宋体"/>
          <w:szCs w:val="21"/>
        </w:rPr>
        <w:t>年</w:t>
      </w:r>
      <w:r>
        <w:rPr>
          <w:rFonts w:ascii="宋体" w:hAnsi="宋体" w:cs="宋体"/>
          <w:szCs w:val="21"/>
        </w:rPr>
        <w:t>6</w:t>
      </w:r>
      <w:r>
        <w:rPr>
          <w:rFonts w:hint="eastAsia" w:ascii="宋体" w:hAnsi="宋体" w:cs="宋体"/>
          <w:szCs w:val="21"/>
        </w:rPr>
        <w:t>～</w:t>
      </w:r>
      <w:r>
        <w:rPr>
          <w:rFonts w:ascii="宋体" w:hAnsi="宋体" w:cs="宋体"/>
          <w:szCs w:val="21"/>
        </w:rPr>
        <w:t>11</w:t>
      </w:r>
      <w:r>
        <w:rPr>
          <w:rFonts w:hint="eastAsia" w:ascii="宋体" w:hAnsi="宋体" w:cs="宋体"/>
          <w:szCs w:val="21"/>
        </w:rPr>
        <w:t>月”或“</w:t>
      </w:r>
      <w:r>
        <w:rPr>
          <w:rFonts w:ascii="宋体" w:hAnsi="宋体" w:cs="宋体"/>
          <w:szCs w:val="21"/>
        </w:rPr>
        <w:t>2021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w:t>
      </w:r>
      <w:r>
        <w:rPr>
          <w:rFonts w:ascii="宋体" w:hAnsi="宋体" w:cs="宋体"/>
          <w:szCs w:val="21"/>
        </w:rPr>
        <w:t>6</w:t>
      </w:r>
      <w:r>
        <w:rPr>
          <w:rFonts w:hint="eastAsia" w:ascii="宋体" w:hAnsi="宋体" w:cs="宋体"/>
          <w:szCs w:val="21"/>
        </w:rPr>
        <w:t>个月参加社保的证明材料。</w:t>
      </w:r>
    </w:p>
    <w:p w14:paraId="341BA0DC">
      <w:pPr>
        <w:adjustRightInd w:val="0"/>
        <w:snapToGrid w:val="0"/>
        <w:spacing w:line="300" w:lineRule="exact"/>
        <w:ind w:firstLine="29"/>
        <w:rPr>
          <w:rFonts w:ascii="黑体" w:hAnsi="黑体" w:eastAsia="黑体"/>
          <w:bCs/>
        </w:rPr>
      </w:pPr>
      <w:r>
        <w:rPr>
          <w:rFonts w:ascii="黑体" w:hAnsi="黑体" w:eastAsia="黑体"/>
          <w:bCs/>
        </w:rPr>
        <w:br w:type="page"/>
      </w:r>
    </w:p>
    <w:p w14:paraId="3AD6A8AA">
      <w:pPr>
        <w:spacing w:line="360" w:lineRule="auto"/>
        <w:jc w:val="center"/>
        <w:rPr>
          <w:rFonts w:ascii="黑体" w:hAnsi="黑体" w:eastAsia="黑体" w:cs="宋体"/>
          <w:bCs/>
          <w:kern w:val="0"/>
          <w:sz w:val="24"/>
        </w:rPr>
      </w:pPr>
      <w:r>
        <w:rPr>
          <w:rFonts w:hint="eastAsia" w:ascii="黑体" w:hAnsi="黑体" w:eastAsia="黑体" w:cs="宋体"/>
          <w:bCs/>
          <w:kern w:val="0"/>
          <w:sz w:val="24"/>
        </w:rPr>
        <w:t xml:space="preserve"> </w:t>
      </w:r>
      <w:r>
        <w:rPr>
          <w:rFonts w:ascii="黑体" w:hAnsi="黑体" w:eastAsia="黑体" w:cs="宋体"/>
          <w:bCs/>
          <w:kern w:val="0"/>
          <w:sz w:val="24"/>
        </w:rPr>
        <w:t xml:space="preserve">                                   </w:t>
      </w:r>
      <w:r>
        <w:rPr>
          <w:rFonts w:hint="eastAsia" w:ascii="黑体" w:hAnsi="黑体" w:eastAsia="黑体" w:cs="宋体"/>
          <w:b/>
          <w:kern w:val="0"/>
          <w:sz w:val="24"/>
        </w:rPr>
        <w:t xml:space="preserve">□ </w:t>
      </w:r>
      <w:r>
        <w:rPr>
          <w:rFonts w:hint="eastAsia" w:ascii="黑体" w:hAnsi="黑体" w:eastAsia="黑体" w:cs="宋体"/>
          <w:bCs/>
          <w:kern w:val="0"/>
          <w:sz w:val="24"/>
        </w:rPr>
        <w:t xml:space="preserve">设计项目负责人资历情况 </w:t>
      </w:r>
      <w:r>
        <w:rPr>
          <w:rFonts w:ascii="黑体" w:hAnsi="黑体" w:eastAsia="黑体" w:cs="宋体"/>
          <w:bCs/>
          <w:kern w:val="0"/>
          <w:sz w:val="24"/>
        </w:rPr>
        <w:t xml:space="preserve">                                      </w:t>
      </w:r>
      <w:r>
        <w:rPr>
          <w:rFonts w:hint="eastAsia" w:ascii="黑体" w:hAnsi="黑体" w:eastAsia="黑体" w:cs="宋体"/>
          <w:bCs/>
          <w:kern w:val="0"/>
          <w:sz w:val="24"/>
        </w:rPr>
        <w:t>表</w:t>
      </w:r>
      <w:r>
        <w:rPr>
          <w:rFonts w:ascii="黑体" w:hAnsi="黑体" w:eastAsia="黑体" w:cs="宋体"/>
          <w:bCs/>
          <w:kern w:val="0"/>
          <w:sz w:val="24"/>
        </w:rPr>
        <w:t>2</w:t>
      </w:r>
    </w:p>
    <w:tbl>
      <w:tblPr>
        <w:tblStyle w:val="4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3"/>
        <w:gridCol w:w="840"/>
        <w:gridCol w:w="93"/>
        <w:gridCol w:w="1631"/>
        <w:gridCol w:w="1779"/>
        <w:gridCol w:w="1321"/>
        <w:gridCol w:w="583"/>
        <w:gridCol w:w="766"/>
        <w:gridCol w:w="1027"/>
        <w:gridCol w:w="1188"/>
        <w:gridCol w:w="1406"/>
        <w:gridCol w:w="674"/>
        <w:gridCol w:w="1329"/>
      </w:tblGrid>
      <w:tr w14:paraId="4FE2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50" w:type="dxa"/>
            <w:gridSpan w:val="13"/>
            <w:vAlign w:val="center"/>
          </w:tcPr>
          <w:p w14:paraId="3160DC9D">
            <w:pPr>
              <w:widowControl/>
              <w:jc w:val="center"/>
              <w:rPr>
                <w:rFonts w:ascii="宋体" w:hAnsi="宋体" w:cs="宋体"/>
                <w:bCs/>
                <w:kern w:val="0"/>
                <w:sz w:val="18"/>
                <w:szCs w:val="18"/>
              </w:rPr>
            </w:pPr>
            <w:bookmarkStart w:id="908" w:name="_Hlk76740507"/>
            <w:r>
              <w:rPr>
                <w:rFonts w:hint="eastAsia" w:ascii="宋体" w:hAnsi="宋体" w:cs="宋体"/>
                <w:bCs/>
                <w:kern w:val="0"/>
                <w:sz w:val="18"/>
                <w:szCs w:val="18"/>
              </w:rPr>
              <w:t>基本信息</w:t>
            </w:r>
          </w:p>
        </w:tc>
        <w:tc>
          <w:tcPr>
            <w:tcW w:w="1329" w:type="dxa"/>
            <w:vAlign w:val="center"/>
          </w:tcPr>
          <w:p w14:paraId="34021D80">
            <w:pPr>
              <w:widowControl/>
              <w:jc w:val="center"/>
              <w:rPr>
                <w:rFonts w:ascii="宋体" w:hAnsi="宋体" w:cs="宋体"/>
                <w:bCs/>
                <w:kern w:val="0"/>
                <w:sz w:val="18"/>
                <w:szCs w:val="18"/>
              </w:rPr>
            </w:pPr>
            <w:r>
              <w:rPr>
                <w:rFonts w:hint="eastAsia" w:ascii="宋体" w:hAnsi="宋体" w:cs="宋体"/>
                <w:bCs/>
                <w:kern w:val="0"/>
                <w:sz w:val="18"/>
                <w:szCs w:val="18"/>
              </w:rPr>
              <w:t>基本信息附件</w:t>
            </w:r>
          </w:p>
        </w:tc>
      </w:tr>
      <w:tr w14:paraId="3D30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42" w:type="dxa"/>
            <w:gridSpan w:val="2"/>
            <w:vAlign w:val="center"/>
          </w:tcPr>
          <w:p w14:paraId="28976E9B">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5664" w:type="dxa"/>
            <w:gridSpan w:val="5"/>
            <w:vAlign w:val="center"/>
          </w:tcPr>
          <w:p w14:paraId="4A69A46F">
            <w:pPr>
              <w:widowControl/>
              <w:jc w:val="center"/>
              <w:rPr>
                <w:rFonts w:ascii="宋体" w:hAnsi="宋体" w:cs="宋体"/>
                <w:bCs/>
                <w:kern w:val="0"/>
                <w:sz w:val="18"/>
                <w:szCs w:val="18"/>
              </w:rPr>
            </w:pPr>
          </w:p>
        </w:tc>
        <w:tc>
          <w:tcPr>
            <w:tcW w:w="583" w:type="dxa"/>
            <w:vAlign w:val="center"/>
          </w:tcPr>
          <w:p w14:paraId="788944D6">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793" w:type="dxa"/>
            <w:gridSpan w:val="2"/>
            <w:vAlign w:val="center"/>
          </w:tcPr>
          <w:p w14:paraId="5CEB92D2">
            <w:pPr>
              <w:widowControl/>
              <w:jc w:val="center"/>
              <w:rPr>
                <w:rFonts w:ascii="宋体" w:hAnsi="宋体" w:cs="宋体"/>
                <w:bCs/>
                <w:kern w:val="0"/>
                <w:sz w:val="18"/>
                <w:szCs w:val="18"/>
              </w:rPr>
            </w:pPr>
          </w:p>
        </w:tc>
        <w:tc>
          <w:tcPr>
            <w:tcW w:w="1188" w:type="dxa"/>
            <w:vAlign w:val="center"/>
          </w:tcPr>
          <w:p w14:paraId="2EBF9A35">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080" w:type="dxa"/>
            <w:gridSpan w:val="2"/>
            <w:vAlign w:val="center"/>
          </w:tcPr>
          <w:p w14:paraId="7986A6D8">
            <w:pPr>
              <w:widowControl/>
              <w:jc w:val="center"/>
              <w:rPr>
                <w:rFonts w:ascii="宋体" w:hAnsi="宋体" w:cs="宋体"/>
                <w:bCs/>
                <w:kern w:val="0"/>
                <w:sz w:val="18"/>
                <w:szCs w:val="18"/>
              </w:rPr>
            </w:pPr>
          </w:p>
        </w:tc>
        <w:tc>
          <w:tcPr>
            <w:tcW w:w="1329" w:type="dxa"/>
            <w:vAlign w:val="center"/>
          </w:tcPr>
          <w:p w14:paraId="5B8EEF0E">
            <w:pPr>
              <w:widowControl/>
              <w:jc w:val="center"/>
              <w:rPr>
                <w:rFonts w:ascii="宋体" w:hAnsi="宋体" w:cs="宋体"/>
                <w:bCs/>
                <w:kern w:val="0"/>
                <w:sz w:val="18"/>
                <w:szCs w:val="18"/>
              </w:rPr>
            </w:pPr>
            <w:r>
              <w:rPr>
                <w:rFonts w:hint="eastAsia" w:ascii="宋体" w:hAnsi="宋体" w:cs="宋体"/>
                <w:kern w:val="0"/>
                <w:sz w:val="18"/>
                <w:szCs w:val="18"/>
              </w:rPr>
              <w:t>附件B1.1</w:t>
            </w:r>
          </w:p>
        </w:tc>
      </w:tr>
      <w:tr w14:paraId="1269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42" w:type="dxa"/>
            <w:gridSpan w:val="2"/>
            <w:vAlign w:val="center"/>
          </w:tcPr>
          <w:p w14:paraId="6BB8424A">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5664" w:type="dxa"/>
            <w:gridSpan w:val="5"/>
            <w:vAlign w:val="center"/>
          </w:tcPr>
          <w:p w14:paraId="180C9B94">
            <w:pPr>
              <w:widowControl/>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 xml:space="preserve">工程师  </w:t>
            </w:r>
            <w:r>
              <w:rPr>
                <w:rFonts w:hint="eastAsia" w:ascii="宋体" w:hAnsi="宋体" w:cs="宋体"/>
                <w:kern w:val="0"/>
                <w:sz w:val="18"/>
                <w:szCs w:val="18"/>
              </w:rPr>
              <w:sym w:font="Wingdings 2" w:char="00A3"/>
            </w:r>
            <w:r>
              <w:rPr>
                <w:rFonts w:hint="eastAsia" w:ascii="宋体" w:hAnsi="宋体" w:cs="宋体"/>
                <w:kern w:val="0"/>
                <w:sz w:val="18"/>
                <w:szCs w:val="18"/>
              </w:rPr>
              <w:t xml:space="preserve"> 高级工程师  □正（教授级或研究员级）高级工程师</w:t>
            </w:r>
          </w:p>
        </w:tc>
        <w:tc>
          <w:tcPr>
            <w:tcW w:w="583" w:type="dxa"/>
            <w:vAlign w:val="center"/>
          </w:tcPr>
          <w:p w14:paraId="79412928">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793" w:type="dxa"/>
            <w:gridSpan w:val="2"/>
            <w:vAlign w:val="center"/>
          </w:tcPr>
          <w:p w14:paraId="28E418B8">
            <w:pPr>
              <w:widowControl/>
              <w:jc w:val="center"/>
              <w:rPr>
                <w:rFonts w:ascii="宋体" w:hAnsi="宋体" w:cs="宋体"/>
                <w:bCs/>
                <w:kern w:val="0"/>
                <w:sz w:val="18"/>
                <w:szCs w:val="18"/>
              </w:rPr>
            </w:pPr>
          </w:p>
        </w:tc>
        <w:tc>
          <w:tcPr>
            <w:tcW w:w="1188" w:type="dxa"/>
            <w:vAlign w:val="center"/>
          </w:tcPr>
          <w:p w14:paraId="709BCA04">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080" w:type="dxa"/>
            <w:gridSpan w:val="2"/>
            <w:vAlign w:val="center"/>
          </w:tcPr>
          <w:p w14:paraId="14D75918">
            <w:pPr>
              <w:widowControl/>
              <w:jc w:val="center"/>
              <w:rPr>
                <w:rFonts w:ascii="宋体" w:hAnsi="宋体" w:cs="宋体"/>
                <w:bCs/>
                <w:kern w:val="0"/>
                <w:sz w:val="18"/>
                <w:szCs w:val="18"/>
              </w:rPr>
            </w:pPr>
          </w:p>
        </w:tc>
        <w:tc>
          <w:tcPr>
            <w:tcW w:w="1329" w:type="dxa"/>
            <w:vAlign w:val="center"/>
          </w:tcPr>
          <w:p w14:paraId="07560C65">
            <w:pPr>
              <w:widowControl/>
              <w:jc w:val="center"/>
              <w:rPr>
                <w:rFonts w:ascii="宋体" w:hAnsi="宋体" w:cs="宋体"/>
                <w:bCs/>
                <w:kern w:val="0"/>
                <w:sz w:val="18"/>
                <w:szCs w:val="18"/>
              </w:rPr>
            </w:pPr>
            <w:r>
              <w:rPr>
                <w:rFonts w:hint="eastAsia" w:ascii="宋体" w:hAnsi="宋体" w:cs="宋体"/>
                <w:kern w:val="0"/>
                <w:sz w:val="18"/>
                <w:szCs w:val="18"/>
              </w:rPr>
              <w:t>附件B1.2</w:t>
            </w:r>
          </w:p>
        </w:tc>
      </w:tr>
      <w:tr w14:paraId="2DCD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42" w:type="dxa"/>
            <w:gridSpan w:val="2"/>
            <w:vAlign w:val="center"/>
          </w:tcPr>
          <w:p w14:paraId="5E5834AC">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8040" w:type="dxa"/>
            <w:gridSpan w:val="8"/>
            <w:vAlign w:val="center"/>
          </w:tcPr>
          <w:p w14:paraId="7A857CBF">
            <w:pPr>
              <w:widowControl/>
              <w:rPr>
                <w:rFonts w:ascii="宋体" w:hAnsi="宋体" w:cs="宋体"/>
                <w:kern w:val="0"/>
                <w:sz w:val="18"/>
                <w:szCs w:val="18"/>
              </w:rPr>
            </w:pPr>
            <w:r>
              <w:rPr>
                <w:rFonts w:hint="eastAsia" w:ascii="宋体" w:hAnsi="宋体" w:cs="宋体"/>
                <w:kern w:val="0"/>
                <w:sz w:val="18"/>
                <w:szCs w:val="18"/>
              </w:rPr>
              <w:t xml:space="preserve">□一级注册结构工程师   □注册土木工程师（岩土工程）          □注册土木工程师（道路工程） </w:t>
            </w:r>
          </w:p>
          <w:p w14:paraId="6F5EE2D9">
            <w:pPr>
              <w:widowControl/>
              <w:rPr>
                <w:rFonts w:ascii="宋体" w:hAnsi="宋体" w:cs="宋体"/>
                <w:kern w:val="0"/>
                <w:sz w:val="18"/>
                <w:szCs w:val="18"/>
              </w:rPr>
            </w:pPr>
            <w:r>
              <w:rPr>
                <w:rFonts w:hint="eastAsia" w:ascii="宋体" w:hAnsi="宋体" w:cs="宋体"/>
                <w:kern w:val="0"/>
                <w:sz w:val="18"/>
                <w:szCs w:val="18"/>
              </w:rPr>
              <w:t>□一级注册建筑师       □</w:t>
            </w:r>
            <w:r>
              <w:rPr>
                <w:rFonts w:hint="eastAsia" w:ascii="宋体" w:hAnsi="宋体" w:cs="宋体"/>
                <w:sz w:val="18"/>
                <w:szCs w:val="18"/>
              </w:rPr>
              <w:t xml:space="preserve">一级造价工程师（专业交通运输工程） </w:t>
            </w:r>
            <w:r>
              <w:rPr>
                <w:rFonts w:hint="eastAsia" w:ascii="宋体" w:hAnsi="宋体" w:cs="宋体"/>
                <w:kern w:val="0"/>
                <w:sz w:val="18"/>
                <w:szCs w:val="18"/>
              </w:rPr>
              <w:t xml:space="preserve">□一级注册建造工程师   </w:t>
            </w:r>
          </w:p>
          <w:p w14:paraId="0EABE14E">
            <w:pPr>
              <w:widowControl/>
              <w:rPr>
                <w:rFonts w:ascii="宋体" w:hAnsi="宋体" w:cs="宋体"/>
                <w:kern w:val="0"/>
                <w:sz w:val="18"/>
                <w:szCs w:val="18"/>
              </w:rPr>
            </w:pPr>
            <w:r>
              <w:rPr>
                <w:rFonts w:hint="eastAsia" w:ascii="宋体" w:hAnsi="宋体" w:cs="宋体"/>
                <w:kern w:val="0"/>
                <w:sz w:val="18"/>
                <w:szCs w:val="18"/>
              </w:rPr>
              <w:t xml:space="preserve">□注册电气工程师　     </w:t>
            </w:r>
            <w:r>
              <w:rPr>
                <w:rFonts w:hint="eastAsia" w:ascii="宋体" w:hAnsi="宋体" w:cs="宋体"/>
                <w:sz w:val="18"/>
                <w:szCs w:val="18"/>
              </w:rPr>
              <w:sym w:font="Wingdings 2" w:char="00A3"/>
            </w:r>
            <w:r>
              <w:rPr>
                <w:rFonts w:hint="eastAsia" w:ascii="宋体" w:hAnsi="宋体" w:cs="宋体"/>
                <w:sz w:val="18"/>
                <w:szCs w:val="18"/>
              </w:rPr>
              <w:t>注册咨询工程师</w:t>
            </w:r>
          </w:p>
        </w:tc>
        <w:tc>
          <w:tcPr>
            <w:tcW w:w="1188" w:type="dxa"/>
            <w:vAlign w:val="center"/>
          </w:tcPr>
          <w:p w14:paraId="7A1C4D8B">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080" w:type="dxa"/>
            <w:gridSpan w:val="2"/>
            <w:vAlign w:val="center"/>
          </w:tcPr>
          <w:p w14:paraId="3D4676AF">
            <w:pPr>
              <w:widowControl/>
              <w:jc w:val="center"/>
              <w:rPr>
                <w:rFonts w:ascii="宋体" w:hAnsi="宋体" w:cs="宋体"/>
                <w:bCs/>
                <w:kern w:val="0"/>
                <w:sz w:val="18"/>
                <w:szCs w:val="18"/>
              </w:rPr>
            </w:pPr>
          </w:p>
        </w:tc>
        <w:tc>
          <w:tcPr>
            <w:tcW w:w="1329" w:type="dxa"/>
            <w:vAlign w:val="center"/>
          </w:tcPr>
          <w:p w14:paraId="5CD110B5">
            <w:pPr>
              <w:widowControl/>
              <w:jc w:val="center"/>
              <w:rPr>
                <w:rFonts w:ascii="宋体" w:hAnsi="宋体" w:cs="宋体"/>
                <w:bCs/>
                <w:kern w:val="0"/>
                <w:sz w:val="18"/>
                <w:szCs w:val="18"/>
              </w:rPr>
            </w:pPr>
            <w:r>
              <w:rPr>
                <w:rFonts w:hint="eastAsia" w:ascii="宋体" w:hAnsi="宋体" w:cs="宋体"/>
                <w:kern w:val="0"/>
                <w:sz w:val="18"/>
                <w:szCs w:val="18"/>
              </w:rPr>
              <w:t>附件B1.3</w:t>
            </w:r>
          </w:p>
        </w:tc>
      </w:tr>
      <w:tr w14:paraId="461F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75" w:type="dxa"/>
            <w:gridSpan w:val="4"/>
            <w:vAlign w:val="center"/>
          </w:tcPr>
          <w:p w14:paraId="7E991DF2">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3410" w:type="dxa"/>
            <w:gridSpan w:val="2"/>
            <w:vAlign w:val="center"/>
          </w:tcPr>
          <w:p w14:paraId="08805717">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3697" w:type="dxa"/>
            <w:gridSpan w:val="4"/>
            <w:vAlign w:val="center"/>
          </w:tcPr>
          <w:p w14:paraId="515B1A45">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3268" w:type="dxa"/>
            <w:gridSpan w:val="3"/>
            <w:vAlign w:val="center"/>
          </w:tcPr>
          <w:p w14:paraId="2D2A365F">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329" w:type="dxa"/>
            <w:vAlign w:val="center"/>
          </w:tcPr>
          <w:p w14:paraId="1340607F">
            <w:pPr>
              <w:widowControl/>
              <w:jc w:val="center"/>
              <w:rPr>
                <w:rFonts w:ascii="宋体" w:hAnsi="宋体" w:cs="宋体"/>
                <w:bCs/>
                <w:kern w:val="0"/>
                <w:sz w:val="18"/>
                <w:szCs w:val="18"/>
              </w:rPr>
            </w:pPr>
            <w:r>
              <w:rPr>
                <w:rFonts w:hint="eastAsia" w:ascii="宋体" w:hAnsi="宋体" w:cs="宋体"/>
                <w:kern w:val="0"/>
                <w:sz w:val="18"/>
                <w:szCs w:val="18"/>
              </w:rPr>
              <w:t>附件B1.4</w:t>
            </w:r>
          </w:p>
        </w:tc>
      </w:tr>
      <w:tr w14:paraId="301E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50" w:type="dxa"/>
            <w:gridSpan w:val="13"/>
            <w:vAlign w:val="center"/>
          </w:tcPr>
          <w:p w14:paraId="4F039D66">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w:t>
            </w:r>
          </w:p>
        </w:tc>
        <w:tc>
          <w:tcPr>
            <w:tcW w:w="1329" w:type="dxa"/>
            <w:vMerge w:val="restart"/>
            <w:vAlign w:val="center"/>
          </w:tcPr>
          <w:p w14:paraId="6D7847AA">
            <w:pPr>
              <w:widowControl/>
              <w:jc w:val="center"/>
              <w:rPr>
                <w:rFonts w:ascii="宋体" w:hAnsi="宋体" w:cs="宋体"/>
                <w:bCs/>
                <w:kern w:val="0"/>
                <w:sz w:val="18"/>
                <w:szCs w:val="18"/>
              </w:rPr>
            </w:pPr>
            <w:r>
              <w:rPr>
                <w:rFonts w:hint="eastAsia" w:ascii="宋体" w:hAnsi="宋体" w:cs="宋体"/>
                <w:bCs/>
                <w:kern w:val="0"/>
                <w:sz w:val="18"/>
                <w:szCs w:val="18"/>
              </w:rPr>
              <w:t>业绩证明</w:t>
            </w:r>
          </w:p>
          <w:p w14:paraId="09EEA741">
            <w:pPr>
              <w:widowControl/>
              <w:jc w:val="center"/>
              <w:rPr>
                <w:rFonts w:ascii="宋体" w:hAnsi="宋体" w:cs="宋体"/>
                <w:bCs/>
                <w:kern w:val="0"/>
                <w:sz w:val="18"/>
                <w:szCs w:val="18"/>
              </w:rPr>
            </w:pPr>
            <w:r>
              <w:rPr>
                <w:rFonts w:hint="eastAsia" w:ascii="宋体" w:hAnsi="宋体" w:cs="宋体"/>
                <w:bCs/>
                <w:kern w:val="0"/>
                <w:sz w:val="18"/>
                <w:szCs w:val="18"/>
              </w:rPr>
              <w:t>材料附件</w:t>
            </w:r>
          </w:p>
        </w:tc>
      </w:tr>
      <w:tr w14:paraId="0CC3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9" w:type="dxa"/>
            <w:vAlign w:val="center"/>
          </w:tcPr>
          <w:p w14:paraId="1BC1AF83">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1273" w:type="dxa"/>
            <w:gridSpan w:val="2"/>
            <w:vAlign w:val="center"/>
          </w:tcPr>
          <w:p w14:paraId="28E0458D">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1724" w:type="dxa"/>
            <w:gridSpan w:val="2"/>
            <w:vAlign w:val="center"/>
          </w:tcPr>
          <w:p w14:paraId="19755165">
            <w:pPr>
              <w:widowControl/>
              <w:jc w:val="center"/>
              <w:rPr>
                <w:rFonts w:ascii="宋体" w:hAnsi="宋体" w:cs="宋体"/>
                <w:bCs/>
                <w:kern w:val="0"/>
                <w:sz w:val="18"/>
                <w:szCs w:val="18"/>
              </w:rPr>
            </w:pPr>
            <w:r>
              <w:rPr>
                <w:rFonts w:hint="eastAsia" w:ascii="宋体" w:hAnsi="宋体" w:cs="宋体"/>
                <w:bCs/>
                <w:kern w:val="0"/>
                <w:sz w:val="18"/>
                <w:szCs w:val="18"/>
              </w:rPr>
              <w:t>项目建设形式</w:t>
            </w:r>
          </w:p>
        </w:tc>
        <w:tc>
          <w:tcPr>
            <w:tcW w:w="1779" w:type="dxa"/>
            <w:vAlign w:val="center"/>
          </w:tcPr>
          <w:p w14:paraId="21C5AB80">
            <w:pPr>
              <w:widowControl/>
              <w:jc w:val="center"/>
              <w:rPr>
                <w:rFonts w:ascii="宋体" w:hAnsi="宋体" w:cs="宋体"/>
                <w:bCs/>
                <w:kern w:val="0"/>
                <w:sz w:val="18"/>
                <w:szCs w:val="18"/>
              </w:rPr>
            </w:pPr>
            <w:r>
              <w:rPr>
                <w:rFonts w:hint="eastAsia" w:ascii="宋体" w:hAnsi="宋体" w:cs="宋体"/>
                <w:bCs/>
                <w:kern w:val="0"/>
                <w:sz w:val="18"/>
                <w:szCs w:val="18"/>
              </w:rPr>
              <w:t>设计阶段</w:t>
            </w:r>
          </w:p>
        </w:tc>
        <w:tc>
          <w:tcPr>
            <w:tcW w:w="1321" w:type="dxa"/>
            <w:vAlign w:val="center"/>
          </w:tcPr>
          <w:p w14:paraId="3B39F142">
            <w:pPr>
              <w:jc w:val="center"/>
              <w:rPr>
                <w:rFonts w:ascii="宋体" w:hAnsi="宋体" w:cs="宋体"/>
                <w:bCs/>
                <w:kern w:val="0"/>
                <w:sz w:val="18"/>
                <w:szCs w:val="18"/>
              </w:rPr>
            </w:pPr>
            <w:r>
              <w:rPr>
                <w:rFonts w:hint="eastAsia" w:ascii="宋体" w:hAnsi="宋体" w:cs="宋体"/>
                <w:bCs/>
                <w:kern w:val="0"/>
                <w:sz w:val="18"/>
                <w:szCs w:val="18"/>
              </w:rPr>
              <w:t>在本项目担任的工作职务</w:t>
            </w:r>
          </w:p>
        </w:tc>
        <w:tc>
          <w:tcPr>
            <w:tcW w:w="1349" w:type="dxa"/>
            <w:gridSpan w:val="2"/>
            <w:vAlign w:val="center"/>
          </w:tcPr>
          <w:p w14:paraId="01AF3E4B">
            <w:pPr>
              <w:jc w:val="center"/>
              <w:rPr>
                <w:rFonts w:ascii="宋体" w:hAnsi="宋体" w:cs="宋体"/>
                <w:bCs/>
                <w:kern w:val="0"/>
                <w:sz w:val="18"/>
                <w:szCs w:val="18"/>
              </w:rPr>
            </w:pPr>
            <w:r>
              <w:rPr>
                <w:rFonts w:hint="eastAsia" w:ascii="宋体" w:hAnsi="宋体" w:cs="宋体"/>
                <w:bCs/>
                <w:kern w:val="0"/>
                <w:sz w:val="18"/>
                <w:szCs w:val="18"/>
              </w:rPr>
              <w:t>任职起止时间</w:t>
            </w:r>
          </w:p>
        </w:tc>
        <w:tc>
          <w:tcPr>
            <w:tcW w:w="2215" w:type="dxa"/>
            <w:gridSpan w:val="2"/>
            <w:vAlign w:val="center"/>
          </w:tcPr>
          <w:p w14:paraId="6224C051">
            <w:pPr>
              <w:widowControl/>
              <w:jc w:val="center"/>
              <w:rPr>
                <w:rFonts w:ascii="宋体" w:hAnsi="宋体" w:cs="宋体"/>
                <w:bCs/>
                <w:kern w:val="0"/>
                <w:sz w:val="18"/>
                <w:szCs w:val="18"/>
              </w:rPr>
            </w:pPr>
            <w:r>
              <w:rPr>
                <w:rFonts w:hint="eastAsia" w:ascii="宋体" w:hAnsi="宋体" w:cs="宋体"/>
                <w:sz w:val="18"/>
                <w:szCs w:val="18"/>
              </w:rPr>
              <w:t>□</w:t>
            </w:r>
            <w:r>
              <w:rPr>
                <w:rFonts w:hint="eastAsia" w:ascii="宋体" w:hAnsi="宋体" w:cs="宋体"/>
                <w:bCs/>
                <w:kern w:val="0"/>
                <w:sz w:val="18"/>
                <w:szCs w:val="18"/>
              </w:rPr>
              <w:t>承担设计标段路线长度（km）</w:t>
            </w:r>
          </w:p>
        </w:tc>
        <w:tc>
          <w:tcPr>
            <w:tcW w:w="1406" w:type="dxa"/>
            <w:vAlign w:val="center"/>
          </w:tcPr>
          <w:p w14:paraId="7EEAB097">
            <w:pPr>
              <w:widowControl/>
              <w:jc w:val="center"/>
              <w:rPr>
                <w:rFonts w:ascii="宋体" w:hAnsi="宋体" w:cs="宋体"/>
                <w:bCs/>
                <w:kern w:val="0"/>
                <w:sz w:val="18"/>
                <w:szCs w:val="18"/>
              </w:rPr>
            </w:pPr>
            <w:r>
              <w:rPr>
                <w:rFonts w:hint="eastAsia" w:ascii="宋体" w:hAnsi="宋体" w:cs="宋体"/>
                <w:sz w:val="18"/>
                <w:szCs w:val="18"/>
              </w:rPr>
              <w:t>□</w:t>
            </w:r>
            <w:r>
              <w:rPr>
                <w:rFonts w:hint="eastAsia" w:ascii="宋体" w:hAnsi="宋体" w:cs="宋体"/>
                <w:bCs/>
                <w:kern w:val="0"/>
                <w:sz w:val="18"/>
                <w:szCs w:val="18"/>
              </w:rPr>
              <w:t>桥隧比（%）</w:t>
            </w:r>
          </w:p>
        </w:tc>
        <w:tc>
          <w:tcPr>
            <w:tcW w:w="674" w:type="dxa"/>
            <w:vAlign w:val="center"/>
          </w:tcPr>
          <w:p w14:paraId="7A568D7E">
            <w:pPr>
              <w:widowControl/>
              <w:jc w:val="center"/>
              <w:rPr>
                <w:rFonts w:ascii="宋体" w:hAnsi="宋体" w:cs="宋体"/>
                <w:bCs/>
                <w:kern w:val="0"/>
                <w:sz w:val="18"/>
                <w:szCs w:val="18"/>
              </w:rPr>
            </w:pPr>
            <w:r>
              <w:rPr>
                <w:rFonts w:hint="eastAsia" w:ascii="宋体" w:hAnsi="宋体" w:cs="宋体"/>
                <w:sz w:val="18"/>
                <w:szCs w:val="18"/>
              </w:rPr>
              <w:t>□其他</w:t>
            </w:r>
          </w:p>
        </w:tc>
        <w:tc>
          <w:tcPr>
            <w:tcW w:w="1329" w:type="dxa"/>
            <w:vMerge w:val="continue"/>
            <w:vAlign w:val="center"/>
          </w:tcPr>
          <w:p w14:paraId="69B19956">
            <w:pPr>
              <w:widowControl/>
              <w:jc w:val="center"/>
              <w:rPr>
                <w:rFonts w:ascii="宋体" w:hAnsi="宋体" w:cs="宋体"/>
                <w:b/>
                <w:bCs/>
                <w:kern w:val="0"/>
                <w:sz w:val="18"/>
                <w:szCs w:val="18"/>
              </w:rPr>
            </w:pPr>
          </w:p>
        </w:tc>
      </w:tr>
      <w:tr w14:paraId="4660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vAlign w:val="center"/>
          </w:tcPr>
          <w:p w14:paraId="544C9375">
            <w:pPr>
              <w:widowControl/>
              <w:jc w:val="center"/>
              <w:rPr>
                <w:rFonts w:ascii="宋体" w:hAnsi="宋体" w:cs="宋体"/>
                <w:sz w:val="18"/>
                <w:szCs w:val="18"/>
              </w:rPr>
            </w:pPr>
          </w:p>
        </w:tc>
        <w:tc>
          <w:tcPr>
            <w:tcW w:w="1273" w:type="dxa"/>
            <w:gridSpan w:val="2"/>
            <w:vAlign w:val="center"/>
          </w:tcPr>
          <w:p w14:paraId="7EC55887">
            <w:pPr>
              <w:widowControl/>
              <w:jc w:val="center"/>
              <w:rPr>
                <w:rFonts w:ascii="宋体" w:hAnsi="宋体" w:cs="宋体"/>
                <w:sz w:val="18"/>
                <w:szCs w:val="18"/>
              </w:rPr>
            </w:pPr>
          </w:p>
        </w:tc>
        <w:tc>
          <w:tcPr>
            <w:tcW w:w="1724" w:type="dxa"/>
            <w:gridSpan w:val="2"/>
            <w:vAlign w:val="center"/>
          </w:tcPr>
          <w:p w14:paraId="45CA511A">
            <w:pPr>
              <w:widowControl/>
              <w:rPr>
                <w:rFonts w:ascii="宋体" w:hAnsi="宋体" w:cs="宋体"/>
                <w:sz w:val="18"/>
                <w:szCs w:val="18"/>
              </w:rPr>
            </w:pPr>
            <w:r>
              <w:rPr>
                <w:rFonts w:hint="eastAsia" w:ascii="宋体" w:hAnsi="宋体" w:cs="宋体"/>
                <w:sz w:val="18"/>
                <w:szCs w:val="18"/>
              </w:rPr>
              <w:t>□新建  □改扩建</w:t>
            </w:r>
          </w:p>
        </w:tc>
        <w:tc>
          <w:tcPr>
            <w:tcW w:w="1779" w:type="dxa"/>
            <w:vAlign w:val="center"/>
          </w:tcPr>
          <w:p w14:paraId="135623DC">
            <w:pPr>
              <w:widowControl/>
              <w:jc w:val="center"/>
              <w:rPr>
                <w:rFonts w:ascii="宋体" w:hAnsi="宋体" w:cs="宋体"/>
                <w:sz w:val="18"/>
                <w:szCs w:val="18"/>
              </w:rPr>
            </w:pPr>
            <w:r>
              <w:rPr>
                <w:rFonts w:hint="eastAsia" w:ascii="宋体" w:hAnsi="宋体" w:cs="宋体"/>
                <w:sz w:val="18"/>
                <w:szCs w:val="18"/>
              </w:rPr>
              <w:t>□初步 □施工图</w:t>
            </w:r>
          </w:p>
        </w:tc>
        <w:tc>
          <w:tcPr>
            <w:tcW w:w="1321" w:type="dxa"/>
            <w:vAlign w:val="center"/>
          </w:tcPr>
          <w:p w14:paraId="4158664A">
            <w:pPr>
              <w:widowControl/>
              <w:jc w:val="center"/>
              <w:rPr>
                <w:rFonts w:ascii="宋体" w:hAnsi="宋体" w:cs="宋体"/>
                <w:sz w:val="18"/>
                <w:szCs w:val="18"/>
              </w:rPr>
            </w:pPr>
          </w:p>
        </w:tc>
        <w:tc>
          <w:tcPr>
            <w:tcW w:w="1349" w:type="dxa"/>
            <w:gridSpan w:val="2"/>
            <w:vAlign w:val="center"/>
          </w:tcPr>
          <w:p w14:paraId="2FB4C29A">
            <w:pPr>
              <w:widowControl/>
              <w:jc w:val="center"/>
              <w:rPr>
                <w:rFonts w:ascii="宋体" w:hAnsi="宋体" w:cs="宋体"/>
                <w:sz w:val="18"/>
                <w:szCs w:val="18"/>
              </w:rPr>
            </w:pPr>
          </w:p>
        </w:tc>
        <w:tc>
          <w:tcPr>
            <w:tcW w:w="2215" w:type="dxa"/>
            <w:gridSpan w:val="2"/>
            <w:vAlign w:val="center"/>
          </w:tcPr>
          <w:p w14:paraId="40EABD71">
            <w:pPr>
              <w:widowControl/>
              <w:jc w:val="center"/>
              <w:rPr>
                <w:rFonts w:ascii="宋体" w:hAnsi="宋体" w:cs="宋体"/>
                <w:sz w:val="18"/>
                <w:szCs w:val="18"/>
              </w:rPr>
            </w:pPr>
          </w:p>
        </w:tc>
        <w:tc>
          <w:tcPr>
            <w:tcW w:w="1406" w:type="dxa"/>
            <w:vAlign w:val="center"/>
          </w:tcPr>
          <w:p w14:paraId="3B6D9E90">
            <w:pPr>
              <w:widowControl/>
              <w:jc w:val="center"/>
              <w:rPr>
                <w:rFonts w:ascii="宋体" w:hAnsi="宋体" w:cs="宋体"/>
                <w:sz w:val="18"/>
                <w:szCs w:val="18"/>
              </w:rPr>
            </w:pPr>
          </w:p>
        </w:tc>
        <w:tc>
          <w:tcPr>
            <w:tcW w:w="674" w:type="dxa"/>
            <w:vAlign w:val="center"/>
          </w:tcPr>
          <w:p w14:paraId="7E3D62E4">
            <w:pPr>
              <w:widowControl/>
              <w:jc w:val="center"/>
              <w:rPr>
                <w:rFonts w:ascii="宋体" w:hAnsi="宋体" w:cs="宋体"/>
                <w:sz w:val="18"/>
                <w:szCs w:val="18"/>
              </w:rPr>
            </w:pPr>
          </w:p>
        </w:tc>
        <w:tc>
          <w:tcPr>
            <w:tcW w:w="1329" w:type="dxa"/>
            <w:vAlign w:val="center"/>
          </w:tcPr>
          <w:p w14:paraId="1E95EFF5">
            <w:pPr>
              <w:widowControl/>
              <w:jc w:val="center"/>
              <w:rPr>
                <w:rFonts w:ascii="宋体" w:hAnsi="宋体" w:cs="宋体"/>
                <w:sz w:val="18"/>
                <w:szCs w:val="18"/>
              </w:rPr>
            </w:pPr>
            <w:r>
              <w:rPr>
                <w:rFonts w:hint="eastAsia" w:ascii="宋体" w:hAnsi="宋体" w:cs="宋体"/>
                <w:sz w:val="18"/>
                <w:szCs w:val="18"/>
              </w:rPr>
              <w:t>附件B1.5</w:t>
            </w:r>
          </w:p>
        </w:tc>
      </w:tr>
      <w:tr w14:paraId="4B70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vAlign w:val="center"/>
          </w:tcPr>
          <w:p w14:paraId="55CA2E9C">
            <w:pPr>
              <w:widowControl/>
              <w:jc w:val="center"/>
              <w:rPr>
                <w:rFonts w:ascii="宋体" w:hAnsi="宋体" w:cs="宋体"/>
                <w:sz w:val="18"/>
                <w:szCs w:val="18"/>
              </w:rPr>
            </w:pPr>
          </w:p>
        </w:tc>
        <w:tc>
          <w:tcPr>
            <w:tcW w:w="1273" w:type="dxa"/>
            <w:gridSpan w:val="2"/>
            <w:vAlign w:val="center"/>
          </w:tcPr>
          <w:p w14:paraId="5B206FBE">
            <w:pPr>
              <w:widowControl/>
              <w:jc w:val="center"/>
              <w:rPr>
                <w:rFonts w:ascii="宋体" w:hAnsi="宋体" w:cs="宋体"/>
                <w:sz w:val="18"/>
                <w:szCs w:val="18"/>
              </w:rPr>
            </w:pPr>
          </w:p>
        </w:tc>
        <w:tc>
          <w:tcPr>
            <w:tcW w:w="1724" w:type="dxa"/>
            <w:gridSpan w:val="2"/>
            <w:vAlign w:val="center"/>
          </w:tcPr>
          <w:p w14:paraId="56179EA6">
            <w:pPr>
              <w:widowControl/>
              <w:rPr>
                <w:rFonts w:ascii="宋体" w:hAnsi="宋体" w:cs="宋体"/>
                <w:sz w:val="18"/>
                <w:szCs w:val="18"/>
              </w:rPr>
            </w:pPr>
            <w:r>
              <w:rPr>
                <w:rFonts w:hint="eastAsia" w:ascii="宋体" w:hAnsi="宋体" w:cs="宋体"/>
                <w:sz w:val="18"/>
                <w:szCs w:val="18"/>
              </w:rPr>
              <w:t>□新建  □改扩建</w:t>
            </w:r>
          </w:p>
        </w:tc>
        <w:tc>
          <w:tcPr>
            <w:tcW w:w="1779" w:type="dxa"/>
            <w:vAlign w:val="center"/>
          </w:tcPr>
          <w:p w14:paraId="650D48D5">
            <w:pPr>
              <w:widowControl/>
              <w:jc w:val="center"/>
              <w:rPr>
                <w:rFonts w:ascii="宋体" w:hAnsi="宋体" w:cs="宋体"/>
                <w:sz w:val="18"/>
                <w:szCs w:val="18"/>
              </w:rPr>
            </w:pPr>
            <w:r>
              <w:rPr>
                <w:rFonts w:hint="eastAsia" w:ascii="宋体" w:hAnsi="宋体" w:cs="宋体"/>
                <w:sz w:val="18"/>
                <w:szCs w:val="18"/>
              </w:rPr>
              <w:t>□初步 □施工图</w:t>
            </w:r>
          </w:p>
        </w:tc>
        <w:tc>
          <w:tcPr>
            <w:tcW w:w="1321" w:type="dxa"/>
            <w:vAlign w:val="center"/>
          </w:tcPr>
          <w:p w14:paraId="4D5287B5">
            <w:pPr>
              <w:widowControl/>
              <w:jc w:val="center"/>
              <w:rPr>
                <w:rFonts w:ascii="宋体" w:hAnsi="宋体" w:cs="宋体"/>
                <w:sz w:val="18"/>
                <w:szCs w:val="18"/>
              </w:rPr>
            </w:pPr>
          </w:p>
        </w:tc>
        <w:tc>
          <w:tcPr>
            <w:tcW w:w="1349" w:type="dxa"/>
            <w:gridSpan w:val="2"/>
            <w:vAlign w:val="center"/>
          </w:tcPr>
          <w:p w14:paraId="500A32F0">
            <w:pPr>
              <w:widowControl/>
              <w:jc w:val="center"/>
              <w:rPr>
                <w:rFonts w:ascii="宋体" w:hAnsi="宋体" w:cs="宋体"/>
                <w:sz w:val="18"/>
                <w:szCs w:val="18"/>
              </w:rPr>
            </w:pPr>
          </w:p>
        </w:tc>
        <w:tc>
          <w:tcPr>
            <w:tcW w:w="2215" w:type="dxa"/>
            <w:gridSpan w:val="2"/>
            <w:vAlign w:val="center"/>
          </w:tcPr>
          <w:p w14:paraId="18B845E5">
            <w:pPr>
              <w:widowControl/>
              <w:jc w:val="center"/>
              <w:rPr>
                <w:rFonts w:ascii="宋体" w:hAnsi="宋体" w:cs="宋体"/>
                <w:sz w:val="18"/>
                <w:szCs w:val="18"/>
              </w:rPr>
            </w:pPr>
          </w:p>
        </w:tc>
        <w:tc>
          <w:tcPr>
            <w:tcW w:w="1406" w:type="dxa"/>
            <w:vAlign w:val="center"/>
          </w:tcPr>
          <w:p w14:paraId="14CEDACA">
            <w:pPr>
              <w:widowControl/>
              <w:jc w:val="center"/>
              <w:rPr>
                <w:rFonts w:ascii="宋体" w:hAnsi="宋体" w:cs="宋体"/>
                <w:sz w:val="18"/>
                <w:szCs w:val="18"/>
              </w:rPr>
            </w:pPr>
          </w:p>
        </w:tc>
        <w:tc>
          <w:tcPr>
            <w:tcW w:w="674" w:type="dxa"/>
            <w:vAlign w:val="center"/>
          </w:tcPr>
          <w:p w14:paraId="31C53177">
            <w:pPr>
              <w:widowControl/>
              <w:jc w:val="center"/>
              <w:rPr>
                <w:rFonts w:ascii="宋体" w:hAnsi="宋体" w:cs="宋体"/>
                <w:sz w:val="18"/>
                <w:szCs w:val="18"/>
              </w:rPr>
            </w:pPr>
          </w:p>
        </w:tc>
        <w:tc>
          <w:tcPr>
            <w:tcW w:w="1329" w:type="dxa"/>
            <w:vAlign w:val="center"/>
          </w:tcPr>
          <w:p w14:paraId="190FADA7">
            <w:pPr>
              <w:widowControl/>
              <w:jc w:val="center"/>
              <w:rPr>
                <w:rFonts w:ascii="宋体" w:hAnsi="宋体" w:cs="宋体"/>
                <w:sz w:val="18"/>
                <w:szCs w:val="18"/>
              </w:rPr>
            </w:pPr>
            <w:r>
              <w:rPr>
                <w:rFonts w:hint="eastAsia" w:ascii="宋体" w:hAnsi="宋体" w:cs="宋体"/>
                <w:sz w:val="18"/>
                <w:szCs w:val="18"/>
              </w:rPr>
              <w:t>附件B1.6</w:t>
            </w:r>
          </w:p>
        </w:tc>
      </w:tr>
      <w:tr w14:paraId="12B8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vAlign w:val="center"/>
          </w:tcPr>
          <w:p w14:paraId="4FD226FA">
            <w:pPr>
              <w:widowControl/>
              <w:jc w:val="center"/>
              <w:rPr>
                <w:rFonts w:ascii="宋体" w:hAnsi="宋体" w:cs="宋体"/>
                <w:sz w:val="18"/>
                <w:szCs w:val="18"/>
              </w:rPr>
            </w:pPr>
          </w:p>
        </w:tc>
        <w:tc>
          <w:tcPr>
            <w:tcW w:w="1273" w:type="dxa"/>
            <w:gridSpan w:val="2"/>
            <w:vAlign w:val="center"/>
          </w:tcPr>
          <w:p w14:paraId="072CF9E8">
            <w:pPr>
              <w:widowControl/>
              <w:jc w:val="center"/>
              <w:rPr>
                <w:rFonts w:ascii="宋体" w:hAnsi="宋体" w:cs="宋体"/>
                <w:sz w:val="18"/>
                <w:szCs w:val="18"/>
              </w:rPr>
            </w:pPr>
          </w:p>
        </w:tc>
        <w:tc>
          <w:tcPr>
            <w:tcW w:w="1724" w:type="dxa"/>
            <w:gridSpan w:val="2"/>
            <w:vAlign w:val="center"/>
          </w:tcPr>
          <w:p w14:paraId="0C3D9315">
            <w:pPr>
              <w:widowControl/>
              <w:rPr>
                <w:rFonts w:ascii="宋体" w:hAnsi="宋体" w:cs="宋体"/>
                <w:sz w:val="18"/>
                <w:szCs w:val="18"/>
              </w:rPr>
            </w:pPr>
            <w:r>
              <w:rPr>
                <w:rFonts w:hint="eastAsia" w:ascii="宋体" w:hAnsi="宋体" w:cs="宋体"/>
                <w:sz w:val="18"/>
                <w:szCs w:val="18"/>
              </w:rPr>
              <w:t>□新建  □改扩建</w:t>
            </w:r>
          </w:p>
        </w:tc>
        <w:tc>
          <w:tcPr>
            <w:tcW w:w="1779" w:type="dxa"/>
            <w:vAlign w:val="center"/>
          </w:tcPr>
          <w:p w14:paraId="10F002AD">
            <w:pPr>
              <w:widowControl/>
              <w:jc w:val="center"/>
              <w:rPr>
                <w:rFonts w:ascii="宋体" w:hAnsi="宋体" w:cs="宋体"/>
                <w:sz w:val="18"/>
                <w:szCs w:val="18"/>
              </w:rPr>
            </w:pPr>
            <w:r>
              <w:rPr>
                <w:rFonts w:hint="eastAsia" w:ascii="宋体" w:hAnsi="宋体" w:cs="宋体"/>
                <w:sz w:val="18"/>
                <w:szCs w:val="18"/>
              </w:rPr>
              <w:t>□初步 □施工图</w:t>
            </w:r>
          </w:p>
        </w:tc>
        <w:tc>
          <w:tcPr>
            <w:tcW w:w="1321" w:type="dxa"/>
            <w:vAlign w:val="center"/>
          </w:tcPr>
          <w:p w14:paraId="4CCA34D3">
            <w:pPr>
              <w:widowControl/>
              <w:jc w:val="center"/>
              <w:rPr>
                <w:rFonts w:ascii="宋体" w:hAnsi="宋体" w:cs="宋体"/>
                <w:sz w:val="18"/>
                <w:szCs w:val="18"/>
              </w:rPr>
            </w:pPr>
          </w:p>
        </w:tc>
        <w:tc>
          <w:tcPr>
            <w:tcW w:w="1349" w:type="dxa"/>
            <w:gridSpan w:val="2"/>
            <w:vAlign w:val="center"/>
          </w:tcPr>
          <w:p w14:paraId="626A6137">
            <w:pPr>
              <w:widowControl/>
              <w:jc w:val="center"/>
              <w:rPr>
                <w:rFonts w:ascii="宋体" w:hAnsi="宋体" w:cs="宋体"/>
                <w:sz w:val="18"/>
                <w:szCs w:val="18"/>
              </w:rPr>
            </w:pPr>
          </w:p>
        </w:tc>
        <w:tc>
          <w:tcPr>
            <w:tcW w:w="2215" w:type="dxa"/>
            <w:gridSpan w:val="2"/>
            <w:vAlign w:val="center"/>
          </w:tcPr>
          <w:p w14:paraId="3FF7993C">
            <w:pPr>
              <w:widowControl/>
              <w:jc w:val="center"/>
              <w:rPr>
                <w:rFonts w:ascii="宋体" w:hAnsi="宋体" w:cs="宋体"/>
                <w:sz w:val="18"/>
                <w:szCs w:val="18"/>
              </w:rPr>
            </w:pPr>
          </w:p>
        </w:tc>
        <w:tc>
          <w:tcPr>
            <w:tcW w:w="1406" w:type="dxa"/>
            <w:vAlign w:val="center"/>
          </w:tcPr>
          <w:p w14:paraId="79CA27E7">
            <w:pPr>
              <w:widowControl/>
              <w:jc w:val="center"/>
              <w:rPr>
                <w:rFonts w:ascii="宋体" w:hAnsi="宋体" w:cs="宋体"/>
                <w:sz w:val="18"/>
                <w:szCs w:val="18"/>
              </w:rPr>
            </w:pPr>
          </w:p>
        </w:tc>
        <w:tc>
          <w:tcPr>
            <w:tcW w:w="674" w:type="dxa"/>
            <w:vAlign w:val="center"/>
          </w:tcPr>
          <w:p w14:paraId="12BFE866">
            <w:pPr>
              <w:widowControl/>
              <w:jc w:val="center"/>
              <w:rPr>
                <w:rFonts w:ascii="宋体" w:hAnsi="宋体" w:cs="宋体"/>
                <w:sz w:val="18"/>
                <w:szCs w:val="18"/>
              </w:rPr>
            </w:pPr>
          </w:p>
        </w:tc>
        <w:tc>
          <w:tcPr>
            <w:tcW w:w="1329" w:type="dxa"/>
            <w:vAlign w:val="center"/>
          </w:tcPr>
          <w:p w14:paraId="1E23617D">
            <w:pPr>
              <w:widowControl/>
              <w:jc w:val="center"/>
              <w:rPr>
                <w:rFonts w:ascii="宋体" w:hAnsi="宋体" w:cs="宋体"/>
                <w:sz w:val="18"/>
                <w:szCs w:val="18"/>
              </w:rPr>
            </w:pPr>
            <w:r>
              <w:rPr>
                <w:rFonts w:hint="eastAsia" w:ascii="宋体" w:hAnsi="宋体" w:cs="宋体"/>
                <w:sz w:val="18"/>
                <w:szCs w:val="18"/>
              </w:rPr>
              <w:t>附件B1.7</w:t>
            </w:r>
          </w:p>
        </w:tc>
      </w:tr>
      <w:tr w14:paraId="17AD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709" w:type="dxa"/>
            <w:vAlign w:val="center"/>
          </w:tcPr>
          <w:p w14:paraId="195C4D0B">
            <w:pPr>
              <w:jc w:val="center"/>
              <w:rPr>
                <w:rFonts w:ascii="宋体" w:hAnsi="宋体" w:cs="宋体"/>
                <w:sz w:val="18"/>
                <w:szCs w:val="18"/>
              </w:rPr>
            </w:pPr>
            <w:r>
              <w:rPr>
                <w:rFonts w:hint="eastAsia" w:ascii="宋体" w:hAnsi="宋体" w:cs="宋体"/>
                <w:kern w:val="0"/>
                <w:sz w:val="18"/>
                <w:szCs w:val="18"/>
              </w:rPr>
              <w:t>…</w:t>
            </w:r>
          </w:p>
        </w:tc>
        <w:tc>
          <w:tcPr>
            <w:tcW w:w="1273" w:type="dxa"/>
            <w:gridSpan w:val="2"/>
            <w:vAlign w:val="center"/>
          </w:tcPr>
          <w:p w14:paraId="50C41654">
            <w:pPr>
              <w:widowControl/>
              <w:jc w:val="center"/>
              <w:rPr>
                <w:rFonts w:ascii="宋体" w:hAnsi="宋体" w:cs="宋体"/>
                <w:kern w:val="0"/>
                <w:sz w:val="18"/>
                <w:szCs w:val="18"/>
              </w:rPr>
            </w:pPr>
            <w:r>
              <w:rPr>
                <w:rFonts w:hint="eastAsia" w:ascii="宋体" w:hAnsi="宋体" w:cs="宋体"/>
                <w:kern w:val="0"/>
                <w:sz w:val="18"/>
                <w:szCs w:val="18"/>
              </w:rPr>
              <w:t>…</w:t>
            </w:r>
          </w:p>
        </w:tc>
        <w:tc>
          <w:tcPr>
            <w:tcW w:w="1724" w:type="dxa"/>
            <w:gridSpan w:val="2"/>
            <w:vAlign w:val="center"/>
          </w:tcPr>
          <w:p w14:paraId="5BD6CA99">
            <w:pPr>
              <w:widowControl/>
              <w:jc w:val="center"/>
              <w:rPr>
                <w:rFonts w:ascii="宋体" w:hAnsi="宋体" w:cs="宋体"/>
                <w:kern w:val="0"/>
                <w:sz w:val="18"/>
                <w:szCs w:val="18"/>
              </w:rPr>
            </w:pPr>
            <w:r>
              <w:rPr>
                <w:rFonts w:hint="eastAsia" w:ascii="宋体" w:hAnsi="宋体" w:cs="宋体"/>
                <w:kern w:val="0"/>
                <w:sz w:val="18"/>
                <w:szCs w:val="18"/>
              </w:rPr>
              <w:t>…</w:t>
            </w:r>
          </w:p>
        </w:tc>
        <w:tc>
          <w:tcPr>
            <w:tcW w:w="1779" w:type="dxa"/>
            <w:vAlign w:val="center"/>
          </w:tcPr>
          <w:p w14:paraId="32B96505">
            <w:pPr>
              <w:widowControl/>
              <w:jc w:val="center"/>
              <w:rPr>
                <w:rFonts w:ascii="宋体" w:hAnsi="宋体" w:cs="宋体"/>
                <w:kern w:val="0"/>
                <w:sz w:val="18"/>
                <w:szCs w:val="18"/>
              </w:rPr>
            </w:pPr>
            <w:r>
              <w:rPr>
                <w:rFonts w:hint="eastAsia" w:ascii="宋体" w:hAnsi="宋体" w:cs="宋体"/>
                <w:kern w:val="0"/>
                <w:sz w:val="18"/>
                <w:szCs w:val="18"/>
              </w:rPr>
              <w:t>…</w:t>
            </w:r>
          </w:p>
        </w:tc>
        <w:tc>
          <w:tcPr>
            <w:tcW w:w="1321" w:type="dxa"/>
            <w:vAlign w:val="center"/>
          </w:tcPr>
          <w:p w14:paraId="73D50853">
            <w:pPr>
              <w:jc w:val="center"/>
              <w:rPr>
                <w:rFonts w:ascii="宋体" w:hAnsi="宋体" w:cs="宋体"/>
                <w:kern w:val="0"/>
                <w:sz w:val="18"/>
                <w:szCs w:val="18"/>
              </w:rPr>
            </w:pPr>
            <w:r>
              <w:rPr>
                <w:rFonts w:hint="eastAsia" w:ascii="宋体" w:hAnsi="宋体" w:cs="宋体"/>
                <w:kern w:val="0"/>
                <w:sz w:val="18"/>
                <w:szCs w:val="18"/>
              </w:rPr>
              <w:t>…</w:t>
            </w:r>
          </w:p>
        </w:tc>
        <w:tc>
          <w:tcPr>
            <w:tcW w:w="1349" w:type="dxa"/>
            <w:gridSpan w:val="2"/>
            <w:vAlign w:val="center"/>
          </w:tcPr>
          <w:p w14:paraId="79F8F526">
            <w:pPr>
              <w:widowControl/>
              <w:jc w:val="center"/>
              <w:rPr>
                <w:rFonts w:ascii="宋体" w:hAnsi="宋体" w:cs="宋体"/>
                <w:kern w:val="0"/>
                <w:sz w:val="18"/>
                <w:szCs w:val="18"/>
              </w:rPr>
            </w:pPr>
            <w:r>
              <w:rPr>
                <w:rFonts w:hint="eastAsia" w:ascii="宋体" w:hAnsi="宋体" w:cs="宋体"/>
                <w:kern w:val="0"/>
                <w:sz w:val="18"/>
                <w:szCs w:val="18"/>
              </w:rPr>
              <w:t>…</w:t>
            </w:r>
          </w:p>
        </w:tc>
        <w:tc>
          <w:tcPr>
            <w:tcW w:w="2215" w:type="dxa"/>
            <w:gridSpan w:val="2"/>
            <w:vAlign w:val="center"/>
          </w:tcPr>
          <w:p w14:paraId="0A11038E">
            <w:pPr>
              <w:widowControl/>
              <w:jc w:val="center"/>
              <w:rPr>
                <w:rFonts w:ascii="宋体" w:hAnsi="宋体" w:cs="宋体"/>
                <w:kern w:val="0"/>
                <w:sz w:val="18"/>
                <w:szCs w:val="18"/>
              </w:rPr>
            </w:pPr>
            <w:r>
              <w:rPr>
                <w:rFonts w:hint="eastAsia" w:ascii="宋体" w:hAnsi="宋体" w:cs="宋体"/>
                <w:kern w:val="0"/>
                <w:sz w:val="18"/>
                <w:szCs w:val="18"/>
              </w:rPr>
              <w:t>…</w:t>
            </w:r>
          </w:p>
        </w:tc>
        <w:tc>
          <w:tcPr>
            <w:tcW w:w="1406" w:type="dxa"/>
            <w:vAlign w:val="center"/>
          </w:tcPr>
          <w:p w14:paraId="5D07AB2D">
            <w:pPr>
              <w:widowControl/>
              <w:jc w:val="center"/>
              <w:rPr>
                <w:rFonts w:ascii="宋体" w:hAnsi="宋体" w:cs="宋体"/>
                <w:kern w:val="0"/>
                <w:sz w:val="18"/>
                <w:szCs w:val="18"/>
              </w:rPr>
            </w:pPr>
            <w:r>
              <w:rPr>
                <w:rFonts w:hint="eastAsia" w:ascii="宋体" w:hAnsi="宋体" w:cs="宋体"/>
                <w:kern w:val="0"/>
                <w:sz w:val="18"/>
                <w:szCs w:val="18"/>
              </w:rPr>
              <w:t>…</w:t>
            </w:r>
          </w:p>
        </w:tc>
        <w:tc>
          <w:tcPr>
            <w:tcW w:w="674" w:type="dxa"/>
            <w:vAlign w:val="center"/>
          </w:tcPr>
          <w:p w14:paraId="501DA01C">
            <w:pPr>
              <w:widowControl/>
              <w:jc w:val="center"/>
              <w:rPr>
                <w:rFonts w:ascii="宋体" w:hAnsi="宋体" w:cs="宋体"/>
                <w:kern w:val="0"/>
                <w:sz w:val="18"/>
                <w:szCs w:val="18"/>
              </w:rPr>
            </w:pPr>
            <w:r>
              <w:rPr>
                <w:rFonts w:hint="eastAsia" w:ascii="宋体" w:hAnsi="宋体" w:cs="宋体"/>
                <w:kern w:val="0"/>
                <w:sz w:val="18"/>
                <w:szCs w:val="18"/>
              </w:rPr>
              <w:t>…</w:t>
            </w:r>
          </w:p>
        </w:tc>
        <w:tc>
          <w:tcPr>
            <w:tcW w:w="1329" w:type="dxa"/>
            <w:vAlign w:val="center"/>
          </w:tcPr>
          <w:p w14:paraId="1494969A">
            <w:pPr>
              <w:widowControl/>
              <w:jc w:val="center"/>
              <w:rPr>
                <w:rFonts w:ascii="宋体" w:hAnsi="宋体" w:cs="宋体"/>
                <w:kern w:val="0"/>
                <w:sz w:val="18"/>
                <w:szCs w:val="18"/>
              </w:rPr>
            </w:pPr>
            <w:r>
              <w:rPr>
                <w:rFonts w:hint="eastAsia" w:ascii="宋体" w:hAnsi="宋体" w:cs="宋体"/>
                <w:kern w:val="0"/>
                <w:sz w:val="18"/>
                <w:szCs w:val="18"/>
              </w:rPr>
              <w:t>…</w:t>
            </w:r>
          </w:p>
        </w:tc>
      </w:tr>
    </w:tbl>
    <w:p w14:paraId="7F2EB07F">
      <w:pPr>
        <w:spacing w:line="300" w:lineRule="exact"/>
        <w:ind w:left="567" w:hanging="567" w:hangingChars="270"/>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pacing w:val="-3"/>
          <w:szCs w:val="21"/>
        </w:rPr>
        <w:t>投标人应在本表后提供相关证明材料（原件原色扫描件）附件</w:t>
      </w:r>
      <w:r>
        <w:rPr>
          <w:rFonts w:ascii="宋体" w:hAnsi="宋体" w:cs="宋体"/>
          <w:spacing w:val="-3"/>
          <w:szCs w:val="21"/>
        </w:rPr>
        <w:t>B1系列</w:t>
      </w:r>
      <w:r>
        <w:rPr>
          <w:rFonts w:hint="eastAsia" w:ascii="宋体" w:hAnsi="宋体" w:cs="宋体"/>
          <w:szCs w:val="21"/>
        </w:rPr>
        <w:t>（身份证、技术职称证、执业资格证、社保证明、个人业绩证明）。证明材料构成应与招标人对拟委任主要人员的要求一一对应，未作要求的内容不得要求投标人提供相应的证明材料。</w:t>
      </w:r>
    </w:p>
    <w:p w14:paraId="628D3A40">
      <w:pPr>
        <w:spacing w:line="300" w:lineRule="exact"/>
        <w:ind w:firstLine="420" w:firstLineChars="200"/>
        <w:rPr>
          <w:rFonts w:ascii="宋体" w:hAnsi="宋体" w:cs="宋体"/>
          <w:szCs w:val="21"/>
        </w:rPr>
      </w:pPr>
      <w:r>
        <w:rPr>
          <w:rFonts w:ascii="宋体" w:hAnsi="宋体" w:cs="宋体"/>
          <w:szCs w:val="21"/>
        </w:rPr>
        <w:t>2.因投标人自身原因未提供附件或提供的附件不能与所证明的内容相匹配，造成业绩或其他内容不予认可时，投标人自行承担相关责任。</w:t>
      </w:r>
    </w:p>
    <w:p w14:paraId="223A9C47">
      <w:pPr>
        <w:spacing w:line="300" w:lineRule="exact"/>
        <w:ind w:firstLine="420" w:firstLineChars="200"/>
        <w:rPr>
          <w:rFonts w:ascii="宋体" w:hAnsi="宋体" w:cs="宋体"/>
          <w:szCs w:val="21"/>
        </w:rPr>
      </w:pPr>
      <w:r>
        <w:rPr>
          <w:rFonts w:ascii="宋体" w:hAnsi="宋体" w:cs="宋体"/>
          <w:szCs w:val="21"/>
        </w:rPr>
        <w:t>3.个人业绩证明材料为：</w:t>
      </w:r>
    </w:p>
    <w:p w14:paraId="19B2D67B">
      <w:pPr>
        <w:spacing w:line="300" w:lineRule="exact"/>
        <w:ind w:firstLine="738" w:firstLineChars="350"/>
        <w:rPr>
          <w:rFonts w:ascii="宋体" w:hAnsi="宋体" w:cs="宋体"/>
          <w:spacing w:val="-3"/>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交通运输部“</w:t>
      </w:r>
      <w:r>
        <w:rPr>
          <w:rFonts w:hint="eastAsia" w:cs="宋体" w:asciiTheme="minorEastAsia" w:hAnsiTheme="minorEastAsia" w:eastAsiaTheme="minorEastAsia"/>
          <w:szCs w:val="21"/>
        </w:rPr>
        <w:t>全国公路建设市场监督管理系统</w:t>
      </w:r>
      <w:r>
        <w:rPr>
          <w:rFonts w:hint="eastAsia" w:ascii="宋体" w:hAnsi="宋体" w:cs="宋体"/>
          <w:szCs w:val="21"/>
        </w:rPr>
        <w:t>”中载明的、能够证明该人员具有相关业绩的网页截图（仅适用于根据《关于发布公路工程从业企业资质名录的通知》（厅公路字〔2011〕114号）要求，招标人应通过名录对投标人资质条件进行审核的公路工程设计企业单位人员。</w:t>
      </w:r>
      <w:r>
        <w:rPr>
          <w:rFonts w:hint="eastAsia" w:ascii="宋体" w:hAnsi="宋体"/>
          <w:szCs w:val="21"/>
        </w:rPr>
        <w:t>否则，招标人可对相关个人业绩提出其他证明材料要求</w:t>
      </w:r>
      <w:r>
        <w:rPr>
          <w:rFonts w:hint="eastAsia" w:ascii="宋体" w:hAnsi="宋体" w:cs="宋体"/>
          <w:szCs w:val="21"/>
        </w:rPr>
        <w:t>）</w:t>
      </w:r>
      <w:r>
        <w:rPr>
          <w:rFonts w:hint="eastAsia" w:ascii="宋体" w:hAnsi="宋体" w:cs="宋体"/>
          <w:spacing w:val="-3"/>
          <w:szCs w:val="21"/>
        </w:rPr>
        <w:t>。</w:t>
      </w:r>
      <w:r>
        <w:rPr>
          <w:rFonts w:hint="eastAsia" w:ascii="宋体" w:hAnsi="宋体" w:cs="宋体"/>
          <w:szCs w:val="21"/>
        </w:rPr>
        <w:t>□</w:t>
      </w:r>
      <w:r>
        <w:rPr>
          <w:rFonts w:hint="eastAsia" w:ascii="宋体" w:hAnsi="宋体" w:cs="宋体"/>
          <w:spacing w:val="-3"/>
          <w:szCs w:val="21"/>
        </w:rPr>
        <w:t>或</w:t>
      </w:r>
    </w:p>
    <w:p w14:paraId="03241EE2">
      <w:pPr>
        <w:spacing w:line="300" w:lineRule="exact"/>
        <w:ind w:firstLine="738" w:firstLineChars="35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合同协议书；□</w:t>
      </w:r>
      <w:r>
        <w:rPr>
          <w:rFonts w:ascii="宋体" w:hAnsi="宋体" w:cs="宋体"/>
          <w:szCs w:val="21"/>
        </w:rPr>
        <w:t xml:space="preserve">或   </w:t>
      </w:r>
      <w:r>
        <w:rPr>
          <w:rFonts w:ascii="宋体" w:hAnsi="宋体" w:cs="宋体"/>
          <w:szCs w:val="21"/>
        </w:rPr>
        <w:sym w:font="Wingdings 2" w:char="00A3"/>
      </w:r>
      <w:r>
        <w:rPr>
          <w:rFonts w:hint="eastAsia" w:ascii="宋体" w:hAnsi="宋体" w:cs="宋体"/>
          <w:szCs w:val="21"/>
        </w:rPr>
        <w:t>和</w:t>
      </w:r>
    </w:p>
    <w:p w14:paraId="5400C5C9">
      <w:pPr>
        <w:spacing w:line="300" w:lineRule="exact"/>
        <w:ind w:firstLine="945" w:firstLineChars="450"/>
        <w:rPr>
          <w:rFonts w:ascii="宋体" w:hAnsi="宋体" w:cs="宋体"/>
          <w:szCs w:val="21"/>
        </w:rPr>
      </w:pPr>
      <w:r>
        <w:rPr>
          <w:rFonts w:ascii="宋体" w:hAnsi="宋体" w:cs="宋体"/>
          <w:szCs w:val="21"/>
        </w:rPr>
        <w:t xml:space="preserve"> </w:t>
      </w:r>
      <w:r>
        <w:rPr>
          <w:rFonts w:ascii="宋体" w:hAnsi="宋体" w:cs="宋体"/>
          <w:szCs w:val="21"/>
        </w:rPr>
        <w:sym w:font="Wingdings 2" w:char="00A3"/>
      </w:r>
      <w:r>
        <w:rPr>
          <w:rFonts w:ascii="宋体" w:hAnsi="宋体" w:cs="宋体"/>
          <w:szCs w:val="21"/>
        </w:rPr>
        <w:t xml:space="preserve"> 业主（发包人）证明的原件原色扫描件，其中应能够证明该人员具有相关业绩。</w:t>
      </w:r>
    </w:p>
    <w:p w14:paraId="07C1EF2D">
      <w:pPr>
        <w:spacing w:line="300" w:lineRule="exact"/>
        <w:ind w:firstLine="420" w:firstLineChars="200"/>
        <w:jc w:val="left"/>
        <w:rPr>
          <w:rFonts w:ascii="宋体" w:hAnsi="宋体" w:cs="宋体"/>
          <w:szCs w:val="21"/>
        </w:rPr>
      </w:pPr>
      <w:r>
        <w:rPr>
          <w:rFonts w:ascii="宋体" w:hAnsi="宋体" w:cs="宋体"/>
          <w:szCs w:val="21"/>
        </w:rPr>
        <w:t>4.提供社保时间段要求：例如投标截止日所在月为“2021年12月”，则提供“2021年6～11月”或“2021年5～10月”在其投标单位连续6个月参加社保的证明材料。</w:t>
      </w:r>
    </w:p>
    <w:p w14:paraId="7EF71209">
      <w:pPr>
        <w:spacing w:line="276" w:lineRule="auto"/>
        <w:ind w:firstLine="420" w:firstLineChars="200"/>
        <w:rPr>
          <w:rFonts w:ascii="黑体" w:hAnsi="黑体" w:eastAsia="黑体" w:cs="宋体"/>
          <w:bCs/>
          <w:kern w:val="0"/>
          <w:sz w:val="24"/>
        </w:rPr>
      </w:pPr>
      <w:r>
        <w:rPr>
          <w:rFonts w:ascii="宋体" w:hAnsi="宋体" w:cs="宋体"/>
          <w:szCs w:val="21"/>
        </w:rPr>
        <w:t>5.允许联合体投标时，若以联合体形式投标的，项目负责人应按照第二章“投标人须知”前附表附录4资格审查条件的要求及第三章“评标办法”详细评审打分条件（如有）填写本表。</w:t>
      </w:r>
      <w:bookmarkEnd w:id="908"/>
      <w:r>
        <w:rPr>
          <w:rFonts w:ascii="黑体" w:hAnsi="黑体" w:eastAsia="黑体" w:cs="宋体"/>
          <w:bCs/>
          <w:kern w:val="0"/>
          <w:sz w:val="24"/>
        </w:rPr>
        <w:br w:type="page"/>
      </w:r>
    </w:p>
    <w:p w14:paraId="5CBACBF5">
      <w:pPr>
        <w:spacing w:line="360" w:lineRule="auto"/>
        <w:jc w:val="center"/>
        <w:rPr>
          <w:rFonts w:ascii="黑体" w:hAnsi="黑体" w:eastAsia="黑体" w:cs="宋体"/>
          <w:bCs/>
          <w:kern w:val="0"/>
          <w:sz w:val="24"/>
        </w:rPr>
      </w:pPr>
      <w:r>
        <w:rPr>
          <w:rFonts w:hint="eastAsia" w:ascii="黑体" w:hAnsi="黑体" w:eastAsia="黑体" w:cs="宋体"/>
          <w:bCs/>
          <w:kern w:val="0"/>
          <w:sz w:val="24"/>
        </w:rPr>
        <w:t xml:space="preserve"> </w:t>
      </w:r>
      <w:r>
        <w:rPr>
          <w:rFonts w:ascii="黑体" w:hAnsi="黑体" w:eastAsia="黑体" w:cs="宋体"/>
          <w:bCs/>
          <w:kern w:val="0"/>
          <w:sz w:val="24"/>
        </w:rPr>
        <w:t xml:space="preserve">                                  </w:t>
      </w:r>
      <w:r>
        <w:rPr>
          <w:rFonts w:hint="eastAsia" w:ascii="黑体" w:hAnsi="黑体" w:eastAsia="黑体" w:cs="宋体"/>
          <w:b/>
          <w:kern w:val="0"/>
          <w:sz w:val="24"/>
        </w:rPr>
        <w:t xml:space="preserve"> </w:t>
      </w:r>
      <w:r>
        <w:rPr>
          <w:rFonts w:hint="eastAsia" w:ascii="黑体" w:hAnsi="黑体" w:eastAsia="黑体" w:cs="宋体"/>
          <w:b/>
          <w:kern w:val="0"/>
          <w:sz w:val="24"/>
        </w:rPr>
        <w:sym w:font="Wingdings 2" w:char="00A3"/>
      </w:r>
      <w:r>
        <w:rPr>
          <w:rFonts w:hint="eastAsia" w:ascii="黑体" w:hAnsi="黑体" w:eastAsia="黑体" w:cs="宋体"/>
          <w:bCs/>
          <w:kern w:val="0"/>
          <w:sz w:val="24"/>
        </w:rPr>
        <w:t xml:space="preserve"> 勘察设计技术负责人或总设计师资历情况  </w:t>
      </w:r>
      <w:r>
        <w:rPr>
          <w:rFonts w:ascii="黑体" w:hAnsi="黑体" w:eastAsia="黑体" w:cs="宋体"/>
          <w:bCs/>
          <w:kern w:val="0"/>
          <w:sz w:val="24"/>
        </w:rPr>
        <w:t xml:space="preserve">                                    </w:t>
      </w:r>
      <w:r>
        <w:rPr>
          <w:rFonts w:hint="eastAsia" w:ascii="黑体" w:hAnsi="黑体" w:eastAsia="黑体" w:cs="宋体"/>
          <w:bCs/>
          <w:kern w:val="0"/>
          <w:sz w:val="24"/>
        </w:rPr>
        <w:t>表</w:t>
      </w:r>
      <w:r>
        <w:rPr>
          <w:rFonts w:ascii="黑体" w:hAnsi="黑体" w:eastAsia="黑体" w:cs="宋体"/>
          <w:bCs/>
          <w:kern w:val="0"/>
          <w:sz w:val="24"/>
        </w:rPr>
        <w:t>3</w:t>
      </w:r>
    </w:p>
    <w:tbl>
      <w:tblPr>
        <w:tblStyle w:val="49"/>
        <w:tblW w:w="14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79"/>
        <w:gridCol w:w="899"/>
        <w:gridCol w:w="208"/>
        <w:gridCol w:w="1822"/>
        <w:gridCol w:w="726"/>
        <w:gridCol w:w="878"/>
        <w:gridCol w:w="1028"/>
        <w:gridCol w:w="388"/>
        <w:gridCol w:w="212"/>
        <w:gridCol w:w="1153"/>
        <w:gridCol w:w="694"/>
        <w:gridCol w:w="1158"/>
        <w:gridCol w:w="1419"/>
        <w:gridCol w:w="914"/>
        <w:gridCol w:w="1135"/>
      </w:tblGrid>
      <w:tr w14:paraId="265A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784" w:type="dxa"/>
            <w:gridSpan w:val="15"/>
            <w:vAlign w:val="center"/>
          </w:tcPr>
          <w:p w14:paraId="7A28E3C4">
            <w:pPr>
              <w:widowControl/>
              <w:jc w:val="center"/>
              <w:rPr>
                <w:rFonts w:ascii="宋体" w:hAnsi="宋体" w:cs="宋体"/>
                <w:bCs/>
                <w:kern w:val="0"/>
                <w:sz w:val="18"/>
                <w:szCs w:val="18"/>
              </w:rPr>
            </w:pPr>
            <w:r>
              <w:rPr>
                <w:rFonts w:hint="eastAsia" w:ascii="宋体" w:hAnsi="宋体" w:cs="宋体"/>
                <w:bCs/>
                <w:kern w:val="0"/>
                <w:sz w:val="18"/>
                <w:szCs w:val="18"/>
              </w:rPr>
              <w:t>基本信息</w:t>
            </w:r>
          </w:p>
        </w:tc>
        <w:tc>
          <w:tcPr>
            <w:tcW w:w="1135" w:type="dxa"/>
            <w:vAlign w:val="center"/>
          </w:tcPr>
          <w:p w14:paraId="6DA65C1D">
            <w:pPr>
              <w:widowControl/>
              <w:jc w:val="center"/>
              <w:rPr>
                <w:rFonts w:ascii="宋体" w:hAnsi="宋体" w:cs="宋体"/>
                <w:bCs/>
                <w:kern w:val="0"/>
                <w:sz w:val="18"/>
                <w:szCs w:val="18"/>
              </w:rPr>
            </w:pPr>
            <w:r>
              <w:rPr>
                <w:rFonts w:hint="eastAsia" w:ascii="宋体" w:hAnsi="宋体" w:cs="宋体"/>
                <w:bCs/>
                <w:kern w:val="0"/>
                <w:sz w:val="18"/>
                <w:szCs w:val="18"/>
              </w:rPr>
              <w:t>基本信息</w:t>
            </w:r>
          </w:p>
          <w:p w14:paraId="4D00DC99">
            <w:pPr>
              <w:widowControl/>
              <w:jc w:val="center"/>
              <w:rPr>
                <w:rFonts w:ascii="宋体" w:hAnsi="宋体" w:cs="宋体"/>
                <w:bCs/>
                <w:kern w:val="0"/>
                <w:sz w:val="18"/>
                <w:szCs w:val="18"/>
              </w:rPr>
            </w:pPr>
            <w:r>
              <w:rPr>
                <w:rFonts w:hint="eastAsia" w:ascii="宋体" w:hAnsi="宋体" w:cs="宋体"/>
                <w:bCs/>
                <w:kern w:val="0"/>
                <w:sz w:val="18"/>
                <w:szCs w:val="18"/>
              </w:rPr>
              <w:t>附件</w:t>
            </w:r>
          </w:p>
        </w:tc>
      </w:tr>
      <w:tr w14:paraId="32FC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5" w:type="dxa"/>
            <w:gridSpan w:val="2"/>
            <w:vAlign w:val="center"/>
          </w:tcPr>
          <w:p w14:paraId="1CF9D0CE">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5561" w:type="dxa"/>
            <w:gridSpan w:val="6"/>
            <w:vAlign w:val="center"/>
          </w:tcPr>
          <w:p w14:paraId="4B33EF9B">
            <w:pPr>
              <w:widowControl/>
              <w:jc w:val="center"/>
              <w:rPr>
                <w:rFonts w:ascii="宋体" w:hAnsi="宋体" w:cs="宋体"/>
                <w:bCs/>
                <w:kern w:val="0"/>
                <w:sz w:val="18"/>
                <w:szCs w:val="18"/>
              </w:rPr>
            </w:pPr>
          </w:p>
        </w:tc>
        <w:tc>
          <w:tcPr>
            <w:tcW w:w="600" w:type="dxa"/>
            <w:gridSpan w:val="2"/>
            <w:vAlign w:val="center"/>
          </w:tcPr>
          <w:p w14:paraId="6BF858F9">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1847" w:type="dxa"/>
            <w:gridSpan w:val="2"/>
            <w:vAlign w:val="center"/>
          </w:tcPr>
          <w:p w14:paraId="099EAD25">
            <w:pPr>
              <w:widowControl/>
              <w:jc w:val="center"/>
              <w:rPr>
                <w:rFonts w:ascii="宋体" w:hAnsi="宋体" w:cs="宋体"/>
                <w:bCs/>
                <w:kern w:val="0"/>
                <w:sz w:val="18"/>
                <w:szCs w:val="18"/>
              </w:rPr>
            </w:pPr>
          </w:p>
        </w:tc>
        <w:tc>
          <w:tcPr>
            <w:tcW w:w="1158" w:type="dxa"/>
            <w:vAlign w:val="center"/>
          </w:tcPr>
          <w:p w14:paraId="4CA5F657">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333" w:type="dxa"/>
            <w:gridSpan w:val="2"/>
            <w:vAlign w:val="center"/>
          </w:tcPr>
          <w:p w14:paraId="34A20059">
            <w:pPr>
              <w:widowControl/>
              <w:jc w:val="center"/>
              <w:rPr>
                <w:rFonts w:ascii="宋体" w:hAnsi="宋体" w:cs="宋体"/>
                <w:bCs/>
                <w:kern w:val="0"/>
                <w:sz w:val="18"/>
                <w:szCs w:val="18"/>
              </w:rPr>
            </w:pPr>
          </w:p>
        </w:tc>
        <w:tc>
          <w:tcPr>
            <w:tcW w:w="1135" w:type="dxa"/>
            <w:vAlign w:val="center"/>
          </w:tcPr>
          <w:p w14:paraId="62C19D1C">
            <w:pPr>
              <w:widowControl/>
              <w:jc w:val="center"/>
              <w:rPr>
                <w:rFonts w:ascii="宋体" w:hAnsi="宋体" w:cs="宋体"/>
                <w:bCs/>
                <w:kern w:val="0"/>
                <w:sz w:val="18"/>
                <w:szCs w:val="18"/>
              </w:rPr>
            </w:pPr>
            <w:r>
              <w:rPr>
                <w:rFonts w:hint="eastAsia" w:ascii="宋体" w:hAnsi="宋体" w:cs="宋体"/>
                <w:kern w:val="0"/>
                <w:sz w:val="18"/>
                <w:szCs w:val="18"/>
              </w:rPr>
              <w:t>附件B2.1</w:t>
            </w:r>
          </w:p>
        </w:tc>
      </w:tr>
      <w:tr w14:paraId="0CC0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5" w:type="dxa"/>
            <w:gridSpan w:val="2"/>
            <w:vAlign w:val="center"/>
          </w:tcPr>
          <w:p w14:paraId="34D52AFC">
            <w:pPr>
              <w:widowControl/>
              <w:jc w:val="center"/>
              <w:rPr>
                <w:rFonts w:ascii="宋体" w:hAnsi="宋体" w:cs="宋体"/>
                <w:bCs/>
                <w:kern w:val="0"/>
                <w:sz w:val="18"/>
                <w:szCs w:val="18"/>
              </w:rPr>
            </w:pPr>
            <w:r>
              <w:rPr>
                <w:rFonts w:hint="eastAsia" w:ascii="宋体" w:hAnsi="宋体" w:cs="宋体"/>
                <w:bCs/>
                <w:kern w:val="0"/>
                <w:sz w:val="18"/>
                <w:szCs w:val="18"/>
              </w:rPr>
              <w:t>技术职称</w:t>
            </w:r>
          </w:p>
        </w:tc>
        <w:tc>
          <w:tcPr>
            <w:tcW w:w="5561" w:type="dxa"/>
            <w:gridSpan w:val="6"/>
            <w:vAlign w:val="center"/>
          </w:tcPr>
          <w:p w14:paraId="44767279">
            <w:pPr>
              <w:widowControl/>
              <w:jc w:val="left"/>
              <w:rPr>
                <w:rFonts w:ascii="宋体" w:hAnsi="宋体" w:cs="宋体"/>
                <w:bCs/>
                <w:kern w:val="0"/>
                <w:sz w:val="18"/>
                <w:szCs w:val="18"/>
              </w:rPr>
            </w:pPr>
            <w:r>
              <w:rPr>
                <w:rFonts w:hint="eastAsia" w:ascii="宋体" w:hAnsi="宋体" w:cs="宋体"/>
                <w:kern w:val="0"/>
                <w:sz w:val="18"/>
                <w:szCs w:val="18"/>
              </w:rPr>
              <w:sym w:font="Wingdings 2" w:char="00A3"/>
            </w:r>
            <w:r>
              <w:rPr>
                <w:rFonts w:hint="eastAsia" w:ascii="宋体" w:hAnsi="宋体" w:cs="宋体"/>
                <w:kern w:val="0"/>
                <w:sz w:val="18"/>
                <w:szCs w:val="18"/>
              </w:rPr>
              <w:t xml:space="preserve">工程师  </w:t>
            </w:r>
            <w:r>
              <w:rPr>
                <w:rFonts w:hint="eastAsia" w:ascii="宋体" w:hAnsi="宋体" w:cs="宋体"/>
                <w:kern w:val="0"/>
                <w:sz w:val="18"/>
                <w:szCs w:val="18"/>
              </w:rPr>
              <w:sym w:font="Wingdings 2" w:char="00A3"/>
            </w:r>
            <w:r>
              <w:rPr>
                <w:rFonts w:hint="eastAsia" w:ascii="宋体" w:hAnsi="宋体" w:cs="宋体"/>
                <w:kern w:val="0"/>
                <w:sz w:val="18"/>
                <w:szCs w:val="18"/>
              </w:rPr>
              <w:t xml:space="preserve"> 高级工程师  □正（教授级或研究员级）高级工程师</w:t>
            </w:r>
          </w:p>
        </w:tc>
        <w:tc>
          <w:tcPr>
            <w:tcW w:w="600" w:type="dxa"/>
            <w:gridSpan w:val="2"/>
            <w:vAlign w:val="center"/>
          </w:tcPr>
          <w:p w14:paraId="73CC5944">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1847" w:type="dxa"/>
            <w:gridSpan w:val="2"/>
            <w:vAlign w:val="center"/>
          </w:tcPr>
          <w:p w14:paraId="1F94DC48">
            <w:pPr>
              <w:widowControl/>
              <w:jc w:val="center"/>
              <w:rPr>
                <w:rFonts w:ascii="宋体" w:hAnsi="宋体" w:cs="宋体"/>
                <w:bCs/>
                <w:kern w:val="0"/>
                <w:sz w:val="18"/>
                <w:szCs w:val="18"/>
              </w:rPr>
            </w:pPr>
          </w:p>
        </w:tc>
        <w:tc>
          <w:tcPr>
            <w:tcW w:w="1158" w:type="dxa"/>
            <w:vAlign w:val="center"/>
          </w:tcPr>
          <w:p w14:paraId="164ECA6E">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333" w:type="dxa"/>
            <w:gridSpan w:val="2"/>
            <w:vAlign w:val="center"/>
          </w:tcPr>
          <w:p w14:paraId="13F803D7">
            <w:pPr>
              <w:widowControl/>
              <w:jc w:val="center"/>
              <w:rPr>
                <w:rFonts w:ascii="宋体" w:hAnsi="宋体" w:cs="宋体"/>
                <w:bCs/>
                <w:kern w:val="0"/>
                <w:sz w:val="18"/>
                <w:szCs w:val="18"/>
              </w:rPr>
            </w:pPr>
          </w:p>
        </w:tc>
        <w:tc>
          <w:tcPr>
            <w:tcW w:w="1135" w:type="dxa"/>
            <w:vAlign w:val="center"/>
          </w:tcPr>
          <w:p w14:paraId="6811FD72">
            <w:pPr>
              <w:widowControl/>
              <w:jc w:val="center"/>
              <w:rPr>
                <w:rFonts w:ascii="宋体" w:hAnsi="宋体" w:cs="宋体"/>
                <w:bCs/>
                <w:kern w:val="0"/>
                <w:sz w:val="18"/>
                <w:szCs w:val="18"/>
              </w:rPr>
            </w:pPr>
            <w:r>
              <w:rPr>
                <w:rFonts w:hint="eastAsia" w:ascii="宋体" w:hAnsi="宋体" w:cs="宋体"/>
                <w:kern w:val="0"/>
                <w:sz w:val="18"/>
                <w:szCs w:val="18"/>
              </w:rPr>
              <w:t>附件B2.2</w:t>
            </w:r>
          </w:p>
        </w:tc>
      </w:tr>
      <w:tr w14:paraId="06F5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85" w:type="dxa"/>
            <w:gridSpan w:val="2"/>
            <w:vAlign w:val="center"/>
          </w:tcPr>
          <w:p w14:paraId="103BF4C1">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8008" w:type="dxa"/>
            <w:gridSpan w:val="10"/>
            <w:vAlign w:val="center"/>
          </w:tcPr>
          <w:p w14:paraId="2893570C">
            <w:pPr>
              <w:widowControl/>
              <w:rPr>
                <w:rFonts w:ascii="宋体" w:hAnsi="宋体" w:cs="宋体"/>
                <w:kern w:val="0"/>
                <w:sz w:val="18"/>
                <w:szCs w:val="18"/>
              </w:rPr>
            </w:pPr>
            <w:r>
              <w:rPr>
                <w:rFonts w:hint="eastAsia" w:ascii="宋体" w:hAnsi="宋体" w:cs="宋体"/>
                <w:kern w:val="0"/>
                <w:sz w:val="18"/>
                <w:szCs w:val="18"/>
              </w:rPr>
              <w:t xml:space="preserve">□一级注册结构工程师   □注册土木工程师（岩土工程）         □注册土木工程师（道路工程） </w:t>
            </w:r>
          </w:p>
          <w:p w14:paraId="1746C2C8">
            <w:pPr>
              <w:widowControl/>
              <w:rPr>
                <w:rFonts w:ascii="宋体" w:hAnsi="宋体" w:cs="宋体"/>
                <w:kern w:val="0"/>
                <w:sz w:val="18"/>
                <w:szCs w:val="18"/>
              </w:rPr>
            </w:pPr>
            <w:r>
              <w:rPr>
                <w:rFonts w:hint="eastAsia" w:ascii="宋体" w:hAnsi="宋体" w:cs="宋体"/>
                <w:kern w:val="0"/>
                <w:sz w:val="18"/>
                <w:szCs w:val="18"/>
              </w:rPr>
              <w:t>□一级注册建筑师       □</w:t>
            </w:r>
            <w:r>
              <w:rPr>
                <w:rFonts w:hint="eastAsia"/>
                <w:sz w:val="18"/>
                <w:szCs w:val="18"/>
              </w:rPr>
              <w:t>一级造价工程师（专业交通运输工程）</w:t>
            </w:r>
            <w:r>
              <w:rPr>
                <w:rFonts w:hint="eastAsia" w:ascii="宋体" w:hAnsi="宋体" w:cs="宋体"/>
                <w:kern w:val="0"/>
                <w:sz w:val="18"/>
                <w:szCs w:val="18"/>
              </w:rPr>
              <w:t xml:space="preserve"> □一级注册建造工程师   </w:t>
            </w:r>
          </w:p>
          <w:p w14:paraId="6A228568">
            <w:pPr>
              <w:widowControl/>
              <w:rPr>
                <w:rFonts w:ascii="宋体" w:hAnsi="宋体" w:cs="宋体"/>
                <w:bCs/>
                <w:kern w:val="0"/>
                <w:sz w:val="18"/>
                <w:szCs w:val="18"/>
              </w:rPr>
            </w:pPr>
            <w:r>
              <w:rPr>
                <w:rFonts w:hint="eastAsia" w:ascii="宋体" w:hAnsi="宋体" w:cs="宋体"/>
                <w:kern w:val="0"/>
                <w:sz w:val="18"/>
                <w:szCs w:val="18"/>
              </w:rPr>
              <w:t xml:space="preserve">□注册电气工程师　     </w:t>
            </w:r>
            <w:r>
              <w:rPr>
                <w:rFonts w:hint="eastAsia"/>
                <w:sz w:val="18"/>
                <w:szCs w:val="18"/>
              </w:rPr>
              <w:sym w:font="Wingdings 2" w:char="00A3"/>
            </w:r>
            <w:r>
              <w:rPr>
                <w:rFonts w:hint="eastAsia"/>
                <w:sz w:val="18"/>
                <w:szCs w:val="18"/>
              </w:rPr>
              <w:t>注册咨询工程师</w:t>
            </w:r>
          </w:p>
        </w:tc>
        <w:tc>
          <w:tcPr>
            <w:tcW w:w="1158" w:type="dxa"/>
            <w:vAlign w:val="center"/>
          </w:tcPr>
          <w:p w14:paraId="16A73DDE">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333" w:type="dxa"/>
            <w:gridSpan w:val="2"/>
            <w:vAlign w:val="center"/>
          </w:tcPr>
          <w:p w14:paraId="1A34D76C">
            <w:pPr>
              <w:widowControl/>
              <w:jc w:val="center"/>
              <w:rPr>
                <w:rFonts w:ascii="宋体" w:hAnsi="宋体" w:cs="宋体"/>
                <w:bCs/>
                <w:kern w:val="0"/>
                <w:sz w:val="18"/>
                <w:szCs w:val="18"/>
              </w:rPr>
            </w:pPr>
          </w:p>
        </w:tc>
        <w:tc>
          <w:tcPr>
            <w:tcW w:w="1135" w:type="dxa"/>
            <w:vAlign w:val="center"/>
          </w:tcPr>
          <w:p w14:paraId="2C457AAD">
            <w:pPr>
              <w:widowControl/>
              <w:jc w:val="center"/>
              <w:rPr>
                <w:rFonts w:ascii="宋体" w:hAnsi="宋体" w:cs="宋体"/>
                <w:bCs/>
                <w:kern w:val="0"/>
                <w:sz w:val="18"/>
                <w:szCs w:val="18"/>
              </w:rPr>
            </w:pPr>
            <w:r>
              <w:rPr>
                <w:rFonts w:hint="eastAsia" w:ascii="宋体" w:hAnsi="宋体" w:cs="宋体"/>
                <w:kern w:val="0"/>
                <w:sz w:val="18"/>
                <w:szCs w:val="18"/>
              </w:rPr>
              <w:t>附件B2.3</w:t>
            </w:r>
          </w:p>
        </w:tc>
      </w:tr>
      <w:tr w14:paraId="727B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84" w:type="dxa"/>
            <w:gridSpan w:val="3"/>
            <w:vAlign w:val="center"/>
          </w:tcPr>
          <w:p w14:paraId="18CD235B">
            <w:pPr>
              <w:widowControl/>
              <w:rPr>
                <w:rFonts w:ascii="宋体" w:hAnsi="宋体" w:cs="宋体"/>
                <w:bCs/>
                <w:kern w:val="0"/>
                <w:sz w:val="18"/>
                <w:szCs w:val="18"/>
              </w:rPr>
            </w:pPr>
            <w:r>
              <w:rPr>
                <w:rFonts w:hint="eastAsia" w:ascii="宋体" w:hAnsi="宋体" w:cs="宋体"/>
                <w:bCs/>
                <w:kern w:val="0"/>
                <w:sz w:val="18"/>
                <w:szCs w:val="18"/>
              </w:rPr>
              <w:t>是否要求提供社保资料</w:t>
            </w:r>
          </w:p>
        </w:tc>
        <w:tc>
          <w:tcPr>
            <w:tcW w:w="2756" w:type="dxa"/>
            <w:gridSpan w:val="3"/>
            <w:vAlign w:val="center"/>
          </w:tcPr>
          <w:p w14:paraId="5BA13A8D">
            <w:pPr>
              <w:widowControl/>
              <w:jc w:val="center"/>
              <w:rPr>
                <w:rFonts w:ascii="宋体" w:hAnsi="宋体" w:cs="宋体"/>
                <w:bCs/>
                <w:kern w:val="0"/>
                <w:sz w:val="18"/>
                <w:szCs w:val="18"/>
              </w:rPr>
            </w:pPr>
            <w:r>
              <w:rPr>
                <w:rFonts w:hint="eastAsia" w:ascii="宋体" w:hAnsi="宋体" w:cs="宋体"/>
                <w:kern w:val="0"/>
                <w:sz w:val="18"/>
                <w:szCs w:val="18"/>
              </w:rPr>
              <w:t>□是    □否</w:t>
            </w:r>
          </w:p>
        </w:tc>
        <w:tc>
          <w:tcPr>
            <w:tcW w:w="4353" w:type="dxa"/>
            <w:gridSpan w:val="6"/>
            <w:vAlign w:val="center"/>
          </w:tcPr>
          <w:p w14:paraId="72EA1112">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3491" w:type="dxa"/>
            <w:gridSpan w:val="3"/>
            <w:vAlign w:val="center"/>
          </w:tcPr>
          <w:p w14:paraId="7E4E3CC4">
            <w:pPr>
              <w:widowControl/>
              <w:jc w:val="center"/>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 ～</w:t>
            </w:r>
            <w:r>
              <w:rPr>
                <w:rFonts w:hint="eastAsia" w:ascii="宋体" w:hAnsi="宋体" w:cs="宋体"/>
                <w:bCs/>
                <w:kern w:val="0"/>
                <w:sz w:val="18"/>
                <w:szCs w:val="18"/>
                <w:u w:val="single"/>
              </w:rPr>
              <w:t xml:space="preserve">      </w:t>
            </w:r>
            <w:r>
              <w:rPr>
                <w:rFonts w:hint="eastAsia" w:ascii="宋体" w:hAnsi="宋体" w:cs="宋体"/>
                <w:bCs/>
                <w:kern w:val="0"/>
                <w:sz w:val="18"/>
                <w:szCs w:val="18"/>
              </w:rPr>
              <w:t>年</w:t>
            </w:r>
            <w:r>
              <w:rPr>
                <w:rFonts w:hint="eastAsia" w:ascii="宋体" w:hAnsi="宋体" w:cs="宋体"/>
                <w:bCs/>
                <w:kern w:val="0"/>
                <w:sz w:val="18"/>
                <w:szCs w:val="18"/>
                <w:u w:val="single"/>
              </w:rPr>
              <w:t xml:space="preserve">    </w:t>
            </w:r>
            <w:r>
              <w:rPr>
                <w:rFonts w:hint="eastAsia" w:ascii="宋体" w:hAnsi="宋体" w:cs="宋体"/>
                <w:bCs/>
                <w:kern w:val="0"/>
                <w:sz w:val="18"/>
                <w:szCs w:val="18"/>
              </w:rPr>
              <w:t>月</w:t>
            </w:r>
          </w:p>
        </w:tc>
        <w:tc>
          <w:tcPr>
            <w:tcW w:w="1135" w:type="dxa"/>
            <w:vAlign w:val="center"/>
          </w:tcPr>
          <w:p w14:paraId="40E591B1">
            <w:pPr>
              <w:widowControl/>
              <w:jc w:val="center"/>
              <w:rPr>
                <w:rFonts w:ascii="宋体" w:hAnsi="宋体" w:cs="宋体"/>
                <w:bCs/>
                <w:kern w:val="0"/>
                <w:sz w:val="18"/>
                <w:szCs w:val="18"/>
              </w:rPr>
            </w:pPr>
            <w:r>
              <w:rPr>
                <w:rFonts w:hint="eastAsia" w:ascii="宋体" w:hAnsi="宋体" w:cs="宋体"/>
                <w:kern w:val="0"/>
                <w:sz w:val="18"/>
                <w:szCs w:val="18"/>
              </w:rPr>
              <w:t>附件B2.4</w:t>
            </w:r>
          </w:p>
        </w:tc>
      </w:tr>
      <w:tr w14:paraId="1311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84" w:type="dxa"/>
            <w:gridSpan w:val="15"/>
            <w:vAlign w:val="center"/>
          </w:tcPr>
          <w:p w14:paraId="79473CB0">
            <w:pPr>
              <w:widowControl/>
              <w:jc w:val="center"/>
              <w:rPr>
                <w:rFonts w:ascii="宋体" w:hAnsi="宋体" w:cs="宋体"/>
                <w:bCs/>
                <w:kern w:val="0"/>
                <w:sz w:val="18"/>
                <w:szCs w:val="18"/>
              </w:rPr>
            </w:pPr>
            <w:r>
              <w:rPr>
                <w:rFonts w:hint="eastAsia" w:ascii="宋体" w:hAnsi="宋体" w:cs="宋体"/>
                <w:bCs/>
                <w:kern w:val="0"/>
                <w:sz w:val="18"/>
                <w:szCs w:val="18"/>
              </w:rPr>
              <w:t>担任资格审查要求职务完成业绩情况</w:t>
            </w:r>
          </w:p>
        </w:tc>
        <w:tc>
          <w:tcPr>
            <w:tcW w:w="1135" w:type="dxa"/>
            <w:vMerge w:val="restart"/>
            <w:vAlign w:val="center"/>
          </w:tcPr>
          <w:p w14:paraId="28014A1D">
            <w:pPr>
              <w:widowControl/>
              <w:jc w:val="center"/>
              <w:rPr>
                <w:rFonts w:ascii="宋体" w:hAnsi="宋体" w:cs="宋体"/>
                <w:bCs/>
                <w:kern w:val="0"/>
                <w:sz w:val="18"/>
                <w:szCs w:val="18"/>
              </w:rPr>
            </w:pPr>
            <w:r>
              <w:rPr>
                <w:rFonts w:hint="eastAsia" w:ascii="宋体" w:hAnsi="宋体" w:cs="宋体"/>
                <w:bCs/>
                <w:kern w:val="0"/>
                <w:sz w:val="18"/>
                <w:szCs w:val="18"/>
              </w:rPr>
              <w:t>业绩证明</w:t>
            </w:r>
          </w:p>
          <w:p w14:paraId="3BF4A37E">
            <w:pPr>
              <w:widowControl/>
              <w:jc w:val="center"/>
              <w:rPr>
                <w:rFonts w:ascii="宋体" w:hAnsi="宋体" w:cs="宋体"/>
                <w:bCs/>
                <w:kern w:val="0"/>
                <w:sz w:val="18"/>
                <w:szCs w:val="18"/>
              </w:rPr>
            </w:pPr>
            <w:r>
              <w:rPr>
                <w:rFonts w:hint="eastAsia" w:ascii="宋体" w:hAnsi="宋体" w:cs="宋体"/>
                <w:bCs/>
                <w:kern w:val="0"/>
                <w:sz w:val="18"/>
                <w:szCs w:val="18"/>
              </w:rPr>
              <w:t>材料附件</w:t>
            </w:r>
          </w:p>
        </w:tc>
      </w:tr>
      <w:tr w14:paraId="732F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6" w:type="dxa"/>
            <w:vAlign w:val="center"/>
          </w:tcPr>
          <w:p w14:paraId="0BAC2DED">
            <w:pPr>
              <w:widowControl/>
              <w:jc w:val="center"/>
              <w:rPr>
                <w:rFonts w:ascii="宋体" w:hAnsi="宋体" w:cs="宋体"/>
                <w:bCs/>
                <w:kern w:val="0"/>
                <w:sz w:val="18"/>
                <w:szCs w:val="18"/>
              </w:rPr>
            </w:pPr>
            <w:r>
              <w:rPr>
                <w:rFonts w:hint="eastAsia" w:ascii="宋体" w:hAnsi="宋体" w:cs="宋体"/>
                <w:bCs/>
                <w:kern w:val="0"/>
                <w:sz w:val="18"/>
                <w:szCs w:val="18"/>
              </w:rPr>
              <w:t>项目业主</w:t>
            </w:r>
          </w:p>
        </w:tc>
        <w:tc>
          <w:tcPr>
            <w:tcW w:w="1386" w:type="dxa"/>
            <w:gridSpan w:val="3"/>
            <w:vAlign w:val="center"/>
          </w:tcPr>
          <w:p w14:paraId="23DE7721">
            <w:pPr>
              <w:widowControl/>
              <w:jc w:val="center"/>
              <w:rPr>
                <w:rFonts w:ascii="宋体" w:hAnsi="宋体" w:cs="宋体"/>
                <w:bCs/>
                <w:kern w:val="0"/>
                <w:sz w:val="18"/>
                <w:szCs w:val="18"/>
              </w:rPr>
            </w:pPr>
            <w:r>
              <w:rPr>
                <w:rFonts w:hint="eastAsia" w:ascii="宋体" w:hAnsi="宋体" w:cs="宋体"/>
                <w:bCs/>
                <w:kern w:val="0"/>
                <w:sz w:val="18"/>
                <w:szCs w:val="18"/>
              </w:rPr>
              <w:t>项目名称</w:t>
            </w:r>
          </w:p>
        </w:tc>
        <w:tc>
          <w:tcPr>
            <w:tcW w:w="1822" w:type="dxa"/>
            <w:vAlign w:val="center"/>
          </w:tcPr>
          <w:p w14:paraId="6FE73B3C">
            <w:pPr>
              <w:widowControl/>
              <w:jc w:val="center"/>
              <w:rPr>
                <w:rFonts w:ascii="宋体" w:hAnsi="宋体" w:cs="宋体"/>
                <w:bCs/>
                <w:kern w:val="0"/>
                <w:sz w:val="18"/>
                <w:szCs w:val="18"/>
              </w:rPr>
            </w:pPr>
            <w:r>
              <w:rPr>
                <w:rFonts w:hint="eastAsia" w:ascii="宋体" w:hAnsi="宋体" w:cs="宋体"/>
                <w:bCs/>
                <w:kern w:val="0"/>
                <w:sz w:val="18"/>
                <w:szCs w:val="18"/>
              </w:rPr>
              <w:t>项目建设形式</w:t>
            </w:r>
          </w:p>
        </w:tc>
        <w:tc>
          <w:tcPr>
            <w:tcW w:w="1604" w:type="dxa"/>
            <w:gridSpan w:val="2"/>
            <w:vAlign w:val="center"/>
          </w:tcPr>
          <w:p w14:paraId="15A45892">
            <w:pPr>
              <w:widowControl/>
              <w:jc w:val="center"/>
              <w:rPr>
                <w:rFonts w:ascii="宋体" w:hAnsi="宋体" w:cs="宋体"/>
                <w:bCs/>
                <w:kern w:val="0"/>
                <w:sz w:val="18"/>
                <w:szCs w:val="18"/>
              </w:rPr>
            </w:pPr>
            <w:r>
              <w:rPr>
                <w:rFonts w:hint="eastAsia" w:ascii="宋体" w:hAnsi="宋体" w:cs="宋体"/>
                <w:bCs/>
                <w:kern w:val="0"/>
                <w:sz w:val="18"/>
                <w:szCs w:val="18"/>
              </w:rPr>
              <w:t>设计阶段</w:t>
            </w:r>
          </w:p>
        </w:tc>
        <w:tc>
          <w:tcPr>
            <w:tcW w:w="1416" w:type="dxa"/>
            <w:gridSpan w:val="2"/>
            <w:vAlign w:val="center"/>
          </w:tcPr>
          <w:p w14:paraId="120884CE">
            <w:pPr>
              <w:widowControl/>
              <w:jc w:val="center"/>
              <w:rPr>
                <w:rFonts w:ascii="宋体" w:hAnsi="宋体" w:cs="宋体"/>
                <w:bCs/>
                <w:kern w:val="0"/>
                <w:sz w:val="18"/>
                <w:szCs w:val="18"/>
              </w:rPr>
            </w:pPr>
            <w:r>
              <w:rPr>
                <w:rFonts w:hint="eastAsia" w:ascii="宋体" w:hAnsi="宋体" w:cs="宋体"/>
                <w:bCs/>
                <w:kern w:val="0"/>
                <w:sz w:val="18"/>
                <w:szCs w:val="18"/>
              </w:rPr>
              <w:t>在本项目担任的工作职务</w:t>
            </w:r>
          </w:p>
        </w:tc>
        <w:tc>
          <w:tcPr>
            <w:tcW w:w="1365" w:type="dxa"/>
            <w:gridSpan w:val="2"/>
            <w:vAlign w:val="center"/>
          </w:tcPr>
          <w:p w14:paraId="4382A63B">
            <w:pPr>
              <w:jc w:val="center"/>
              <w:rPr>
                <w:rFonts w:ascii="宋体" w:hAnsi="宋体" w:cs="宋体"/>
                <w:bCs/>
                <w:kern w:val="0"/>
                <w:sz w:val="18"/>
                <w:szCs w:val="18"/>
              </w:rPr>
            </w:pPr>
            <w:r>
              <w:rPr>
                <w:rFonts w:hint="eastAsia" w:ascii="宋体" w:hAnsi="宋体" w:cs="宋体"/>
                <w:bCs/>
                <w:kern w:val="0"/>
                <w:sz w:val="18"/>
                <w:szCs w:val="18"/>
              </w:rPr>
              <w:t>任职起止时间</w:t>
            </w:r>
          </w:p>
        </w:tc>
        <w:tc>
          <w:tcPr>
            <w:tcW w:w="1852" w:type="dxa"/>
            <w:gridSpan w:val="2"/>
            <w:vAlign w:val="center"/>
          </w:tcPr>
          <w:p w14:paraId="7933C607">
            <w:pPr>
              <w:widowControl/>
              <w:jc w:val="center"/>
              <w:rPr>
                <w:rFonts w:ascii="宋体" w:hAnsi="宋体" w:cs="宋体"/>
                <w:bCs/>
                <w:kern w:val="0"/>
                <w:sz w:val="18"/>
                <w:szCs w:val="18"/>
              </w:rPr>
            </w:pPr>
            <w:r>
              <w:rPr>
                <w:rFonts w:hint="eastAsia"/>
                <w:sz w:val="18"/>
                <w:szCs w:val="18"/>
              </w:rPr>
              <w:t>□</w:t>
            </w:r>
            <w:r>
              <w:rPr>
                <w:rFonts w:hint="eastAsia" w:ascii="宋体" w:hAnsi="宋体" w:cs="宋体"/>
                <w:bCs/>
                <w:kern w:val="0"/>
                <w:sz w:val="18"/>
                <w:szCs w:val="18"/>
              </w:rPr>
              <w:t>承担设计标段路线长度（km）</w:t>
            </w:r>
          </w:p>
        </w:tc>
        <w:tc>
          <w:tcPr>
            <w:tcW w:w="1419" w:type="dxa"/>
            <w:vAlign w:val="center"/>
          </w:tcPr>
          <w:p w14:paraId="7AD336CA">
            <w:pPr>
              <w:widowControl/>
              <w:jc w:val="center"/>
              <w:rPr>
                <w:rFonts w:ascii="宋体" w:hAnsi="宋体" w:cs="宋体"/>
                <w:bCs/>
                <w:kern w:val="0"/>
                <w:sz w:val="18"/>
                <w:szCs w:val="18"/>
              </w:rPr>
            </w:pPr>
            <w:r>
              <w:rPr>
                <w:rFonts w:hint="eastAsia"/>
                <w:sz w:val="18"/>
                <w:szCs w:val="18"/>
              </w:rPr>
              <w:t>□</w:t>
            </w:r>
            <w:r>
              <w:rPr>
                <w:rFonts w:hint="eastAsia" w:ascii="宋体" w:hAnsi="宋体" w:cs="宋体"/>
                <w:bCs/>
                <w:kern w:val="0"/>
                <w:sz w:val="18"/>
                <w:szCs w:val="18"/>
              </w:rPr>
              <w:t>桥隧比（%）</w:t>
            </w:r>
          </w:p>
        </w:tc>
        <w:tc>
          <w:tcPr>
            <w:tcW w:w="914" w:type="dxa"/>
            <w:vAlign w:val="center"/>
          </w:tcPr>
          <w:p w14:paraId="66B76D99">
            <w:pPr>
              <w:widowControl/>
              <w:jc w:val="center"/>
              <w:rPr>
                <w:rFonts w:ascii="宋体" w:hAnsi="宋体" w:cs="宋体"/>
                <w:bCs/>
                <w:kern w:val="0"/>
                <w:sz w:val="18"/>
                <w:szCs w:val="18"/>
              </w:rPr>
            </w:pPr>
            <w:r>
              <w:rPr>
                <w:rFonts w:hint="eastAsia"/>
                <w:sz w:val="18"/>
                <w:szCs w:val="18"/>
              </w:rPr>
              <w:t>□其他</w:t>
            </w:r>
          </w:p>
        </w:tc>
        <w:tc>
          <w:tcPr>
            <w:tcW w:w="1135" w:type="dxa"/>
            <w:vMerge w:val="continue"/>
            <w:vAlign w:val="center"/>
          </w:tcPr>
          <w:p w14:paraId="52088CC4">
            <w:pPr>
              <w:widowControl/>
              <w:jc w:val="center"/>
              <w:rPr>
                <w:rFonts w:ascii="宋体" w:hAnsi="宋体" w:cs="宋体"/>
                <w:b/>
                <w:bCs/>
                <w:kern w:val="0"/>
                <w:sz w:val="18"/>
                <w:szCs w:val="18"/>
              </w:rPr>
            </w:pPr>
          </w:p>
        </w:tc>
      </w:tr>
      <w:tr w14:paraId="609E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06" w:type="dxa"/>
            <w:vAlign w:val="center"/>
          </w:tcPr>
          <w:p w14:paraId="5A2B4CCC">
            <w:pPr>
              <w:widowControl/>
              <w:jc w:val="center"/>
              <w:rPr>
                <w:rFonts w:ascii="宋体" w:hAnsi="宋体" w:cs="宋体"/>
                <w:kern w:val="0"/>
                <w:sz w:val="18"/>
                <w:szCs w:val="18"/>
              </w:rPr>
            </w:pPr>
          </w:p>
        </w:tc>
        <w:tc>
          <w:tcPr>
            <w:tcW w:w="1386" w:type="dxa"/>
            <w:gridSpan w:val="3"/>
            <w:vAlign w:val="center"/>
          </w:tcPr>
          <w:p w14:paraId="6A5C15CB">
            <w:pPr>
              <w:widowControl/>
              <w:jc w:val="center"/>
              <w:rPr>
                <w:rFonts w:ascii="宋体" w:hAnsi="宋体" w:cs="宋体"/>
                <w:kern w:val="0"/>
                <w:sz w:val="18"/>
                <w:szCs w:val="18"/>
              </w:rPr>
            </w:pPr>
          </w:p>
        </w:tc>
        <w:tc>
          <w:tcPr>
            <w:tcW w:w="1822" w:type="dxa"/>
            <w:vAlign w:val="center"/>
          </w:tcPr>
          <w:p w14:paraId="4539FB8B">
            <w:pPr>
              <w:widowControl/>
              <w:rPr>
                <w:sz w:val="18"/>
                <w:szCs w:val="18"/>
              </w:rPr>
            </w:pPr>
            <w:r>
              <w:rPr>
                <w:rFonts w:hint="eastAsia"/>
                <w:sz w:val="18"/>
                <w:szCs w:val="18"/>
              </w:rPr>
              <w:t>□新建  □改扩建</w:t>
            </w:r>
          </w:p>
        </w:tc>
        <w:tc>
          <w:tcPr>
            <w:tcW w:w="1604" w:type="dxa"/>
            <w:gridSpan w:val="2"/>
            <w:vAlign w:val="center"/>
          </w:tcPr>
          <w:p w14:paraId="22EA4A92">
            <w:pPr>
              <w:widowControl/>
              <w:jc w:val="center"/>
              <w:rPr>
                <w:rFonts w:ascii="宋体" w:hAnsi="宋体" w:cs="宋体"/>
                <w:kern w:val="0"/>
                <w:sz w:val="18"/>
                <w:szCs w:val="18"/>
              </w:rPr>
            </w:pPr>
            <w:r>
              <w:rPr>
                <w:rFonts w:hint="eastAsia"/>
                <w:sz w:val="18"/>
                <w:szCs w:val="18"/>
              </w:rPr>
              <w:t>□初步 □施工图</w:t>
            </w:r>
          </w:p>
        </w:tc>
        <w:tc>
          <w:tcPr>
            <w:tcW w:w="1416" w:type="dxa"/>
            <w:gridSpan w:val="2"/>
            <w:vAlign w:val="center"/>
          </w:tcPr>
          <w:p w14:paraId="35160373">
            <w:pPr>
              <w:widowControl/>
              <w:jc w:val="center"/>
              <w:rPr>
                <w:rFonts w:ascii="宋体" w:hAnsi="宋体" w:cs="宋体"/>
                <w:kern w:val="0"/>
                <w:sz w:val="18"/>
                <w:szCs w:val="18"/>
              </w:rPr>
            </w:pPr>
          </w:p>
        </w:tc>
        <w:tc>
          <w:tcPr>
            <w:tcW w:w="1365" w:type="dxa"/>
            <w:gridSpan w:val="2"/>
            <w:vAlign w:val="center"/>
          </w:tcPr>
          <w:p w14:paraId="1611B957">
            <w:pPr>
              <w:widowControl/>
              <w:ind w:firstLine="90" w:firstLineChars="50"/>
              <w:rPr>
                <w:rFonts w:ascii="宋体" w:hAnsi="宋体" w:cs="宋体"/>
                <w:kern w:val="0"/>
                <w:sz w:val="18"/>
                <w:szCs w:val="18"/>
              </w:rPr>
            </w:pPr>
          </w:p>
        </w:tc>
        <w:tc>
          <w:tcPr>
            <w:tcW w:w="1852" w:type="dxa"/>
            <w:gridSpan w:val="2"/>
            <w:vAlign w:val="center"/>
          </w:tcPr>
          <w:p w14:paraId="58A8B21B">
            <w:pPr>
              <w:widowControl/>
              <w:jc w:val="center"/>
              <w:rPr>
                <w:rFonts w:ascii="宋体" w:hAnsi="宋体" w:cs="宋体"/>
                <w:kern w:val="0"/>
                <w:sz w:val="18"/>
                <w:szCs w:val="18"/>
              </w:rPr>
            </w:pPr>
          </w:p>
        </w:tc>
        <w:tc>
          <w:tcPr>
            <w:tcW w:w="1419" w:type="dxa"/>
            <w:vAlign w:val="center"/>
          </w:tcPr>
          <w:p w14:paraId="34DABCE3">
            <w:pPr>
              <w:widowControl/>
              <w:jc w:val="center"/>
              <w:rPr>
                <w:rFonts w:ascii="宋体" w:hAnsi="宋体" w:cs="宋体"/>
                <w:kern w:val="0"/>
                <w:sz w:val="18"/>
                <w:szCs w:val="18"/>
              </w:rPr>
            </w:pPr>
          </w:p>
        </w:tc>
        <w:tc>
          <w:tcPr>
            <w:tcW w:w="914" w:type="dxa"/>
            <w:vAlign w:val="center"/>
          </w:tcPr>
          <w:p w14:paraId="283C00A2">
            <w:pPr>
              <w:widowControl/>
              <w:jc w:val="center"/>
              <w:rPr>
                <w:rFonts w:ascii="宋体" w:hAnsi="宋体" w:cs="宋体"/>
                <w:kern w:val="0"/>
                <w:sz w:val="18"/>
                <w:szCs w:val="18"/>
              </w:rPr>
            </w:pPr>
          </w:p>
        </w:tc>
        <w:tc>
          <w:tcPr>
            <w:tcW w:w="1135" w:type="dxa"/>
            <w:vAlign w:val="center"/>
          </w:tcPr>
          <w:p w14:paraId="213E0643">
            <w:pPr>
              <w:widowControl/>
              <w:jc w:val="center"/>
              <w:rPr>
                <w:rFonts w:ascii="宋体" w:hAnsi="宋体" w:cs="宋体"/>
                <w:kern w:val="0"/>
                <w:sz w:val="18"/>
                <w:szCs w:val="18"/>
              </w:rPr>
            </w:pPr>
            <w:r>
              <w:rPr>
                <w:rFonts w:hint="eastAsia" w:ascii="宋体" w:hAnsi="宋体" w:cs="宋体"/>
                <w:kern w:val="0"/>
                <w:sz w:val="18"/>
                <w:szCs w:val="18"/>
              </w:rPr>
              <w:t>附件B2.5</w:t>
            </w:r>
          </w:p>
        </w:tc>
      </w:tr>
      <w:tr w14:paraId="17EB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06" w:type="dxa"/>
            <w:vAlign w:val="center"/>
          </w:tcPr>
          <w:p w14:paraId="0F0F5272">
            <w:pPr>
              <w:widowControl/>
              <w:jc w:val="center"/>
              <w:rPr>
                <w:rFonts w:ascii="宋体" w:hAnsi="宋体" w:cs="宋体"/>
                <w:kern w:val="0"/>
                <w:sz w:val="18"/>
                <w:szCs w:val="18"/>
              </w:rPr>
            </w:pPr>
          </w:p>
        </w:tc>
        <w:tc>
          <w:tcPr>
            <w:tcW w:w="1386" w:type="dxa"/>
            <w:gridSpan w:val="3"/>
            <w:vAlign w:val="center"/>
          </w:tcPr>
          <w:p w14:paraId="59D8D540">
            <w:pPr>
              <w:widowControl/>
              <w:jc w:val="center"/>
              <w:rPr>
                <w:rFonts w:ascii="宋体" w:hAnsi="宋体" w:cs="宋体"/>
                <w:kern w:val="0"/>
                <w:sz w:val="18"/>
                <w:szCs w:val="18"/>
              </w:rPr>
            </w:pPr>
          </w:p>
        </w:tc>
        <w:tc>
          <w:tcPr>
            <w:tcW w:w="1822" w:type="dxa"/>
            <w:vAlign w:val="center"/>
          </w:tcPr>
          <w:p w14:paraId="0744B35A">
            <w:pPr>
              <w:widowControl/>
              <w:rPr>
                <w:sz w:val="18"/>
                <w:szCs w:val="18"/>
              </w:rPr>
            </w:pPr>
            <w:r>
              <w:rPr>
                <w:rFonts w:hint="eastAsia"/>
                <w:sz w:val="18"/>
                <w:szCs w:val="18"/>
              </w:rPr>
              <w:t>□新建  □改扩建</w:t>
            </w:r>
          </w:p>
        </w:tc>
        <w:tc>
          <w:tcPr>
            <w:tcW w:w="1604" w:type="dxa"/>
            <w:gridSpan w:val="2"/>
            <w:vAlign w:val="center"/>
          </w:tcPr>
          <w:p w14:paraId="5E11222C">
            <w:pPr>
              <w:widowControl/>
              <w:jc w:val="center"/>
              <w:rPr>
                <w:rFonts w:ascii="宋体" w:hAnsi="宋体" w:cs="宋体"/>
                <w:kern w:val="0"/>
                <w:sz w:val="18"/>
                <w:szCs w:val="18"/>
              </w:rPr>
            </w:pPr>
            <w:r>
              <w:rPr>
                <w:rFonts w:hint="eastAsia"/>
                <w:sz w:val="18"/>
                <w:szCs w:val="18"/>
              </w:rPr>
              <w:t>□初步 □施工图</w:t>
            </w:r>
          </w:p>
        </w:tc>
        <w:tc>
          <w:tcPr>
            <w:tcW w:w="1416" w:type="dxa"/>
            <w:gridSpan w:val="2"/>
            <w:vAlign w:val="center"/>
          </w:tcPr>
          <w:p w14:paraId="2702E94C">
            <w:pPr>
              <w:widowControl/>
              <w:jc w:val="center"/>
              <w:rPr>
                <w:rFonts w:ascii="宋体" w:hAnsi="宋体" w:cs="宋体"/>
                <w:kern w:val="0"/>
                <w:sz w:val="18"/>
                <w:szCs w:val="18"/>
              </w:rPr>
            </w:pPr>
          </w:p>
        </w:tc>
        <w:tc>
          <w:tcPr>
            <w:tcW w:w="1365" w:type="dxa"/>
            <w:gridSpan w:val="2"/>
            <w:vAlign w:val="center"/>
          </w:tcPr>
          <w:p w14:paraId="621BED6A">
            <w:pPr>
              <w:widowControl/>
              <w:jc w:val="center"/>
              <w:rPr>
                <w:rFonts w:ascii="宋体" w:hAnsi="宋体" w:cs="宋体"/>
                <w:kern w:val="0"/>
                <w:sz w:val="18"/>
                <w:szCs w:val="18"/>
              </w:rPr>
            </w:pPr>
          </w:p>
        </w:tc>
        <w:tc>
          <w:tcPr>
            <w:tcW w:w="1852" w:type="dxa"/>
            <w:gridSpan w:val="2"/>
            <w:vAlign w:val="center"/>
          </w:tcPr>
          <w:p w14:paraId="06ACBAF8">
            <w:pPr>
              <w:widowControl/>
              <w:jc w:val="center"/>
              <w:rPr>
                <w:rFonts w:ascii="宋体" w:hAnsi="宋体" w:cs="宋体"/>
                <w:kern w:val="0"/>
                <w:sz w:val="18"/>
                <w:szCs w:val="18"/>
              </w:rPr>
            </w:pPr>
          </w:p>
        </w:tc>
        <w:tc>
          <w:tcPr>
            <w:tcW w:w="1419" w:type="dxa"/>
            <w:vAlign w:val="center"/>
          </w:tcPr>
          <w:p w14:paraId="3CB49295">
            <w:pPr>
              <w:widowControl/>
              <w:jc w:val="center"/>
              <w:rPr>
                <w:rFonts w:ascii="宋体" w:hAnsi="宋体" w:cs="宋体"/>
                <w:kern w:val="0"/>
                <w:sz w:val="18"/>
                <w:szCs w:val="18"/>
              </w:rPr>
            </w:pPr>
          </w:p>
        </w:tc>
        <w:tc>
          <w:tcPr>
            <w:tcW w:w="914" w:type="dxa"/>
            <w:vAlign w:val="center"/>
          </w:tcPr>
          <w:p w14:paraId="4509EC40">
            <w:pPr>
              <w:widowControl/>
              <w:jc w:val="center"/>
              <w:rPr>
                <w:rFonts w:ascii="宋体" w:hAnsi="宋体" w:cs="宋体"/>
                <w:kern w:val="0"/>
                <w:sz w:val="18"/>
                <w:szCs w:val="18"/>
              </w:rPr>
            </w:pPr>
          </w:p>
        </w:tc>
        <w:tc>
          <w:tcPr>
            <w:tcW w:w="1135" w:type="dxa"/>
            <w:vAlign w:val="center"/>
          </w:tcPr>
          <w:p w14:paraId="19E47B05">
            <w:pPr>
              <w:widowControl/>
              <w:jc w:val="center"/>
              <w:rPr>
                <w:rFonts w:ascii="宋体" w:hAnsi="宋体" w:cs="宋体"/>
                <w:kern w:val="0"/>
                <w:sz w:val="18"/>
                <w:szCs w:val="18"/>
              </w:rPr>
            </w:pPr>
            <w:r>
              <w:rPr>
                <w:rFonts w:hint="eastAsia" w:ascii="宋体" w:hAnsi="宋体" w:cs="宋体"/>
                <w:kern w:val="0"/>
                <w:sz w:val="18"/>
                <w:szCs w:val="18"/>
              </w:rPr>
              <w:t>附件B2.6</w:t>
            </w:r>
          </w:p>
        </w:tc>
      </w:tr>
      <w:tr w14:paraId="155E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06" w:type="dxa"/>
            <w:vAlign w:val="center"/>
          </w:tcPr>
          <w:p w14:paraId="644B7802">
            <w:pPr>
              <w:widowControl/>
              <w:jc w:val="center"/>
              <w:rPr>
                <w:rFonts w:ascii="宋体" w:hAnsi="宋体" w:cs="宋体"/>
                <w:kern w:val="0"/>
                <w:sz w:val="18"/>
                <w:szCs w:val="18"/>
              </w:rPr>
            </w:pPr>
          </w:p>
        </w:tc>
        <w:tc>
          <w:tcPr>
            <w:tcW w:w="1386" w:type="dxa"/>
            <w:gridSpan w:val="3"/>
            <w:vAlign w:val="center"/>
          </w:tcPr>
          <w:p w14:paraId="3A39A4CF">
            <w:pPr>
              <w:widowControl/>
              <w:jc w:val="center"/>
              <w:rPr>
                <w:rFonts w:ascii="宋体" w:hAnsi="宋体" w:cs="宋体"/>
                <w:kern w:val="0"/>
                <w:sz w:val="18"/>
                <w:szCs w:val="18"/>
              </w:rPr>
            </w:pPr>
          </w:p>
        </w:tc>
        <w:tc>
          <w:tcPr>
            <w:tcW w:w="1822" w:type="dxa"/>
            <w:vAlign w:val="center"/>
          </w:tcPr>
          <w:p w14:paraId="602D9753">
            <w:pPr>
              <w:widowControl/>
              <w:rPr>
                <w:sz w:val="18"/>
                <w:szCs w:val="18"/>
              </w:rPr>
            </w:pPr>
            <w:r>
              <w:rPr>
                <w:rFonts w:hint="eastAsia"/>
                <w:sz w:val="18"/>
                <w:szCs w:val="18"/>
              </w:rPr>
              <w:t>□新建  □改扩建</w:t>
            </w:r>
          </w:p>
        </w:tc>
        <w:tc>
          <w:tcPr>
            <w:tcW w:w="1604" w:type="dxa"/>
            <w:gridSpan w:val="2"/>
            <w:vAlign w:val="center"/>
          </w:tcPr>
          <w:p w14:paraId="0D7E4A1D">
            <w:pPr>
              <w:widowControl/>
              <w:jc w:val="center"/>
              <w:rPr>
                <w:rFonts w:ascii="宋体" w:hAnsi="宋体" w:cs="宋体"/>
                <w:kern w:val="0"/>
                <w:sz w:val="18"/>
                <w:szCs w:val="18"/>
              </w:rPr>
            </w:pPr>
            <w:r>
              <w:rPr>
                <w:rFonts w:hint="eastAsia"/>
                <w:sz w:val="18"/>
                <w:szCs w:val="18"/>
              </w:rPr>
              <w:t>□初步 □施工图</w:t>
            </w:r>
          </w:p>
        </w:tc>
        <w:tc>
          <w:tcPr>
            <w:tcW w:w="1416" w:type="dxa"/>
            <w:gridSpan w:val="2"/>
            <w:vAlign w:val="center"/>
          </w:tcPr>
          <w:p w14:paraId="49B6E384">
            <w:pPr>
              <w:widowControl/>
              <w:jc w:val="center"/>
              <w:rPr>
                <w:rFonts w:ascii="宋体" w:hAnsi="宋体" w:cs="宋体"/>
                <w:kern w:val="0"/>
                <w:sz w:val="18"/>
                <w:szCs w:val="18"/>
              </w:rPr>
            </w:pPr>
          </w:p>
        </w:tc>
        <w:tc>
          <w:tcPr>
            <w:tcW w:w="1365" w:type="dxa"/>
            <w:gridSpan w:val="2"/>
            <w:vAlign w:val="center"/>
          </w:tcPr>
          <w:p w14:paraId="32A4BF0E">
            <w:pPr>
              <w:widowControl/>
              <w:jc w:val="center"/>
              <w:rPr>
                <w:rFonts w:ascii="宋体" w:hAnsi="宋体" w:cs="宋体"/>
                <w:kern w:val="0"/>
                <w:sz w:val="18"/>
                <w:szCs w:val="18"/>
              </w:rPr>
            </w:pPr>
          </w:p>
        </w:tc>
        <w:tc>
          <w:tcPr>
            <w:tcW w:w="1852" w:type="dxa"/>
            <w:gridSpan w:val="2"/>
            <w:vAlign w:val="center"/>
          </w:tcPr>
          <w:p w14:paraId="47C7AF6F">
            <w:pPr>
              <w:widowControl/>
              <w:jc w:val="center"/>
              <w:rPr>
                <w:rFonts w:ascii="宋体" w:hAnsi="宋体" w:cs="宋体"/>
                <w:kern w:val="0"/>
                <w:sz w:val="18"/>
                <w:szCs w:val="18"/>
              </w:rPr>
            </w:pPr>
          </w:p>
        </w:tc>
        <w:tc>
          <w:tcPr>
            <w:tcW w:w="1419" w:type="dxa"/>
            <w:vAlign w:val="center"/>
          </w:tcPr>
          <w:p w14:paraId="0E89D25A">
            <w:pPr>
              <w:widowControl/>
              <w:jc w:val="center"/>
              <w:rPr>
                <w:rFonts w:ascii="宋体" w:hAnsi="宋体" w:cs="宋体"/>
                <w:kern w:val="0"/>
                <w:sz w:val="18"/>
                <w:szCs w:val="18"/>
              </w:rPr>
            </w:pPr>
          </w:p>
        </w:tc>
        <w:tc>
          <w:tcPr>
            <w:tcW w:w="914" w:type="dxa"/>
            <w:vAlign w:val="center"/>
          </w:tcPr>
          <w:p w14:paraId="15DDD8FF">
            <w:pPr>
              <w:widowControl/>
              <w:jc w:val="center"/>
              <w:rPr>
                <w:rFonts w:ascii="宋体" w:hAnsi="宋体" w:cs="宋体"/>
                <w:kern w:val="0"/>
                <w:sz w:val="18"/>
                <w:szCs w:val="18"/>
              </w:rPr>
            </w:pPr>
          </w:p>
        </w:tc>
        <w:tc>
          <w:tcPr>
            <w:tcW w:w="1135" w:type="dxa"/>
            <w:vAlign w:val="center"/>
          </w:tcPr>
          <w:p w14:paraId="7A6FCF0F">
            <w:pPr>
              <w:widowControl/>
              <w:jc w:val="center"/>
              <w:rPr>
                <w:rFonts w:ascii="宋体" w:hAnsi="宋体" w:cs="宋体"/>
                <w:kern w:val="0"/>
                <w:sz w:val="18"/>
                <w:szCs w:val="18"/>
              </w:rPr>
            </w:pPr>
            <w:r>
              <w:rPr>
                <w:rFonts w:hint="eastAsia" w:ascii="宋体" w:hAnsi="宋体" w:cs="宋体"/>
                <w:kern w:val="0"/>
                <w:sz w:val="18"/>
                <w:szCs w:val="18"/>
              </w:rPr>
              <w:t>附件B2.7</w:t>
            </w:r>
          </w:p>
        </w:tc>
      </w:tr>
      <w:tr w14:paraId="46C5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06" w:type="dxa"/>
            <w:vAlign w:val="center"/>
          </w:tcPr>
          <w:p w14:paraId="6B3D6CE0">
            <w:pPr>
              <w:jc w:val="center"/>
              <w:rPr>
                <w:sz w:val="18"/>
                <w:szCs w:val="18"/>
              </w:rPr>
            </w:pPr>
            <w:r>
              <w:rPr>
                <w:rFonts w:hint="eastAsia" w:ascii="宋体" w:hAnsi="宋体" w:cs="宋体"/>
                <w:kern w:val="0"/>
                <w:sz w:val="18"/>
                <w:szCs w:val="18"/>
              </w:rPr>
              <w:t>……</w:t>
            </w:r>
          </w:p>
        </w:tc>
        <w:tc>
          <w:tcPr>
            <w:tcW w:w="1386" w:type="dxa"/>
            <w:gridSpan w:val="3"/>
            <w:vAlign w:val="center"/>
          </w:tcPr>
          <w:p w14:paraId="5EC106E7">
            <w:pPr>
              <w:widowControl/>
              <w:jc w:val="center"/>
              <w:rPr>
                <w:rFonts w:ascii="宋体" w:hAnsi="宋体" w:cs="宋体"/>
                <w:kern w:val="0"/>
                <w:sz w:val="18"/>
                <w:szCs w:val="18"/>
              </w:rPr>
            </w:pPr>
            <w:r>
              <w:rPr>
                <w:rFonts w:hint="eastAsia" w:ascii="宋体" w:hAnsi="宋体" w:cs="宋体"/>
                <w:kern w:val="0"/>
                <w:sz w:val="18"/>
                <w:szCs w:val="18"/>
              </w:rPr>
              <w:t>……</w:t>
            </w:r>
          </w:p>
        </w:tc>
        <w:tc>
          <w:tcPr>
            <w:tcW w:w="1822" w:type="dxa"/>
            <w:vAlign w:val="center"/>
          </w:tcPr>
          <w:p w14:paraId="242977FE">
            <w:pPr>
              <w:widowControl/>
              <w:jc w:val="center"/>
              <w:rPr>
                <w:rFonts w:ascii="宋体" w:hAnsi="宋体" w:cs="宋体"/>
                <w:kern w:val="0"/>
                <w:sz w:val="18"/>
                <w:szCs w:val="18"/>
              </w:rPr>
            </w:pPr>
            <w:r>
              <w:rPr>
                <w:rFonts w:hint="eastAsia" w:ascii="宋体" w:hAnsi="宋体" w:cs="宋体"/>
                <w:kern w:val="0"/>
                <w:sz w:val="18"/>
                <w:szCs w:val="18"/>
              </w:rPr>
              <w:t>……</w:t>
            </w:r>
          </w:p>
        </w:tc>
        <w:tc>
          <w:tcPr>
            <w:tcW w:w="1604" w:type="dxa"/>
            <w:gridSpan w:val="2"/>
            <w:vAlign w:val="center"/>
          </w:tcPr>
          <w:p w14:paraId="7A7ED7F2">
            <w:pPr>
              <w:widowControl/>
              <w:jc w:val="center"/>
              <w:rPr>
                <w:rFonts w:ascii="宋体" w:hAnsi="宋体" w:cs="宋体"/>
                <w:kern w:val="0"/>
                <w:sz w:val="18"/>
                <w:szCs w:val="18"/>
              </w:rPr>
            </w:pPr>
            <w:r>
              <w:rPr>
                <w:rFonts w:hint="eastAsia" w:ascii="宋体" w:hAnsi="宋体" w:cs="宋体"/>
                <w:kern w:val="0"/>
                <w:sz w:val="18"/>
                <w:szCs w:val="18"/>
              </w:rPr>
              <w:t>……</w:t>
            </w:r>
          </w:p>
        </w:tc>
        <w:tc>
          <w:tcPr>
            <w:tcW w:w="1416" w:type="dxa"/>
            <w:gridSpan w:val="2"/>
            <w:vAlign w:val="center"/>
          </w:tcPr>
          <w:p w14:paraId="2713CA0F">
            <w:pPr>
              <w:widowControl/>
              <w:jc w:val="center"/>
              <w:rPr>
                <w:rFonts w:ascii="宋体" w:hAnsi="宋体" w:cs="宋体"/>
                <w:kern w:val="0"/>
                <w:sz w:val="18"/>
                <w:szCs w:val="18"/>
              </w:rPr>
            </w:pPr>
            <w:r>
              <w:rPr>
                <w:rFonts w:hint="eastAsia" w:ascii="宋体" w:hAnsi="宋体" w:cs="宋体"/>
                <w:kern w:val="0"/>
                <w:sz w:val="18"/>
                <w:szCs w:val="18"/>
              </w:rPr>
              <w:t>……</w:t>
            </w:r>
          </w:p>
        </w:tc>
        <w:tc>
          <w:tcPr>
            <w:tcW w:w="1365" w:type="dxa"/>
            <w:gridSpan w:val="2"/>
            <w:vAlign w:val="center"/>
          </w:tcPr>
          <w:p w14:paraId="3C9C8CE0">
            <w:pPr>
              <w:widowControl/>
              <w:jc w:val="center"/>
              <w:rPr>
                <w:rFonts w:ascii="宋体" w:hAnsi="宋体" w:cs="宋体"/>
                <w:kern w:val="0"/>
                <w:sz w:val="18"/>
                <w:szCs w:val="18"/>
              </w:rPr>
            </w:pPr>
            <w:r>
              <w:rPr>
                <w:rFonts w:hint="eastAsia" w:ascii="宋体" w:hAnsi="宋体" w:cs="宋体"/>
                <w:kern w:val="0"/>
                <w:sz w:val="18"/>
                <w:szCs w:val="18"/>
              </w:rPr>
              <w:t>……</w:t>
            </w:r>
          </w:p>
        </w:tc>
        <w:tc>
          <w:tcPr>
            <w:tcW w:w="1852" w:type="dxa"/>
            <w:gridSpan w:val="2"/>
            <w:vAlign w:val="center"/>
          </w:tcPr>
          <w:p w14:paraId="2FD9F8D5">
            <w:pPr>
              <w:widowControl/>
              <w:jc w:val="center"/>
              <w:rPr>
                <w:rFonts w:ascii="宋体" w:hAnsi="宋体" w:cs="宋体"/>
                <w:kern w:val="0"/>
                <w:sz w:val="18"/>
                <w:szCs w:val="18"/>
              </w:rPr>
            </w:pPr>
            <w:r>
              <w:rPr>
                <w:rFonts w:hint="eastAsia" w:ascii="宋体" w:hAnsi="宋体" w:cs="宋体"/>
                <w:kern w:val="0"/>
                <w:sz w:val="18"/>
                <w:szCs w:val="18"/>
              </w:rPr>
              <w:t>……</w:t>
            </w:r>
          </w:p>
        </w:tc>
        <w:tc>
          <w:tcPr>
            <w:tcW w:w="1419" w:type="dxa"/>
            <w:vAlign w:val="center"/>
          </w:tcPr>
          <w:p w14:paraId="36BC619D">
            <w:pPr>
              <w:widowControl/>
              <w:jc w:val="center"/>
              <w:rPr>
                <w:rFonts w:ascii="宋体" w:hAnsi="宋体" w:cs="宋体"/>
                <w:kern w:val="0"/>
                <w:sz w:val="18"/>
                <w:szCs w:val="18"/>
              </w:rPr>
            </w:pPr>
            <w:r>
              <w:rPr>
                <w:rFonts w:hint="eastAsia" w:ascii="宋体" w:hAnsi="宋体" w:cs="宋体"/>
                <w:kern w:val="0"/>
                <w:sz w:val="18"/>
                <w:szCs w:val="18"/>
              </w:rPr>
              <w:t>……</w:t>
            </w:r>
          </w:p>
        </w:tc>
        <w:tc>
          <w:tcPr>
            <w:tcW w:w="914" w:type="dxa"/>
            <w:vAlign w:val="center"/>
          </w:tcPr>
          <w:p w14:paraId="7DFDF5B7">
            <w:pPr>
              <w:widowControl/>
              <w:jc w:val="center"/>
              <w:rPr>
                <w:rFonts w:ascii="宋体" w:hAnsi="宋体" w:cs="宋体"/>
                <w:kern w:val="0"/>
                <w:sz w:val="18"/>
                <w:szCs w:val="18"/>
              </w:rPr>
            </w:pPr>
            <w:r>
              <w:rPr>
                <w:rFonts w:hint="eastAsia" w:ascii="宋体" w:hAnsi="宋体" w:cs="宋体"/>
                <w:kern w:val="0"/>
                <w:sz w:val="18"/>
                <w:szCs w:val="18"/>
              </w:rPr>
              <w:t>……</w:t>
            </w:r>
          </w:p>
        </w:tc>
        <w:tc>
          <w:tcPr>
            <w:tcW w:w="1135" w:type="dxa"/>
            <w:vAlign w:val="center"/>
          </w:tcPr>
          <w:p w14:paraId="31332C5C">
            <w:pPr>
              <w:widowControl/>
              <w:jc w:val="center"/>
              <w:rPr>
                <w:rFonts w:ascii="宋体" w:hAnsi="宋体" w:cs="宋体"/>
                <w:kern w:val="0"/>
                <w:sz w:val="18"/>
                <w:szCs w:val="18"/>
              </w:rPr>
            </w:pPr>
            <w:r>
              <w:rPr>
                <w:rFonts w:hint="eastAsia" w:ascii="宋体" w:hAnsi="宋体" w:cs="宋体"/>
                <w:kern w:val="0"/>
                <w:sz w:val="18"/>
                <w:szCs w:val="18"/>
              </w:rPr>
              <w:t>……</w:t>
            </w:r>
          </w:p>
        </w:tc>
      </w:tr>
    </w:tbl>
    <w:p w14:paraId="7423F59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pacing w:val="-3"/>
          <w:szCs w:val="21"/>
        </w:rPr>
        <w:t>投标人应在本表后提供相关证明材料（原件原色扫描件）附件</w:t>
      </w:r>
      <w:r>
        <w:rPr>
          <w:rFonts w:ascii="宋体" w:hAnsi="宋体" w:cs="宋体"/>
          <w:spacing w:val="-3"/>
          <w:szCs w:val="21"/>
        </w:rPr>
        <w:t>B2系列</w:t>
      </w:r>
      <w:r>
        <w:rPr>
          <w:rFonts w:hint="eastAsia" w:ascii="宋体" w:hAnsi="宋体" w:cs="宋体"/>
          <w:szCs w:val="21"/>
        </w:rPr>
        <w:t>（身份证、技术职称证、执业资格证、社保证明、个人业绩证明）。</w:t>
      </w:r>
      <w:r>
        <w:rPr>
          <w:rFonts w:hint="eastAsia" w:ascii="宋体" w:hAnsi="宋体" w:cs="宋体"/>
        </w:rPr>
        <w:t>证明材料构成应与招标人对拟委任主要人员的要求一一对应，未作要求的内容不得要求投标人提供相应的证明材料。</w:t>
      </w:r>
    </w:p>
    <w:p w14:paraId="7E99858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szCs w:val="21"/>
        </w:rPr>
      </w:pPr>
      <w:r>
        <w:rPr>
          <w:rFonts w:ascii="宋体" w:hAnsi="宋体" w:cs="宋体"/>
          <w:szCs w:val="21"/>
        </w:rPr>
        <w:t>2.因投标人自身原因未提供附件或提供的附件不能与所证明的内容相匹配，造成业绩或其他内容不予认可时，投标人自行承担相关责任。</w:t>
      </w:r>
    </w:p>
    <w:p w14:paraId="5308CE9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szCs w:val="21"/>
        </w:rPr>
      </w:pPr>
      <w:r>
        <w:rPr>
          <w:rFonts w:ascii="宋体" w:hAnsi="宋体" w:cs="宋体"/>
          <w:szCs w:val="21"/>
        </w:rPr>
        <w:t>3.个人业绩证明材料为：</w:t>
      </w:r>
    </w:p>
    <w:p w14:paraId="36C2C0E4">
      <w:pPr>
        <w:keepNext w:val="0"/>
        <w:keepLines w:val="0"/>
        <w:pageBreakBefore w:val="0"/>
        <w:widowControl w:val="0"/>
        <w:kinsoku/>
        <w:wordWrap/>
        <w:overflowPunct/>
        <w:topLinePunct w:val="0"/>
        <w:autoSpaceDE/>
        <w:autoSpaceDN/>
        <w:bidi w:val="0"/>
        <w:adjustRightInd/>
        <w:snapToGrid/>
        <w:spacing w:line="300" w:lineRule="exact"/>
        <w:ind w:firstLine="738" w:firstLineChars="350"/>
        <w:textAlignment w:val="auto"/>
        <w:rPr>
          <w:rFonts w:ascii="宋体" w:hAnsi="宋体" w:cs="宋体"/>
          <w:spacing w:val="-3"/>
          <w:szCs w:val="21"/>
        </w:rPr>
      </w:pPr>
      <w:r>
        <w:rPr>
          <w:rFonts w:ascii="宋体" w:hAnsi="宋体" w:cs="宋体"/>
          <w:b/>
          <w:bCs/>
          <w:szCs w:val="21"/>
        </w:rPr>
        <w:sym w:font="Wingdings 2" w:char="00A3"/>
      </w:r>
      <w:r>
        <w:rPr>
          <w:rFonts w:ascii="宋体" w:hAnsi="宋体" w:cs="宋体"/>
          <w:b/>
          <w:bCs/>
          <w:szCs w:val="21"/>
        </w:rPr>
        <w:t xml:space="preserve"> </w:t>
      </w:r>
      <w:r>
        <w:rPr>
          <w:rFonts w:hint="eastAsia" w:ascii="宋体" w:hAnsi="宋体" w:cs="宋体"/>
          <w:szCs w:val="21"/>
        </w:rPr>
        <w:t>交通运输部“</w:t>
      </w:r>
      <w:r>
        <w:rPr>
          <w:rFonts w:hint="eastAsia" w:cs="宋体" w:asciiTheme="minorEastAsia" w:hAnsiTheme="minorEastAsia" w:eastAsiaTheme="minorEastAsia"/>
          <w:szCs w:val="21"/>
        </w:rPr>
        <w:t>全国公路建设市场监督管理系统</w:t>
      </w:r>
      <w:r>
        <w:rPr>
          <w:rFonts w:hint="eastAsia" w:ascii="宋体" w:hAnsi="宋体" w:cs="宋体"/>
          <w:szCs w:val="21"/>
        </w:rPr>
        <w:t>”中载明的、能够证明该人员具有相关业绩的网页截图（仅适用于根据《关于发布公路工程从业企业资质名录的通知》（厅公路字〔2011〕114号）要求，招标人应通过名录对投标人资质条件进行审核的公路工程设计企业单位人员。</w:t>
      </w:r>
      <w:r>
        <w:rPr>
          <w:rFonts w:hint="eastAsia" w:ascii="宋体" w:hAnsi="宋体"/>
          <w:szCs w:val="21"/>
        </w:rPr>
        <w:t>否则，招标人可对相关个人业绩提出其他证明材料要求</w:t>
      </w:r>
      <w:r>
        <w:rPr>
          <w:rFonts w:hint="eastAsia" w:ascii="宋体" w:hAnsi="宋体" w:cs="宋体"/>
          <w:szCs w:val="21"/>
        </w:rPr>
        <w:t>）。□</w:t>
      </w:r>
      <w:r>
        <w:rPr>
          <w:rFonts w:hint="eastAsia" w:ascii="宋体" w:hAnsi="宋体" w:cs="宋体"/>
          <w:spacing w:val="-3"/>
          <w:szCs w:val="21"/>
        </w:rPr>
        <w:t>或</w:t>
      </w:r>
    </w:p>
    <w:p w14:paraId="4529FEEE">
      <w:pPr>
        <w:keepNext w:val="0"/>
        <w:keepLines w:val="0"/>
        <w:pageBreakBefore w:val="0"/>
        <w:widowControl w:val="0"/>
        <w:kinsoku/>
        <w:wordWrap/>
        <w:overflowPunct/>
        <w:topLinePunct w:val="0"/>
        <w:autoSpaceDE/>
        <w:autoSpaceDN/>
        <w:bidi w:val="0"/>
        <w:adjustRightInd/>
        <w:snapToGrid/>
        <w:spacing w:line="300" w:lineRule="exact"/>
        <w:ind w:firstLine="738" w:firstLineChars="350"/>
        <w:textAlignment w:val="auto"/>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合同协议书；□</w:t>
      </w:r>
      <w:r>
        <w:rPr>
          <w:rFonts w:ascii="宋体" w:hAnsi="宋体" w:cs="宋体"/>
          <w:szCs w:val="21"/>
        </w:rPr>
        <w:t xml:space="preserve">或   </w:t>
      </w:r>
      <w:r>
        <w:rPr>
          <w:rFonts w:ascii="宋体" w:hAnsi="宋体" w:cs="宋体"/>
          <w:szCs w:val="21"/>
        </w:rPr>
        <w:sym w:font="Wingdings 2" w:char="00A3"/>
      </w:r>
      <w:r>
        <w:rPr>
          <w:rFonts w:hint="eastAsia" w:ascii="宋体" w:hAnsi="宋体" w:cs="宋体"/>
          <w:szCs w:val="21"/>
        </w:rPr>
        <w:t>和</w:t>
      </w:r>
    </w:p>
    <w:p w14:paraId="3C09852E">
      <w:pPr>
        <w:keepNext w:val="0"/>
        <w:keepLines w:val="0"/>
        <w:pageBreakBefore w:val="0"/>
        <w:widowControl w:val="0"/>
        <w:kinsoku/>
        <w:wordWrap/>
        <w:overflowPunct/>
        <w:topLinePunct w:val="0"/>
        <w:autoSpaceDE/>
        <w:autoSpaceDN/>
        <w:bidi w:val="0"/>
        <w:adjustRightInd/>
        <w:snapToGrid/>
        <w:spacing w:line="300" w:lineRule="exact"/>
        <w:ind w:firstLine="1155" w:firstLineChars="550"/>
        <w:textAlignment w:val="auto"/>
        <w:rPr>
          <w:rFonts w:ascii="宋体" w:hAnsi="宋体" w:cs="宋体"/>
          <w:szCs w:val="21"/>
        </w:rPr>
      </w:pPr>
      <w:r>
        <w:rPr>
          <w:rFonts w:hint="eastAsia" w:ascii="宋体" w:hAnsi="宋体" w:cs="宋体"/>
          <w:szCs w:val="21"/>
        </w:rPr>
        <w:t>□业主（发包人）证明的原件原色扫描件，其中应能够证明该人员具有相关业绩。</w:t>
      </w:r>
    </w:p>
    <w:p w14:paraId="343DF414">
      <w:pPr>
        <w:keepNext w:val="0"/>
        <w:keepLines w:val="0"/>
        <w:pageBreakBefore w:val="0"/>
        <w:widowControl w:val="0"/>
        <w:numPr>
          <w:ilvl w:val="255"/>
          <w:numId w:val="0"/>
        </w:numPr>
        <w:kinsoku/>
        <w:wordWrap/>
        <w:overflowPunct/>
        <w:topLinePunct w:val="0"/>
        <w:autoSpaceDE/>
        <w:autoSpaceDN/>
        <w:bidi w:val="0"/>
        <w:adjustRightInd/>
        <w:snapToGrid/>
        <w:spacing w:line="300" w:lineRule="exact"/>
        <w:ind w:left="189" w:leftChars="90" w:firstLine="204" w:firstLineChars="100"/>
        <w:textAlignment w:val="auto"/>
        <w:rPr>
          <w:rFonts w:ascii="宋体" w:hAnsi="宋体" w:cs="宋体"/>
          <w:szCs w:val="21"/>
        </w:rPr>
      </w:pPr>
      <w:r>
        <w:rPr>
          <w:rFonts w:ascii="宋体" w:hAnsi="宋体" w:cs="宋体"/>
          <w:spacing w:val="-3"/>
          <w:szCs w:val="21"/>
        </w:rPr>
        <w:t>4.</w:t>
      </w:r>
      <w:r>
        <w:rPr>
          <w:rFonts w:hint="eastAsia" w:ascii="宋体" w:hAnsi="宋体" w:cs="宋体"/>
          <w:szCs w:val="21"/>
        </w:rPr>
        <w:t>提供社保时间段要求：例如投标截止日所在月为“</w:t>
      </w:r>
      <w:r>
        <w:rPr>
          <w:rFonts w:ascii="宋体" w:hAnsi="宋体" w:cs="宋体"/>
          <w:szCs w:val="21"/>
        </w:rPr>
        <w:t>2021年12月”，则提供“2021年6～11月”或“2021年5～10月”在其投标单位连续6个月参加社保的证明材料。</w:t>
      </w:r>
    </w:p>
    <w:p w14:paraId="6400115A">
      <w:pPr>
        <w:keepNext w:val="0"/>
        <w:keepLines w:val="0"/>
        <w:pageBreakBefore w:val="0"/>
        <w:widowControl w:val="0"/>
        <w:numPr>
          <w:ilvl w:val="255"/>
          <w:numId w:val="0"/>
        </w:numPr>
        <w:kinsoku/>
        <w:wordWrap/>
        <w:overflowPunct/>
        <w:topLinePunct w:val="0"/>
        <w:autoSpaceDE/>
        <w:autoSpaceDN/>
        <w:bidi w:val="0"/>
        <w:adjustRightInd/>
        <w:snapToGrid/>
        <w:spacing w:line="300" w:lineRule="exact"/>
        <w:ind w:left="0" w:leftChars="0" w:firstLine="420" w:firstLineChars="200"/>
        <w:textAlignment w:val="auto"/>
        <w:rPr>
          <w:rFonts w:ascii="宋体" w:hAnsi="宋体" w:cs="宋体"/>
          <w:szCs w:val="21"/>
        </w:rPr>
      </w:pPr>
      <w:r>
        <w:rPr>
          <w:rFonts w:ascii="宋体" w:hAnsi="宋体" w:cs="宋体"/>
          <w:szCs w:val="21"/>
        </w:rPr>
        <w:t>5.允许联合体投标时，若以联合体形式投标的，勘察设计技术负责人应按照第二章“投标人须知”前附表附录4资格审查条件的要求及第三章“评</w:t>
      </w:r>
      <w:r>
        <w:rPr>
          <w:rFonts w:hint="eastAsia" w:ascii="宋体" w:hAnsi="宋体" w:cs="宋体"/>
          <w:szCs w:val="21"/>
        </w:rPr>
        <w:t>标办法”详细评审打分条件（如有）填写本表。</w:t>
      </w:r>
    </w:p>
    <w:p w14:paraId="36DDD82E">
      <w:pPr>
        <w:shd w:val="clear" w:color="auto" w:fill="FFFFFF"/>
        <w:adjustRightInd w:val="0"/>
        <w:snapToGrid w:val="0"/>
        <w:ind w:left="357" w:firstLineChars="2200"/>
        <w:jc w:val="both"/>
        <w:rPr>
          <w:rFonts w:hint="eastAsia" w:ascii="黑体" w:hAnsi="黑体" w:eastAsia="黑体"/>
          <w:b/>
        </w:rPr>
      </w:pPr>
      <w:r>
        <w:rPr>
          <w:rFonts w:hint="eastAsia" w:ascii="黑体" w:hAnsi="黑体" w:eastAsia="黑体"/>
          <w:b/>
        </w:rPr>
        <w:br w:type="page"/>
      </w:r>
    </w:p>
    <w:p w14:paraId="0B525A1C">
      <w:pPr>
        <w:pStyle w:val="43"/>
        <w:shd w:val="clear" w:color="auto" w:fill="FFFFFF"/>
        <w:adjustRightInd w:val="0"/>
        <w:snapToGrid w:val="0"/>
        <w:spacing w:line="360" w:lineRule="auto"/>
        <w:ind w:left="357" w:firstLine="5301" w:firstLineChars="2200"/>
        <w:jc w:val="both"/>
        <w:rPr>
          <w:rFonts w:ascii="黑体" w:hAnsi="黑体" w:eastAsia="黑体"/>
          <w:bCs/>
        </w:rPr>
      </w:pPr>
      <w:r>
        <w:rPr>
          <w:rFonts w:hint="eastAsia" w:ascii="黑体" w:hAnsi="黑体" w:eastAsia="黑体"/>
          <w:b/>
        </w:rPr>
        <w:t>□</w:t>
      </w:r>
      <w:r>
        <w:rPr>
          <w:rFonts w:ascii="黑体" w:hAnsi="黑体" w:eastAsia="黑体"/>
          <w:b/>
        </w:rPr>
        <w:t xml:space="preserve">  </w:t>
      </w:r>
      <w:r>
        <w:rPr>
          <w:rFonts w:ascii="黑体" w:hAnsi="黑体" w:eastAsia="黑体"/>
          <w:bCs/>
        </w:rPr>
        <w:t xml:space="preserve">项目经理资历情况                                      </w:t>
      </w:r>
      <w:r>
        <w:rPr>
          <w:rFonts w:hint="eastAsia" w:ascii="黑体" w:hAnsi="黑体" w:eastAsia="黑体"/>
          <w:bCs/>
        </w:rPr>
        <w:t>表</w:t>
      </w:r>
      <w:r>
        <w:rPr>
          <w:rFonts w:ascii="黑体" w:hAnsi="黑体" w:eastAsia="黑体"/>
          <w:bCs/>
        </w:rPr>
        <w:t>4</w:t>
      </w:r>
    </w:p>
    <w:tbl>
      <w:tblPr>
        <w:tblStyle w:val="49"/>
        <w:tblW w:w="14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75"/>
        <w:gridCol w:w="658"/>
        <w:gridCol w:w="134"/>
        <w:gridCol w:w="1470"/>
        <w:gridCol w:w="525"/>
        <w:gridCol w:w="773"/>
        <w:gridCol w:w="851"/>
        <w:gridCol w:w="783"/>
        <w:gridCol w:w="785"/>
        <w:gridCol w:w="862"/>
        <w:gridCol w:w="621"/>
        <w:gridCol w:w="286"/>
        <w:gridCol w:w="939"/>
        <w:gridCol w:w="78"/>
        <w:gridCol w:w="856"/>
        <w:gridCol w:w="675"/>
        <w:gridCol w:w="702"/>
        <w:gridCol w:w="526"/>
        <w:gridCol w:w="1316"/>
        <w:gridCol w:w="6"/>
      </w:tblGrid>
      <w:tr w14:paraId="48C1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7" w:type="dxa"/>
            <w:gridSpan w:val="19"/>
            <w:vAlign w:val="center"/>
          </w:tcPr>
          <w:p w14:paraId="39C13866">
            <w:pPr>
              <w:widowControl/>
              <w:jc w:val="center"/>
              <w:rPr>
                <w:rFonts w:ascii="宋体" w:hAnsi="宋体" w:cs="宋体"/>
                <w:bCs/>
                <w:kern w:val="0"/>
                <w:sz w:val="18"/>
                <w:szCs w:val="18"/>
              </w:rPr>
            </w:pPr>
            <w:bookmarkStart w:id="909" w:name="_Hlk52814445"/>
            <w:r>
              <w:rPr>
                <w:rFonts w:hint="eastAsia" w:ascii="宋体" w:hAnsi="宋体" w:cs="宋体"/>
                <w:bCs/>
                <w:kern w:val="0"/>
                <w:sz w:val="18"/>
                <w:szCs w:val="18"/>
              </w:rPr>
              <w:t>基本信息</w:t>
            </w:r>
          </w:p>
        </w:tc>
        <w:tc>
          <w:tcPr>
            <w:tcW w:w="1322" w:type="dxa"/>
            <w:gridSpan w:val="2"/>
            <w:vAlign w:val="center"/>
          </w:tcPr>
          <w:p w14:paraId="7EC85F48">
            <w:pPr>
              <w:widowControl/>
              <w:jc w:val="center"/>
              <w:rPr>
                <w:rFonts w:ascii="宋体" w:hAnsi="宋体" w:cs="宋体"/>
                <w:bCs/>
                <w:kern w:val="0"/>
                <w:sz w:val="18"/>
                <w:szCs w:val="18"/>
              </w:rPr>
            </w:pPr>
            <w:r>
              <w:rPr>
                <w:rFonts w:ascii="宋体" w:hAnsi="宋体" w:cs="宋体"/>
                <w:bCs/>
                <w:kern w:val="0"/>
                <w:sz w:val="18"/>
                <w:szCs w:val="18"/>
              </w:rPr>
              <w:t>基本信息附件</w:t>
            </w:r>
          </w:p>
        </w:tc>
      </w:tr>
      <w:tr w14:paraId="71FD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2105" w:type="dxa"/>
            <w:gridSpan w:val="4"/>
            <w:vAlign w:val="center"/>
          </w:tcPr>
          <w:p w14:paraId="551EED1A">
            <w:pPr>
              <w:widowControl/>
              <w:jc w:val="center"/>
              <w:rPr>
                <w:rFonts w:ascii="宋体" w:hAnsi="宋体" w:cs="宋体"/>
                <w:bCs/>
                <w:kern w:val="0"/>
                <w:sz w:val="18"/>
                <w:szCs w:val="18"/>
              </w:rPr>
            </w:pPr>
            <w:r>
              <w:rPr>
                <w:rFonts w:hint="eastAsia" w:ascii="宋体" w:hAnsi="宋体" w:cs="宋体"/>
                <w:bCs/>
                <w:kern w:val="0"/>
                <w:sz w:val="18"/>
                <w:szCs w:val="18"/>
              </w:rPr>
              <w:t>姓名</w:t>
            </w:r>
          </w:p>
        </w:tc>
        <w:tc>
          <w:tcPr>
            <w:tcW w:w="3619" w:type="dxa"/>
            <w:gridSpan w:val="4"/>
            <w:vAlign w:val="center"/>
          </w:tcPr>
          <w:p w14:paraId="27EACE8B">
            <w:pPr>
              <w:widowControl/>
              <w:jc w:val="center"/>
              <w:rPr>
                <w:rFonts w:ascii="宋体" w:hAnsi="宋体" w:cs="宋体"/>
                <w:bCs/>
                <w:kern w:val="0"/>
                <w:sz w:val="18"/>
                <w:szCs w:val="18"/>
              </w:rPr>
            </w:pPr>
          </w:p>
        </w:tc>
        <w:tc>
          <w:tcPr>
            <w:tcW w:w="783" w:type="dxa"/>
            <w:vAlign w:val="center"/>
          </w:tcPr>
          <w:p w14:paraId="7E1D730D">
            <w:pPr>
              <w:widowControl/>
              <w:jc w:val="center"/>
              <w:rPr>
                <w:rFonts w:ascii="宋体" w:hAnsi="宋体" w:cs="宋体"/>
                <w:bCs/>
                <w:kern w:val="0"/>
                <w:sz w:val="18"/>
                <w:szCs w:val="18"/>
              </w:rPr>
            </w:pPr>
            <w:r>
              <w:rPr>
                <w:rFonts w:hint="eastAsia" w:ascii="宋体" w:hAnsi="宋体" w:cs="宋体"/>
                <w:bCs/>
                <w:kern w:val="0"/>
                <w:sz w:val="18"/>
                <w:szCs w:val="18"/>
              </w:rPr>
              <w:t>年龄</w:t>
            </w:r>
          </w:p>
        </w:tc>
        <w:tc>
          <w:tcPr>
            <w:tcW w:w="2268" w:type="dxa"/>
            <w:gridSpan w:val="3"/>
            <w:vAlign w:val="center"/>
          </w:tcPr>
          <w:p w14:paraId="6DB7294C">
            <w:pPr>
              <w:widowControl/>
              <w:jc w:val="center"/>
              <w:rPr>
                <w:rFonts w:ascii="宋体" w:hAnsi="宋体" w:cs="宋体"/>
                <w:bCs/>
                <w:kern w:val="0"/>
                <w:sz w:val="18"/>
                <w:szCs w:val="18"/>
              </w:rPr>
            </w:pPr>
          </w:p>
        </w:tc>
        <w:tc>
          <w:tcPr>
            <w:tcW w:w="1303" w:type="dxa"/>
            <w:gridSpan w:val="3"/>
            <w:vAlign w:val="center"/>
          </w:tcPr>
          <w:p w14:paraId="1AABA4D5">
            <w:pPr>
              <w:widowControl/>
              <w:jc w:val="center"/>
              <w:rPr>
                <w:rFonts w:ascii="宋体" w:hAnsi="宋体" w:cs="宋体"/>
                <w:bCs/>
                <w:kern w:val="0"/>
                <w:sz w:val="18"/>
                <w:szCs w:val="18"/>
              </w:rPr>
            </w:pPr>
            <w:r>
              <w:rPr>
                <w:rFonts w:hint="eastAsia" w:ascii="宋体" w:hAnsi="宋体" w:cs="宋体"/>
                <w:bCs/>
                <w:kern w:val="0"/>
                <w:sz w:val="18"/>
                <w:szCs w:val="18"/>
              </w:rPr>
              <w:t>身份证号码</w:t>
            </w:r>
          </w:p>
        </w:tc>
        <w:tc>
          <w:tcPr>
            <w:tcW w:w="2759" w:type="dxa"/>
            <w:gridSpan w:val="4"/>
            <w:vAlign w:val="center"/>
          </w:tcPr>
          <w:p w14:paraId="1A99B515">
            <w:pPr>
              <w:widowControl/>
              <w:jc w:val="center"/>
              <w:rPr>
                <w:rFonts w:ascii="宋体" w:hAnsi="宋体" w:cs="宋体"/>
                <w:bCs/>
                <w:kern w:val="0"/>
                <w:sz w:val="18"/>
                <w:szCs w:val="18"/>
              </w:rPr>
            </w:pPr>
          </w:p>
        </w:tc>
        <w:tc>
          <w:tcPr>
            <w:tcW w:w="1316" w:type="dxa"/>
            <w:vAlign w:val="center"/>
          </w:tcPr>
          <w:p w14:paraId="221F9116">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B1.1</w:t>
            </w:r>
          </w:p>
        </w:tc>
      </w:tr>
      <w:tr w14:paraId="655F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2105" w:type="dxa"/>
            <w:gridSpan w:val="4"/>
            <w:vAlign w:val="center"/>
          </w:tcPr>
          <w:p w14:paraId="2A7C8441">
            <w:pPr>
              <w:widowControl/>
              <w:jc w:val="center"/>
              <w:rPr>
                <w:rFonts w:ascii="宋体" w:hAnsi="宋体" w:cs="宋体"/>
                <w:bCs/>
                <w:kern w:val="0"/>
                <w:sz w:val="18"/>
                <w:szCs w:val="18"/>
              </w:rPr>
            </w:pPr>
            <w:r>
              <w:rPr>
                <w:rFonts w:hint="eastAsia" w:ascii="宋体" w:hAnsi="宋体" w:cs="宋体"/>
                <w:bCs/>
                <w:kern w:val="0"/>
                <w:sz w:val="18"/>
                <w:szCs w:val="18"/>
              </w:rPr>
              <w:t>技术职称等级</w:t>
            </w:r>
          </w:p>
        </w:tc>
        <w:tc>
          <w:tcPr>
            <w:tcW w:w="3619" w:type="dxa"/>
            <w:gridSpan w:val="4"/>
            <w:vAlign w:val="center"/>
          </w:tcPr>
          <w:p w14:paraId="526EEC21">
            <w:pPr>
              <w:widowControl/>
              <w:jc w:val="left"/>
              <w:rPr>
                <w:rFonts w:ascii="宋体" w:hAnsi="宋体" w:cs="宋体"/>
                <w:kern w:val="0"/>
                <w:sz w:val="18"/>
                <w:szCs w:val="18"/>
              </w:rPr>
            </w:pPr>
            <w:r>
              <w:rPr>
                <w:rFonts w:hint="eastAsia" w:ascii="宋体" w:hAnsi="宋体" w:cs="宋体"/>
                <w:kern w:val="0"/>
                <w:sz w:val="18"/>
                <w:szCs w:val="18"/>
              </w:rPr>
              <w:t>□工程师</w:t>
            </w:r>
            <w:r>
              <w:rPr>
                <w:rFonts w:ascii="宋体" w:hAnsi="宋体" w:cs="宋体"/>
                <w:kern w:val="0"/>
                <w:sz w:val="18"/>
                <w:szCs w:val="18"/>
              </w:rPr>
              <w:t xml:space="preserve">  </w:t>
            </w:r>
            <w:r>
              <w:rPr>
                <w:rFonts w:hint="eastAsia" w:ascii="宋体" w:hAnsi="宋体" w:cs="宋体"/>
                <w:kern w:val="0"/>
                <w:sz w:val="18"/>
                <w:szCs w:val="18"/>
              </w:rPr>
              <w:t>□高级工程师</w:t>
            </w:r>
            <w:r>
              <w:rPr>
                <w:rFonts w:ascii="宋体" w:hAnsi="宋体" w:cs="宋体"/>
                <w:kern w:val="0"/>
                <w:sz w:val="18"/>
                <w:szCs w:val="18"/>
              </w:rPr>
              <w:t xml:space="preserve"> </w:t>
            </w:r>
          </w:p>
          <w:p w14:paraId="6A56332B">
            <w:pPr>
              <w:widowControl/>
              <w:jc w:val="left"/>
              <w:rPr>
                <w:rFonts w:ascii="宋体" w:hAnsi="宋体" w:cs="宋体"/>
                <w:bCs/>
                <w:kern w:val="0"/>
                <w:sz w:val="18"/>
                <w:szCs w:val="18"/>
              </w:rPr>
            </w:pPr>
            <w:r>
              <w:rPr>
                <w:rFonts w:hint="eastAsia" w:ascii="宋体" w:hAnsi="宋体" w:cs="宋体"/>
                <w:kern w:val="0"/>
                <w:sz w:val="18"/>
                <w:szCs w:val="18"/>
              </w:rPr>
              <w:t>□正（教授级或研究员级）高级工程师</w:t>
            </w:r>
          </w:p>
        </w:tc>
        <w:tc>
          <w:tcPr>
            <w:tcW w:w="783" w:type="dxa"/>
            <w:vAlign w:val="center"/>
          </w:tcPr>
          <w:p w14:paraId="47514F2B">
            <w:pPr>
              <w:widowControl/>
              <w:jc w:val="center"/>
              <w:rPr>
                <w:rFonts w:ascii="宋体" w:hAnsi="宋体" w:cs="宋体"/>
                <w:bCs/>
                <w:kern w:val="0"/>
                <w:sz w:val="18"/>
                <w:szCs w:val="18"/>
              </w:rPr>
            </w:pPr>
            <w:r>
              <w:rPr>
                <w:rFonts w:hint="eastAsia" w:ascii="宋体" w:hAnsi="宋体" w:cs="宋体"/>
                <w:bCs/>
                <w:kern w:val="0"/>
                <w:sz w:val="18"/>
                <w:szCs w:val="18"/>
              </w:rPr>
              <w:t>专业</w:t>
            </w:r>
          </w:p>
        </w:tc>
        <w:tc>
          <w:tcPr>
            <w:tcW w:w="2268" w:type="dxa"/>
            <w:gridSpan w:val="3"/>
            <w:vAlign w:val="center"/>
          </w:tcPr>
          <w:p w14:paraId="3052001A">
            <w:pPr>
              <w:widowControl/>
              <w:jc w:val="center"/>
              <w:rPr>
                <w:rFonts w:ascii="宋体" w:hAnsi="宋体" w:cs="宋体"/>
                <w:bCs/>
                <w:kern w:val="0"/>
                <w:sz w:val="18"/>
                <w:szCs w:val="18"/>
              </w:rPr>
            </w:pPr>
          </w:p>
        </w:tc>
        <w:tc>
          <w:tcPr>
            <w:tcW w:w="1303" w:type="dxa"/>
            <w:gridSpan w:val="3"/>
            <w:vAlign w:val="center"/>
          </w:tcPr>
          <w:p w14:paraId="7152E541">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759" w:type="dxa"/>
            <w:gridSpan w:val="4"/>
            <w:vAlign w:val="center"/>
          </w:tcPr>
          <w:p w14:paraId="10A3E648">
            <w:pPr>
              <w:widowControl/>
              <w:jc w:val="center"/>
              <w:rPr>
                <w:rFonts w:ascii="宋体" w:hAnsi="宋体" w:cs="宋体"/>
                <w:bCs/>
                <w:kern w:val="0"/>
                <w:sz w:val="18"/>
                <w:szCs w:val="18"/>
              </w:rPr>
            </w:pPr>
          </w:p>
        </w:tc>
        <w:tc>
          <w:tcPr>
            <w:tcW w:w="1316" w:type="dxa"/>
            <w:vAlign w:val="center"/>
          </w:tcPr>
          <w:p w14:paraId="678DEB93">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B1.2</w:t>
            </w:r>
          </w:p>
        </w:tc>
      </w:tr>
      <w:tr w14:paraId="4303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2105" w:type="dxa"/>
            <w:gridSpan w:val="4"/>
            <w:vAlign w:val="center"/>
          </w:tcPr>
          <w:p w14:paraId="1E9E27F7">
            <w:pPr>
              <w:widowControl/>
              <w:jc w:val="center"/>
              <w:rPr>
                <w:rFonts w:ascii="宋体" w:hAnsi="宋体" w:cs="宋体"/>
                <w:bCs/>
                <w:kern w:val="0"/>
                <w:sz w:val="18"/>
                <w:szCs w:val="18"/>
              </w:rPr>
            </w:pPr>
            <w:r>
              <w:rPr>
                <w:rFonts w:hint="eastAsia" w:ascii="宋体" w:hAnsi="宋体" w:cs="宋体"/>
                <w:bCs/>
                <w:kern w:val="0"/>
                <w:sz w:val="18"/>
                <w:szCs w:val="18"/>
              </w:rPr>
              <w:t>执业资格证书</w:t>
            </w:r>
          </w:p>
        </w:tc>
        <w:tc>
          <w:tcPr>
            <w:tcW w:w="3619" w:type="dxa"/>
            <w:gridSpan w:val="4"/>
            <w:vAlign w:val="center"/>
          </w:tcPr>
          <w:p w14:paraId="1430E46F">
            <w:pPr>
              <w:widowControl/>
              <w:rPr>
                <w:rFonts w:ascii="宋体" w:hAnsi="宋体" w:cs="宋体"/>
                <w:kern w:val="0"/>
                <w:sz w:val="18"/>
                <w:szCs w:val="18"/>
              </w:rPr>
            </w:pPr>
            <w:r>
              <w:rPr>
                <w:rFonts w:hint="eastAsia" w:ascii="宋体" w:hAnsi="宋体" w:cs="宋体"/>
                <w:kern w:val="0"/>
                <w:sz w:val="18"/>
                <w:szCs w:val="18"/>
              </w:rPr>
              <w:t>□一级注册建造师</w:t>
            </w:r>
            <w:r>
              <w:rPr>
                <w:rFonts w:ascii="宋体" w:hAnsi="宋体" w:cs="宋体"/>
                <w:kern w:val="0"/>
                <w:sz w:val="18"/>
                <w:szCs w:val="18"/>
              </w:rPr>
              <w:t xml:space="preserve">    </w:t>
            </w:r>
            <w:r>
              <w:rPr>
                <w:rFonts w:hint="eastAsia" w:ascii="宋体" w:hAnsi="宋体" w:cs="宋体"/>
                <w:kern w:val="0"/>
                <w:sz w:val="18"/>
                <w:szCs w:val="18"/>
              </w:rPr>
              <w:t>□二级注册建造师</w:t>
            </w:r>
          </w:p>
        </w:tc>
        <w:tc>
          <w:tcPr>
            <w:tcW w:w="783" w:type="dxa"/>
            <w:vAlign w:val="center"/>
          </w:tcPr>
          <w:p w14:paraId="02E49ECF">
            <w:pPr>
              <w:widowControl/>
              <w:jc w:val="center"/>
              <w:rPr>
                <w:rFonts w:ascii="宋体" w:hAnsi="宋体" w:cs="宋体"/>
                <w:bCs/>
                <w:kern w:val="0"/>
                <w:sz w:val="18"/>
                <w:szCs w:val="18"/>
              </w:rPr>
            </w:pPr>
            <w:r>
              <w:rPr>
                <w:rFonts w:hint="eastAsia" w:ascii="宋体" w:hAnsi="宋体" w:cs="宋体"/>
                <w:kern w:val="0"/>
                <w:sz w:val="18"/>
                <w:szCs w:val="18"/>
              </w:rPr>
              <w:t>专业</w:t>
            </w:r>
          </w:p>
        </w:tc>
        <w:tc>
          <w:tcPr>
            <w:tcW w:w="2268" w:type="dxa"/>
            <w:gridSpan w:val="3"/>
            <w:vAlign w:val="center"/>
          </w:tcPr>
          <w:p w14:paraId="5CA9811F">
            <w:pPr>
              <w:widowControl/>
              <w:jc w:val="center"/>
              <w:rPr>
                <w:rFonts w:ascii="宋体" w:hAnsi="宋体" w:cs="宋体"/>
                <w:bCs/>
                <w:kern w:val="0"/>
                <w:sz w:val="18"/>
                <w:szCs w:val="18"/>
              </w:rPr>
            </w:pPr>
          </w:p>
        </w:tc>
        <w:tc>
          <w:tcPr>
            <w:tcW w:w="1303" w:type="dxa"/>
            <w:gridSpan w:val="3"/>
            <w:vAlign w:val="center"/>
          </w:tcPr>
          <w:p w14:paraId="511D9D17">
            <w:pPr>
              <w:widowControl/>
              <w:jc w:val="center"/>
              <w:rPr>
                <w:rFonts w:ascii="宋体" w:hAnsi="宋体" w:cs="宋体"/>
                <w:bCs/>
                <w:kern w:val="0"/>
                <w:sz w:val="18"/>
                <w:szCs w:val="18"/>
              </w:rPr>
            </w:pPr>
            <w:r>
              <w:rPr>
                <w:rFonts w:hint="eastAsia" w:ascii="宋体" w:hAnsi="宋体" w:cs="宋体"/>
                <w:kern w:val="0"/>
                <w:sz w:val="18"/>
                <w:szCs w:val="18"/>
              </w:rPr>
              <w:t>证书编号</w:t>
            </w:r>
          </w:p>
        </w:tc>
        <w:tc>
          <w:tcPr>
            <w:tcW w:w="2759" w:type="dxa"/>
            <w:gridSpan w:val="4"/>
            <w:vAlign w:val="center"/>
          </w:tcPr>
          <w:p w14:paraId="636D1CC8">
            <w:pPr>
              <w:widowControl/>
              <w:jc w:val="center"/>
              <w:rPr>
                <w:rFonts w:ascii="宋体" w:hAnsi="宋体" w:cs="宋体"/>
                <w:bCs/>
                <w:kern w:val="0"/>
                <w:sz w:val="18"/>
                <w:szCs w:val="18"/>
              </w:rPr>
            </w:pPr>
          </w:p>
        </w:tc>
        <w:tc>
          <w:tcPr>
            <w:tcW w:w="1316" w:type="dxa"/>
            <w:vAlign w:val="center"/>
          </w:tcPr>
          <w:p w14:paraId="657DCAF0">
            <w:pPr>
              <w:widowControl/>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B1.3</w:t>
            </w:r>
          </w:p>
        </w:tc>
      </w:tr>
      <w:tr w14:paraId="0C31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2105" w:type="dxa"/>
            <w:gridSpan w:val="4"/>
            <w:vAlign w:val="center"/>
          </w:tcPr>
          <w:p w14:paraId="67FD266F">
            <w:pPr>
              <w:widowControl/>
              <w:jc w:val="center"/>
              <w:rPr>
                <w:rFonts w:ascii="宋体" w:hAnsi="宋体" w:cs="宋体"/>
                <w:bCs/>
                <w:kern w:val="0"/>
                <w:sz w:val="18"/>
                <w:szCs w:val="18"/>
              </w:rPr>
            </w:pPr>
            <w:r>
              <w:rPr>
                <w:rFonts w:hint="eastAsia" w:ascii="宋体" w:hAnsi="宋体" w:cs="宋体"/>
                <w:bCs/>
                <w:kern w:val="0"/>
                <w:sz w:val="18"/>
                <w:szCs w:val="18"/>
              </w:rPr>
              <w:t>安全生产考核合格证</w:t>
            </w:r>
          </w:p>
        </w:tc>
        <w:tc>
          <w:tcPr>
            <w:tcW w:w="3619" w:type="dxa"/>
            <w:gridSpan w:val="4"/>
            <w:vAlign w:val="center"/>
          </w:tcPr>
          <w:p w14:paraId="7F8CD21A">
            <w:pPr>
              <w:widowControl/>
              <w:jc w:val="center"/>
              <w:rPr>
                <w:rFonts w:ascii="宋体" w:hAnsi="宋体" w:cs="宋体"/>
                <w:bCs/>
                <w:kern w:val="0"/>
                <w:sz w:val="18"/>
                <w:szCs w:val="18"/>
              </w:rPr>
            </w:pPr>
            <w:r>
              <w:rPr>
                <w:rFonts w:hint="eastAsia" w:ascii="宋体" w:hAnsi="宋体" w:cs="宋体"/>
                <w:kern w:val="0"/>
                <w:sz w:val="18"/>
                <w:szCs w:val="18"/>
              </w:rPr>
              <w:t>□交安类</w:t>
            </w:r>
            <w:r>
              <w:rPr>
                <w:rFonts w:ascii="宋体" w:hAnsi="宋体" w:cs="宋体"/>
                <w:kern w:val="0"/>
                <w:sz w:val="18"/>
                <w:szCs w:val="18"/>
              </w:rPr>
              <w:t xml:space="preserve">            　</w:t>
            </w:r>
          </w:p>
        </w:tc>
        <w:tc>
          <w:tcPr>
            <w:tcW w:w="783" w:type="dxa"/>
            <w:vAlign w:val="center"/>
          </w:tcPr>
          <w:p w14:paraId="32B36ADD">
            <w:pPr>
              <w:widowControl/>
              <w:jc w:val="center"/>
              <w:rPr>
                <w:rFonts w:ascii="宋体" w:hAnsi="宋体" w:cs="宋体"/>
                <w:bCs/>
                <w:kern w:val="0"/>
                <w:sz w:val="18"/>
                <w:szCs w:val="18"/>
              </w:rPr>
            </w:pPr>
            <w:r>
              <w:rPr>
                <w:rFonts w:hint="eastAsia" w:ascii="宋体" w:hAnsi="宋体" w:cs="宋体"/>
                <w:bCs/>
                <w:kern w:val="0"/>
                <w:sz w:val="18"/>
                <w:szCs w:val="18"/>
              </w:rPr>
              <w:t>类别</w:t>
            </w:r>
          </w:p>
        </w:tc>
        <w:tc>
          <w:tcPr>
            <w:tcW w:w="2268" w:type="dxa"/>
            <w:gridSpan w:val="3"/>
            <w:vAlign w:val="center"/>
          </w:tcPr>
          <w:p w14:paraId="464C3964">
            <w:pPr>
              <w:widowControl/>
              <w:jc w:val="center"/>
              <w:rPr>
                <w:rFonts w:ascii="宋体" w:hAnsi="宋体" w:cs="宋体"/>
                <w:bCs/>
                <w:kern w:val="0"/>
                <w:sz w:val="18"/>
                <w:szCs w:val="18"/>
              </w:rPr>
            </w:pPr>
            <w:r>
              <w:rPr>
                <w:rFonts w:hint="eastAsia" w:ascii="宋体" w:hAnsi="宋体" w:cs="宋体"/>
                <w:kern w:val="0"/>
                <w:sz w:val="18"/>
                <w:szCs w:val="18"/>
              </w:rPr>
              <w:t>□</w:t>
            </w:r>
            <w:r>
              <w:rPr>
                <w:rFonts w:ascii="宋体" w:hAnsi="宋体" w:cs="宋体"/>
                <w:kern w:val="0"/>
                <w:sz w:val="18"/>
                <w:szCs w:val="18"/>
              </w:rPr>
              <w:t xml:space="preserve"> B类</w:t>
            </w:r>
          </w:p>
        </w:tc>
        <w:tc>
          <w:tcPr>
            <w:tcW w:w="1303" w:type="dxa"/>
            <w:gridSpan w:val="3"/>
            <w:vAlign w:val="center"/>
          </w:tcPr>
          <w:p w14:paraId="3C77124D">
            <w:pPr>
              <w:widowControl/>
              <w:jc w:val="center"/>
              <w:rPr>
                <w:rFonts w:ascii="宋体" w:hAnsi="宋体" w:cs="宋体"/>
                <w:bCs/>
                <w:kern w:val="0"/>
                <w:sz w:val="18"/>
                <w:szCs w:val="18"/>
                <w:u w:val="single"/>
              </w:rPr>
            </w:pPr>
            <w:r>
              <w:rPr>
                <w:rFonts w:hint="eastAsia" w:ascii="宋体" w:hAnsi="宋体" w:cs="宋体"/>
                <w:kern w:val="0"/>
                <w:sz w:val="18"/>
                <w:szCs w:val="18"/>
              </w:rPr>
              <w:t>证书编号</w:t>
            </w:r>
          </w:p>
        </w:tc>
        <w:tc>
          <w:tcPr>
            <w:tcW w:w="2759" w:type="dxa"/>
            <w:gridSpan w:val="4"/>
            <w:vAlign w:val="center"/>
          </w:tcPr>
          <w:p w14:paraId="156243CA">
            <w:pPr>
              <w:widowControl/>
              <w:jc w:val="center"/>
              <w:rPr>
                <w:rFonts w:ascii="宋体" w:hAnsi="宋体" w:cs="宋体"/>
                <w:bCs/>
                <w:kern w:val="0"/>
                <w:sz w:val="18"/>
                <w:szCs w:val="18"/>
                <w:u w:val="single"/>
              </w:rPr>
            </w:pPr>
          </w:p>
        </w:tc>
        <w:tc>
          <w:tcPr>
            <w:tcW w:w="1316" w:type="dxa"/>
            <w:vAlign w:val="center"/>
          </w:tcPr>
          <w:p w14:paraId="6A5736F7">
            <w:pPr>
              <w:widowControl/>
              <w:jc w:val="center"/>
              <w:rPr>
                <w:rFonts w:ascii="宋体" w:hAnsi="宋体" w:cs="宋体"/>
                <w:kern w:val="0"/>
                <w:sz w:val="18"/>
                <w:szCs w:val="18"/>
              </w:rPr>
            </w:pPr>
            <w:r>
              <w:rPr>
                <w:rFonts w:hint="eastAsia" w:ascii="宋体" w:hAnsi="宋体" w:cs="宋体"/>
                <w:bCs/>
                <w:kern w:val="0"/>
                <w:sz w:val="18"/>
                <w:szCs w:val="18"/>
              </w:rPr>
              <w:t>附件</w:t>
            </w:r>
            <w:r>
              <w:rPr>
                <w:rFonts w:ascii="宋体" w:hAnsi="宋体" w:cs="宋体"/>
                <w:bCs/>
                <w:kern w:val="0"/>
                <w:sz w:val="18"/>
                <w:szCs w:val="18"/>
              </w:rPr>
              <w:t>B1.4</w:t>
            </w:r>
          </w:p>
        </w:tc>
      </w:tr>
      <w:tr w14:paraId="68CE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4"/>
            <w:vAlign w:val="center"/>
          </w:tcPr>
          <w:p w14:paraId="048D4BB5">
            <w:pPr>
              <w:widowControl/>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3619" w:type="dxa"/>
            <w:gridSpan w:val="4"/>
            <w:vAlign w:val="center"/>
          </w:tcPr>
          <w:p w14:paraId="2D4DCE15">
            <w:pPr>
              <w:widowControl/>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3051" w:type="dxa"/>
            <w:gridSpan w:val="4"/>
            <w:vAlign w:val="center"/>
          </w:tcPr>
          <w:p w14:paraId="6C1B6B03">
            <w:pPr>
              <w:widowControl/>
              <w:jc w:val="center"/>
              <w:rPr>
                <w:rFonts w:ascii="宋体" w:hAnsi="宋体" w:cs="宋体"/>
                <w:bCs/>
                <w:kern w:val="0"/>
                <w:sz w:val="18"/>
                <w:szCs w:val="18"/>
              </w:rPr>
            </w:pPr>
            <w:r>
              <w:rPr>
                <w:rFonts w:hint="eastAsia" w:ascii="宋体" w:hAnsi="宋体" w:cs="宋体"/>
                <w:bCs/>
                <w:kern w:val="0"/>
                <w:sz w:val="18"/>
                <w:szCs w:val="18"/>
              </w:rPr>
              <w:t>提供社保时间段</w:t>
            </w:r>
          </w:p>
        </w:tc>
        <w:tc>
          <w:tcPr>
            <w:tcW w:w="4062" w:type="dxa"/>
            <w:gridSpan w:val="7"/>
            <w:vAlign w:val="center"/>
          </w:tcPr>
          <w:p w14:paraId="7F44A776">
            <w:pPr>
              <w:widowControl/>
              <w:ind w:firstLine="900" w:firstLineChars="500"/>
              <w:rPr>
                <w:rFonts w:ascii="宋体" w:hAnsi="宋体" w:cs="宋体"/>
                <w:bCs/>
                <w:kern w:val="0"/>
                <w:sz w:val="18"/>
                <w:szCs w:val="18"/>
              </w:rPr>
            </w:pP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w:t>
            </w: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p>
        </w:tc>
        <w:tc>
          <w:tcPr>
            <w:tcW w:w="1322" w:type="dxa"/>
            <w:gridSpan w:val="2"/>
            <w:vAlign w:val="center"/>
          </w:tcPr>
          <w:p w14:paraId="67213F80">
            <w:pPr>
              <w:widowControl/>
              <w:jc w:val="center"/>
              <w:rPr>
                <w:rFonts w:ascii="宋体" w:hAnsi="宋体" w:cs="宋体"/>
                <w:bCs/>
                <w:kern w:val="0"/>
                <w:sz w:val="18"/>
                <w:szCs w:val="18"/>
              </w:rPr>
            </w:pPr>
            <w:r>
              <w:rPr>
                <w:rFonts w:hint="eastAsia" w:ascii="宋体" w:hAnsi="宋体" w:cs="宋体"/>
                <w:kern w:val="0"/>
                <w:sz w:val="18"/>
                <w:szCs w:val="18"/>
              </w:rPr>
              <w:t>附件</w:t>
            </w:r>
            <w:r>
              <w:rPr>
                <w:rFonts w:ascii="宋体" w:hAnsi="宋体" w:cs="宋体"/>
                <w:kern w:val="0"/>
                <w:sz w:val="18"/>
                <w:szCs w:val="18"/>
              </w:rPr>
              <w:t>B1.5</w:t>
            </w:r>
          </w:p>
        </w:tc>
      </w:tr>
      <w:tr w14:paraId="3D46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4"/>
            <w:vAlign w:val="center"/>
          </w:tcPr>
          <w:p w14:paraId="61AA991F">
            <w:pPr>
              <w:widowControl/>
              <w:jc w:val="center"/>
              <w:rPr>
                <w:rFonts w:ascii="宋体" w:hAnsi="宋体" w:cs="宋体"/>
                <w:bCs/>
                <w:kern w:val="0"/>
                <w:sz w:val="18"/>
                <w:szCs w:val="18"/>
              </w:rPr>
            </w:pPr>
            <w:r>
              <w:rPr>
                <w:rFonts w:hint="eastAsia" w:ascii="宋体" w:hAnsi="宋体" w:cs="宋体"/>
                <w:bCs/>
                <w:kern w:val="0"/>
                <w:sz w:val="18"/>
                <w:szCs w:val="18"/>
              </w:rPr>
              <w:t>是否在岗</w:t>
            </w:r>
          </w:p>
        </w:tc>
        <w:tc>
          <w:tcPr>
            <w:tcW w:w="10732" w:type="dxa"/>
            <w:gridSpan w:val="15"/>
            <w:vAlign w:val="center"/>
          </w:tcPr>
          <w:p w14:paraId="4577693D">
            <w:pPr>
              <w:widowControl/>
              <w:jc w:val="center"/>
              <w:rPr>
                <w:rFonts w:ascii="宋体" w:hAnsi="宋体" w:cs="宋体"/>
                <w:bCs/>
                <w:kern w:val="0"/>
                <w:sz w:val="18"/>
                <w:szCs w:val="18"/>
                <w:u w:val="single"/>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1322" w:type="dxa"/>
            <w:gridSpan w:val="2"/>
            <w:vAlign w:val="center"/>
          </w:tcPr>
          <w:p w14:paraId="6ED147FF">
            <w:pPr>
              <w:widowControl/>
              <w:rPr>
                <w:rFonts w:ascii="宋体" w:hAnsi="宋体" w:cs="宋体"/>
                <w:kern w:val="0"/>
                <w:sz w:val="18"/>
                <w:szCs w:val="18"/>
              </w:rPr>
            </w:pPr>
            <w:r>
              <w:rPr>
                <w:rFonts w:hint="eastAsia" w:ascii="宋体" w:hAnsi="宋体" w:cs="宋体"/>
                <w:kern w:val="0"/>
                <w:sz w:val="18"/>
                <w:szCs w:val="18"/>
              </w:rPr>
              <w:t>承诺</w:t>
            </w:r>
            <w:r>
              <w:rPr>
                <w:rFonts w:ascii="宋体" w:hAnsi="宋体" w:cs="宋体"/>
                <w:kern w:val="0"/>
                <w:sz w:val="18"/>
                <w:szCs w:val="18"/>
              </w:rPr>
              <w:t>见投标函</w:t>
            </w:r>
          </w:p>
        </w:tc>
      </w:tr>
      <w:tr w14:paraId="7BC9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12837" w:type="dxa"/>
            <w:gridSpan w:val="19"/>
            <w:vAlign w:val="center"/>
          </w:tcPr>
          <w:p w14:paraId="31D8681A">
            <w:pPr>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bCs/>
                <w:kern w:val="0"/>
                <w:sz w:val="18"/>
                <w:szCs w:val="18"/>
              </w:rPr>
              <w:t>担任相应职务完成业绩情况</w:t>
            </w:r>
          </w:p>
        </w:tc>
        <w:tc>
          <w:tcPr>
            <w:tcW w:w="1316" w:type="dxa"/>
            <w:vMerge w:val="restart"/>
            <w:vAlign w:val="center"/>
          </w:tcPr>
          <w:p w14:paraId="72B62EEF">
            <w:pPr>
              <w:widowControl/>
              <w:jc w:val="center"/>
              <w:rPr>
                <w:rFonts w:ascii="宋体" w:hAnsi="宋体" w:cs="宋体"/>
                <w:kern w:val="0"/>
                <w:sz w:val="18"/>
                <w:szCs w:val="18"/>
              </w:rPr>
            </w:pPr>
            <w:r>
              <w:rPr>
                <w:rFonts w:hint="eastAsia" w:ascii="宋体" w:hAnsi="宋体" w:cs="宋体"/>
                <w:kern w:val="0"/>
                <w:sz w:val="18"/>
                <w:szCs w:val="18"/>
              </w:rPr>
              <w:t>业绩情况</w:t>
            </w:r>
          </w:p>
          <w:p w14:paraId="3E32300C">
            <w:pPr>
              <w:widowControl/>
              <w:jc w:val="center"/>
              <w:rPr>
                <w:rFonts w:ascii="宋体" w:hAnsi="宋体" w:cs="宋体"/>
                <w:kern w:val="0"/>
                <w:sz w:val="18"/>
                <w:szCs w:val="18"/>
              </w:rPr>
            </w:pPr>
            <w:r>
              <w:rPr>
                <w:rFonts w:hint="eastAsia" w:ascii="宋体" w:hAnsi="宋体" w:cs="宋体"/>
                <w:kern w:val="0"/>
                <w:sz w:val="18"/>
                <w:szCs w:val="18"/>
              </w:rPr>
              <w:t>附件</w:t>
            </w:r>
          </w:p>
        </w:tc>
      </w:tr>
      <w:tr w14:paraId="2297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638" w:type="dxa"/>
            <w:vAlign w:val="center"/>
          </w:tcPr>
          <w:p w14:paraId="7AA7B577">
            <w:pPr>
              <w:widowControl/>
              <w:jc w:val="center"/>
              <w:rPr>
                <w:rFonts w:ascii="宋体" w:hAnsi="宋体" w:cs="宋体"/>
                <w:kern w:val="0"/>
                <w:sz w:val="18"/>
                <w:szCs w:val="18"/>
              </w:rPr>
            </w:pPr>
            <w:r>
              <w:rPr>
                <w:rFonts w:hint="eastAsia" w:ascii="宋体" w:hAnsi="宋体" w:cs="宋体"/>
                <w:bCs/>
                <w:kern w:val="0"/>
                <w:sz w:val="18"/>
                <w:szCs w:val="18"/>
              </w:rPr>
              <w:t>项目业主</w:t>
            </w:r>
          </w:p>
        </w:tc>
        <w:tc>
          <w:tcPr>
            <w:tcW w:w="675" w:type="dxa"/>
            <w:vAlign w:val="center"/>
          </w:tcPr>
          <w:p w14:paraId="7BC8CA96">
            <w:pPr>
              <w:jc w:val="center"/>
              <w:rPr>
                <w:rFonts w:ascii="宋体" w:hAnsi="宋体" w:cs="宋体"/>
                <w:kern w:val="0"/>
                <w:sz w:val="18"/>
                <w:szCs w:val="18"/>
              </w:rPr>
            </w:pPr>
            <w:r>
              <w:rPr>
                <w:rFonts w:hint="eastAsia" w:ascii="宋体" w:hAnsi="宋体" w:cs="宋体"/>
                <w:bCs/>
                <w:kern w:val="0"/>
                <w:sz w:val="18"/>
                <w:szCs w:val="18"/>
              </w:rPr>
              <w:t>项目名称</w:t>
            </w:r>
          </w:p>
        </w:tc>
        <w:tc>
          <w:tcPr>
            <w:tcW w:w="658" w:type="dxa"/>
            <w:vAlign w:val="center"/>
          </w:tcPr>
          <w:p w14:paraId="61BC7D98">
            <w:pPr>
              <w:jc w:val="center"/>
              <w:rPr>
                <w:rFonts w:ascii="宋体" w:hAnsi="宋体" w:cs="宋体"/>
                <w:kern w:val="0"/>
                <w:sz w:val="18"/>
                <w:szCs w:val="18"/>
              </w:rPr>
            </w:pPr>
            <w:r>
              <w:rPr>
                <w:rFonts w:hint="eastAsia" w:ascii="宋体" w:hAnsi="宋体" w:cs="宋体"/>
                <w:kern w:val="0"/>
                <w:sz w:val="18"/>
                <w:szCs w:val="18"/>
              </w:rPr>
              <w:t>公路等级</w:t>
            </w:r>
          </w:p>
        </w:tc>
        <w:tc>
          <w:tcPr>
            <w:tcW w:w="1604" w:type="dxa"/>
            <w:gridSpan w:val="2"/>
            <w:vAlign w:val="center"/>
          </w:tcPr>
          <w:p w14:paraId="55D400F6">
            <w:pPr>
              <w:jc w:val="center"/>
              <w:rPr>
                <w:rFonts w:ascii="宋体" w:hAnsi="宋体" w:cs="宋体"/>
                <w:kern w:val="0"/>
                <w:sz w:val="18"/>
                <w:szCs w:val="18"/>
              </w:rPr>
            </w:pPr>
            <w:r>
              <w:rPr>
                <w:rFonts w:hint="eastAsia" w:ascii="宋体" w:hAnsi="宋体" w:cs="宋体"/>
                <w:bCs/>
                <w:kern w:val="0"/>
                <w:sz w:val="18"/>
                <w:szCs w:val="18"/>
              </w:rPr>
              <w:t>项目建设形式</w:t>
            </w:r>
          </w:p>
        </w:tc>
        <w:tc>
          <w:tcPr>
            <w:tcW w:w="525" w:type="dxa"/>
            <w:vAlign w:val="center"/>
          </w:tcPr>
          <w:p w14:paraId="50CBD335">
            <w:pPr>
              <w:jc w:val="center"/>
              <w:rPr>
                <w:rFonts w:ascii="宋体" w:hAnsi="宋体" w:cs="宋体"/>
                <w:bCs/>
                <w:kern w:val="0"/>
                <w:sz w:val="18"/>
                <w:szCs w:val="18"/>
              </w:rPr>
            </w:pPr>
            <w:r>
              <w:rPr>
                <w:rFonts w:hint="eastAsia" w:ascii="宋体" w:hAnsi="宋体" w:cs="宋体"/>
                <w:bCs/>
                <w:kern w:val="0"/>
                <w:sz w:val="18"/>
                <w:szCs w:val="18"/>
              </w:rPr>
              <w:t>标段号</w:t>
            </w:r>
          </w:p>
        </w:tc>
        <w:tc>
          <w:tcPr>
            <w:tcW w:w="773" w:type="dxa"/>
            <w:vAlign w:val="center"/>
          </w:tcPr>
          <w:p w14:paraId="44FB7741">
            <w:pPr>
              <w:jc w:val="center"/>
              <w:rPr>
                <w:rFonts w:ascii="宋体" w:hAnsi="宋体" w:cs="宋体"/>
                <w:kern w:val="0"/>
                <w:sz w:val="18"/>
                <w:szCs w:val="18"/>
              </w:rPr>
            </w:pPr>
            <w:r>
              <w:rPr>
                <w:rFonts w:hint="eastAsia" w:ascii="宋体" w:hAnsi="宋体" w:cs="宋体"/>
                <w:bCs/>
                <w:kern w:val="0"/>
                <w:sz w:val="18"/>
                <w:szCs w:val="18"/>
              </w:rPr>
              <w:t>标段路线长度（</w:t>
            </w:r>
            <w:r>
              <w:rPr>
                <w:rFonts w:ascii="宋体" w:hAnsi="宋体" w:cs="宋体"/>
                <w:bCs/>
                <w:kern w:val="0"/>
                <w:sz w:val="18"/>
                <w:szCs w:val="18"/>
              </w:rPr>
              <w:t>km）</w:t>
            </w:r>
          </w:p>
        </w:tc>
        <w:tc>
          <w:tcPr>
            <w:tcW w:w="851" w:type="dxa"/>
            <w:vAlign w:val="center"/>
          </w:tcPr>
          <w:p w14:paraId="0931C4D2">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特大桥梁名称</w:t>
            </w:r>
            <w:r>
              <w:rPr>
                <w:rFonts w:ascii="宋体" w:hAnsi="宋体" w:cs="宋体"/>
                <w:bCs/>
                <w:kern w:val="0"/>
                <w:sz w:val="18"/>
                <w:szCs w:val="18"/>
              </w:rPr>
              <w:t>/类型</w:t>
            </w:r>
          </w:p>
        </w:tc>
        <w:tc>
          <w:tcPr>
            <w:tcW w:w="783" w:type="dxa"/>
            <w:vAlign w:val="center"/>
          </w:tcPr>
          <w:p w14:paraId="6F4BA6A1">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桥梁主跨跨径（</w:t>
            </w:r>
            <w:r>
              <w:rPr>
                <w:rFonts w:ascii="宋体" w:hAnsi="宋体" w:cs="宋体"/>
                <w:bCs/>
                <w:kern w:val="0"/>
                <w:sz w:val="18"/>
                <w:szCs w:val="18"/>
              </w:rPr>
              <w:t>m）</w:t>
            </w:r>
          </w:p>
        </w:tc>
        <w:tc>
          <w:tcPr>
            <w:tcW w:w="785" w:type="dxa"/>
            <w:vAlign w:val="center"/>
          </w:tcPr>
          <w:p w14:paraId="30227E9A">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隧道名称</w:t>
            </w:r>
          </w:p>
        </w:tc>
        <w:tc>
          <w:tcPr>
            <w:tcW w:w="862" w:type="dxa"/>
            <w:vAlign w:val="center"/>
          </w:tcPr>
          <w:p w14:paraId="6C00DC8E">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隧道单洞长度（</w:t>
            </w:r>
            <w:r>
              <w:rPr>
                <w:rFonts w:ascii="宋体" w:hAnsi="宋体" w:cs="宋体"/>
                <w:bCs/>
                <w:kern w:val="0"/>
                <w:sz w:val="18"/>
                <w:szCs w:val="18"/>
              </w:rPr>
              <w:t>m）</w:t>
            </w:r>
          </w:p>
        </w:tc>
        <w:tc>
          <w:tcPr>
            <w:tcW w:w="907" w:type="dxa"/>
            <w:gridSpan w:val="2"/>
            <w:vAlign w:val="center"/>
          </w:tcPr>
          <w:p w14:paraId="4A434FC6">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路面结构形式</w:t>
            </w:r>
          </w:p>
        </w:tc>
        <w:tc>
          <w:tcPr>
            <w:tcW w:w="939" w:type="dxa"/>
            <w:vAlign w:val="center"/>
          </w:tcPr>
          <w:p w14:paraId="4AE1D299">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交安设施类型</w:t>
            </w:r>
          </w:p>
        </w:tc>
        <w:tc>
          <w:tcPr>
            <w:tcW w:w="934" w:type="dxa"/>
            <w:gridSpan w:val="2"/>
            <w:vAlign w:val="center"/>
          </w:tcPr>
          <w:p w14:paraId="7BF07B7D">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公路隧道机电类型</w:t>
            </w:r>
          </w:p>
        </w:tc>
        <w:tc>
          <w:tcPr>
            <w:tcW w:w="675" w:type="dxa"/>
            <w:vAlign w:val="center"/>
          </w:tcPr>
          <w:p w14:paraId="64DB2028">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房建工程</w:t>
            </w:r>
          </w:p>
        </w:tc>
        <w:tc>
          <w:tcPr>
            <w:tcW w:w="702" w:type="dxa"/>
            <w:vAlign w:val="center"/>
          </w:tcPr>
          <w:p w14:paraId="7C525EE7">
            <w:pPr>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其他工程</w:t>
            </w:r>
          </w:p>
        </w:tc>
        <w:tc>
          <w:tcPr>
            <w:tcW w:w="526" w:type="dxa"/>
            <w:vAlign w:val="center"/>
          </w:tcPr>
          <w:p w14:paraId="7F14BFBD">
            <w:pPr>
              <w:jc w:val="center"/>
              <w:rPr>
                <w:rFonts w:ascii="宋体" w:hAnsi="宋体" w:cs="宋体"/>
                <w:kern w:val="0"/>
                <w:sz w:val="18"/>
                <w:szCs w:val="18"/>
              </w:rPr>
            </w:pPr>
            <w:r>
              <w:rPr>
                <w:rFonts w:hint="eastAsia" w:ascii="宋体" w:hAnsi="宋体" w:cs="宋体"/>
                <w:bCs/>
                <w:kern w:val="0"/>
                <w:sz w:val="18"/>
                <w:szCs w:val="18"/>
              </w:rPr>
              <w:t>职务</w:t>
            </w:r>
          </w:p>
        </w:tc>
        <w:tc>
          <w:tcPr>
            <w:tcW w:w="1316" w:type="dxa"/>
            <w:vMerge w:val="continue"/>
            <w:vAlign w:val="center"/>
          </w:tcPr>
          <w:p w14:paraId="6733799B">
            <w:pPr>
              <w:widowControl/>
              <w:jc w:val="center"/>
              <w:rPr>
                <w:rFonts w:ascii="宋体" w:hAnsi="宋体" w:cs="宋体"/>
                <w:kern w:val="0"/>
                <w:sz w:val="18"/>
                <w:szCs w:val="18"/>
              </w:rPr>
            </w:pPr>
          </w:p>
        </w:tc>
      </w:tr>
      <w:tr w14:paraId="79FD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638" w:type="dxa"/>
            <w:vAlign w:val="center"/>
          </w:tcPr>
          <w:p w14:paraId="6D9E2D76">
            <w:pPr>
              <w:widowControl/>
              <w:jc w:val="center"/>
              <w:rPr>
                <w:rFonts w:ascii="宋体" w:hAnsi="宋体" w:cs="宋体"/>
                <w:kern w:val="0"/>
                <w:sz w:val="18"/>
                <w:szCs w:val="18"/>
              </w:rPr>
            </w:pPr>
          </w:p>
        </w:tc>
        <w:tc>
          <w:tcPr>
            <w:tcW w:w="675" w:type="dxa"/>
            <w:vAlign w:val="center"/>
          </w:tcPr>
          <w:p w14:paraId="3147683B">
            <w:pPr>
              <w:jc w:val="center"/>
              <w:rPr>
                <w:rFonts w:ascii="宋体" w:hAnsi="宋体" w:cs="宋体"/>
                <w:kern w:val="0"/>
                <w:sz w:val="18"/>
                <w:szCs w:val="18"/>
              </w:rPr>
            </w:pPr>
          </w:p>
        </w:tc>
        <w:tc>
          <w:tcPr>
            <w:tcW w:w="658" w:type="dxa"/>
            <w:vAlign w:val="center"/>
          </w:tcPr>
          <w:p w14:paraId="19C0A5DB">
            <w:pPr>
              <w:jc w:val="center"/>
              <w:rPr>
                <w:rFonts w:ascii="宋体" w:hAnsi="宋体" w:cs="宋体"/>
                <w:kern w:val="0"/>
                <w:sz w:val="18"/>
                <w:szCs w:val="18"/>
              </w:rPr>
            </w:pPr>
          </w:p>
        </w:tc>
        <w:tc>
          <w:tcPr>
            <w:tcW w:w="1604" w:type="dxa"/>
            <w:gridSpan w:val="2"/>
            <w:vAlign w:val="center"/>
          </w:tcPr>
          <w:p w14:paraId="41D40D40">
            <w:pPr>
              <w:widowControl/>
              <w:jc w:val="left"/>
              <w:rPr>
                <w:rFonts w:asciiTheme="minorEastAsia" w:hAnsiTheme="minorEastAsia" w:eastAsiaTheme="minorEastAsia"/>
                <w:sz w:val="18"/>
                <w:szCs w:val="18"/>
              </w:rPr>
            </w:pPr>
            <w:r>
              <w:rPr>
                <w:rFonts w:hint="eastAsia" w:ascii="宋体" w:hAnsi="宋体"/>
                <w:sz w:val="18"/>
                <w:szCs w:val="18"/>
              </w:rPr>
              <w:t>□新建 □改扩建</w:t>
            </w:r>
          </w:p>
        </w:tc>
        <w:tc>
          <w:tcPr>
            <w:tcW w:w="525" w:type="dxa"/>
            <w:vAlign w:val="center"/>
          </w:tcPr>
          <w:p w14:paraId="762CF4C3">
            <w:pPr>
              <w:jc w:val="center"/>
              <w:rPr>
                <w:rFonts w:ascii="宋体" w:hAnsi="宋体" w:cs="宋体"/>
                <w:kern w:val="0"/>
                <w:sz w:val="18"/>
                <w:szCs w:val="18"/>
              </w:rPr>
            </w:pPr>
          </w:p>
        </w:tc>
        <w:tc>
          <w:tcPr>
            <w:tcW w:w="773" w:type="dxa"/>
            <w:vAlign w:val="center"/>
          </w:tcPr>
          <w:p w14:paraId="5FAEE893">
            <w:pPr>
              <w:jc w:val="center"/>
              <w:rPr>
                <w:rFonts w:ascii="宋体" w:hAnsi="宋体" w:cs="宋体"/>
                <w:kern w:val="0"/>
                <w:sz w:val="18"/>
                <w:szCs w:val="18"/>
              </w:rPr>
            </w:pPr>
          </w:p>
        </w:tc>
        <w:tc>
          <w:tcPr>
            <w:tcW w:w="851" w:type="dxa"/>
            <w:vAlign w:val="center"/>
          </w:tcPr>
          <w:p w14:paraId="5501507E">
            <w:pPr>
              <w:jc w:val="center"/>
              <w:rPr>
                <w:rFonts w:ascii="宋体" w:hAnsi="宋体" w:cs="宋体"/>
                <w:kern w:val="0"/>
                <w:sz w:val="18"/>
                <w:szCs w:val="18"/>
              </w:rPr>
            </w:pPr>
          </w:p>
        </w:tc>
        <w:tc>
          <w:tcPr>
            <w:tcW w:w="783" w:type="dxa"/>
            <w:vAlign w:val="center"/>
          </w:tcPr>
          <w:p w14:paraId="7EE320E0">
            <w:pPr>
              <w:jc w:val="center"/>
              <w:rPr>
                <w:rFonts w:ascii="宋体" w:hAnsi="宋体" w:cs="宋体"/>
                <w:kern w:val="0"/>
                <w:sz w:val="18"/>
                <w:szCs w:val="18"/>
              </w:rPr>
            </w:pPr>
          </w:p>
        </w:tc>
        <w:tc>
          <w:tcPr>
            <w:tcW w:w="785" w:type="dxa"/>
            <w:vAlign w:val="center"/>
          </w:tcPr>
          <w:p w14:paraId="12ABF626">
            <w:pPr>
              <w:jc w:val="center"/>
              <w:rPr>
                <w:rFonts w:ascii="宋体" w:hAnsi="宋体" w:cs="宋体"/>
                <w:kern w:val="0"/>
                <w:sz w:val="18"/>
                <w:szCs w:val="18"/>
              </w:rPr>
            </w:pPr>
          </w:p>
        </w:tc>
        <w:tc>
          <w:tcPr>
            <w:tcW w:w="862" w:type="dxa"/>
            <w:vAlign w:val="center"/>
          </w:tcPr>
          <w:p w14:paraId="2E685446">
            <w:pPr>
              <w:jc w:val="center"/>
              <w:rPr>
                <w:rFonts w:ascii="宋体" w:hAnsi="宋体" w:cs="宋体"/>
                <w:kern w:val="0"/>
                <w:sz w:val="18"/>
                <w:szCs w:val="18"/>
              </w:rPr>
            </w:pPr>
          </w:p>
        </w:tc>
        <w:tc>
          <w:tcPr>
            <w:tcW w:w="907" w:type="dxa"/>
            <w:gridSpan w:val="2"/>
            <w:vAlign w:val="center"/>
          </w:tcPr>
          <w:p w14:paraId="2034E0E8">
            <w:pPr>
              <w:jc w:val="center"/>
              <w:rPr>
                <w:rFonts w:ascii="宋体" w:hAnsi="宋体" w:cs="宋体"/>
                <w:kern w:val="0"/>
                <w:sz w:val="18"/>
                <w:szCs w:val="18"/>
              </w:rPr>
            </w:pPr>
          </w:p>
        </w:tc>
        <w:tc>
          <w:tcPr>
            <w:tcW w:w="939" w:type="dxa"/>
            <w:vAlign w:val="center"/>
          </w:tcPr>
          <w:p w14:paraId="595A4915">
            <w:pPr>
              <w:jc w:val="center"/>
              <w:rPr>
                <w:rFonts w:ascii="宋体" w:hAnsi="宋体" w:cs="宋体"/>
                <w:kern w:val="0"/>
                <w:sz w:val="18"/>
                <w:szCs w:val="18"/>
              </w:rPr>
            </w:pPr>
          </w:p>
        </w:tc>
        <w:tc>
          <w:tcPr>
            <w:tcW w:w="934" w:type="dxa"/>
            <w:gridSpan w:val="2"/>
            <w:vAlign w:val="center"/>
          </w:tcPr>
          <w:p w14:paraId="38467FA9">
            <w:pPr>
              <w:jc w:val="center"/>
              <w:rPr>
                <w:rFonts w:ascii="宋体" w:hAnsi="宋体" w:cs="宋体"/>
                <w:kern w:val="0"/>
                <w:sz w:val="18"/>
                <w:szCs w:val="18"/>
              </w:rPr>
            </w:pPr>
          </w:p>
        </w:tc>
        <w:tc>
          <w:tcPr>
            <w:tcW w:w="675" w:type="dxa"/>
          </w:tcPr>
          <w:p w14:paraId="3D842E19">
            <w:pPr>
              <w:jc w:val="center"/>
              <w:rPr>
                <w:rFonts w:ascii="宋体" w:hAnsi="宋体" w:cs="宋体"/>
                <w:kern w:val="0"/>
                <w:sz w:val="18"/>
                <w:szCs w:val="18"/>
              </w:rPr>
            </w:pPr>
          </w:p>
        </w:tc>
        <w:tc>
          <w:tcPr>
            <w:tcW w:w="702" w:type="dxa"/>
          </w:tcPr>
          <w:p w14:paraId="136DC5B5">
            <w:pPr>
              <w:jc w:val="center"/>
              <w:rPr>
                <w:rFonts w:ascii="宋体" w:hAnsi="宋体" w:cs="宋体"/>
                <w:kern w:val="0"/>
                <w:sz w:val="18"/>
                <w:szCs w:val="18"/>
              </w:rPr>
            </w:pPr>
          </w:p>
        </w:tc>
        <w:tc>
          <w:tcPr>
            <w:tcW w:w="526" w:type="dxa"/>
            <w:vAlign w:val="center"/>
          </w:tcPr>
          <w:p w14:paraId="62AA34E3">
            <w:pPr>
              <w:jc w:val="center"/>
              <w:rPr>
                <w:rFonts w:ascii="宋体" w:hAnsi="宋体" w:cs="宋体"/>
                <w:kern w:val="0"/>
                <w:sz w:val="18"/>
                <w:szCs w:val="18"/>
              </w:rPr>
            </w:pPr>
          </w:p>
        </w:tc>
        <w:tc>
          <w:tcPr>
            <w:tcW w:w="1316" w:type="dxa"/>
            <w:vAlign w:val="center"/>
          </w:tcPr>
          <w:p w14:paraId="194E44C9">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B1.6-1</w:t>
            </w:r>
          </w:p>
        </w:tc>
      </w:tr>
      <w:tr w14:paraId="38F8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638" w:type="dxa"/>
            <w:vAlign w:val="center"/>
          </w:tcPr>
          <w:p w14:paraId="739E4968">
            <w:pPr>
              <w:widowControl/>
              <w:jc w:val="center"/>
              <w:rPr>
                <w:rFonts w:ascii="宋体" w:hAnsi="宋体" w:cs="宋体"/>
                <w:kern w:val="0"/>
                <w:sz w:val="18"/>
                <w:szCs w:val="18"/>
              </w:rPr>
            </w:pPr>
          </w:p>
        </w:tc>
        <w:tc>
          <w:tcPr>
            <w:tcW w:w="675" w:type="dxa"/>
            <w:vAlign w:val="center"/>
          </w:tcPr>
          <w:p w14:paraId="7025195E">
            <w:pPr>
              <w:jc w:val="center"/>
              <w:rPr>
                <w:rFonts w:ascii="宋体" w:hAnsi="宋体" w:cs="宋体"/>
                <w:kern w:val="0"/>
                <w:sz w:val="18"/>
                <w:szCs w:val="18"/>
              </w:rPr>
            </w:pPr>
          </w:p>
        </w:tc>
        <w:tc>
          <w:tcPr>
            <w:tcW w:w="658" w:type="dxa"/>
            <w:vAlign w:val="center"/>
          </w:tcPr>
          <w:p w14:paraId="38104647">
            <w:pPr>
              <w:jc w:val="center"/>
              <w:rPr>
                <w:rFonts w:ascii="宋体" w:hAnsi="宋体" w:cs="宋体"/>
                <w:kern w:val="0"/>
                <w:sz w:val="18"/>
                <w:szCs w:val="18"/>
              </w:rPr>
            </w:pPr>
          </w:p>
        </w:tc>
        <w:tc>
          <w:tcPr>
            <w:tcW w:w="1604" w:type="dxa"/>
            <w:gridSpan w:val="2"/>
            <w:vAlign w:val="center"/>
          </w:tcPr>
          <w:p w14:paraId="6F102B31">
            <w:pPr>
              <w:widowControl/>
              <w:jc w:val="left"/>
              <w:rPr>
                <w:rFonts w:asciiTheme="minorEastAsia" w:hAnsiTheme="minorEastAsia" w:eastAsiaTheme="minorEastAsia"/>
                <w:sz w:val="18"/>
                <w:szCs w:val="18"/>
              </w:rPr>
            </w:pPr>
            <w:r>
              <w:rPr>
                <w:rFonts w:hint="eastAsia" w:ascii="宋体" w:hAnsi="宋体"/>
                <w:sz w:val="18"/>
                <w:szCs w:val="18"/>
              </w:rPr>
              <w:t>□新建 □改扩建</w:t>
            </w:r>
          </w:p>
        </w:tc>
        <w:tc>
          <w:tcPr>
            <w:tcW w:w="525" w:type="dxa"/>
            <w:vAlign w:val="center"/>
          </w:tcPr>
          <w:p w14:paraId="2785C881">
            <w:pPr>
              <w:jc w:val="center"/>
              <w:rPr>
                <w:rFonts w:ascii="宋体" w:hAnsi="宋体" w:cs="宋体"/>
                <w:kern w:val="0"/>
                <w:sz w:val="18"/>
                <w:szCs w:val="18"/>
              </w:rPr>
            </w:pPr>
          </w:p>
        </w:tc>
        <w:tc>
          <w:tcPr>
            <w:tcW w:w="773" w:type="dxa"/>
            <w:vAlign w:val="center"/>
          </w:tcPr>
          <w:p w14:paraId="1FF4D397">
            <w:pPr>
              <w:jc w:val="center"/>
              <w:rPr>
                <w:rFonts w:ascii="宋体" w:hAnsi="宋体" w:cs="宋体"/>
                <w:kern w:val="0"/>
                <w:sz w:val="18"/>
                <w:szCs w:val="18"/>
              </w:rPr>
            </w:pPr>
          </w:p>
        </w:tc>
        <w:tc>
          <w:tcPr>
            <w:tcW w:w="851" w:type="dxa"/>
            <w:vAlign w:val="center"/>
          </w:tcPr>
          <w:p w14:paraId="747726A3">
            <w:pPr>
              <w:jc w:val="center"/>
              <w:rPr>
                <w:rFonts w:ascii="宋体" w:hAnsi="宋体" w:cs="宋体"/>
                <w:kern w:val="0"/>
                <w:sz w:val="18"/>
                <w:szCs w:val="18"/>
              </w:rPr>
            </w:pPr>
          </w:p>
        </w:tc>
        <w:tc>
          <w:tcPr>
            <w:tcW w:w="783" w:type="dxa"/>
            <w:vAlign w:val="center"/>
          </w:tcPr>
          <w:p w14:paraId="128BE031">
            <w:pPr>
              <w:jc w:val="center"/>
              <w:rPr>
                <w:rFonts w:ascii="宋体" w:hAnsi="宋体" w:cs="宋体"/>
                <w:kern w:val="0"/>
                <w:sz w:val="18"/>
                <w:szCs w:val="18"/>
              </w:rPr>
            </w:pPr>
          </w:p>
        </w:tc>
        <w:tc>
          <w:tcPr>
            <w:tcW w:w="785" w:type="dxa"/>
            <w:vAlign w:val="center"/>
          </w:tcPr>
          <w:p w14:paraId="38E53B5F">
            <w:pPr>
              <w:jc w:val="center"/>
              <w:rPr>
                <w:rFonts w:ascii="宋体" w:hAnsi="宋体" w:cs="宋体"/>
                <w:kern w:val="0"/>
                <w:sz w:val="18"/>
                <w:szCs w:val="18"/>
              </w:rPr>
            </w:pPr>
          </w:p>
        </w:tc>
        <w:tc>
          <w:tcPr>
            <w:tcW w:w="862" w:type="dxa"/>
            <w:vAlign w:val="center"/>
          </w:tcPr>
          <w:p w14:paraId="433D9D20">
            <w:pPr>
              <w:jc w:val="center"/>
              <w:rPr>
                <w:rFonts w:ascii="宋体" w:hAnsi="宋体" w:cs="宋体"/>
                <w:kern w:val="0"/>
                <w:sz w:val="18"/>
                <w:szCs w:val="18"/>
              </w:rPr>
            </w:pPr>
          </w:p>
        </w:tc>
        <w:tc>
          <w:tcPr>
            <w:tcW w:w="907" w:type="dxa"/>
            <w:gridSpan w:val="2"/>
            <w:vAlign w:val="center"/>
          </w:tcPr>
          <w:p w14:paraId="7214F9B3">
            <w:pPr>
              <w:jc w:val="center"/>
              <w:rPr>
                <w:rFonts w:ascii="宋体" w:hAnsi="宋体" w:cs="宋体"/>
                <w:kern w:val="0"/>
                <w:sz w:val="18"/>
                <w:szCs w:val="18"/>
              </w:rPr>
            </w:pPr>
          </w:p>
        </w:tc>
        <w:tc>
          <w:tcPr>
            <w:tcW w:w="939" w:type="dxa"/>
            <w:vAlign w:val="center"/>
          </w:tcPr>
          <w:p w14:paraId="6ED47A4D">
            <w:pPr>
              <w:jc w:val="center"/>
              <w:rPr>
                <w:rFonts w:ascii="宋体" w:hAnsi="宋体" w:cs="宋体"/>
                <w:kern w:val="0"/>
                <w:sz w:val="18"/>
                <w:szCs w:val="18"/>
              </w:rPr>
            </w:pPr>
          </w:p>
        </w:tc>
        <w:tc>
          <w:tcPr>
            <w:tcW w:w="934" w:type="dxa"/>
            <w:gridSpan w:val="2"/>
            <w:vAlign w:val="center"/>
          </w:tcPr>
          <w:p w14:paraId="79A73888">
            <w:pPr>
              <w:jc w:val="center"/>
              <w:rPr>
                <w:rFonts w:ascii="宋体" w:hAnsi="宋体" w:cs="宋体"/>
                <w:kern w:val="0"/>
                <w:sz w:val="18"/>
                <w:szCs w:val="18"/>
              </w:rPr>
            </w:pPr>
          </w:p>
        </w:tc>
        <w:tc>
          <w:tcPr>
            <w:tcW w:w="675" w:type="dxa"/>
          </w:tcPr>
          <w:p w14:paraId="6F1C7278">
            <w:pPr>
              <w:jc w:val="center"/>
              <w:rPr>
                <w:rFonts w:ascii="宋体" w:hAnsi="宋体" w:cs="宋体"/>
                <w:kern w:val="0"/>
                <w:sz w:val="18"/>
                <w:szCs w:val="18"/>
              </w:rPr>
            </w:pPr>
          </w:p>
        </w:tc>
        <w:tc>
          <w:tcPr>
            <w:tcW w:w="702" w:type="dxa"/>
          </w:tcPr>
          <w:p w14:paraId="4333845C">
            <w:pPr>
              <w:jc w:val="center"/>
              <w:rPr>
                <w:rFonts w:ascii="宋体" w:hAnsi="宋体" w:cs="宋体"/>
                <w:kern w:val="0"/>
                <w:sz w:val="18"/>
                <w:szCs w:val="18"/>
              </w:rPr>
            </w:pPr>
          </w:p>
        </w:tc>
        <w:tc>
          <w:tcPr>
            <w:tcW w:w="526" w:type="dxa"/>
            <w:vAlign w:val="center"/>
          </w:tcPr>
          <w:p w14:paraId="1CF3E8CD">
            <w:pPr>
              <w:jc w:val="center"/>
              <w:rPr>
                <w:rFonts w:ascii="宋体" w:hAnsi="宋体" w:cs="宋体"/>
                <w:kern w:val="0"/>
                <w:sz w:val="18"/>
                <w:szCs w:val="18"/>
              </w:rPr>
            </w:pPr>
          </w:p>
        </w:tc>
        <w:tc>
          <w:tcPr>
            <w:tcW w:w="1316" w:type="dxa"/>
            <w:vAlign w:val="center"/>
          </w:tcPr>
          <w:p w14:paraId="7EBCA1EF">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B1.6-2</w:t>
            </w:r>
          </w:p>
        </w:tc>
      </w:tr>
      <w:tr w14:paraId="3A84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638" w:type="dxa"/>
            <w:vAlign w:val="center"/>
          </w:tcPr>
          <w:p w14:paraId="7F47384C">
            <w:pPr>
              <w:widowControl/>
              <w:jc w:val="center"/>
              <w:rPr>
                <w:rFonts w:ascii="宋体" w:hAnsi="宋体" w:cs="宋体"/>
                <w:kern w:val="0"/>
                <w:sz w:val="18"/>
                <w:szCs w:val="18"/>
              </w:rPr>
            </w:pPr>
          </w:p>
        </w:tc>
        <w:tc>
          <w:tcPr>
            <w:tcW w:w="675" w:type="dxa"/>
            <w:vAlign w:val="center"/>
          </w:tcPr>
          <w:p w14:paraId="56619FDA">
            <w:pPr>
              <w:jc w:val="center"/>
              <w:rPr>
                <w:rFonts w:ascii="宋体" w:hAnsi="宋体" w:cs="宋体"/>
                <w:kern w:val="0"/>
                <w:sz w:val="18"/>
                <w:szCs w:val="18"/>
              </w:rPr>
            </w:pPr>
          </w:p>
        </w:tc>
        <w:tc>
          <w:tcPr>
            <w:tcW w:w="658" w:type="dxa"/>
            <w:vAlign w:val="center"/>
          </w:tcPr>
          <w:p w14:paraId="73FD72B7">
            <w:pPr>
              <w:jc w:val="center"/>
              <w:rPr>
                <w:rFonts w:ascii="宋体" w:hAnsi="宋体" w:cs="宋体"/>
                <w:kern w:val="0"/>
                <w:sz w:val="18"/>
                <w:szCs w:val="18"/>
              </w:rPr>
            </w:pPr>
          </w:p>
        </w:tc>
        <w:tc>
          <w:tcPr>
            <w:tcW w:w="1604" w:type="dxa"/>
            <w:gridSpan w:val="2"/>
            <w:vAlign w:val="center"/>
          </w:tcPr>
          <w:p w14:paraId="31C05090">
            <w:pPr>
              <w:widowControl/>
              <w:jc w:val="left"/>
              <w:rPr>
                <w:rFonts w:cs="宋体" w:asciiTheme="minorEastAsia" w:hAnsiTheme="minorEastAsia" w:eastAsiaTheme="minorEastAsia"/>
                <w:sz w:val="18"/>
                <w:szCs w:val="18"/>
              </w:rPr>
            </w:pPr>
            <w:r>
              <w:rPr>
                <w:rFonts w:hint="eastAsia" w:ascii="宋体" w:hAnsi="宋体"/>
                <w:sz w:val="18"/>
                <w:szCs w:val="18"/>
              </w:rPr>
              <w:t>□新建 □改扩建</w:t>
            </w:r>
          </w:p>
        </w:tc>
        <w:tc>
          <w:tcPr>
            <w:tcW w:w="525" w:type="dxa"/>
            <w:vAlign w:val="center"/>
          </w:tcPr>
          <w:p w14:paraId="131FC567">
            <w:pPr>
              <w:jc w:val="center"/>
              <w:rPr>
                <w:rFonts w:ascii="宋体" w:hAnsi="宋体" w:cs="宋体"/>
                <w:kern w:val="0"/>
                <w:sz w:val="18"/>
                <w:szCs w:val="18"/>
              </w:rPr>
            </w:pPr>
          </w:p>
        </w:tc>
        <w:tc>
          <w:tcPr>
            <w:tcW w:w="773" w:type="dxa"/>
            <w:vAlign w:val="center"/>
          </w:tcPr>
          <w:p w14:paraId="37BDCF4D">
            <w:pPr>
              <w:jc w:val="center"/>
              <w:rPr>
                <w:rFonts w:ascii="宋体" w:hAnsi="宋体" w:cs="宋体"/>
                <w:kern w:val="0"/>
                <w:sz w:val="18"/>
                <w:szCs w:val="18"/>
              </w:rPr>
            </w:pPr>
          </w:p>
        </w:tc>
        <w:tc>
          <w:tcPr>
            <w:tcW w:w="851" w:type="dxa"/>
            <w:vAlign w:val="center"/>
          </w:tcPr>
          <w:p w14:paraId="397863AC">
            <w:pPr>
              <w:jc w:val="center"/>
              <w:rPr>
                <w:rFonts w:ascii="宋体" w:hAnsi="宋体" w:cs="宋体"/>
                <w:kern w:val="0"/>
                <w:sz w:val="18"/>
                <w:szCs w:val="18"/>
              </w:rPr>
            </w:pPr>
          </w:p>
        </w:tc>
        <w:tc>
          <w:tcPr>
            <w:tcW w:w="783" w:type="dxa"/>
            <w:vAlign w:val="center"/>
          </w:tcPr>
          <w:p w14:paraId="3DABC65A">
            <w:pPr>
              <w:jc w:val="center"/>
              <w:rPr>
                <w:rFonts w:ascii="宋体" w:hAnsi="宋体" w:cs="宋体"/>
                <w:kern w:val="0"/>
                <w:sz w:val="18"/>
                <w:szCs w:val="18"/>
              </w:rPr>
            </w:pPr>
          </w:p>
        </w:tc>
        <w:tc>
          <w:tcPr>
            <w:tcW w:w="785" w:type="dxa"/>
            <w:vAlign w:val="center"/>
          </w:tcPr>
          <w:p w14:paraId="2F000FA4">
            <w:pPr>
              <w:jc w:val="center"/>
              <w:rPr>
                <w:rFonts w:ascii="宋体" w:hAnsi="宋体" w:cs="宋体"/>
                <w:kern w:val="0"/>
                <w:sz w:val="18"/>
                <w:szCs w:val="18"/>
              </w:rPr>
            </w:pPr>
          </w:p>
        </w:tc>
        <w:tc>
          <w:tcPr>
            <w:tcW w:w="862" w:type="dxa"/>
            <w:vAlign w:val="center"/>
          </w:tcPr>
          <w:p w14:paraId="79C80C7E">
            <w:pPr>
              <w:jc w:val="center"/>
              <w:rPr>
                <w:rFonts w:ascii="宋体" w:hAnsi="宋体" w:cs="宋体"/>
                <w:kern w:val="0"/>
                <w:sz w:val="18"/>
                <w:szCs w:val="18"/>
              </w:rPr>
            </w:pPr>
          </w:p>
        </w:tc>
        <w:tc>
          <w:tcPr>
            <w:tcW w:w="907" w:type="dxa"/>
            <w:gridSpan w:val="2"/>
            <w:vAlign w:val="center"/>
          </w:tcPr>
          <w:p w14:paraId="49AC99B8">
            <w:pPr>
              <w:jc w:val="center"/>
              <w:rPr>
                <w:rFonts w:ascii="宋体" w:hAnsi="宋体" w:cs="宋体"/>
                <w:kern w:val="0"/>
                <w:sz w:val="18"/>
                <w:szCs w:val="18"/>
              </w:rPr>
            </w:pPr>
          </w:p>
        </w:tc>
        <w:tc>
          <w:tcPr>
            <w:tcW w:w="939" w:type="dxa"/>
            <w:vAlign w:val="center"/>
          </w:tcPr>
          <w:p w14:paraId="058A710F">
            <w:pPr>
              <w:jc w:val="center"/>
              <w:rPr>
                <w:rFonts w:ascii="宋体" w:hAnsi="宋体" w:cs="宋体"/>
                <w:kern w:val="0"/>
                <w:sz w:val="18"/>
                <w:szCs w:val="18"/>
              </w:rPr>
            </w:pPr>
          </w:p>
        </w:tc>
        <w:tc>
          <w:tcPr>
            <w:tcW w:w="934" w:type="dxa"/>
            <w:gridSpan w:val="2"/>
            <w:vAlign w:val="center"/>
          </w:tcPr>
          <w:p w14:paraId="5672EB72">
            <w:pPr>
              <w:jc w:val="center"/>
              <w:rPr>
                <w:rFonts w:ascii="宋体" w:hAnsi="宋体" w:cs="宋体"/>
                <w:kern w:val="0"/>
                <w:sz w:val="18"/>
                <w:szCs w:val="18"/>
              </w:rPr>
            </w:pPr>
          </w:p>
        </w:tc>
        <w:tc>
          <w:tcPr>
            <w:tcW w:w="675" w:type="dxa"/>
          </w:tcPr>
          <w:p w14:paraId="1DCF8337">
            <w:pPr>
              <w:jc w:val="center"/>
              <w:rPr>
                <w:rFonts w:ascii="宋体" w:hAnsi="宋体" w:cs="宋体"/>
                <w:kern w:val="0"/>
                <w:sz w:val="18"/>
                <w:szCs w:val="18"/>
              </w:rPr>
            </w:pPr>
          </w:p>
        </w:tc>
        <w:tc>
          <w:tcPr>
            <w:tcW w:w="702" w:type="dxa"/>
          </w:tcPr>
          <w:p w14:paraId="05DAA5B7">
            <w:pPr>
              <w:jc w:val="center"/>
              <w:rPr>
                <w:rFonts w:ascii="宋体" w:hAnsi="宋体" w:cs="宋体"/>
                <w:kern w:val="0"/>
                <w:sz w:val="18"/>
                <w:szCs w:val="18"/>
              </w:rPr>
            </w:pPr>
          </w:p>
        </w:tc>
        <w:tc>
          <w:tcPr>
            <w:tcW w:w="526" w:type="dxa"/>
            <w:vAlign w:val="center"/>
          </w:tcPr>
          <w:p w14:paraId="07472A90">
            <w:pPr>
              <w:jc w:val="center"/>
              <w:rPr>
                <w:rFonts w:ascii="宋体" w:hAnsi="宋体" w:cs="宋体"/>
                <w:kern w:val="0"/>
                <w:sz w:val="18"/>
                <w:szCs w:val="18"/>
              </w:rPr>
            </w:pPr>
          </w:p>
        </w:tc>
        <w:tc>
          <w:tcPr>
            <w:tcW w:w="1316" w:type="dxa"/>
            <w:vAlign w:val="center"/>
          </w:tcPr>
          <w:p w14:paraId="136AD96D">
            <w:pPr>
              <w:widowControl/>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B1.6-3</w:t>
            </w:r>
          </w:p>
        </w:tc>
      </w:tr>
      <w:tr w14:paraId="0C66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6" w:type="dxa"/>
          <w:jc w:val="center"/>
        </w:trPr>
        <w:tc>
          <w:tcPr>
            <w:tcW w:w="638" w:type="dxa"/>
            <w:vAlign w:val="center"/>
          </w:tcPr>
          <w:p w14:paraId="73FCA3CA">
            <w:pPr>
              <w:jc w:val="center"/>
              <w:rPr>
                <w:sz w:val="18"/>
                <w:szCs w:val="18"/>
              </w:rPr>
            </w:pPr>
            <w:r>
              <w:rPr>
                <w:rFonts w:hint="eastAsia" w:ascii="宋体" w:hAnsi="宋体" w:cs="宋体"/>
                <w:kern w:val="0"/>
                <w:sz w:val="18"/>
                <w:szCs w:val="18"/>
              </w:rPr>
              <w:t>……</w:t>
            </w:r>
          </w:p>
        </w:tc>
        <w:tc>
          <w:tcPr>
            <w:tcW w:w="675" w:type="dxa"/>
            <w:vAlign w:val="center"/>
          </w:tcPr>
          <w:p w14:paraId="663D447F">
            <w:pPr>
              <w:widowControl/>
              <w:jc w:val="center"/>
              <w:rPr>
                <w:rFonts w:ascii="宋体" w:hAnsi="宋体" w:cs="宋体"/>
                <w:kern w:val="0"/>
                <w:sz w:val="18"/>
                <w:szCs w:val="18"/>
              </w:rPr>
            </w:pPr>
            <w:r>
              <w:rPr>
                <w:rFonts w:hint="eastAsia" w:ascii="宋体" w:hAnsi="宋体" w:cs="宋体"/>
                <w:kern w:val="0"/>
                <w:sz w:val="18"/>
                <w:szCs w:val="18"/>
              </w:rPr>
              <w:t>……</w:t>
            </w:r>
          </w:p>
        </w:tc>
        <w:tc>
          <w:tcPr>
            <w:tcW w:w="658" w:type="dxa"/>
            <w:vAlign w:val="center"/>
          </w:tcPr>
          <w:p w14:paraId="1585023D">
            <w:pPr>
              <w:widowControl/>
              <w:jc w:val="center"/>
              <w:rPr>
                <w:rFonts w:ascii="宋体" w:hAnsi="宋体" w:cs="宋体"/>
                <w:kern w:val="0"/>
                <w:sz w:val="18"/>
                <w:szCs w:val="18"/>
              </w:rPr>
            </w:pPr>
            <w:r>
              <w:rPr>
                <w:rFonts w:hint="eastAsia" w:ascii="宋体" w:hAnsi="宋体" w:cs="宋体"/>
                <w:kern w:val="0"/>
                <w:sz w:val="18"/>
                <w:szCs w:val="18"/>
              </w:rPr>
              <w:t>…</w:t>
            </w:r>
          </w:p>
        </w:tc>
        <w:tc>
          <w:tcPr>
            <w:tcW w:w="1604" w:type="dxa"/>
            <w:gridSpan w:val="2"/>
            <w:vAlign w:val="center"/>
          </w:tcPr>
          <w:p w14:paraId="00C7AD65">
            <w:pPr>
              <w:pStyle w:val="299"/>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w:t>
            </w:r>
            <w:r>
              <w:rPr>
                <w:rFonts w:hint="eastAsia" w:ascii="宋体" w:hAnsi="宋体" w:cs="宋体"/>
                <w:kern w:val="0"/>
                <w:sz w:val="18"/>
                <w:szCs w:val="18"/>
              </w:rPr>
              <w:t>…</w:t>
            </w:r>
          </w:p>
        </w:tc>
        <w:tc>
          <w:tcPr>
            <w:tcW w:w="525" w:type="dxa"/>
            <w:vAlign w:val="center"/>
          </w:tcPr>
          <w:p w14:paraId="1BE6F91F">
            <w:pPr>
              <w:widowControl/>
              <w:jc w:val="center"/>
              <w:rPr>
                <w:rFonts w:ascii="宋体" w:hAnsi="宋体" w:cs="宋体"/>
                <w:kern w:val="0"/>
                <w:sz w:val="18"/>
                <w:szCs w:val="18"/>
              </w:rPr>
            </w:pPr>
            <w:r>
              <w:rPr>
                <w:rFonts w:hint="eastAsia" w:ascii="宋体" w:hAnsi="宋体" w:cs="宋体"/>
                <w:kern w:val="0"/>
                <w:sz w:val="18"/>
                <w:szCs w:val="18"/>
              </w:rPr>
              <w:t>…</w:t>
            </w:r>
          </w:p>
        </w:tc>
        <w:tc>
          <w:tcPr>
            <w:tcW w:w="773" w:type="dxa"/>
            <w:vAlign w:val="center"/>
          </w:tcPr>
          <w:p w14:paraId="6931B204">
            <w:pPr>
              <w:widowControl/>
              <w:jc w:val="center"/>
              <w:rPr>
                <w:rFonts w:ascii="宋体" w:hAnsi="宋体" w:cs="宋体"/>
                <w:kern w:val="0"/>
                <w:sz w:val="18"/>
                <w:szCs w:val="18"/>
              </w:rPr>
            </w:pPr>
            <w:r>
              <w:rPr>
                <w:rFonts w:hint="eastAsia" w:ascii="宋体" w:hAnsi="宋体" w:cs="宋体"/>
                <w:kern w:val="0"/>
                <w:sz w:val="18"/>
                <w:szCs w:val="18"/>
              </w:rPr>
              <w:t>……</w:t>
            </w:r>
          </w:p>
        </w:tc>
        <w:tc>
          <w:tcPr>
            <w:tcW w:w="851" w:type="dxa"/>
            <w:vAlign w:val="center"/>
          </w:tcPr>
          <w:p w14:paraId="73044829">
            <w:pPr>
              <w:widowControl/>
              <w:jc w:val="center"/>
              <w:rPr>
                <w:rFonts w:ascii="宋体" w:hAnsi="宋体" w:cs="宋体"/>
                <w:kern w:val="0"/>
                <w:sz w:val="18"/>
                <w:szCs w:val="18"/>
              </w:rPr>
            </w:pPr>
            <w:r>
              <w:rPr>
                <w:rFonts w:hint="eastAsia" w:ascii="宋体" w:hAnsi="宋体" w:cs="宋体"/>
                <w:kern w:val="0"/>
                <w:sz w:val="18"/>
                <w:szCs w:val="18"/>
              </w:rPr>
              <w:t>……</w:t>
            </w:r>
          </w:p>
        </w:tc>
        <w:tc>
          <w:tcPr>
            <w:tcW w:w="783" w:type="dxa"/>
            <w:vAlign w:val="center"/>
          </w:tcPr>
          <w:p w14:paraId="40C16C5B">
            <w:pPr>
              <w:widowControl/>
              <w:jc w:val="center"/>
              <w:rPr>
                <w:rFonts w:ascii="宋体" w:hAnsi="宋体" w:cs="宋体"/>
                <w:kern w:val="0"/>
                <w:sz w:val="18"/>
                <w:szCs w:val="18"/>
              </w:rPr>
            </w:pPr>
            <w:r>
              <w:rPr>
                <w:rFonts w:hint="eastAsia" w:ascii="宋体" w:hAnsi="宋体" w:cs="宋体"/>
                <w:kern w:val="0"/>
                <w:sz w:val="18"/>
                <w:szCs w:val="18"/>
              </w:rPr>
              <w:t>……</w:t>
            </w:r>
          </w:p>
        </w:tc>
        <w:tc>
          <w:tcPr>
            <w:tcW w:w="785" w:type="dxa"/>
            <w:vAlign w:val="center"/>
          </w:tcPr>
          <w:p w14:paraId="6A944834">
            <w:pPr>
              <w:widowControl/>
              <w:jc w:val="center"/>
              <w:rPr>
                <w:rFonts w:ascii="宋体" w:hAnsi="宋体" w:cs="宋体"/>
                <w:kern w:val="0"/>
                <w:sz w:val="18"/>
                <w:szCs w:val="18"/>
              </w:rPr>
            </w:pPr>
            <w:r>
              <w:rPr>
                <w:rFonts w:hint="eastAsia" w:ascii="宋体" w:hAnsi="宋体" w:cs="宋体"/>
                <w:kern w:val="0"/>
                <w:sz w:val="18"/>
                <w:szCs w:val="18"/>
              </w:rPr>
              <w:t>……</w:t>
            </w:r>
          </w:p>
        </w:tc>
        <w:tc>
          <w:tcPr>
            <w:tcW w:w="862" w:type="dxa"/>
            <w:vAlign w:val="center"/>
          </w:tcPr>
          <w:p w14:paraId="57963463">
            <w:pPr>
              <w:widowControl/>
              <w:jc w:val="center"/>
              <w:rPr>
                <w:rFonts w:ascii="宋体" w:hAnsi="宋体" w:cs="宋体"/>
                <w:kern w:val="0"/>
                <w:sz w:val="18"/>
                <w:szCs w:val="18"/>
              </w:rPr>
            </w:pPr>
            <w:r>
              <w:rPr>
                <w:rFonts w:hint="eastAsia" w:ascii="宋体" w:hAnsi="宋体" w:cs="宋体"/>
                <w:kern w:val="0"/>
                <w:sz w:val="18"/>
                <w:szCs w:val="18"/>
              </w:rPr>
              <w:t>……</w:t>
            </w:r>
          </w:p>
        </w:tc>
        <w:tc>
          <w:tcPr>
            <w:tcW w:w="907" w:type="dxa"/>
            <w:gridSpan w:val="2"/>
            <w:vAlign w:val="center"/>
          </w:tcPr>
          <w:p w14:paraId="41F957A2">
            <w:pPr>
              <w:widowControl/>
              <w:jc w:val="center"/>
              <w:rPr>
                <w:rFonts w:ascii="宋体" w:hAnsi="宋体" w:cs="宋体"/>
                <w:kern w:val="0"/>
                <w:sz w:val="18"/>
                <w:szCs w:val="18"/>
              </w:rPr>
            </w:pPr>
            <w:r>
              <w:rPr>
                <w:rFonts w:hint="eastAsia" w:ascii="宋体" w:hAnsi="宋体" w:cs="宋体"/>
                <w:kern w:val="0"/>
                <w:sz w:val="18"/>
                <w:szCs w:val="18"/>
              </w:rPr>
              <w:t>……</w:t>
            </w:r>
          </w:p>
        </w:tc>
        <w:tc>
          <w:tcPr>
            <w:tcW w:w="939" w:type="dxa"/>
            <w:vAlign w:val="center"/>
          </w:tcPr>
          <w:p w14:paraId="688D9CB4">
            <w:pPr>
              <w:widowControl/>
              <w:jc w:val="center"/>
              <w:rPr>
                <w:rFonts w:ascii="宋体" w:hAnsi="宋体" w:cs="宋体"/>
                <w:kern w:val="0"/>
                <w:sz w:val="18"/>
                <w:szCs w:val="18"/>
              </w:rPr>
            </w:pPr>
            <w:r>
              <w:rPr>
                <w:rFonts w:hint="eastAsia" w:ascii="宋体" w:hAnsi="宋体" w:cs="宋体"/>
                <w:kern w:val="0"/>
                <w:sz w:val="18"/>
                <w:szCs w:val="18"/>
              </w:rPr>
              <w:t>……</w:t>
            </w:r>
          </w:p>
        </w:tc>
        <w:tc>
          <w:tcPr>
            <w:tcW w:w="934" w:type="dxa"/>
            <w:gridSpan w:val="2"/>
            <w:vAlign w:val="center"/>
          </w:tcPr>
          <w:p w14:paraId="53D5A899">
            <w:pPr>
              <w:widowControl/>
              <w:jc w:val="center"/>
              <w:rPr>
                <w:rFonts w:ascii="宋体" w:hAnsi="宋体" w:cs="宋体"/>
                <w:kern w:val="0"/>
                <w:sz w:val="18"/>
                <w:szCs w:val="18"/>
              </w:rPr>
            </w:pPr>
            <w:r>
              <w:rPr>
                <w:rFonts w:hint="eastAsia" w:ascii="宋体" w:hAnsi="宋体" w:cs="宋体"/>
                <w:kern w:val="0"/>
                <w:sz w:val="18"/>
                <w:szCs w:val="18"/>
              </w:rPr>
              <w:t>……</w:t>
            </w:r>
          </w:p>
        </w:tc>
        <w:tc>
          <w:tcPr>
            <w:tcW w:w="675" w:type="dxa"/>
            <w:vAlign w:val="center"/>
          </w:tcPr>
          <w:p w14:paraId="2C501E67">
            <w:pPr>
              <w:widowControl/>
              <w:jc w:val="center"/>
              <w:rPr>
                <w:rFonts w:ascii="宋体" w:hAnsi="宋体" w:cs="宋体"/>
                <w:kern w:val="0"/>
                <w:sz w:val="18"/>
                <w:szCs w:val="18"/>
              </w:rPr>
            </w:pPr>
            <w:r>
              <w:rPr>
                <w:rFonts w:hint="eastAsia" w:ascii="宋体" w:hAnsi="宋体" w:cs="宋体"/>
                <w:kern w:val="0"/>
                <w:sz w:val="18"/>
                <w:szCs w:val="18"/>
              </w:rPr>
              <w:t>……</w:t>
            </w:r>
          </w:p>
        </w:tc>
        <w:tc>
          <w:tcPr>
            <w:tcW w:w="702" w:type="dxa"/>
            <w:vAlign w:val="center"/>
          </w:tcPr>
          <w:p w14:paraId="6EE801B3">
            <w:pPr>
              <w:widowControl/>
              <w:jc w:val="center"/>
              <w:rPr>
                <w:rFonts w:ascii="宋体" w:hAnsi="宋体" w:cs="宋体"/>
                <w:kern w:val="0"/>
                <w:sz w:val="18"/>
                <w:szCs w:val="18"/>
              </w:rPr>
            </w:pPr>
            <w:r>
              <w:rPr>
                <w:rFonts w:hint="eastAsia" w:ascii="宋体" w:hAnsi="宋体" w:cs="宋体"/>
                <w:kern w:val="0"/>
                <w:sz w:val="18"/>
                <w:szCs w:val="18"/>
              </w:rPr>
              <w:t>…</w:t>
            </w:r>
          </w:p>
        </w:tc>
        <w:tc>
          <w:tcPr>
            <w:tcW w:w="526" w:type="dxa"/>
            <w:vAlign w:val="center"/>
          </w:tcPr>
          <w:p w14:paraId="416A6CEA">
            <w:pPr>
              <w:widowControl/>
              <w:jc w:val="center"/>
              <w:rPr>
                <w:rFonts w:ascii="宋体" w:hAnsi="宋体" w:cs="宋体"/>
                <w:kern w:val="0"/>
                <w:sz w:val="18"/>
                <w:szCs w:val="18"/>
              </w:rPr>
            </w:pPr>
            <w:r>
              <w:rPr>
                <w:rFonts w:hint="eastAsia" w:ascii="宋体" w:hAnsi="宋体" w:cs="宋体"/>
                <w:kern w:val="0"/>
                <w:sz w:val="18"/>
                <w:szCs w:val="18"/>
              </w:rPr>
              <w:t>…</w:t>
            </w:r>
          </w:p>
        </w:tc>
        <w:tc>
          <w:tcPr>
            <w:tcW w:w="1316" w:type="dxa"/>
            <w:vAlign w:val="center"/>
          </w:tcPr>
          <w:p w14:paraId="52D40D96">
            <w:pPr>
              <w:widowControl/>
              <w:jc w:val="center"/>
              <w:rPr>
                <w:rFonts w:ascii="宋体" w:hAnsi="宋体" w:cs="宋体"/>
                <w:kern w:val="0"/>
                <w:sz w:val="18"/>
                <w:szCs w:val="18"/>
              </w:rPr>
            </w:pPr>
            <w:r>
              <w:rPr>
                <w:rFonts w:hint="eastAsia" w:ascii="宋体" w:hAnsi="宋体" w:cs="宋体"/>
                <w:kern w:val="0"/>
                <w:sz w:val="18"/>
                <w:szCs w:val="18"/>
              </w:rPr>
              <w:t>……</w:t>
            </w:r>
          </w:p>
        </w:tc>
      </w:tr>
    </w:tbl>
    <w:p w14:paraId="5E9A109F">
      <w:pPr>
        <w:keepNext w:val="0"/>
        <w:shd w:val="clear" w:color="auto" w:fill="FFFFFF"/>
        <w:tabs>
          <w:tab w:val="left" w:pos="312"/>
        </w:tabs>
        <w:adjustRightInd w:val="0"/>
        <w:snapToGrid w:val="0"/>
        <w:spacing w:line="300" w:lineRule="exact"/>
        <w:ind w:left="0" w:firstLine="0" w:firstLineChars="0"/>
        <w:rPr>
          <w:rFonts w:ascii="宋体" w:hAnsi="宋体" w:cs="宋体"/>
          <w:szCs w:val="21"/>
        </w:rPr>
      </w:pPr>
      <w:r>
        <w:rPr>
          <w:rFonts w:hint="eastAsia" w:ascii="宋体" w:hAnsi="宋体" w:cs="宋体"/>
          <w:szCs w:val="21"/>
        </w:rPr>
        <w:t>注：1.投标人应在本表后提供相关证明材料（原件原色扫描件）附件</w:t>
      </w:r>
      <w:r>
        <w:rPr>
          <w:rFonts w:ascii="宋体" w:hAnsi="宋体" w:cs="宋体"/>
          <w:szCs w:val="21"/>
        </w:rPr>
        <w:t>B1系列（身份证、职称证、执业资格证、</w:t>
      </w:r>
      <w:r>
        <w:rPr>
          <w:rFonts w:hint="eastAsia" w:ascii="宋体" w:hAnsi="宋体" w:cs="宋体"/>
          <w:kern w:val="0"/>
          <w:szCs w:val="21"/>
        </w:rPr>
        <w:t>安全生产考核合格证、社</w:t>
      </w:r>
      <w:r>
        <w:rPr>
          <w:rFonts w:hint="eastAsia" w:ascii="宋体" w:hAnsi="宋体" w:cs="宋体"/>
          <w:szCs w:val="21"/>
        </w:rPr>
        <w:t>保证明、个人业绩证明）。证明材料构成应与招标人对拟委任主要人员的要求一一对应，未作要求的内容不得要求投标人提供相应的证明材料。</w:t>
      </w:r>
    </w:p>
    <w:p w14:paraId="2DA55D70">
      <w:pPr>
        <w:keepNext w:val="0"/>
        <w:shd w:val="clear" w:color="auto" w:fill="FFFFFF"/>
        <w:tabs>
          <w:tab w:val="left" w:pos="312"/>
        </w:tabs>
        <w:adjustRightInd w:val="0"/>
        <w:snapToGrid w:val="0"/>
        <w:spacing w:line="300" w:lineRule="exact"/>
        <w:ind w:left="0" w:leftChars="0" w:firstLine="420" w:firstLineChars="200"/>
        <w:rPr>
          <w:rFonts w:hint="eastAsia" w:ascii="宋体" w:hAnsi="宋体" w:cs="宋体"/>
          <w:szCs w:val="21"/>
        </w:rPr>
      </w:pPr>
      <w:r>
        <w:rPr>
          <w:rFonts w:hint="eastAsia" w:ascii="宋体" w:hAnsi="宋体" w:cs="宋体"/>
          <w:szCs w:val="21"/>
        </w:rPr>
        <w:t>2.因投标人自身原因未提供附件或提供的附件不能与所证明的内容相匹配，造成业绩或其他内容不予认可时，投标人自行承担相关责任。</w:t>
      </w:r>
    </w:p>
    <w:p w14:paraId="3C9060D9">
      <w:pPr>
        <w:keepNext w:val="0"/>
        <w:shd w:val="clear" w:color="auto" w:fill="FFFFFF"/>
        <w:tabs>
          <w:tab w:val="left" w:pos="312"/>
        </w:tabs>
        <w:adjustRightInd w:val="0"/>
        <w:snapToGrid w:val="0"/>
        <w:spacing w:line="300" w:lineRule="exact"/>
        <w:ind w:left="0" w:leftChars="0" w:firstLine="420" w:firstLineChars="200"/>
        <w:rPr>
          <w:rFonts w:ascii="宋体" w:hAnsi="宋体" w:cs="宋体"/>
          <w:szCs w:val="21"/>
        </w:rPr>
      </w:pPr>
      <w:r>
        <w:rPr>
          <w:rFonts w:hint="eastAsia" w:ascii="宋体" w:hAnsi="宋体" w:cs="宋体"/>
          <w:szCs w:val="21"/>
        </w:rPr>
        <w:t>3</w:t>
      </w:r>
      <w:r>
        <w:rPr>
          <w:rFonts w:ascii="宋体" w:hAnsi="宋体" w:cs="宋体"/>
          <w:szCs w:val="21"/>
        </w:rPr>
        <w:t>.个人业绩证明材料为：</w:t>
      </w:r>
    </w:p>
    <w:p w14:paraId="3443D3DE">
      <w:pPr>
        <w:keepNext w:val="0"/>
        <w:shd w:val="clear" w:color="auto" w:fill="FFFFFF"/>
        <w:tabs>
          <w:tab w:val="left" w:pos="312"/>
        </w:tabs>
        <w:adjustRightInd w:val="0"/>
        <w:snapToGrid w:val="0"/>
        <w:spacing w:line="300" w:lineRule="exact"/>
        <w:ind w:firstLine="420" w:firstLineChars="200"/>
        <w:rPr>
          <w:rFonts w:ascii="宋体" w:hAnsi="宋体" w:cs="宋体"/>
          <w:szCs w:val="21"/>
        </w:rPr>
      </w:pPr>
      <w:r>
        <w:rPr>
          <w:rFonts w:hint="eastAsia" w:ascii="宋体" w:hAnsi="宋体" w:cs="宋体"/>
          <w:b w:val="0"/>
          <w:bCs w:val="0"/>
          <w:szCs w:val="21"/>
        </w:rPr>
        <w:t xml:space="preserve">□ </w:t>
      </w:r>
      <w:r>
        <w:rPr>
          <w:rFonts w:ascii="宋体" w:hAnsi="宋体" w:cs="宋体"/>
          <w:szCs w:val="21"/>
        </w:rPr>
        <w:t>交通运输部“</w:t>
      </w:r>
      <w:r>
        <w:rPr>
          <w:rFonts w:hint="eastAsia" w:ascii="宋体" w:hAnsi="宋体" w:cs="宋体"/>
          <w:szCs w:val="21"/>
        </w:rPr>
        <w:t>全国公路建设市场监督管理系统</w:t>
      </w:r>
      <w:r>
        <w:rPr>
          <w:rFonts w:ascii="宋体" w:hAnsi="宋体" w:cs="宋体"/>
          <w:szCs w:val="21"/>
        </w:rPr>
        <w:t>”</w:t>
      </w:r>
      <w:r>
        <w:rPr>
          <w:rFonts w:hint="eastAsia" w:ascii="宋体" w:hAnsi="宋体" w:cs="宋体"/>
          <w:szCs w:val="21"/>
        </w:rPr>
        <w:t>中载明的、能够证明该人员具有相关业绩的网页截图（本项规定仅适用于根据《关于发布公路工程从业企业资质名录的通知》（厅公路字〔2011〕114号）要求，招标人应通过名录对投标人资质条件进行审核的公路施工企业单位人员。否则，招标人可对相关个人业绩提出其他证明材料要求）。□</w:t>
      </w:r>
      <w:r>
        <w:rPr>
          <w:rFonts w:hint="eastAsia" w:ascii="宋体" w:hAnsi="宋体" w:cs="宋体"/>
          <w:b w:val="0"/>
          <w:bCs w:val="0"/>
          <w:szCs w:val="21"/>
        </w:rPr>
        <w:t xml:space="preserve"> </w:t>
      </w:r>
      <w:r>
        <w:rPr>
          <w:rFonts w:ascii="宋体" w:hAnsi="宋体" w:cs="宋体"/>
          <w:szCs w:val="21"/>
        </w:rPr>
        <w:t>或</w:t>
      </w:r>
    </w:p>
    <w:p w14:paraId="0F60FAD5">
      <w:pPr>
        <w:keepNext w:val="0"/>
        <w:shd w:val="clear" w:color="auto" w:fill="FFFFFF"/>
        <w:tabs>
          <w:tab w:val="left" w:pos="312"/>
        </w:tabs>
        <w:adjustRightInd w:val="0"/>
        <w:snapToGrid w:val="0"/>
        <w:spacing w:line="300" w:lineRule="exact"/>
        <w:ind w:firstLine="420" w:firstLineChars="200"/>
        <w:rPr>
          <w:rFonts w:ascii="宋体" w:hAnsi="宋体" w:cs="宋体"/>
          <w:szCs w:val="21"/>
        </w:rPr>
      </w:pPr>
      <w:r>
        <w:rPr>
          <w:rFonts w:hint="eastAsia" w:ascii="宋体" w:hAnsi="宋体" w:cs="宋体"/>
          <w:b w:val="0"/>
          <w:bCs w:val="0"/>
          <w:szCs w:val="21"/>
        </w:rPr>
        <w:t xml:space="preserve">□ </w:t>
      </w:r>
      <w:r>
        <w:rPr>
          <w:rFonts w:hint="eastAsia" w:ascii="宋体" w:hAnsi="宋体" w:cs="宋体"/>
          <w:szCs w:val="21"/>
        </w:rPr>
        <w:t>合同协议书；和</w:t>
      </w:r>
    </w:p>
    <w:p w14:paraId="73B64CF7">
      <w:pPr>
        <w:keepNext w:val="0"/>
        <w:shd w:val="clear" w:color="auto" w:fill="FFFFFF"/>
        <w:tabs>
          <w:tab w:val="left" w:pos="312"/>
        </w:tabs>
        <w:adjustRightInd w:val="0"/>
        <w:snapToGrid w:val="0"/>
        <w:spacing w:line="300" w:lineRule="exact"/>
        <w:ind w:firstLine="420" w:firstLineChars="200"/>
        <w:rPr>
          <w:rFonts w:ascii="宋体" w:hAnsi="宋体" w:cs="宋体"/>
          <w:szCs w:val="21"/>
        </w:rPr>
      </w:pPr>
      <w:r>
        <w:rPr>
          <w:rFonts w:ascii="宋体" w:hAnsi="宋体" w:cs="宋体"/>
          <w:szCs w:val="21"/>
        </w:rPr>
        <w:t xml:space="preserve">   </w:t>
      </w:r>
      <w:r>
        <w:rPr>
          <w:rFonts w:hint="eastAsia" w:ascii="宋体" w:hAnsi="宋体" w:cs="宋体"/>
          <w:szCs w:val="21"/>
        </w:rPr>
        <w:t>项目评定书或交工验收证书或竣工验收委员会出具的公路工程竣工验收鉴定书或发包人出具的证明原件原色扫描件，其中应能够证明该人员具有相关业绩。</w:t>
      </w:r>
    </w:p>
    <w:p w14:paraId="412ED335">
      <w:pPr>
        <w:keepNext w:val="0"/>
        <w:shd w:val="clear" w:color="auto" w:fill="FFFFFF"/>
        <w:tabs>
          <w:tab w:val="left" w:pos="312"/>
        </w:tabs>
        <w:adjustRightInd w:val="0"/>
        <w:snapToGrid w:val="0"/>
        <w:spacing w:line="30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提供社保时间段要求：例如投标截止日所在月为“</w:t>
      </w:r>
      <w:r>
        <w:rPr>
          <w:rFonts w:ascii="宋体" w:hAnsi="宋体" w:cs="宋体"/>
          <w:szCs w:val="21"/>
        </w:rPr>
        <w:t>2021</w:t>
      </w:r>
      <w:r>
        <w:rPr>
          <w:rFonts w:hint="eastAsia" w:ascii="宋体" w:hAnsi="宋体" w:cs="宋体"/>
          <w:szCs w:val="21"/>
        </w:rPr>
        <w:t>年</w:t>
      </w:r>
      <w:r>
        <w:rPr>
          <w:rFonts w:ascii="宋体" w:hAnsi="宋体" w:cs="宋体"/>
          <w:szCs w:val="21"/>
        </w:rPr>
        <w:t>12</w:t>
      </w:r>
      <w:r>
        <w:rPr>
          <w:rFonts w:hint="eastAsia" w:ascii="宋体" w:hAnsi="宋体" w:cs="宋体"/>
          <w:szCs w:val="21"/>
        </w:rPr>
        <w:t>月”，则提供</w:t>
      </w:r>
      <w:r>
        <w:rPr>
          <w:rFonts w:ascii="宋体" w:hAnsi="宋体" w:cs="宋体"/>
          <w:szCs w:val="21"/>
        </w:rPr>
        <w:t xml:space="preserve"> </w:t>
      </w:r>
      <w:r>
        <w:rPr>
          <w:rFonts w:hint="eastAsia" w:ascii="宋体" w:hAnsi="宋体" w:cs="宋体"/>
          <w:szCs w:val="21"/>
        </w:rPr>
        <w:t>“</w:t>
      </w:r>
      <w:r>
        <w:rPr>
          <w:rFonts w:ascii="宋体" w:hAnsi="宋体" w:cs="宋体"/>
          <w:szCs w:val="21"/>
        </w:rPr>
        <w:t>2021</w:t>
      </w:r>
      <w:r>
        <w:rPr>
          <w:rFonts w:hint="eastAsia" w:ascii="宋体" w:hAnsi="宋体" w:cs="宋体"/>
          <w:szCs w:val="21"/>
        </w:rPr>
        <w:t>年</w:t>
      </w:r>
      <w:r>
        <w:rPr>
          <w:rFonts w:ascii="宋体" w:hAnsi="宋体" w:cs="宋体"/>
          <w:szCs w:val="21"/>
        </w:rPr>
        <w:t>6</w:t>
      </w:r>
      <w:r>
        <w:rPr>
          <w:rFonts w:hint="eastAsia" w:ascii="宋体" w:hAnsi="宋体" w:cs="宋体"/>
          <w:szCs w:val="21"/>
        </w:rPr>
        <w:t>～</w:t>
      </w:r>
      <w:r>
        <w:rPr>
          <w:rFonts w:ascii="宋体" w:hAnsi="宋体" w:cs="宋体"/>
          <w:szCs w:val="21"/>
        </w:rPr>
        <w:t>11</w:t>
      </w:r>
      <w:r>
        <w:rPr>
          <w:rFonts w:hint="eastAsia" w:ascii="宋体" w:hAnsi="宋体" w:cs="宋体"/>
          <w:szCs w:val="21"/>
        </w:rPr>
        <w:t>月”或“</w:t>
      </w:r>
      <w:r>
        <w:rPr>
          <w:rFonts w:ascii="宋体" w:hAnsi="宋体" w:cs="宋体"/>
          <w:szCs w:val="21"/>
        </w:rPr>
        <w:t>2021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w:t>
      </w:r>
      <w:r>
        <w:rPr>
          <w:rFonts w:ascii="宋体" w:hAnsi="宋体" w:cs="宋体"/>
          <w:szCs w:val="21"/>
        </w:rPr>
        <w:t>6</w:t>
      </w:r>
      <w:r>
        <w:rPr>
          <w:rFonts w:hint="eastAsia" w:ascii="宋体" w:hAnsi="宋体" w:cs="宋体"/>
          <w:szCs w:val="21"/>
        </w:rPr>
        <w:t>个月参加社保的证明材料。</w:t>
      </w:r>
    </w:p>
    <w:p w14:paraId="29A44646">
      <w:pPr>
        <w:keepNext w:val="0"/>
        <w:shd w:val="clear" w:color="auto" w:fill="FFFFFF"/>
        <w:tabs>
          <w:tab w:val="left" w:pos="312"/>
        </w:tabs>
        <w:adjustRightInd w:val="0"/>
        <w:snapToGrid w:val="0"/>
        <w:spacing w:line="300" w:lineRule="exact"/>
        <w:ind w:firstLine="420" w:firstLineChars="200"/>
        <w:jc w:val="left"/>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桥梁类型应从“梁式桥、拱式桥、悬索桥、斜拉桥、刚构桥、组合体系桥、其他</w:t>
      </w:r>
      <w:r>
        <w:rPr>
          <w:rFonts w:ascii="宋体" w:hAnsi="宋体" w:cs="宋体"/>
          <w:szCs w:val="21"/>
        </w:rPr>
        <w:t>”</w:t>
      </w:r>
      <w:r>
        <w:rPr>
          <w:rFonts w:hint="eastAsia" w:ascii="宋体" w:hAnsi="宋体" w:cs="宋体"/>
          <w:szCs w:val="21"/>
        </w:rPr>
        <w:t>中选择填写</w:t>
      </w:r>
      <w:r>
        <w:rPr>
          <w:rFonts w:ascii="宋体" w:hAnsi="宋体" w:cs="宋体"/>
          <w:szCs w:val="21"/>
        </w:rPr>
        <w:t>。</w:t>
      </w:r>
    </w:p>
    <w:p w14:paraId="1FC086B4">
      <w:pPr>
        <w:keepNext w:val="0"/>
        <w:shd w:val="clear" w:color="auto" w:fill="FFFFFF"/>
        <w:tabs>
          <w:tab w:val="left" w:pos="312"/>
        </w:tabs>
        <w:adjustRightInd w:val="0"/>
        <w:snapToGrid w:val="0"/>
        <w:spacing w:line="300" w:lineRule="exact"/>
        <w:ind w:firstLine="420" w:firstLineChars="200"/>
        <w:rPr>
          <w:rFonts w:ascii="宋体" w:hAnsi="宋体" w:cs="宋体"/>
          <w:szCs w:val="21"/>
        </w:rPr>
      </w:pPr>
      <w:r>
        <w:rPr>
          <w:rFonts w:hint="eastAsia" w:ascii="宋体" w:hAnsi="宋体" w:cs="宋体"/>
          <w:szCs w:val="21"/>
        </w:rPr>
        <w:t>6.对于左右幅桥长不相同的桥梁，其桥梁长度以左右幅长度较长的为准；若只有单幅的，则以单幅桥梁长度数据为准。</w:t>
      </w:r>
    </w:p>
    <w:p w14:paraId="3A279E35">
      <w:pPr>
        <w:keepNext w:val="0"/>
        <w:shd w:val="clear" w:color="auto" w:fill="FFFFFF"/>
        <w:tabs>
          <w:tab w:val="left" w:pos="312"/>
        </w:tabs>
        <w:adjustRightInd w:val="0"/>
        <w:snapToGrid w:val="0"/>
        <w:spacing w:line="300" w:lineRule="exact"/>
        <w:ind w:firstLine="420" w:firstLineChars="200"/>
        <w:rPr>
          <w:rFonts w:ascii="宋体" w:hAnsi="宋体" w:cs="宋体"/>
          <w:szCs w:val="21"/>
        </w:rPr>
      </w:pPr>
      <w:r>
        <w:rPr>
          <w:rFonts w:hint="eastAsia" w:ascii="宋体" w:hAnsi="宋体" w:cs="宋体"/>
          <w:szCs w:val="21"/>
        </w:rPr>
        <w:t>7.隧道机电工程施工系统类型应是隧道“监控系统、通风系统、供配电系统、照明系统、消防系统、其他”中的一种或多种。</w:t>
      </w:r>
    </w:p>
    <w:p w14:paraId="04974426">
      <w:pPr>
        <w:keepNext w:val="0"/>
        <w:shd w:val="clear" w:color="auto" w:fill="FFFFFF"/>
        <w:tabs>
          <w:tab w:val="left" w:pos="312"/>
        </w:tabs>
        <w:adjustRightInd w:val="0"/>
        <w:snapToGrid w:val="0"/>
        <w:spacing w:line="300" w:lineRule="exact"/>
        <w:ind w:firstLine="420" w:firstLineChars="200"/>
        <w:jc w:val="left"/>
        <w:rPr>
          <w:rFonts w:ascii="宋体" w:hAnsi="宋体" w:cs="宋体"/>
          <w:szCs w:val="21"/>
        </w:rPr>
      </w:pPr>
      <w:r>
        <w:rPr>
          <w:rFonts w:hint="eastAsia" w:ascii="宋体" w:hAnsi="宋体" w:cs="宋体"/>
          <w:szCs w:val="21"/>
        </w:rPr>
        <w:t>8.对于具有双洞的隧道，其承担隧道长度以左右线隧道长度较长的为准；若只有单洞的，则以承担单洞隧道长度数据为准。隧道单洞长度不含斜井、竖井、支洞。</w:t>
      </w:r>
    </w:p>
    <w:p w14:paraId="0C8EAD88">
      <w:pPr>
        <w:shd w:val="clear" w:color="auto" w:fill="FFFFFF"/>
        <w:tabs>
          <w:tab w:val="left" w:pos="312"/>
        </w:tabs>
        <w:adjustRightInd w:val="0"/>
        <w:snapToGrid w:val="0"/>
        <w:spacing w:line="300" w:lineRule="exact"/>
        <w:ind w:firstLine="420" w:firstLineChars="200"/>
        <w:rPr>
          <w:rFonts w:hint="eastAsia" w:ascii="宋体" w:hAnsi="宋体" w:cs="宋体"/>
          <w:szCs w:val="21"/>
        </w:rPr>
      </w:pPr>
      <w:r>
        <w:rPr>
          <w:rFonts w:hint="eastAsia" w:ascii="宋体" w:hAnsi="宋体" w:cs="宋体"/>
          <w:szCs w:val="21"/>
        </w:rPr>
        <w:t>9.允许联合体投标时，若以联合体形式投标的，项目经理应按照第二章“投标人须知”前附表附录5资格审查条件的要求及第三章“评标办法”详细评审打分条件（如有）填写本表。</w:t>
      </w:r>
    </w:p>
    <w:bookmarkEnd w:id="909"/>
    <w:p w14:paraId="7ED6E1E1">
      <w:pPr>
        <w:spacing w:line="360" w:lineRule="auto"/>
        <w:ind w:firstLine="360" w:firstLineChars="200"/>
        <w:rPr>
          <w:rFonts w:ascii="黑体" w:hAnsi="黑体" w:eastAsia="黑体"/>
          <w:bCs/>
        </w:rPr>
      </w:pPr>
      <w:r>
        <w:rPr>
          <w:rFonts w:ascii="黑体" w:hAnsi="黑体" w:eastAsia="黑体"/>
          <w:bCs/>
          <w:sz w:val="18"/>
          <w:szCs w:val="18"/>
        </w:rPr>
        <w:br w:type="page"/>
      </w:r>
      <w:r>
        <w:rPr>
          <w:rFonts w:ascii="黑体" w:hAnsi="黑体" w:eastAsia="黑体"/>
          <w:bCs/>
        </w:rPr>
        <w:t xml:space="preserve">                                                   </w:t>
      </w:r>
      <w:r>
        <w:rPr>
          <w:rFonts w:hint="eastAsia" w:ascii="黑体" w:hAnsi="黑体" w:eastAsia="黑体" w:cs="宋体"/>
          <w:b/>
          <w:kern w:val="0"/>
          <w:sz w:val="24"/>
        </w:rPr>
        <w:t>□</w:t>
      </w:r>
      <w:r>
        <w:rPr>
          <w:rFonts w:ascii="黑体" w:hAnsi="黑体" w:eastAsia="黑体" w:cs="宋体"/>
          <w:b/>
          <w:kern w:val="0"/>
          <w:sz w:val="24"/>
        </w:rPr>
        <w:t xml:space="preserve"> </w:t>
      </w:r>
      <w:r>
        <w:rPr>
          <w:rFonts w:ascii="黑体" w:hAnsi="黑体" w:eastAsia="黑体" w:cs="宋体"/>
          <w:bCs/>
          <w:kern w:val="0"/>
          <w:sz w:val="24"/>
        </w:rPr>
        <w:t xml:space="preserve"> 项目总工资历情况</w:t>
      </w:r>
      <w:r>
        <w:rPr>
          <w:rFonts w:ascii="黑体" w:hAnsi="黑体" w:eastAsia="黑体"/>
          <w:bCs/>
          <w:sz w:val="24"/>
        </w:rPr>
        <w:t xml:space="preserve">                                         </w:t>
      </w:r>
      <w:r>
        <w:rPr>
          <w:rFonts w:hint="eastAsia" w:ascii="黑体" w:hAnsi="黑体" w:eastAsia="黑体"/>
          <w:bCs/>
          <w:sz w:val="24"/>
        </w:rPr>
        <w:t>表</w:t>
      </w:r>
      <w:r>
        <w:rPr>
          <w:rFonts w:ascii="黑体" w:hAnsi="黑体" w:eastAsia="黑体"/>
          <w:bCs/>
          <w:sz w:val="24"/>
        </w:rPr>
        <w:t>5</w:t>
      </w:r>
    </w:p>
    <w:tbl>
      <w:tblPr>
        <w:tblStyle w:val="49"/>
        <w:tblW w:w="14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02"/>
        <w:gridCol w:w="636"/>
        <w:gridCol w:w="976"/>
        <w:gridCol w:w="374"/>
        <w:gridCol w:w="784"/>
        <w:gridCol w:w="954"/>
        <w:gridCol w:w="288"/>
        <w:gridCol w:w="472"/>
        <w:gridCol w:w="354"/>
        <w:gridCol w:w="407"/>
        <w:gridCol w:w="886"/>
        <w:gridCol w:w="786"/>
        <w:gridCol w:w="54"/>
        <w:gridCol w:w="861"/>
        <w:gridCol w:w="470"/>
        <w:gridCol w:w="415"/>
        <w:gridCol w:w="809"/>
        <w:gridCol w:w="798"/>
        <w:gridCol w:w="499"/>
        <w:gridCol w:w="1347"/>
      </w:tblGrid>
      <w:tr w14:paraId="14DF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2" w:type="dxa"/>
            <w:gridSpan w:val="20"/>
            <w:vAlign w:val="center"/>
          </w:tcPr>
          <w:p w14:paraId="5576C63B">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基本信息</w:t>
            </w:r>
          </w:p>
        </w:tc>
        <w:tc>
          <w:tcPr>
            <w:tcW w:w="1347" w:type="dxa"/>
          </w:tcPr>
          <w:p w14:paraId="303AA9B7">
            <w:pPr>
              <w:widowControl/>
              <w:spacing w:line="240" w:lineRule="exact"/>
              <w:jc w:val="left"/>
              <w:rPr>
                <w:sz w:val="18"/>
                <w:szCs w:val="18"/>
              </w:rPr>
            </w:pPr>
            <w:r>
              <w:rPr>
                <w:rFonts w:hint="eastAsia"/>
                <w:sz w:val="18"/>
                <w:szCs w:val="18"/>
              </w:rPr>
              <w:t>基本信息附件</w:t>
            </w:r>
          </w:p>
        </w:tc>
      </w:tr>
      <w:tr w14:paraId="2020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1164C268">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姓名</w:t>
            </w:r>
          </w:p>
        </w:tc>
        <w:tc>
          <w:tcPr>
            <w:tcW w:w="4012" w:type="dxa"/>
            <w:gridSpan w:val="6"/>
            <w:vAlign w:val="center"/>
          </w:tcPr>
          <w:p w14:paraId="1A17A4B2">
            <w:pPr>
              <w:widowControl/>
              <w:spacing w:line="240" w:lineRule="exact"/>
              <w:jc w:val="center"/>
              <w:rPr>
                <w:rFonts w:ascii="宋体" w:hAnsi="宋体" w:cs="宋体"/>
                <w:bCs/>
                <w:kern w:val="0"/>
                <w:sz w:val="18"/>
                <w:szCs w:val="18"/>
              </w:rPr>
            </w:pPr>
          </w:p>
        </w:tc>
        <w:tc>
          <w:tcPr>
            <w:tcW w:w="826" w:type="dxa"/>
            <w:gridSpan w:val="2"/>
            <w:vAlign w:val="center"/>
          </w:tcPr>
          <w:p w14:paraId="5693AFBB">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年龄</w:t>
            </w:r>
          </w:p>
        </w:tc>
        <w:tc>
          <w:tcPr>
            <w:tcW w:w="2079" w:type="dxa"/>
            <w:gridSpan w:val="3"/>
            <w:vAlign w:val="center"/>
          </w:tcPr>
          <w:p w14:paraId="1E8A995E">
            <w:pPr>
              <w:widowControl/>
              <w:spacing w:line="240" w:lineRule="exact"/>
              <w:jc w:val="center"/>
              <w:rPr>
                <w:rFonts w:ascii="宋体" w:hAnsi="宋体" w:cs="宋体"/>
                <w:bCs/>
                <w:kern w:val="0"/>
                <w:sz w:val="18"/>
                <w:szCs w:val="18"/>
              </w:rPr>
            </w:pPr>
          </w:p>
        </w:tc>
        <w:tc>
          <w:tcPr>
            <w:tcW w:w="1385" w:type="dxa"/>
            <w:gridSpan w:val="3"/>
            <w:vAlign w:val="center"/>
          </w:tcPr>
          <w:p w14:paraId="24AB5F8C">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身份证号码</w:t>
            </w:r>
          </w:p>
        </w:tc>
        <w:tc>
          <w:tcPr>
            <w:tcW w:w="2521" w:type="dxa"/>
            <w:gridSpan w:val="4"/>
            <w:vAlign w:val="center"/>
          </w:tcPr>
          <w:p w14:paraId="65E5BE71">
            <w:pPr>
              <w:widowControl/>
              <w:spacing w:line="240" w:lineRule="exact"/>
              <w:jc w:val="center"/>
              <w:rPr>
                <w:rFonts w:ascii="宋体" w:hAnsi="宋体" w:cs="宋体"/>
                <w:bCs/>
                <w:kern w:val="0"/>
                <w:sz w:val="18"/>
                <w:szCs w:val="18"/>
              </w:rPr>
            </w:pPr>
          </w:p>
        </w:tc>
        <w:tc>
          <w:tcPr>
            <w:tcW w:w="1347" w:type="dxa"/>
            <w:vAlign w:val="center"/>
          </w:tcPr>
          <w:p w14:paraId="2AD31E09">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B2.1</w:t>
            </w:r>
          </w:p>
        </w:tc>
      </w:tr>
      <w:tr w14:paraId="4708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55AE9D70">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技术职称等级</w:t>
            </w:r>
          </w:p>
        </w:tc>
        <w:tc>
          <w:tcPr>
            <w:tcW w:w="4012" w:type="dxa"/>
            <w:gridSpan w:val="6"/>
            <w:vAlign w:val="center"/>
          </w:tcPr>
          <w:p w14:paraId="5F9AE56E">
            <w:pPr>
              <w:widowControl/>
              <w:spacing w:line="240" w:lineRule="exact"/>
              <w:jc w:val="left"/>
              <w:rPr>
                <w:rFonts w:ascii="宋体" w:hAnsi="宋体" w:cs="宋体"/>
                <w:kern w:val="0"/>
                <w:sz w:val="18"/>
                <w:szCs w:val="18"/>
              </w:rPr>
            </w:pPr>
            <w:r>
              <w:rPr>
                <w:rFonts w:hint="eastAsia" w:ascii="宋体" w:hAnsi="宋体" w:cs="宋体"/>
                <w:kern w:val="0"/>
                <w:sz w:val="18"/>
                <w:szCs w:val="18"/>
              </w:rPr>
              <w:t>□工程师</w:t>
            </w:r>
            <w:r>
              <w:rPr>
                <w:rFonts w:ascii="宋体" w:hAnsi="宋体" w:cs="宋体"/>
                <w:kern w:val="0"/>
                <w:sz w:val="18"/>
                <w:szCs w:val="18"/>
              </w:rPr>
              <w:t xml:space="preserve">  </w:t>
            </w:r>
            <w:r>
              <w:rPr>
                <w:rFonts w:hint="eastAsia" w:ascii="宋体" w:hAnsi="宋体" w:cs="宋体"/>
                <w:kern w:val="0"/>
                <w:sz w:val="18"/>
                <w:szCs w:val="18"/>
              </w:rPr>
              <w:t>□高级工程师</w:t>
            </w:r>
            <w:r>
              <w:rPr>
                <w:rFonts w:ascii="宋体" w:hAnsi="宋体" w:cs="宋体"/>
                <w:kern w:val="0"/>
                <w:sz w:val="18"/>
                <w:szCs w:val="18"/>
              </w:rPr>
              <w:t xml:space="preserve">  </w:t>
            </w:r>
          </w:p>
          <w:p w14:paraId="3AA2825F">
            <w:pPr>
              <w:widowControl/>
              <w:spacing w:line="240" w:lineRule="exact"/>
              <w:jc w:val="left"/>
              <w:rPr>
                <w:rFonts w:ascii="宋体" w:hAnsi="宋体" w:cs="宋体"/>
                <w:bCs/>
                <w:kern w:val="0"/>
                <w:sz w:val="18"/>
                <w:szCs w:val="18"/>
              </w:rPr>
            </w:pPr>
            <w:r>
              <w:rPr>
                <w:rFonts w:hint="eastAsia" w:ascii="宋体" w:hAnsi="宋体" w:cs="宋体"/>
                <w:kern w:val="0"/>
                <w:sz w:val="18"/>
                <w:szCs w:val="18"/>
              </w:rPr>
              <w:t>□正（教授级或研究员级）高级工程师</w:t>
            </w:r>
          </w:p>
        </w:tc>
        <w:tc>
          <w:tcPr>
            <w:tcW w:w="826" w:type="dxa"/>
            <w:gridSpan w:val="2"/>
            <w:vAlign w:val="center"/>
          </w:tcPr>
          <w:p w14:paraId="482C52B4">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专业</w:t>
            </w:r>
          </w:p>
        </w:tc>
        <w:tc>
          <w:tcPr>
            <w:tcW w:w="2079" w:type="dxa"/>
            <w:gridSpan w:val="3"/>
            <w:vAlign w:val="center"/>
          </w:tcPr>
          <w:p w14:paraId="24DF892D">
            <w:pPr>
              <w:widowControl/>
              <w:spacing w:line="240" w:lineRule="exact"/>
              <w:jc w:val="center"/>
              <w:rPr>
                <w:rFonts w:ascii="宋体" w:hAnsi="宋体" w:cs="宋体"/>
                <w:bCs/>
                <w:kern w:val="0"/>
                <w:sz w:val="18"/>
                <w:szCs w:val="18"/>
              </w:rPr>
            </w:pPr>
          </w:p>
        </w:tc>
        <w:tc>
          <w:tcPr>
            <w:tcW w:w="1385" w:type="dxa"/>
            <w:gridSpan w:val="3"/>
            <w:vAlign w:val="center"/>
          </w:tcPr>
          <w:p w14:paraId="759980E7">
            <w:pPr>
              <w:widowControl/>
              <w:spacing w:line="240" w:lineRule="exact"/>
              <w:jc w:val="center"/>
              <w:rPr>
                <w:rFonts w:ascii="宋体" w:hAnsi="宋体" w:cs="宋体"/>
                <w:bCs/>
                <w:kern w:val="0"/>
                <w:sz w:val="18"/>
                <w:szCs w:val="18"/>
              </w:rPr>
            </w:pPr>
            <w:r>
              <w:rPr>
                <w:rFonts w:hint="eastAsia" w:ascii="宋体" w:hAnsi="宋体" w:cs="宋体"/>
                <w:kern w:val="0"/>
                <w:sz w:val="18"/>
                <w:szCs w:val="18"/>
              </w:rPr>
              <w:t>证书编号</w:t>
            </w:r>
          </w:p>
        </w:tc>
        <w:tc>
          <w:tcPr>
            <w:tcW w:w="2521" w:type="dxa"/>
            <w:gridSpan w:val="4"/>
            <w:vAlign w:val="center"/>
          </w:tcPr>
          <w:p w14:paraId="52F9DD31">
            <w:pPr>
              <w:widowControl/>
              <w:spacing w:line="240" w:lineRule="exact"/>
              <w:jc w:val="center"/>
              <w:rPr>
                <w:rFonts w:ascii="宋体" w:hAnsi="宋体" w:cs="宋体"/>
                <w:bCs/>
                <w:kern w:val="0"/>
                <w:sz w:val="18"/>
                <w:szCs w:val="18"/>
              </w:rPr>
            </w:pPr>
          </w:p>
        </w:tc>
        <w:tc>
          <w:tcPr>
            <w:tcW w:w="1347" w:type="dxa"/>
            <w:vAlign w:val="center"/>
          </w:tcPr>
          <w:p w14:paraId="2CEA4E85">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B2.2</w:t>
            </w:r>
          </w:p>
        </w:tc>
      </w:tr>
      <w:tr w14:paraId="63EF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35B6DD75">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执业资格证书等级</w:t>
            </w:r>
          </w:p>
        </w:tc>
        <w:tc>
          <w:tcPr>
            <w:tcW w:w="4012" w:type="dxa"/>
            <w:gridSpan w:val="6"/>
            <w:vAlign w:val="center"/>
          </w:tcPr>
          <w:p w14:paraId="3C570D94">
            <w:pPr>
              <w:widowControl/>
              <w:spacing w:line="240" w:lineRule="exact"/>
              <w:rPr>
                <w:rFonts w:ascii="宋体" w:hAnsi="宋体" w:cs="宋体"/>
                <w:kern w:val="0"/>
                <w:sz w:val="18"/>
                <w:szCs w:val="18"/>
              </w:rPr>
            </w:pPr>
            <w:r>
              <w:rPr>
                <w:rFonts w:hint="eastAsia" w:ascii="宋体" w:hAnsi="宋体" w:cs="宋体"/>
                <w:kern w:val="0"/>
                <w:sz w:val="18"/>
                <w:szCs w:val="18"/>
              </w:rPr>
              <w:t>□一级注册建造师</w:t>
            </w:r>
            <w:r>
              <w:rPr>
                <w:rFonts w:ascii="宋体" w:hAnsi="宋体" w:cs="宋体"/>
                <w:kern w:val="0"/>
                <w:sz w:val="18"/>
                <w:szCs w:val="18"/>
              </w:rPr>
              <w:t xml:space="preserve">      </w:t>
            </w:r>
            <w:r>
              <w:rPr>
                <w:rFonts w:hint="eastAsia" w:ascii="宋体" w:hAnsi="宋体" w:cs="宋体"/>
                <w:kern w:val="0"/>
                <w:sz w:val="18"/>
                <w:szCs w:val="18"/>
              </w:rPr>
              <w:t>□二级注册建造师</w:t>
            </w:r>
          </w:p>
        </w:tc>
        <w:tc>
          <w:tcPr>
            <w:tcW w:w="826" w:type="dxa"/>
            <w:gridSpan w:val="2"/>
            <w:vAlign w:val="center"/>
          </w:tcPr>
          <w:p w14:paraId="63013F88">
            <w:pPr>
              <w:widowControl/>
              <w:spacing w:line="240" w:lineRule="exact"/>
              <w:jc w:val="center"/>
              <w:rPr>
                <w:rFonts w:ascii="宋体" w:hAnsi="宋体" w:cs="宋体"/>
                <w:bCs/>
                <w:kern w:val="0"/>
                <w:sz w:val="18"/>
                <w:szCs w:val="18"/>
              </w:rPr>
            </w:pPr>
            <w:r>
              <w:rPr>
                <w:rFonts w:hint="eastAsia" w:ascii="宋体" w:hAnsi="宋体" w:cs="宋体"/>
                <w:kern w:val="0"/>
                <w:sz w:val="18"/>
                <w:szCs w:val="18"/>
              </w:rPr>
              <w:t>专业</w:t>
            </w:r>
          </w:p>
        </w:tc>
        <w:tc>
          <w:tcPr>
            <w:tcW w:w="2079" w:type="dxa"/>
            <w:gridSpan w:val="3"/>
            <w:vAlign w:val="center"/>
          </w:tcPr>
          <w:p w14:paraId="472551E2">
            <w:pPr>
              <w:widowControl/>
              <w:spacing w:line="240" w:lineRule="exact"/>
              <w:jc w:val="center"/>
              <w:rPr>
                <w:rFonts w:ascii="宋体" w:hAnsi="宋体" w:cs="宋体"/>
                <w:bCs/>
                <w:kern w:val="0"/>
                <w:sz w:val="18"/>
                <w:szCs w:val="18"/>
              </w:rPr>
            </w:pPr>
          </w:p>
        </w:tc>
        <w:tc>
          <w:tcPr>
            <w:tcW w:w="1385" w:type="dxa"/>
            <w:gridSpan w:val="3"/>
            <w:vAlign w:val="center"/>
          </w:tcPr>
          <w:p w14:paraId="4C7E1A95">
            <w:pPr>
              <w:widowControl/>
              <w:spacing w:line="240" w:lineRule="exact"/>
              <w:jc w:val="center"/>
              <w:rPr>
                <w:rFonts w:ascii="宋体" w:hAnsi="宋体" w:cs="宋体"/>
                <w:bCs/>
                <w:kern w:val="0"/>
                <w:sz w:val="18"/>
                <w:szCs w:val="18"/>
              </w:rPr>
            </w:pPr>
            <w:r>
              <w:rPr>
                <w:rFonts w:hint="eastAsia" w:ascii="宋体" w:hAnsi="宋体" w:cs="宋体"/>
                <w:kern w:val="0"/>
                <w:sz w:val="18"/>
                <w:szCs w:val="18"/>
              </w:rPr>
              <w:t>证书编号</w:t>
            </w:r>
          </w:p>
        </w:tc>
        <w:tc>
          <w:tcPr>
            <w:tcW w:w="2521" w:type="dxa"/>
            <w:gridSpan w:val="4"/>
            <w:vAlign w:val="center"/>
          </w:tcPr>
          <w:p w14:paraId="60F99D28">
            <w:pPr>
              <w:widowControl/>
              <w:spacing w:line="240" w:lineRule="exact"/>
              <w:jc w:val="center"/>
              <w:rPr>
                <w:rFonts w:ascii="宋体" w:hAnsi="宋体" w:cs="宋体"/>
                <w:bCs/>
                <w:kern w:val="0"/>
                <w:sz w:val="18"/>
                <w:szCs w:val="18"/>
              </w:rPr>
            </w:pPr>
          </w:p>
        </w:tc>
        <w:tc>
          <w:tcPr>
            <w:tcW w:w="1347" w:type="dxa"/>
            <w:vAlign w:val="center"/>
          </w:tcPr>
          <w:p w14:paraId="16F307D8">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附件</w:t>
            </w:r>
            <w:r>
              <w:rPr>
                <w:rFonts w:ascii="宋体" w:hAnsi="宋体" w:cs="宋体"/>
                <w:bCs/>
                <w:kern w:val="0"/>
                <w:sz w:val="18"/>
                <w:szCs w:val="18"/>
              </w:rPr>
              <w:t>B2.3</w:t>
            </w:r>
          </w:p>
        </w:tc>
      </w:tr>
      <w:tr w14:paraId="0B59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6BD6779E">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是否要求提供社保资料</w:t>
            </w:r>
          </w:p>
        </w:tc>
        <w:tc>
          <w:tcPr>
            <w:tcW w:w="4012" w:type="dxa"/>
            <w:gridSpan w:val="6"/>
            <w:vAlign w:val="center"/>
          </w:tcPr>
          <w:p w14:paraId="63F2686D">
            <w:pPr>
              <w:widowControl/>
              <w:spacing w:line="240" w:lineRule="exact"/>
              <w:jc w:val="center"/>
              <w:rPr>
                <w:rFonts w:ascii="宋体" w:hAnsi="宋体" w:cs="宋体"/>
                <w:bCs/>
                <w:kern w:val="0"/>
                <w:sz w:val="18"/>
                <w:szCs w:val="18"/>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2905" w:type="dxa"/>
            <w:gridSpan w:val="5"/>
            <w:vAlign w:val="center"/>
          </w:tcPr>
          <w:p w14:paraId="1BC4739C">
            <w:pPr>
              <w:widowControl/>
              <w:spacing w:line="240" w:lineRule="exact"/>
              <w:jc w:val="center"/>
              <w:rPr>
                <w:rFonts w:ascii="宋体" w:hAnsi="宋体" w:cs="宋体"/>
                <w:bCs/>
                <w:kern w:val="0"/>
                <w:sz w:val="18"/>
                <w:szCs w:val="18"/>
                <w:u w:val="single"/>
              </w:rPr>
            </w:pPr>
            <w:r>
              <w:rPr>
                <w:rFonts w:hint="eastAsia" w:ascii="宋体" w:hAnsi="宋体" w:cs="宋体"/>
                <w:bCs/>
                <w:kern w:val="0"/>
                <w:sz w:val="18"/>
                <w:szCs w:val="18"/>
              </w:rPr>
              <w:t>提供社保时间段</w:t>
            </w:r>
          </w:p>
        </w:tc>
        <w:tc>
          <w:tcPr>
            <w:tcW w:w="3906" w:type="dxa"/>
            <w:gridSpan w:val="7"/>
            <w:vAlign w:val="center"/>
          </w:tcPr>
          <w:p w14:paraId="2C97AA6B">
            <w:pPr>
              <w:widowControl/>
              <w:spacing w:line="240" w:lineRule="exact"/>
              <w:jc w:val="center"/>
              <w:rPr>
                <w:rFonts w:ascii="宋体" w:hAnsi="宋体" w:cs="宋体"/>
                <w:bCs/>
                <w:kern w:val="0"/>
                <w:sz w:val="18"/>
                <w:szCs w:val="18"/>
              </w:rPr>
            </w:pP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r>
              <w:rPr>
                <w:rFonts w:ascii="宋体" w:hAnsi="宋体" w:cs="宋体"/>
                <w:bCs/>
                <w:kern w:val="0"/>
                <w:sz w:val="18"/>
                <w:szCs w:val="18"/>
              </w:rPr>
              <w:t xml:space="preserve"> </w:t>
            </w:r>
            <w:r>
              <w:rPr>
                <w:rFonts w:hint="eastAsia" w:ascii="宋体" w:hAnsi="宋体" w:cs="宋体"/>
                <w:bCs/>
                <w:kern w:val="0"/>
                <w:sz w:val="18"/>
                <w:szCs w:val="18"/>
              </w:rPr>
              <w:t>～</w:t>
            </w:r>
            <w:r>
              <w:rPr>
                <w:rFonts w:ascii="宋体" w:hAnsi="宋体" w:cs="宋体"/>
                <w:bCs/>
                <w:kern w:val="0"/>
                <w:sz w:val="18"/>
                <w:szCs w:val="18"/>
                <w:u w:val="single"/>
              </w:rPr>
              <w:t xml:space="preserve">      </w:t>
            </w:r>
            <w:r>
              <w:rPr>
                <w:rFonts w:hint="eastAsia" w:ascii="宋体" w:hAnsi="宋体" w:cs="宋体"/>
                <w:bCs/>
                <w:kern w:val="0"/>
                <w:sz w:val="18"/>
                <w:szCs w:val="18"/>
              </w:rPr>
              <w:t>年</w:t>
            </w:r>
            <w:r>
              <w:rPr>
                <w:rFonts w:ascii="宋体" w:hAnsi="宋体" w:cs="宋体"/>
                <w:bCs/>
                <w:kern w:val="0"/>
                <w:sz w:val="18"/>
                <w:szCs w:val="18"/>
                <w:u w:val="single"/>
              </w:rPr>
              <w:t xml:space="preserve">    </w:t>
            </w:r>
            <w:r>
              <w:rPr>
                <w:rFonts w:hint="eastAsia" w:ascii="宋体" w:hAnsi="宋体" w:cs="宋体"/>
                <w:bCs/>
                <w:kern w:val="0"/>
                <w:sz w:val="18"/>
                <w:szCs w:val="18"/>
              </w:rPr>
              <w:t>月</w:t>
            </w:r>
          </w:p>
        </w:tc>
        <w:tc>
          <w:tcPr>
            <w:tcW w:w="1347" w:type="dxa"/>
            <w:vAlign w:val="center"/>
          </w:tcPr>
          <w:p w14:paraId="606C1E76">
            <w:pPr>
              <w:widowControl/>
              <w:spacing w:line="240" w:lineRule="exact"/>
              <w:jc w:val="center"/>
              <w:rPr>
                <w:rFonts w:hint="eastAsia" w:ascii="宋体" w:hAnsi="宋体" w:eastAsia="宋体" w:cs="宋体"/>
                <w:bCs/>
                <w:kern w:val="0"/>
                <w:sz w:val="18"/>
                <w:szCs w:val="18"/>
                <w:lang w:eastAsia="zh-CN"/>
              </w:rPr>
            </w:pPr>
            <w:r>
              <w:rPr>
                <w:rFonts w:hint="eastAsia" w:ascii="宋体" w:hAnsi="宋体" w:cs="宋体"/>
                <w:kern w:val="0"/>
                <w:sz w:val="18"/>
                <w:szCs w:val="18"/>
              </w:rPr>
              <w:t>附件</w:t>
            </w:r>
            <w:r>
              <w:rPr>
                <w:rFonts w:ascii="宋体" w:hAnsi="宋体" w:cs="宋体"/>
                <w:kern w:val="0"/>
                <w:sz w:val="18"/>
                <w:szCs w:val="18"/>
              </w:rPr>
              <w:t>B2.</w:t>
            </w:r>
            <w:r>
              <w:rPr>
                <w:rFonts w:hint="eastAsia" w:ascii="宋体" w:hAnsi="宋体" w:cs="宋体"/>
                <w:kern w:val="0"/>
                <w:sz w:val="18"/>
                <w:szCs w:val="18"/>
                <w:lang w:val="en-US" w:eastAsia="zh-CN"/>
              </w:rPr>
              <w:t>4</w:t>
            </w:r>
          </w:p>
        </w:tc>
      </w:tr>
      <w:tr w14:paraId="4198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7AE8304D">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是否在岗</w:t>
            </w:r>
          </w:p>
        </w:tc>
        <w:tc>
          <w:tcPr>
            <w:tcW w:w="10823" w:type="dxa"/>
            <w:gridSpan w:val="18"/>
            <w:vAlign w:val="center"/>
          </w:tcPr>
          <w:p w14:paraId="190D3F59">
            <w:pPr>
              <w:widowControl/>
              <w:spacing w:line="240" w:lineRule="exact"/>
              <w:jc w:val="center"/>
              <w:rPr>
                <w:rFonts w:ascii="宋体" w:hAnsi="宋体" w:cs="宋体"/>
                <w:bCs/>
                <w:kern w:val="0"/>
                <w:sz w:val="18"/>
                <w:szCs w:val="18"/>
                <w:u w:val="single"/>
              </w:rPr>
            </w:pPr>
            <w:r>
              <w:rPr>
                <w:rFonts w:hint="eastAsia" w:ascii="宋体" w:hAnsi="宋体" w:cs="宋体"/>
                <w:kern w:val="0"/>
                <w:sz w:val="18"/>
                <w:szCs w:val="18"/>
              </w:rPr>
              <w:t>□是</w:t>
            </w:r>
            <w:r>
              <w:rPr>
                <w:rFonts w:ascii="宋体" w:hAnsi="宋体" w:cs="宋体"/>
                <w:kern w:val="0"/>
                <w:sz w:val="18"/>
                <w:szCs w:val="18"/>
              </w:rPr>
              <w:t xml:space="preserve">     </w:t>
            </w:r>
            <w:r>
              <w:rPr>
                <w:rFonts w:hint="eastAsia" w:ascii="宋体" w:hAnsi="宋体" w:cs="宋体"/>
                <w:kern w:val="0"/>
                <w:sz w:val="18"/>
                <w:szCs w:val="18"/>
              </w:rPr>
              <w:t>□否</w:t>
            </w:r>
          </w:p>
        </w:tc>
        <w:tc>
          <w:tcPr>
            <w:tcW w:w="1347" w:type="dxa"/>
            <w:vAlign w:val="center"/>
          </w:tcPr>
          <w:p w14:paraId="3FB9880E">
            <w:pPr>
              <w:widowControl/>
              <w:spacing w:line="240" w:lineRule="exact"/>
              <w:jc w:val="center"/>
              <w:rPr>
                <w:rFonts w:ascii="宋体" w:hAnsi="宋体" w:cs="宋体"/>
                <w:kern w:val="0"/>
                <w:sz w:val="18"/>
                <w:szCs w:val="18"/>
              </w:rPr>
            </w:pPr>
            <w:r>
              <w:rPr>
                <w:rFonts w:hint="eastAsia" w:ascii="宋体" w:hAnsi="宋体" w:cs="宋体"/>
                <w:kern w:val="0"/>
                <w:sz w:val="18"/>
                <w:szCs w:val="18"/>
              </w:rPr>
              <w:t>承诺</w:t>
            </w:r>
            <w:r>
              <w:rPr>
                <w:rFonts w:ascii="宋体" w:hAnsi="宋体" w:cs="宋体"/>
                <w:kern w:val="0"/>
                <w:sz w:val="18"/>
                <w:szCs w:val="18"/>
              </w:rPr>
              <w:t>见投标函</w:t>
            </w:r>
          </w:p>
        </w:tc>
      </w:tr>
      <w:tr w14:paraId="77B0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2" w:type="dxa"/>
            <w:gridSpan w:val="20"/>
            <w:vAlign w:val="center"/>
          </w:tcPr>
          <w:p w14:paraId="11AB1E54">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bCs/>
                <w:kern w:val="0"/>
                <w:sz w:val="18"/>
                <w:szCs w:val="18"/>
              </w:rPr>
              <w:t>担任相应职务完成业绩情况</w:t>
            </w:r>
          </w:p>
        </w:tc>
        <w:tc>
          <w:tcPr>
            <w:tcW w:w="1347" w:type="dxa"/>
            <w:vMerge w:val="restart"/>
            <w:vAlign w:val="center"/>
          </w:tcPr>
          <w:p w14:paraId="60A0B59D">
            <w:pPr>
              <w:widowControl/>
              <w:spacing w:line="240" w:lineRule="exact"/>
              <w:jc w:val="center"/>
              <w:rPr>
                <w:rFonts w:ascii="宋体" w:hAnsi="宋体" w:cs="宋体"/>
                <w:kern w:val="0"/>
                <w:sz w:val="18"/>
                <w:szCs w:val="18"/>
              </w:rPr>
            </w:pPr>
            <w:r>
              <w:rPr>
                <w:rFonts w:hint="eastAsia" w:ascii="宋体" w:hAnsi="宋体" w:cs="宋体"/>
                <w:kern w:val="0"/>
                <w:sz w:val="18"/>
                <w:szCs w:val="18"/>
              </w:rPr>
              <w:t>业绩情况</w:t>
            </w:r>
          </w:p>
          <w:p w14:paraId="38630850">
            <w:pPr>
              <w:widowControl/>
              <w:spacing w:line="240" w:lineRule="exact"/>
              <w:jc w:val="center"/>
              <w:rPr>
                <w:rFonts w:ascii="宋体" w:hAnsi="宋体" w:cs="宋体"/>
                <w:kern w:val="0"/>
                <w:sz w:val="18"/>
                <w:szCs w:val="18"/>
              </w:rPr>
            </w:pPr>
            <w:r>
              <w:rPr>
                <w:rFonts w:hint="eastAsia" w:ascii="宋体" w:hAnsi="宋体" w:cs="宋体"/>
                <w:kern w:val="0"/>
                <w:sz w:val="18"/>
                <w:szCs w:val="18"/>
              </w:rPr>
              <w:t>附件</w:t>
            </w:r>
          </w:p>
        </w:tc>
      </w:tr>
      <w:tr w14:paraId="226A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20536F4A">
            <w:pPr>
              <w:widowControl/>
              <w:spacing w:line="240" w:lineRule="exact"/>
              <w:jc w:val="center"/>
              <w:rPr>
                <w:rFonts w:ascii="宋体" w:hAnsi="宋体" w:cs="宋体"/>
                <w:kern w:val="0"/>
                <w:sz w:val="18"/>
                <w:szCs w:val="18"/>
              </w:rPr>
            </w:pPr>
            <w:r>
              <w:rPr>
                <w:rFonts w:hint="eastAsia" w:ascii="宋体" w:hAnsi="宋体" w:cs="宋体"/>
                <w:bCs/>
                <w:kern w:val="0"/>
                <w:sz w:val="18"/>
                <w:szCs w:val="18"/>
              </w:rPr>
              <w:t>项目业主</w:t>
            </w:r>
          </w:p>
        </w:tc>
        <w:tc>
          <w:tcPr>
            <w:tcW w:w="1102" w:type="dxa"/>
            <w:vAlign w:val="center"/>
          </w:tcPr>
          <w:p w14:paraId="65F6C50B">
            <w:pPr>
              <w:spacing w:line="240" w:lineRule="exact"/>
              <w:jc w:val="center"/>
              <w:rPr>
                <w:rFonts w:ascii="宋体" w:hAnsi="宋体" w:cs="宋体"/>
                <w:kern w:val="0"/>
                <w:sz w:val="18"/>
                <w:szCs w:val="18"/>
              </w:rPr>
            </w:pPr>
            <w:r>
              <w:rPr>
                <w:rFonts w:hint="eastAsia" w:ascii="宋体" w:hAnsi="宋体" w:cs="宋体"/>
                <w:bCs/>
                <w:kern w:val="0"/>
                <w:sz w:val="18"/>
                <w:szCs w:val="18"/>
              </w:rPr>
              <w:t>项目名称</w:t>
            </w:r>
          </w:p>
        </w:tc>
        <w:tc>
          <w:tcPr>
            <w:tcW w:w="636" w:type="dxa"/>
            <w:vAlign w:val="center"/>
          </w:tcPr>
          <w:p w14:paraId="4D0A075B">
            <w:pPr>
              <w:spacing w:line="240" w:lineRule="exact"/>
              <w:jc w:val="center"/>
              <w:rPr>
                <w:rFonts w:ascii="宋体" w:hAnsi="宋体" w:cs="宋体"/>
                <w:kern w:val="0"/>
                <w:sz w:val="18"/>
                <w:szCs w:val="18"/>
              </w:rPr>
            </w:pPr>
            <w:r>
              <w:rPr>
                <w:rFonts w:ascii="宋体" w:hAnsi="宋体" w:cs="宋体"/>
                <w:kern w:val="0"/>
                <w:sz w:val="18"/>
                <w:szCs w:val="18"/>
              </w:rPr>
              <w:t>公路等级</w:t>
            </w:r>
          </w:p>
        </w:tc>
        <w:tc>
          <w:tcPr>
            <w:tcW w:w="976" w:type="dxa"/>
            <w:vAlign w:val="center"/>
          </w:tcPr>
          <w:p w14:paraId="027EB886">
            <w:pPr>
              <w:spacing w:line="240" w:lineRule="exact"/>
              <w:jc w:val="center"/>
              <w:rPr>
                <w:rFonts w:ascii="宋体" w:hAnsi="宋体" w:cs="宋体"/>
                <w:kern w:val="0"/>
                <w:sz w:val="18"/>
                <w:szCs w:val="18"/>
              </w:rPr>
            </w:pPr>
            <w:r>
              <w:rPr>
                <w:rFonts w:hint="eastAsia" w:ascii="宋体" w:hAnsi="宋体" w:cs="宋体"/>
                <w:bCs/>
                <w:kern w:val="0"/>
                <w:sz w:val="18"/>
                <w:szCs w:val="18"/>
              </w:rPr>
              <w:t>项目建设形式</w:t>
            </w:r>
          </w:p>
        </w:tc>
        <w:tc>
          <w:tcPr>
            <w:tcW w:w="374" w:type="dxa"/>
            <w:vAlign w:val="center"/>
          </w:tcPr>
          <w:p w14:paraId="0DEEAB65">
            <w:pPr>
              <w:spacing w:line="240" w:lineRule="exact"/>
              <w:jc w:val="center"/>
              <w:rPr>
                <w:rFonts w:ascii="宋体" w:hAnsi="宋体" w:cs="宋体"/>
                <w:bCs/>
                <w:kern w:val="0"/>
                <w:sz w:val="18"/>
                <w:szCs w:val="18"/>
              </w:rPr>
            </w:pPr>
            <w:r>
              <w:rPr>
                <w:rFonts w:hint="eastAsia" w:ascii="宋体" w:hAnsi="宋体" w:cs="宋体"/>
                <w:bCs/>
                <w:kern w:val="0"/>
                <w:sz w:val="18"/>
                <w:szCs w:val="18"/>
              </w:rPr>
              <w:t>标段号</w:t>
            </w:r>
          </w:p>
        </w:tc>
        <w:tc>
          <w:tcPr>
            <w:tcW w:w="784" w:type="dxa"/>
            <w:vAlign w:val="center"/>
          </w:tcPr>
          <w:p w14:paraId="278A5C98">
            <w:pPr>
              <w:spacing w:line="240" w:lineRule="exact"/>
              <w:jc w:val="center"/>
              <w:rPr>
                <w:rFonts w:ascii="宋体" w:hAnsi="宋体" w:cs="宋体"/>
                <w:kern w:val="0"/>
                <w:sz w:val="18"/>
                <w:szCs w:val="18"/>
              </w:rPr>
            </w:pPr>
            <w:r>
              <w:rPr>
                <w:rFonts w:hint="eastAsia" w:ascii="宋体" w:hAnsi="宋体" w:cs="宋体"/>
                <w:bCs/>
                <w:kern w:val="0"/>
                <w:sz w:val="18"/>
                <w:szCs w:val="18"/>
              </w:rPr>
              <w:t>标段路线长度（</w:t>
            </w:r>
            <w:r>
              <w:rPr>
                <w:rFonts w:ascii="宋体" w:hAnsi="宋体" w:cs="宋体"/>
                <w:bCs/>
                <w:kern w:val="0"/>
                <w:sz w:val="18"/>
                <w:szCs w:val="18"/>
              </w:rPr>
              <w:t>km）</w:t>
            </w:r>
          </w:p>
        </w:tc>
        <w:tc>
          <w:tcPr>
            <w:tcW w:w="954" w:type="dxa"/>
            <w:vAlign w:val="center"/>
          </w:tcPr>
          <w:p w14:paraId="09FC32F5">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特大桥梁名称</w:t>
            </w:r>
            <w:r>
              <w:rPr>
                <w:rFonts w:ascii="宋体" w:hAnsi="宋体" w:cs="宋体"/>
                <w:bCs/>
                <w:kern w:val="0"/>
                <w:sz w:val="18"/>
                <w:szCs w:val="18"/>
              </w:rPr>
              <w:t>/类型</w:t>
            </w:r>
          </w:p>
        </w:tc>
        <w:tc>
          <w:tcPr>
            <w:tcW w:w="760" w:type="dxa"/>
            <w:gridSpan w:val="2"/>
            <w:vAlign w:val="center"/>
          </w:tcPr>
          <w:p w14:paraId="0D9C9A3C">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桥梁主跨跨径（</w:t>
            </w:r>
            <w:r>
              <w:rPr>
                <w:rFonts w:ascii="宋体" w:hAnsi="宋体" w:cs="宋体"/>
                <w:bCs/>
                <w:kern w:val="0"/>
                <w:sz w:val="18"/>
                <w:szCs w:val="18"/>
              </w:rPr>
              <w:t>m）</w:t>
            </w:r>
          </w:p>
        </w:tc>
        <w:tc>
          <w:tcPr>
            <w:tcW w:w="761" w:type="dxa"/>
            <w:gridSpan w:val="2"/>
            <w:vAlign w:val="center"/>
          </w:tcPr>
          <w:p w14:paraId="7DA18F64">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隧道名称</w:t>
            </w:r>
          </w:p>
        </w:tc>
        <w:tc>
          <w:tcPr>
            <w:tcW w:w="886" w:type="dxa"/>
            <w:vAlign w:val="center"/>
          </w:tcPr>
          <w:p w14:paraId="2967F4FA">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隧道单洞长度（</w:t>
            </w:r>
            <w:r>
              <w:rPr>
                <w:rFonts w:ascii="宋体" w:hAnsi="宋体" w:cs="宋体"/>
                <w:bCs/>
                <w:kern w:val="0"/>
                <w:sz w:val="18"/>
                <w:szCs w:val="18"/>
              </w:rPr>
              <w:t>m）</w:t>
            </w:r>
          </w:p>
        </w:tc>
        <w:tc>
          <w:tcPr>
            <w:tcW w:w="840" w:type="dxa"/>
            <w:gridSpan w:val="2"/>
            <w:vAlign w:val="center"/>
          </w:tcPr>
          <w:p w14:paraId="3D8A0CF0">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路面结构形式</w:t>
            </w:r>
          </w:p>
        </w:tc>
        <w:tc>
          <w:tcPr>
            <w:tcW w:w="861" w:type="dxa"/>
            <w:vAlign w:val="center"/>
          </w:tcPr>
          <w:p w14:paraId="29256C76">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交安设施类型</w:t>
            </w:r>
          </w:p>
        </w:tc>
        <w:tc>
          <w:tcPr>
            <w:tcW w:w="885" w:type="dxa"/>
            <w:gridSpan w:val="2"/>
            <w:vAlign w:val="center"/>
          </w:tcPr>
          <w:p w14:paraId="357AF271">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隧道机电类型</w:t>
            </w:r>
          </w:p>
        </w:tc>
        <w:tc>
          <w:tcPr>
            <w:tcW w:w="809" w:type="dxa"/>
            <w:vAlign w:val="center"/>
          </w:tcPr>
          <w:p w14:paraId="710D3362">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房建工程</w:t>
            </w:r>
          </w:p>
        </w:tc>
        <w:tc>
          <w:tcPr>
            <w:tcW w:w="798" w:type="dxa"/>
            <w:vAlign w:val="center"/>
          </w:tcPr>
          <w:p w14:paraId="32696874">
            <w:pPr>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bCs/>
                <w:kern w:val="0"/>
                <w:sz w:val="18"/>
                <w:szCs w:val="18"/>
              </w:rPr>
              <w:t>其他工程</w:t>
            </w:r>
          </w:p>
        </w:tc>
        <w:tc>
          <w:tcPr>
            <w:tcW w:w="499" w:type="dxa"/>
            <w:vAlign w:val="center"/>
          </w:tcPr>
          <w:p w14:paraId="36E495E8">
            <w:pPr>
              <w:spacing w:line="240" w:lineRule="exact"/>
              <w:jc w:val="center"/>
              <w:rPr>
                <w:rFonts w:ascii="宋体" w:hAnsi="宋体" w:cs="宋体"/>
                <w:kern w:val="0"/>
                <w:sz w:val="18"/>
                <w:szCs w:val="18"/>
              </w:rPr>
            </w:pPr>
            <w:r>
              <w:rPr>
                <w:rFonts w:hint="eastAsia" w:ascii="宋体" w:hAnsi="宋体" w:cs="宋体"/>
                <w:bCs/>
                <w:kern w:val="0"/>
                <w:sz w:val="18"/>
                <w:szCs w:val="18"/>
              </w:rPr>
              <w:t>职务</w:t>
            </w:r>
          </w:p>
        </w:tc>
        <w:tc>
          <w:tcPr>
            <w:tcW w:w="1347" w:type="dxa"/>
            <w:vMerge w:val="continue"/>
            <w:vAlign w:val="center"/>
          </w:tcPr>
          <w:p w14:paraId="5BBE4750">
            <w:pPr>
              <w:widowControl/>
              <w:spacing w:line="240" w:lineRule="exact"/>
              <w:jc w:val="center"/>
              <w:rPr>
                <w:rFonts w:ascii="宋体" w:hAnsi="宋体" w:cs="宋体"/>
                <w:kern w:val="0"/>
                <w:sz w:val="18"/>
                <w:szCs w:val="18"/>
              </w:rPr>
            </w:pPr>
          </w:p>
        </w:tc>
      </w:tr>
      <w:tr w14:paraId="24C0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61F66E02">
            <w:pPr>
              <w:widowControl/>
              <w:spacing w:line="240" w:lineRule="exact"/>
              <w:jc w:val="center"/>
              <w:rPr>
                <w:rFonts w:ascii="宋体" w:hAnsi="宋体" w:cs="宋体"/>
                <w:kern w:val="0"/>
                <w:sz w:val="18"/>
                <w:szCs w:val="18"/>
              </w:rPr>
            </w:pPr>
          </w:p>
        </w:tc>
        <w:tc>
          <w:tcPr>
            <w:tcW w:w="1102" w:type="dxa"/>
            <w:vAlign w:val="center"/>
          </w:tcPr>
          <w:p w14:paraId="51BE355F">
            <w:pPr>
              <w:spacing w:line="240" w:lineRule="exact"/>
              <w:jc w:val="center"/>
              <w:rPr>
                <w:rFonts w:ascii="宋体" w:hAnsi="宋体" w:cs="宋体"/>
                <w:kern w:val="0"/>
                <w:sz w:val="18"/>
                <w:szCs w:val="18"/>
              </w:rPr>
            </w:pPr>
          </w:p>
        </w:tc>
        <w:tc>
          <w:tcPr>
            <w:tcW w:w="636" w:type="dxa"/>
            <w:vAlign w:val="center"/>
          </w:tcPr>
          <w:p w14:paraId="4BF48747">
            <w:pPr>
              <w:spacing w:line="240" w:lineRule="exact"/>
              <w:jc w:val="center"/>
              <w:rPr>
                <w:rFonts w:ascii="宋体" w:hAnsi="宋体" w:cs="宋体"/>
                <w:kern w:val="0"/>
                <w:sz w:val="18"/>
                <w:szCs w:val="18"/>
              </w:rPr>
            </w:pPr>
          </w:p>
        </w:tc>
        <w:tc>
          <w:tcPr>
            <w:tcW w:w="976" w:type="dxa"/>
            <w:vAlign w:val="center"/>
          </w:tcPr>
          <w:p w14:paraId="7B98E9B3">
            <w:pPr>
              <w:widowControl/>
              <w:spacing w:line="240" w:lineRule="exact"/>
              <w:jc w:val="left"/>
              <w:rPr>
                <w:rFonts w:ascii="宋体" w:hAnsi="宋体"/>
                <w:sz w:val="18"/>
                <w:szCs w:val="18"/>
              </w:rPr>
            </w:pPr>
            <w:r>
              <w:rPr>
                <w:rFonts w:hint="eastAsia" w:ascii="宋体" w:hAnsi="宋体"/>
                <w:sz w:val="18"/>
                <w:szCs w:val="18"/>
              </w:rPr>
              <w:t>□新建</w:t>
            </w:r>
          </w:p>
          <w:p w14:paraId="520AFB0A">
            <w:pPr>
              <w:spacing w:line="240" w:lineRule="exact"/>
              <w:jc w:val="left"/>
              <w:rPr>
                <w:rFonts w:asciiTheme="minorEastAsia" w:hAnsiTheme="minorEastAsia" w:eastAsiaTheme="minorEastAsia"/>
                <w:sz w:val="18"/>
                <w:szCs w:val="18"/>
              </w:rPr>
            </w:pPr>
            <w:r>
              <w:rPr>
                <w:rFonts w:hint="eastAsia" w:ascii="宋体" w:hAnsi="宋体"/>
                <w:sz w:val="18"/>
                <w:szCs w:val="18"/>
              </w:rPr>
              <w:t>□改扩建</w:t>
            </w:r>
          </w:p>
        </w:tc>
        <w:tc>
          <w:tcPr>
            <w:tcW w:w="374" w:type="dxa"/>
            <w:vAlign w:val="center"/>
          </w:tcPr>
          <w:p w14:paraId="7C00C235">
            <w:pPr>
              <w:spacing w:line="240" w:lineRule="exact"/>
              <w:jc w:val="center"/>
              <w:rPr>
                <w:rFonts w:ascii="宋体" w:hAnsi="宋体" w:cs="宋体"/>
                <w:kern w:val="0"/>
                <w:sz w:val="18"/>
                <w:szCs w:val="18"/>
              </w:rPr>
            </w:pPr>
          </w:p>
        </w:tc>
        <w:tc>
          <w:tcPr>
            <w:tcW w:w="784" w:type="dxa"/>
            <w:vAlign w:val="center"/>
          </w:tcPr>
          <w:p w14:paraId="6771BBA0">
            <w:pPr>
              <w:spacing w:line="240" w:lineRule="exact"/>
              <w:jc w:val="center"/>
              <w:rPr>
                <w:rFonts w:ascii="宋体" w:hAnsi="宋体" w:cs="宋体"/>
                <w:kern w:val="0"/>
                <w:sz w:val="18"/>
                <w:szCs w:val="18"/>
              </w:rPr>
            </w:pPr>
          </w:p>
        </w:tc>
        <w:tc>
          <w:tcPr>
            <w:tcW w:w="954" w:type="dxa"/>
            <w:vAlign w:val="center"/>
          </w:tcPr>
          <w:p w14:paraId="6C22CA1C">
            <w:pPr>
              <w:spacing w:line="240" w:lineRule="exact"/>
              <w:jc w:val="center"/>
              <w:rPr>
                <w:rFonts w:ascii="宋体" w:hAnsi="宋体" w:cs="宋体"/>
                <w:kern w:val="0"/>
                <w:sz w:val="18"/>
                <w:szCs w:val="18"/>
              </w:rPr>
            </w:pPr>
          </w:p>
        </w:tc>
        <w:tc>
          <w:tcPr>
            <w:tcW w:w="760" w:type="dxa"/>
            <w:gridSpan w:val="2"/>
            <w:vAlign w:val="center"/>
          </w:tcPr>
          <w:p w14:paraId="5B0F5077">
            <w:pPr>
              <w:spacing w:line="240" w:lineRule="exact"/>
              <w:jc w:val="center"/>
              <w:rPr>
                <w:rFonts w:ascii="宋体" w:hAnsi="宋体" w:cs="宋体"/>
                <w:kern w:val="0"/>
                <w:sz w:val="18"/>
                <w:szCs w:val="18"/>
              </w:rPr>
            </w:pPr>
          </w:p>
        </w:tc>
        <w:tc>
          <w:tcPr>
            <w:tcW w:w="761" w:type="dxa"/>
            <w:gridSpan w:val="2"/>
            <w:vAlign w:val="center"/>
          </w:tcPr>
          <w:p w14:paraId="420451E6">
            <w:pPr>
              <w:spacing w:line="240" w:lineRule="exact"/>
              <w:jc w:val="center"/>
              <w:rPr>
                <w:rFonts w:ascii="宋体" w:hAnsi="宋体" w:cs="宋体"/>
                <w:kern w:val="0"/>
                <w:sz w:val="18"/>
                <w:szCs w:val="18"/>
              </w:rPr>
            </w:pPr>
          </w:p>
        </w:tc>
        <w:tc>
          <w:tcPr>
            <w:tcW w:w="886" w:type="dxa"/>
            <w:vAlign w:val="center"/>
          </w:tcPr>
          <w:p w14:paraId="4A24EA33">
            <w:pPr>
              <w:spacing w:line="240" w:lineRule="exact"/>
              <w:jc w:val="center"/>
              <w:rPr>
                <w:rFonts w:ascii="宋体" w:hAnsi="宋体" w:cs="宋体"/>
                <w:kern w:val="0"/>
                <w:sz w:val="18"/>
                <w:szCs w:val="18"/>
              </w:rPr>
            </w:pPr>
          </w:p>
        </w:tc>
        <w:tc>
          <w:tcPr>
            <w:tcW w:w="840" w:type="dxa"/>
            <w:gridSpan w:val="2"/>
            <w:vAlign w:val="center"/>
          </w:tcPr>
          <w:p w14:paraId="57719B1B">
            <w:pPr>
              <w:spacing w:line="240" w:lineRule="exact"/>
              <w:jc w:val="center"/>
              <w:rPr>
                <w:rFonts w:ascii="宋体" w:hAnsi="宋体" w:cs="宋体"/>
                <w:kern w:val="0"/>
                <w:sz w:val="18"/>
                <w:szCs w:val="18"/>
              </w:rPr>
            </w:pPr>
          </w:p>
        </w:tc>
        <w:tc>
          <w:tcPr>
            <w:tcW w:w="861" w:type="dxa"/>
            <w:vAlign w:val="center"/>
          </w:tcPr>
          <w:p w14:paraId="49BAC1E1">
            <w:pPr>
              <w:spacing w:line="240" w:lineRule="exact"/>
              <w:jc w:val="center"/>
              <w:rPr>
                <w:rFonts w:ascii="宋体" w:hAnsi="宋体" w:cs="宋体"/>
                <w:kern w:val="0"/>
                <w:sz w:val="18"/>
                <w:szCs w:val="18"/>
              </w:rPr>
            </w:pPr>
          </w:p>
        </w:tc>
        <w:tc>
          <w:tcPr>
            <w:tcW w:w="885" w:type="dxa"/>
            <w:gridSpan w:val="2"/>
          </w:tcPr>
          <w:p w14:paraId="27526E2A">
            <w:pPr>
              <w:spacing w:line="240" w:lineRule="exact"/>
              <w:jc w:val="center"/>
              <w:rPr>
                <w:rFonts w:ascii="宋体" w:hAnsi="宋体" w:cs="宋体"/>
                <w:kern w:val="0"/>
                <w:sz w:val="18"/>
                <w:szCs w:val="18"/>
              </w:rPr>
            </w:pPr>
          </w:p>
        </w:tc>
        <w:tc>
          <w:tcPr>
            <w:tcW w:w="809" w:type="dxa"/>
            <w:vAlign w:val="center"/>
          </w:tcPr>
          <w:p w14:paraId="4B3280CE">
            <w:pPr>
              <w:spacing w:line="240" w:lineRule="exact"/>
              <w:jc w:val="center"/>
              <w:rPr>
                <w:rFonts w:ascii="宋体" w:hAnsi="宋体" w:cs="宋体"/>
                <w:kern w:val="0"/>
                <w:sz w:val="18"/>
                <w:szCs w:val="18"/>
              </w:rPr>
            </w:pPr>
          </w:p>
        </w:tc>
        <w:tc>
          <w:tcPr>
            <w:tcW w:w="798" w:type="dxa"/>
            <w:vAlign w:val="center"/>
          </w:tcPr>
          <w:p w14:paraId="0CC0DBB2">
            <w:pPr>
              <w:spacing w:line="240" w:lineRule="exact"/>
              <w:jc w:val="center"/>
              <w:rPr>
                <w:rFonts w:ascii="宋体" w:hAnsi="宋体" w:cs="宋体"/>
                <w:kern w:val="0"/>
                <w:sz w:val="18"/>
                <w:szCs w:val="18"/>
              </w:rPr>
            </w:pPr>
          </w:p>
        </w:tc>
        <w:tc>
          <w:tcPr>
            <w:tcW w:w="499" w:type="dxa"/>
            <w:vAlign w:val="center"/>
          </w:tcPr>
          <w:p w14:paraId="6D0627C3">
            <w:pPr>
              <w:spacing w:line="240" w:lineRule="exact"/>
              <w:jc w:val="center"/>
              <w:rPr>
                <w:rFonts w:ascii="宋体" w:hAnsi="宋体" w:cs="宋体"/>
                <w:kern w:val="0"/>
                <w:sz w:val="18"/>
                <w:szCs w:val="18"/>
              </w:rPr>
            </w:pPr>
          </w:p>
        </w:tc>
        <w:tc>
          <w:tcPr>
            <w:tcW w:w="1347" w:type="dxa"/>
            <w:vAlign w:val="center"/>
          </w:tcPr>
          <w:p w14:paraId="755A64E2">
            <w:pPr>
              <w:widowControl/>
              <w:spacing w:line="24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B2.</w:t>
            </w:r>
            <w:r>
              <w:rPr>
                <w:rFonts w:hint="eastAsia" w:ascii="宋体" w:hAnsi="宋体" w:cs="宋体"/>
                <w:kern w:val="0"/>
                <w:sz w:val="18"/>
                <w:szCs w:val="18"/>
                <w:lang w:val="en-US" w:eastAsia="zh-CN"/>
              </w:rPr>
              <w:t>5</w:t>
            </w:r>
            <w:r>
              <w:rPr>
                <w:rFonts w:ascii="宋体" w:hAnsi="宋体" w:cs="宋体"/>
                <w:kern w:val="0"/>
                <w:sz w:val="18"/>
                <w:szCs w:val="18"/>
              </w:rPr>
              <w:t>-1</w:t>
            </w:r>
          </w:p>
        </w:tc>
      </w:tr>
      <w:tr w14:paraId="484B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2B308BEA">
            <w:pPr>
              <w:widowControl/>
              <w:spacing w:line="240" w:lineRule="exact"/>
              <w:jc w:val="center"/>
              <w:rPr>
                <w:rFonts w:ascii="宋体" w:hAnsi="宋体" w:cs="宋体"/>
                <w:kern w:val="0"/>
                <w:sz w:val="18"/>
                <w:szCs w:val="18"/>
              </w:rPr>
            </w:pPr>
          </w:p>
        </w:tc>
        <w:tc>
          <w:tcPr>
            <w:tcW w:w="1102" w:type="dxa"/>
            <w:vAlign w:val="center"/>
          </w:tcPr>
          <w:p w14:paraId="5A3FE1CC">
            <w:pPr>
              <w:spacing w:line="240" w:lineRule="exact"/>
              <w:jc w:val="center"/>
              <w:rPr>
                <w:rFonts w:ascii="宋体" w:hAnsi="宋体" w:cs="宋体"/>
                <w:kern w:val="0"/>
                <w:sz w:val="18"/>
                <w:szCs w:val="18"/>
              </w:rPr>
            </w:pPr>
          </w:p>
        </w:tc>
        <w:tc>
          <w:tcPr>
            <w:tcW w:w="636" w:type="dxa"/>
            <w:vAlign w:val="center"/>
          </w:tcPr>
          <w:p w14:paraId="708A5265">
            <w:pPr>
              <w:spacing w:line="240" w:lineRule="exact"/>
              <w:jc w:val="center"/>
              <w:rPr>
                <w:rFonts w:ascii="宋体" w:hAnsi="宋体" w:cs="宋体"/>
                <w:kern w:val="0"/>
                <w:sz w:val="18"/>
                <w:szCs w:val="18"/>
              </w:rPr>
            </w:pPr>
          </w:p>
        </w:tc>
        <w:tc>
          <w:tcPr>
            <w:tcW w:w="976" w:type="dxa"/>
            <w:vAlign w:val="center"/>
          </w:tcPr>
          <w:p w14:paraId="2DF7CD17">
            <w:pPr>
              <w:widowControl/>
              <w:spacing w:line="240" w:lineRule="exact"/>
              <w:jc w:val="left"/>
              <w:rPr>
                <w:rFonts w:ascii="宋体" w:hAnsi="宋体"/>
                <w:sz w:val="18"/>
                <w:szCs w:val="18"/>
              </w:rPr>
            </w:pPr>
            <w:r>
              <w:rPr>
                <w:rFonts w:hint="eastAsia" w:ascii="宋体" w:hAnsi="宋体"/>
                <w:sz w:val="18"/>
                <w:szCs w:val="18"/>
              </w:rPr>
              <w:t>□新建</w:t>
            </w:r>
          </w:p>
          <w:p w14:paraId="08221785">
            <w:pPr>
              <w:spacing w:line="240" w:lineRule="exact"/>
              <w:jc w:val="left"/>
              <w:rPr>
                <w:rFonts w:asciiTheme="minorEastAsia" w:hAnsiTheme="minorEastAsia" w:eastAsiaTheme="minorEastAsia"/>
                <w:sz w:val="18"/>
                <w:szCs w:val="18"/>
              </w:rPr>
            </w:pPr>
            <w:r>
              <w:rPr>
                <w:rFonts w:hint="eastAsia" w:ascii="宋体" w:hAnsi="宋体"/>
                <w:sz w:val="18"/>
                <w:szCs w:val="18"/>
              </w:rPr>
              <w:t>□改扩建</w:t>
            </w:r>
          </w:p>
        </w:tc>
        <w:tc>
          <w:tcPr>
            <w:tcW w:w="374" w:type="dxa"/>
            <w:vAlign w:val="center"/>
          </w:tcPr>
          <w:p w14:paraId="27B95B9F">
            <w:pPr>
              <w:spacing w:line="240" w:lineRule="exact"/>
              <w:jc w:val="center"/>
              <w:rPr>
                <w:rFonts w:ascii="宋体" w:hAnsi="宋体" w:cs="宋体"/>
                <w:kern w:val="0"/>
                <w:sz w:val="18"/>
                <w:szCs w:val="18"/>
              </w:rPr>
            </w:pPr>
          </w:p>
        </w:tc>
        <w:tc>
          <w:tcPr>
            <w:tcW w:w="784" w:type="dxa"/>
            <w:vAlign w:val="center"/>
          </w:tcPr>
          <w:p w14:paraId="57F6EAB4">
            <w:pPr>
              <w:spacing w:line="240" w:lineRule="exact"/>
              <w:jc w:val="center"/>
              <w:rPr>
                <w:rFonts w:ascii="宋体" w:hAnsi="宋体" w:cs="宋体"/>
                <w:kern w:val="0"/>
                <w:sz w:val="18"/>
                <w:szCs w:val="18"/>
              </w:rPr>
            </w:pPr>
          </w:p>
        </w:tc>
        <w:tc>
          <w:tcPr>
            <w:tcW w:w="954" w:type="dxa"/>
            <w:vAlign w:val="center"/>
          </w:tcPr>
          <w:p w14:paraId="1CEE33D5">
            <w:pPr>
              <w:spacing w:line="240" w:lineRule="exact"/>
              <w:jc w:val="center"/>
              <w:rPr>
                <w:rFonts w:ascii="宋体" w:hAnsi="宋体" w:cs="宋体"/>
                <w:kern w:val="0"/>
                <w:sz w:val="18"/>
                <w:szCs w:val="18"/>
              </w:rPr>
            </w:pPr>
          </w:p>
        </w:tc>
        <w:tc>
          <w:tcPr>
            <w:tcW w:w="760" w:type="dxa"/>
            <w:gridSpan w:val="2"/>
            <w:vAlign w:val="center"/>
          </w:tcPr>
          <w:p w14:paraId="4123A623">
            <w:pPr>
              <w:spacing w:line="240" w:lineRule="exact"/>
              <w:jc w:val="center"/>
              <w:rPr>
                <w:rFonts w:ascii="宋体" w:hAnsi="宋体" w:cs="宋体"/>
                <w:kern w:val="0"/>
                <w:sz w:val="18"/>
                <w:szCs w:val="18"/>
              </w:rPr>
            </w:pPr>
          </w:p>
        </w:tc>
        <w:tc>
          <w:tcPr>
            <w:tcW w:w="761" w:type="dxa"/>
            <w:gridSpan w:val="2"/>
            <w:vAlign w:val="center"/>
          </w:tcPr>
          <w:p w14:paraId="0AEA9C97">
            <w:pPr>
              <w:spacing w:line="240" w:lineRule="exact"/>
              <w:jc w:val="center"/>
              <w:rPr>
                <w:rFonts w:ascii="宋体" w:hAnsi="宋体" w:cs="宋体"/>
                <w:kern w:val="0"/>
                <w:sz w:val="18"/>
                <w:szCs w:val="18"/>
              </w:rPr>
            </w:pPr>
          </w:p>
        </w:tc>
        <w:tc>
          <w:tcPr>
            <w:tcW w:w="886" w:type="dxa"/>
            <w:vAlign w:val="center"/>
          </w:tcPr>
          <w:p w14:paraId="2ADD47E5">
            <w:pPr>
              <w:spacing w:line="240" w:lineRule="exact"/>
              <w:jc w:val="center"/>
              <w:rPr>
                <w:rFonts w:ascii="宋体" w:hAnsi="宋体" w:cs="宋体"/>
                <w:kern w:val="0"/>
                <w:sz w:val="18"/>
                <w:szCs w:val="18"/>
              </w:rPr>
            </w:pPr>
          </w:p>
        </w:tc>
        <w:tc>
          <w:tcPr>
            <w:tcW w:w="840" w:type="dxa"/>
            <w:gridSpan w:val="2"/>
            <w:vAlign w:val="center"/>
          </w:tcPr>
          <w:p w14:paraId="07D13D12">
            <w:pPr>
              <w:spacing w:line="240" w:lineRule="exact"/>
              <w:jc w:val="center"/>
              <w:rPr>
                <w:rFonts w:ascii="宋体" w:hAnsi="宋体" w:cs="宋体"/>
                <w:kern w:val="0"/>
                <w:sz w:val="18"/>
                <w:szCs w:val="18"/>
              </w:rPr>
            </w:pPr>
          </w:p>
        </w:tc>
        <w:tc>
          <w:tcPr>
            <w:tcW w:w="861" w:type="dxa"/>
            <w:vAlign w:val="center"/>
          </w:tcPr>
          <w:p w14:paraId="72B5D778">
            <w:pPr>
              <w:spacing w:line="240" w:lineRule="exact"/>
              <w:jc w:val="center"/>
              <w:rPr>
                <w:rFonts w:ascii="宋体" w:hAnsi="宋体" w:cs="宋体"/>
                <w:kern w:val="0"/>
                <w:sz w:val="18"/>
                <w:szCs w:val="18"/>
              </w:rPr>
            </w:pPr>
          </w:p>
        </w:tc>
        <w:tc>
          <w:tcPr>
            <w:tcW w:w="885" w:type="dxa"/>
            <w:gridSpan w:val="2"/>
          </w:tcPr>
          <w:p w14:paraId="360C1E4A">
            <w:pPr>
              <w:spacing w:line="240" w:lineRule="exact"/>
              <w:jc w:val="center"/>
              <w:rPr>
                <w:rFonts w:ascii="宋体" w:hAnsi="宋体" w:cs="宋体"/>
                <w:kern w:val="0"/>
                <w:sz w:val="18"/>
                <w:szCs w:val="18"/>
              </w:rPr>
            </w:pPr>
          </w:p>
        </w:tc>
        <w:tc>
          <w:tcPr>
            <w:tcW w:w="809" w:type="dxa"/>
            <w:vAlign w:val="center"/>
          </w:tcPr>
          <w:p w14:paraId="7B65E34D">
            <w:pPr>
              <w:spacing w:line="240" w:lineRule="exact"/>
              <w:jc w:val="center"/>
              <w:rPr>
                <w:rFonts w:ascii="宋体" w:hAnsi="宋体" w:cs="宋体"/>
                <w:kern w:val="0"/>
                <w:sz w:val="18"/>
                <w:szCs w:val="18"/>
              </w:rPr>
            </w:pPr>
          </w:p>
        </w:tc>
        <w:tc>
          <w:tcPr>
            <w:tcW w:w="798" w:type="dxa"/>
            <w:vAlign w:val="center"/>
          </w:tcPr>
          <w:p w14:paraId="2B7D33B8">
            <w:pPr>
              <w:spacing w:line="240" w:lineRule="exact"/>
              <w:jc w:val="center"/>
              <w:rPr>
                <w:rFonts w:ascii="宋体" w:hAnsi="宋体" w:cs="宋体"/>
                <w:kern w:val="0"/>
                <w:sz w:val="18"/>
                <w:szCs w:val="18"/>
              </w:rPr>
            </w:pPr>
          </w:p>
        </w:tc>
        <w:tc>
          <w:tcPr>
            <w:tcW w:w="499" w:type="dxa"/>
            <w:vAlign w:val="center"/>
          </w:tcPr>
          <w:p w14:paraId="63991A69">
            <w:pPr>
              <w:spacing w:line="240" w:lineRule="exact"/>
              <w:jc w:val="center"/>
              <w:rPr>
                <w:rFonts w:ascii="宋体" w:hAnsi="宋体" w:cs="宋体"/>
                <w:kern w:val="0"/>
                <w:sz w:val="18"/>
                <w:szCs w:val="18"/>
              </w:rPr>
            </w:pPr>
          </w:p>
        </w:tc>
        <w:tc>
          <w:tcPr>
            <w:tcW w:w="1347" w:type="dxa"/>
            <w:vAlign w:val="center"/>
          </w:tcPr>
          <w:p w14:paraId="10002A15">
            <w:pPr>
              <w:widowControl/>
              <w:spacing w:line="24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B2.</w:t>
            </w:r>
            <w:r>
              <w:rPr>
                <w:rFonts w:hint="eastAsia" w:ascii="宋体" w:hAnsi="宋体" w:cs="宋体"/>
                <w:kern w:val="0"/>
                <w:sz w:val="18"/>
                <w:szCs w:val="18"/>
                <w:lang w:val="en-US" w:eastAsia="zh-CN"/>
              </w:rPr>
              <w:t>5</w:t>
            </w:r>
            <w:r>
              <w:rPr>
                <w:rFonts w:ascii="宋体" w:hAnsi="宋体" w:cs="宋体"/>
                <w:kern w:val="0"/>
                <w:sz w:val="18"/>
                <w:szCs w:val="18"/>
              </w:rPr>
              <w:t>-2</w:t>
            </w:r>
          </w:p>
        </w:tc>
      </w:tr>
      <w:tr w14:paraId="093B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5CEF03F1">
            <w:pPr>
              <w:widowControl/>
              <w:spacing w:line="240" w:lineRule="exact"/>
              <w:jc w:val="center"/>
              <w:rPr>
                <w:rFonts w:ascii="宋体" w:hAnsi="宋体" w:cs="宋体"/>
                <w:kern w:val="0"/>
                <w:sz w:val="18"/>
                <w:szCs w:val="18"/>
              </w:rPr>
            </w:pPr>
          </w:p>
        </w:tc>
        <w:tc>
          <w:tcPr>
            <w:tcW w:w="1102" w:type="dxa"/>
            <w:vAlign w:val="center"/>
          </w:tcPr>
          <w:p w14:paraId="766AD78E">
            <w:pPr>
              <w:spacing w:line="240" w:lineRule="exact"/>
              <w:jc w:val="center"/>
              <w:rPr>
                <w:rFonts w:ascii="宋体" w:hAnsi="宋体" w:cs="宋体"/>
                <w:kern w:val="0"/>
                <w:sz w:val="18"/>
                <w:szCs w:val="18"/>
              </w:rPr>
            </w:pPr>
          </w:p>
        </w:tc>
        <w:tc>
          <w:tcPr>
            <w:tcW w:w="636" w:type="dxa"/>
            <w:vAlign w:val="center"/>
          </w:tcPr>
          <w:p w14:paraId="209EB790">
            <w:pPr>
              <w:spacing w:line="240" w:lineRule="exact"/>
              <w:jc w:val="center"/>
              <w:rPr>
                <w:rFonts w:ascii="宋体" w:hAnsi="宋体" w:cs="宋体"/>
                <w:kern w:val="0"/>
                <w:sz w:val="18"/>
                <w:szCs w:val="18"/>
              </w:rPr>
            </w:pPr>
          </w:p>
        </w:tc>
        <w:tc>
          <w:tcPr>
            <w:tcW w:w="976" w:type="dxa"/>
            <w:vAlign w:val="center"/>
          </w:tcPr>
          <w:p w14:paraId="5ED078DA">
            <w:pPr>
              <w:widowControl/>
              <w:spacing w:line="240" w:lineRule="exact"/>
              <w:jc w:val="left"/>
              <w:rPr>
                <w:rFonts w:ascii="宋体" w:hAnsi="宋体"/>
                <w:sz w:val="18"/>
                <w:szCs w:val="18"/>
              </w:rPr>
            </w:pPr>
            <w:r>
              <w:rPr>
                <w:rFonts w:hint="eastAsia" w:ascii="宋体" w:hAnsi="宋体"/>
                <w:sz w:val="18"/>
                <w:szCs w:val="18"/>
              </w:rPr>
              <w:t>□新建</w:t>
            </w:r>
          </w:p>
          <w:p w14:paraId="00187CF3">
            <w:pPr>
              <w:spacing w:line="240" w:lineRule="exact"/>
              <w:jc w:val="left"/>
              <w:rPr>
                <w:rFonts w:cs="宋体" w:asciiTheme="minorEastAsia" w:hAnsiTheme="minorEastAsia" w:eastAsiaTheme="minorEastAsia"/>
                <w:sz w:val="18"/>
                <w:szCs w:val="18"/>
              </w:rPr>
            </w:pPr>
            <w:r>
              <w:rPr>
                <w:rFonts w:hint="eastAsia" w:ascii="宋体" w:hAnsi="宋体"/>
                <w:sz w:val="18"/>
                <w:szCs w:val="18"/>
              </w:rPr>
              <w:t>□改扩建</w:t>
            </w:r>
          </w:p>
        </w:tc>
        <w:tc>
          <w:tcPr>
            <w:tcW w:w="374" w:type="dxa"/>
            <w:vAlign w:val="center"/>
          </w:tcPr>
          <w:p w14:paraId="698EB79E">
            <w:pPr>
              <w:spacing w:line="240" w:lineRule="exact"/>
              <w:jc w:val="center"/>
              <w:rPr>
                <w:rFonts w:ascii="宋体" w:hAnsi="宋体" w:cs="宋体"/>
                <w:kern w:val="0"/>
                <w:sz w:val="18"/>
                <w:szCs w:val="18"/>
              </w:rPr>
            </w:pPr>
          </w:p>
        </w:tc>
        <w:tc>
          <w:tcPr>
            <w:tcW w:w="784" w:type="dxa"/>
            <w:vAlign w:val="center"/>
          </w:tcPr>
          <w:p w14:paraId="40D3FFDC">
            <w:pPr>
              <w:spacing w:line="240" w:lineRule="exact"/>
              <w:jc w:val="center"/>
              <w:rPr>
                <w:rFonts w:ascii="宋体" w:hAnsi="宋体" w:cs="宋体"/>
                <w:kern w:val="0"/>
                <w:sz w:val="18"/>
                <w:szCs w:val="18"/>
              </w:rPr>
            </w:pPr>
          </w:p>
        </w:tc>
        <w:tc>
          <w:tcPr>
            <w:tcW w:w="954" w:type="dxa"/>
            <w:vAlign w:val="center"/>
          </w:tcPr>
          <w:p w14:paraId="78F5D5DD">
            <w:pPr>
              <w:spacing w:line="240" w:lineRule="exact"/>
              <w:jc w:val="center"/>
              <w:rPr>
                <w:rFonts w:ascii="宋体" w:hAnsi="宋体" w:cs="宋体"/>
                <w:kern w:val="0"/>
                <w:sz w:val="18"/>
                <w:szCs w:val="18"/>
              </w:rPr>
            </w:pPr>
          </w:p>
        </w:tc>
        <w:tc>
          <w:tcPr>
            <w:tcW w:w="760" w:type="dxa"/>
            <w:gridSpan w:val="2"/>
            <w:vAlign w:val="center"/>
          </w:tcPr>
          <w:p w14:paraId="20488834">
            <w:pPr>
              <w:spacing w:line="240" w:lineRule="exact"/>
              <w:jc w:val="center"/>
              <w:rPr>
                <w:rFonts w:ascii="宋体" w:hAnsi="宋体" w:cs="宋体"/>
                <w:kern w:val="0"/>
                <w:sz w:val="18"/>
                <w:szCs w:val="18"/>
              </w:rPr>
            </w:pPr>
          </w:p>
        </w:tc>
        <w:tc>
          <w:tcPr>
            <w:tcW w:w="761" w:type="dxa"/>
            <w:gridSpan w:val="2"/>
            <w:vAlign w:val="center"/>
          </w:tcPr>
          <w:p w14:paraId="7F3CC2BC">
            <w:pPr>
              <w:spacing w:line="240" w:lineRule="exact"/>
              <w:jc w:val="center"/>
              <w:rPr>
                <w:rFonts w:ascii="宋体" w:hAnsi="宋体" w:cs="宋体"/>
                <w:kern w:val="0"/>
                <w:sz w:val="18"/>
                <w:szCs w:val="18"/>
              </w:rPr>
            </w:pPr>
          </w:p>
        </w:tc>
        <w:tc>
          <w:tcPr>
            <w:tcW w:w="886" w:type="dxa"/>
            <w:vAlign w:val="center"/>
          </w:tcPr>
          <w:p w14:paraId="49F97234">
            <w:pPr>
              <w:spacing w:line="240" w:lineRule="exact"/>
              <w:jc w:val="center"/>
              <w:rPr>
                <w:rFonts w:ascii="宋体" w:hAnsi="宋体" w:cs="宋体"/>
                <w:kern w:val="0"/>
                <w:sz w:val="18"/>
                <w:szCs w:val="18"/>
              </w:rPr>
            </w:pPr>
          </w:p>
        </w:tc>
        <w:tc>
          <w:tcPr>
            <w:tcW w:w="840" w:type="dxa"/>
            <w:gridSpan w:val="2"/>
            <w:vAlign w:val="center"/>
          </w:tcPr>
          <w:p w14:paraId="79DA9BC1">
            <w:pPr>
              <w:spacing w:line="240" w:lineRule="exact"/>
              <w:jc w:val="center"/>
              <w:rPr>
                <w:rFonts w:ascii="宋体" w:hAnsi="宋体" w:cs="宋体"/>
                <w:kern w:val="0"/>
                <w:sz w:val="18"/>
                <w:szCs w:val="18"/>
              </w:rPr>
            </w:pPr>
          </w:p>
        </w:tc>
        <w:tc>
          <w:tcPr>
            <w:tcW w:w="861" w:type="dxa"/>
            <w:vAlign w:val="center"/>
          </w:tcPr>
          <w:p w14:paraId="4DD03826">
            <w:pPr>
              <w:spacing w:line="240" w:lineRule="exact"/>
              <w:jc w:val="center"/>
              <w:rPr>
                <w:rFonts w:ascii="宋体" w:hAnsi="宋体" w:cs="宋体"/>
                <w:kern w:val="0"/>
                <w:sz w:val="18"/>
                <w:szCs w:val="18"/>
              </w:rPr>
            </w:pPr>
          </w:p>
        </w:tc>
        <w:tc>
          <w:tcPr>
            <w:tcW w:w="885" w:type="dxa"/>
            <w:gridSpan w:val="2"/>
          </w:tcPr>
          <w:p w14:paraId="1C5AA6C6">
            <w:pPr>
              <w:spacing w:line="240" w:lineRule="exact"/>
              <w:jc w:val="center"/>
              <w:rPr>
                <w:rFonts w:ascii="宋体" w:hAnsi="宋体" w:cs="宋体"/>
                <w:kern w:val="0"/>
                <w:sz w:val="18"/>
                <w:szCs w:val="18"/>
              </w:rPr>
            </w:pPr>
          </w:p>
        </w:tc>
        <w:tc>
          <w:tcPr>
            <w:tcW w:w="809" w:type="dxa"/>
            <w:vAlign w:val="center"/>
          </w:tcPr>
          <w:p w14:paraId="6226AAF8">
            <w:pPr>
              <w:spacing w:line="240" w:lineRule="exact"/>
              <w:jc w:val="center"/>
              <w:rPr>
                <w:rFonts w:ascii="宋体" w:hAnsi="宋体" w:cs="宋体"/>
                <w:kern w:val="0"/>
                <w:sz w:val="18"/>
                <w:szCs w:val="18"/>
              </w:rPr>
            </w:pPr>
          </w:p>
        </w:tc>
        <w:tc>
          <w:tcPr>
            <w:tcW w:w="798" w:type="dxa"/>
            <w:vAlign w:val="center"/>
          </w:tcPr>
          <w:p w14:paraId="5C7BF0A3">
            <w:pPr>
              <w:spacing w:line="240" w:lineRule="exact"/>
              <w:jc w:val="center"/>
              <w:rPr>
                <w:rFonts w:ascii="宋体" w:hAnsi="宋体" w:cs="宋体"/>
                <w:kern w:val="0"/>
                <w:sz w:val="18"/>
                <w:szCs w:val="18"/>
              </w:rPr>
            </w:pPr>
          </w:p>
        </w:tc>
        <w:tc>
          <w:tcPr>
            <w:tcW w:w="499" w:type="dxa"/>
            <w:vAlign w:val="center"/>
          </w:tcPr>
          <w:p w14:paraId="58AB1CBB">
            <w:pPr>
              <w:spacing w:line="240" w:lineRule="exact"/>
              <w:jc w:val="center"/>
              <w:rPr>
                <w:rFonts w:ascii="宋体" w:hAnsi="宋体" w:cs="宋体"/>
                <w:kern w:val="0"/>
                <w:sz w:val="18"/>
                <w:szCs w:val="18"/>
              </w:rPr>
            </w:pPr>
          </w:p>
        </w:tc>
        <w:tc>
          <w:tcPr>
            <w:tcW w:w="1347" w:type="dxa"/>
            <w:vAlign w:val="center"/>
          </w:tcPr>
          <w:p w14:paraId="5A48C4BA">
            <w:pPr>
              <w:widowControl/>
              <w:spacing w:line="240" w:lineRule="exact"/>
              <w:jc w:val="center"/>
              <w:rPr>
                <w:rFonts w:ascii="宋体" w:hAnsi="宋体" w:cs="宋体"/>
                <w:kern w:val="0"/>
                <w:sz w:val="18"/>
                <w:szCs w:val="18"/>
              </w:rPr>
            </w:pPr>
            <w:r>
              <w:rPr>
                <w:rFonts w:hint="eastAsia" w:ascii="宋体" w:hAnsi="宋体" w:cs="宋体"/>
                <w:kern w:val="0"/>
                <w:sz w:val="18"/>
                <w:szCs w:val="18"/>
              </w:rPr>
              <w:t>附件</w:t>
            </w:r>
            <w:r>
              <w:rPr>
                <w:rFonts w:ascii="宋体" w:hAnsi="宋体" w:cs="宋体"/>
                <w:kern w:val="0"/>
                <w:sz w:val="18"/>
                <w:szCs w:val="18"/>
              </w:rPr>
              <w:t>B2.</w:t>
            </w:r>
            <w:r>
              <w:rPr>
                <w:rFonts w:hint="eastAsia" w:ascii="宋体" w:hAnsi="宋体" w:cs="宋体"/>
                <w:kern w:val="0"/>
                <w:sz w:val="18"/>
                <w:szCs w:val="18"/>
                <w:lang w:val="en-US" w:eastAsia="zh-CN"/>
              </w:rPr>
              <w:t>5</w:t>
            </w:r>
            <w:r>
              <w:rPr>
                <w:rFonts w:ascii="宋体" w:hAnsi="宋体" w:cs="宋体"/>
                <w:kern w:val="0"/>
                <w:sz w:val="18"/>
                <w:szCs w:val="18"/>
              </w:rPr>
              <w:t>-3</w:t>
            </w:r>
          </w:p>
        </w:tc>
      </w:tr>
      <w:tr w14:paraId="4E7F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14:paraId="2B57B82D">
            <w:pPr>
              <w:spacing w:line="240" w:lineRule="exact"/>
              <w:jc w:val="center"/>
              <w:rPr>
                <w:sz w:val="18"/>
                <w:szCs w:val="18"/>
              </w:rPr>
            </w:pPr>
            <w:r>
              <w:rPr>
                <w:rFonts w:hint="eastAsia" w:ascii="宋体" w:hAnsi="宋体" w:cs="宋体"/>
                <w:kern w:val="0"/>
                <w:sz w:val="18"/>
                <w:szCs w:val="18"/>
              </w:rPr>
              <w:t>……</w:t>
            </w:r>
          </w:p>
        </w:tc>
        <w:tc>
          <w:tcPr>
            <w:tcW w:w="1102" w:type="dxa"/>
            <w:vAlign w:val="center"/>
          </w:tcPr>
          <w:p w14:paraId="66A64B9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36" w:type="dxa"/>
            <w:vAlign w:val="center"/>
          </w:tcPr>
          <w:p w14:paraId="48CC0A2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76" w:type="dxa"/>
            <w:vAlign w:val="center"/>
          </w:tcPr>
          <w:p w14:paraId="3A736AB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74" w:type="dxa"/>
            <w:vAlign w:val="center"/>
          </w:tcPr>
          <w:p w14:paraId="45EE78F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84" w:type="dxa"/>
            <w:vAlign w:val="center"/>
          </w:tcPr>
          <w:p w14:paraId="004B68D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54" w:type="dxa"/>
            <w:vAlign w:val="center"/>
          </w:tcPr>
          <w:p w14:paraId="62A2BA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60" w:type="dxa"/>
            <w:gridSpan w:val="2"/>
            <w:vAlign w:val="center"/>
          </w:tcPr>
          <w:p w14:paraId="1B19117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61" w:type="dxa"/>
            <w:gridSpan w:val="2"/>
            <w:vAlign w:val="center"/>
          </w:tcPr>
          <w:p w14:paraId="37EE509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6" w:type="dxa"/>
            <w:vAlign w:val="center"/>
          </w:tcPr>
          <w:p w14:paraId="695DB3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0" w:type="dxa"/>
            <w:gridSpan w:val="2"/>
            <w:vAlign w:val="center"/>
          </w:tcPr>
          <w:p w14:paraId="0F0D56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1" w:type="dxa"/>
            <w:vAlign w:val="center"/>
          </w:tcPr>
          <w:p w14:paraId="5BC7935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5" w:type="dxa"/>
            <w:gridSpan w:val="2"/>
            <w:vAlign w:val="center"/>
          </w:tcPr>
          <w:p w14:paraId="3A88BBA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9" w:type="dxa"/>
            <w:vAlign w:val="center"/>
          </w:tcPr>
          <w:p w14:paraId="0BF5EF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98" w:type="dxa"/>
            <w:vAlign w:val="center"/>
          </w:tcPr>
          <w:p w14:paraId="57208B1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499" w:type="dxa"/>
            <w:vAlign w:val="center"/>
          </w:tcPr>
          <w:p w14:paraId="3CCE4F9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1347" w:type="dxa"/>
            <w:vAlign w:val="center"/>
          </w:tcPr>
          <w:p w14:paraId="22DE2CC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bl>
    <w:p w14:paraId="0E4176DB">
      <w:pPr>
        <w:spacing w:line="300" w:lineRule="exact"/>
        <w:ind w:left="630" w:hanging="630" w:hangingChars="300"/>
        <w:rPr>
          <w:rFonts w:ascii="宋体" w:hAnsi="宋体" w:cs="宋体"/>
          <w:szCs w:val="21"/>
        </w:rPr>
      </w:pPr>
      <w:r>
        <w:rPr>
          <w:rFonts w:hint="eastAsia" w:ascii="宋体" w:hAnsi="宋体"/>
          <w:szCs w:val="21"/>
        </w:rPr>
        <w:t>注：</w:t>
      </w:r>
      <w:r>
        <w:rPr>
          <w:rFonts w:ascii="宋体" w:hAnsi="宋体"/>
          <w:szCs w:val="21"/>
        </w:rPr>
        <w:t>1.</w:t>
      </w:r>
      <w:r>
        <w:rPr>
          <w:rFonts w:hint="eastAsia" w:ascii="宋体" w:hAnsi="宋体" w:cs="宋体"/>
          <w:szCs w:val="21"/>
        </w:rPr>
        <w:t>投标人应在本表后提供相关证明材料（原件原色扫描件）附件</w:t>
      </w:r>
      <w:r>
        <w:rPr>
          <w:rFonts w:ascii="宋体" w:hAnsi="宋体" w:cs="宋体"/>
          <w:szCs w:val="21"/>
        </w:rPr>
        <w:t>B2</w:t>
      </w:r>
      <w:r>
        <w:rPr>
          <w:rFonts w:hint="eastAsia" w:ascii="宋体" w:hAnsi="宋体" w:cs="宋体"/>
          <w:szCs w:val="21"/>
        </w:rPr>
        <w:t>系列（身份证、职称证、执业资格证、</w:t>
      </w:r>
      <w:r>
        <w:rPr>
          <w:rFonts w:hint="eastAsia" w:ascii="宋体" w:hAnsi="宋体" w:cs="宋体"/>
          <w:kern w:val="0"/>
          <w:szCs w:val="21"/>
        </w:rPr>
        <w:t>安全生产考核合格证、</w:t>
      </w:r>
      <w:r>
        <w:rPr>
          <w:rFonts w:hint="eastAsia" w:ascii="宋体" w:hAnsi="宋体" w:cs="宋体"/>
          <w:szCs w:val="21"/>
        </w:rPr>
        <w:t>社保证明、个人业绩证明）。证明材料构成应与招标人对拟委任主要人员的要求一一对应，未作要求的内容不得要求投标人提供相应的证明材料。</w:t>
      </w:r>
    </w:p>
    <w:p w14:paraId="36B7DDE9">
      <w:pPr>
        <w:spacing w:line="300" w:lineRule="exact"/>
        <w:ind w:left="567" w:leftChars="170" w:hanging="210" w:hangingChars="100"/>
        <w:rPr>
          <w:rFonts w:ascii="宋体" w:hAnsi="宋体"/>
          <w:szCs w:val="21"/>
        </w:rPr>
      </w:pPr>
      <w:r>
        <w:rPr>
          <w:rFonts w:hint="eastAsia" w:ascii="宋体" w:hAnsi="宋体" w:cs="宋体"/>
          <w:szCs w:val="21"/>
        </w:rPr>
        <w:t>2.因投标人自身原因未提供附件或提供的附件不能与所证明的内容相匹配，造成业绩或其他内容不予认可时，投标人自行承担相关责任。</w:t>
      </w:r>
    </w:p>
    <w:p w14:paraId="43903732">
      <w:pPr>
        <w:spacing w:line="30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.个人业绩证明材料为：</w:t>
      </w:r>
    </w:p>
    <w:p w14:paraId="04944611">
      <w:pPr>
        <w:spacing w:line="300" w:lineRule="exact"/>
        <w:ind w:left="0" w:leftChars="0" w:firstLine="632" w:firstLineChars="30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ascii="宋体" w:hAnsi="宋体" w:cs="宋体"/>
          <w:szCs w:val="21"/>
        </w:rPr>
        <w:t>交通运输部“</w:t>
      </w:r>
      <w:r>
        <w:rPr>
          <w:rFonts w:hint="eastAsia" w:ascii="宋体" w:hAnsi="宋体" w:cs="宋体"/>
          <w:szCs w:val="21"/>
        </w:rPr>
        <w:t>全国公路建设市场监督管理系统</w:t>
      </w:r>
      <w:r>
        <w:rPr>
          <w:rFonts w:ascii="宋体" w:hAnsi="宋体" w:cs="宋体"/>
          <w:szCs w:val="21"/>
        </w:rPr>
        <w:t>”</w:t>
      </w:r>
      <w:r>
        <w:rPr>
          <w:rFonts w:hint="eastAsia" w:ascii="宋体" w:hAnsi="宋体" w:cs="宋体"/>
          <w:szCs w:val="21"/>
        </w:rPr>
        <w:t>中载明的、能够证明该人员具有相关业绩的网页截图（</w:t>
      </w:r>
      <w:r>
        <w:rPr>
          <w:rFonts w:hint="eastAsia" w:ascii="宋体" w:hAnsi="宋体"/>
          <w:szCs w:val="21"/>
        </w:rPr>
        <w:t>本项规定仅适用于根据《关于发布公路工程从业企业资质名录的通知》（厅公路字</w:t>
      </w:r>
      <w:r>
        <w:rPr>
          <w:rFonts w:ascii="宋体" w:hAnsi="宋体"/>
          <w:szCs w:val="21"/>
        </w:rPr>
        <w:t>〔2011〕114</w:t>
      </w:r>
      <w:r>
        <w:rPr>
          <w:rFonts w:hint="eastAsia" w:ascii="宋体" w:hAnsi="宋体"/>
          <w:szCs w:val="21"/>
        </w:rPr>
        <w:t>号）要求，招标人应通过名录对投标人资质条件进行审核的公路施工企业单位人员。否则，招标人可对相关个人业绩提出其他证明材料要求</w:t>
      </w:r>
      <w:r>
        <w:rPr>
          <w:rFonts w:hint="eastAsia" w:ascii="宋体" w:hAnsi="宋体" w:cs="宋体"/>
          <w:szCs w:val="21"/>
        </w:rPr>
        <w:t>）。除网页截图</w:t>
      </w:r>
      <w:r>
        <w:rPr>
          <w:rFonts w:hint="eastAsia" w:ascii="宋体" w:hAnsi="宋体" w:cs="宋体"/>
          <w:spacing w:val="-3"/>
          <w:szCs w:val="21"/>
        </w:rPr>
        <w:t>外，投标人无须再提供任何证明材料</w:t>
      </w:r>
      <w:r>
        <w:rPr>
          <w:rFonts w:hint="eastAsia" w:ascii="宋体" w:hAnsi="宋体" w:cs="宋体"/>
          <w:szCs w:val="21"/>
        </w:rPr>
        <w:t>。□</w:t>
      </w:r>
      <w:r>
        <w:rPr>
          <w:rFonts w:ascii="宋体" w:hAnsi="宋体" w:cs="宋体"/>
          <w:b/>
          <w:bCs/>
          <w:szCs w:val="21"/>
        </w:rPr>
        <w:t xml:space="preserve"> </w:t>
      </w:r>
      <w:r>
        <w:rPr>
          <w:rFonts w:ascii="宋体" w:hAnsi="宋体" w:cs="宋体"/>
          <w:szCs w:val="21"/>
        </w:rPr>
        <w:t>或</w:t>
      </w:r>
    </w:p>
    <w:p w14:paraId="35215DA9">
      <w:pPr>
        <w:spacing w:line="300" w:lineRule="exact"/>
        <w:ind w:firstLine="632" w:firstLineChars="300"/>
        <w:rPr>
          <w:rFonts w:ascii="宋体" w:hAnsi="宋体" w:cs="宋体"/>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szCs w:val="21"/>
        </w:rPr>
        <w:t>合同协议书；和</w:t>
      </w:r>
    </w:p>
    <w:p w14:paraId="344C049D">
      <w:pPr>
        <w:spacing w:line="300" w:lineRule="exact"/>
        <w:ind w:firstLine="630" w:firstLineChars="300"/>
        <w:rPr>
          <w:rFonts w:ascii="宋体" w:hAnsi="宋体" w:cs="宋体"/>
          <w:szCs w:val="21"/>
        </w:rPr>
      </w:pPr>
      <w:r>
        <w:rPr>
          <w:rFonts w:ascii="宋体" w:hAnsi="宋体" w:cs="宋体"/>
          <w:szCs w:val="21"/>
        </w:rPr>
        <w:t xml:space="preserve">   </w:t>
      </w:r>
      <w:r>
        <w:rPr>
          <w:rFonts w:hint="eastAsia" w:ascii="宋体" w:hAnsi="宋体" w:cs="宋体"/>
          <w:szCs w:val="21"/>
        </w:rPr>
        <w:t>项目评定书或交工验收证书或竣工验收委员会出具的公路工程竣工验收鉴定书或发包人出具的证明原件原色扫描件，其中应能够证明该人员具有相关业绩。</w:t>
      </w:r>
    </w:p>
    <w:p w14:paraId="74ED4ECC">
      <w:pPr>
        <w:numPr>
          <w:ilvl w:val="255"/>
          <w:numId w:val="0"/>
        </w:numPr>
        <w:spacing w:line="300" w:lineRule="exact"/>
        <w:ind w:firstLine="420" w:firstLineChars="200"/>
        <w:rPr>
          <w:rFonts w:ascii="宋体" w:hAnsi="宋体" w:cs="宋体"/>
          <w:szCs w:val="21"/>
        </w:rPr>
      </w:pPr>
      <w:r>
        <w:rPr>
          <w:rFonts w:hint="eastAsia" w:ascii="宋体" w:hAnsi="宋体" w:cs="宋体"/>
          <w:szCs w:val="21"/>
        </w:rPr>
        <w:t>4.提供社保时间段要求：例如投标截止日所在月为“</w:t>
      </w:r>
      <w:r>
        <w:rPr>
          <w:rFonts w:ascii="宋体" w:hAnsi="宋体" w:cs="宋体"/>
          <w:szCs w:val="21"/>
        </w:rPr>
        <w:t>2021</w:t>
      </w:r>
      <w:r>
        <w:rPr>
          <w:rFonts w:hint="eastAsia" w:ascii="宋体" w:hAnsi="宋体" w:cs="宋体"/>
          <w:szCs w:val="21"/>
        </w:rPr>
        <w:t>年</w:t>
      </w:r>
      <w:r>
        <w:rPr>
          <w:rFonts w:ascii="宋体" w:hAnsi="宋体" w:cs="宋体"/>
          <w:szCs w:val="21"/>
        </w:rPr>
        <w:t>12</w:t>
      </w:r>
      <w:r>
        <w:rPr>
          <w:rFonts w:hint="eastAsia" w:ascii="宋体" w:hAnsi="宋体" w:cs="宋体"/>
          <w:szCs w:val="21"/>
        </w:rPr>
        <w:t>月”，则提供“</w:t>
      </w:r>
      <w:r>
        <w:rPr>
          <w:rFonts w:ascii="宋体" w:hAnsi="宋体" w:cs="宋体"/>
          <w:szCs w:val="21"/>
        </w:rPr>
        <w:t>2021</w:t>
      </w:r>
      <w:r>
        <w:rPr>
          <w:rFonts w:hint="eastAsia" w:ascii="宋体" w:hAnsi="宋体" w:cs="宋体"/>
          <w:szCs w:val="21"/>
        </w:rPr>
        <w:t>年</w:t>
      </w:r>
      <w:r>
        <w:rPr>
          <w:rFonts w:ascii="宋体" w:hAnsi="宋体" w:cs="宋体"/>
          <w:szCs w:val="21"/>
        </w:rPr>
        <w:t>6～11</w:t>
      </w:r>
      <w:r>
        <w:rPr>
          <w:rFonts w:hint="eastAsia" w:ascii="宋体" w:hAnsi="宋体" w:cs="宋体"/>
          <w:szCs w:val="21"/>
        </w:rPr>
        <w:t>月”或“</w:t>
      </w:r>
      <w:r>
        <w:rPr>
          <w:rFonts w:ascii="宋体" w:hAnsi="宋体" w:cs="宋体"/>
          <w:szCs w:val="21"/>
        </w:rPr>
        <w:t>2021</w:t>
      </w:r>
      <w:r>
        <w:rPr>
          <w:rFonts w:hint="eastAsia" w:ascii="宋体" w:hAnsi="宋体" w:cs="宋体"/>
          <w:szCs w:val="21"/>
        </w:rPr>
        <w:t>年</w:t>
      </w:r>
      <w:r>
        <w:rPr>
          <w:rFonts w:ascii="宋体" w:hAnsi="宋体" w:cs="宋体"/>
          <w:szCs w:val="21"/>
        </w:rPr>
        <w:t>5</w:t>
      </w:r>
      <w:r>
        <w:rPr>
          <w:rFonts w:hint="eastAsia" w:ascii="宋体" w:hAnsi="宋体" w:cs="宋体"/>
          <w:szCs w:val="21"/>
        </w:rPr>
        <w:t>～</w:t>
      </w:r>
      <w:r>
        <w:rPr>
          <w:rFonts w:ascii="宋体" w:hAnsi="宋体" w:cs="宋体"/>
          <w:szCs w:val="21"/>
        </w:rPr>
        <w:t>10</w:t>
      </w:r>
      <w:r>
        <w:rPr>
          <w:rFonts w:hint="eastAsia" w:ascii="宋体" w:hAnsi="宋体" w:cs="宋体"/>
          <w:szCs w:val="21"/>
        </w:rPr>
        <w:t>月”在其投标单位连续</w:t>
      </w:r>
      <w:r>
        <w:rPr>
          <w:rFonts w:ascii="宋体" w:hAnsi="宋体" w:cs="宋体"/>
          <w:szCs w:val="21"/>
        </w:rPr>
        <w:t>6个月参加社保的证明材料。</w:t>
      </w:r>
    </w:p>
    <w:p w14:paraId="7CCD38F1">
      <w:pPr>
        <w:spacing w:line="30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桥梁类型应从“梁式桥、拱式桥、悬索桥、斜拉桥、刚构桥、组合体系桥、其他</w:t>
      </w:r>
      <w:r>
        <w:rPr>
          <w:rFonts w:ascii="宋体" w:hAnsi="宋体" w:cs="宋体"/>
          <w:szCs w:val="21"/>
        </w:rPr>
        <w:t>”中</w:t>
      </w:r>
      <w:r>
        <w:rPr>
          <w:rFonts w:hint="eastAsia" w:ascii="宋体" w:hAnsi="宋体" w:cs="宋体"/>
          <w:szCs w:val="21"/>
        </w:rPr>
        <w:t>选择填写</w:t>
      </w:r>
      <w:r>
        <w:rPr>
          <w:rFonts w:ascii="宋体" w:hAnsi="宋体" w:cs="宋体"/>
          <w:szCs w:val="21"/>
        </w:rPr>
        <w:t>。</w:t>
      </w:r>
    </w:p>
    <w:p w14:paraId="01CB8501">
      <w:pPr>
        <w:numPr>
          <w:ilvl w:val="255"/>
          <w:numId w:val="0"/>
        </w:numPr>
        <w:spacing w:line="300" w:lineRule="exact"/>
        <w:ind w:firstLine="420" w:firstLineChars="200"/>
        <w:rPr>
          <w:rFonts w:ascii="宋体" w:hAnsi="宋体" w:cs="宋体"/>
          <w:szCs w:val="21"/>
        </w:rPr>
      </w:pPr>
      <w:r>
        <w:rPr>
          <w:rFonts w:hint="eastAsia" w:ascii="宋体" w:hAnsi="宋体" w:cs="宋体"/>
          <w:szCs w:val="21"/>
        </w:rPr>
        <w:t>6.对于左右幅桥长不相同的桥梁，其桥梁长度以左右幅长度较长的为准；若只有单幅的，则以单幅桥梁长度数据为准。</w:t>
      </w:r>
    </w:p>
    <w:p w14:paraId="3924CB36">
      <w:pPr>
        <w:numPr>
          <w:ilvl w:val="255"/>
          <w:numId w:val="0"/>
        </w:numPr>
        <w:spacing w:line="300" w:lineRule="exact"/>
        <w:ind w:firstLine="420" w:firstLineChars="200"/>
        <w:rPr>
          <w:rFonts w:ascii="宋体" w:hAnsi="宋体" w:cs="宋体"/>
          <w:szCs w:val="21"/>
        </w:rPr>
      </w:pPr>
      <w:r>
        <w:rPr>
          <w:rFonts w:hint="eastAsia" w:ascii="宋体" w:hAnsi="宋体" w:cs="宋体"/>
          <w:szCs w:val="21"/>
        </w:rPr>
        <w:t>7.隧道机电工程施工系统类型应是隧道“监控系统、通风系统、供配电系统、照明系统、消防系统、其他”中的一种或多种。</w:t>
      </w:r>
    </w:p>
    <w:p w14:paraId="000D2291">
      <w:pPr>
        <w:shd w:val="clear" w:color="auto" w:fill="FFFFFF"/>
        <w:tabs>
          <w:tab w:val="left" w:pos="312"/>
        </w:tabs>
        <w:adjustRightInd w:val="0"/>
        <w:snapToGrid w:val="0"/>
        <w:spacing w:line="300" w:lineRule="exact"/>
        <w:ind w:firstLine="420" w:firstLineChars="200"/>
        <w:rPr>
          <w:rFonts w:ascii="宋体" w:hAnsi="宋体" w:cs="宋体"/>
          <w:szCs w:val="21"/>
        </w:rPr>
      </w:pPr>
      <w:r>
        <w:rPr>
          <w:rFonts w:hint="eastAsia" w:ascii="宋体" w:hAnsi="宋体" w:cs="宋体"/>
          <w:szCs w:val="21"/>
        </w:rPr>
        <w:t>8.对于具有双洞的隧道，其承担隧道长度以左右线隧道长度较长的为准；若只有单洞的，则以承担单洞隧道长度数据为准。隧道单洞长度不含斜井、竖井、支洞。</w:t>
      </w:r>
    </w:p>
    <w:p w14:paraId="36EB5333">
      <w:pPr>
        <w:shd w:val="clear" w:color="auto" w:fill="FFFFFF"/>
        <w:tabs>
          <w:tab w:val="left" w:pos="312"/>
        </w:tabs>
        <w:adjustRightInd w:val="0"/>
        <w:snapToGrid w:val="0"/>
        <w:spacing w:line="300" w:lineRule="exact"/>
        <w:ind w:left="0" w:leftChars="0" w:firstLine="420" w:firstLineChars="200"/>
        <w:rPr>
          <w:rFonts w:ascii="宋体" w:hAnsi="宋体" w:cs="宋体"/>
          <w:szCs w:val="21"/>
        </w:rPr>
      </w:pPr>
      <w:r>
        <w:rPr>
          <w:rFonts w:hint="eastAsia" w:ascii="宋体" w:hAnsi="宋体" w:cs="宋体"/>
          <w:szCs w:val="21"/>
        </w:rPr>
        <w:t>9.允许联合体投标时，若以联合体形式投标的，项目总工应按照第二章“投标人须知”前附表附录5资格审查条件的要求及第三章“评标办法”详细评审打分条件（如有）填写本表。</w:t>
      </w:r>
    </w:p>
    <w:p w14:paraId="3EBC70BA">
      <w:pPr>
        <w:pStyle w:val="20"/>
        <w:kinsoku w:val="0"/>
        <w:overflowPunct w:val="0"/>
        <w:spacing w:before="107"/>
        <w:rPr>
          <w:sz w:val="18"/>
          <w:szCs w:val="18"/>
        </w:rPr>
        <w:sectPr>
          <w:footnotePr>
            <w:numFmt w:val="decimalEnclosedCircleChinese"/>
            <w:numRestart w:val="eachPage"/>
          </w:footnotePr>
          <w:pgSz w:w="16838" w:h="11900" w:orient="landscape"/>
          <w:pgMar w:top="1701" w:right="1418" w:bottom="1418" w:left="1418" w:header="851" w:footer="992" w:gutter="0"/>
          <w:cols w:space="720" w:num="1"/>
          <w:docGrid w:linePitch="286" w:charSpace="0"/>
        </w:sectPr>
      </w:pPr>
    </w:p>
    <w:p w14:paraId="5125E873">
      <w:pPr>
        <w:jc w:val="center"/>
        <w:rPr>
          <w:rFonts w:ascii="黑体" w:hAnsi="黑体" w:eastAsia="黑体"/>
          <w:sz w:val="30"/>
          <w:szCs w:val="30"/>
        </w:rPr>
      </w:pPr>
      <w:r>
        <w:rPr>
          <w:rFonts w:hint="eastAsia" w:ascii="黑体" w:hAnsi="黑体" w:eastAsia="黑体" w:cs="黑体"/>
          <w:b/>
          <w:sz w:val="28"/>
          <w:szCs w:val="28"/>
        </w:rPr>
        <w:t>□</w:t>
      </w:r>
      <w:r>
        <w:rPr>
          <w:rFonts w:hint="eastAsia" w:ascii="黑体" w:hAnsi="黑体" w:eastAsia="黑体" w:cs="黑体"/>
          <w:sz w:val="28"/>
          <w:szCs w:val="28"/>
        </w:rPr>
        <w:t>（七）拟委任的其他管理和技术</w:t>
      </w:r>
      <w:r>
        <w:rPr>
          <w:rFonts w:ascii="黑体" w:hAnsi="黑体" w:eastAsia="黑体" w:cs="黑体"/>
          <w:sz w:val="28"/>
          <w:szCs w:val="28"/>
        </w:rPr>
        <w:t>人员</w:t>
      </w:r>
      <w:r>
        <w:rPr>
          <w:rFonts w:hint="eastAsia" w:ascii="黑体" w:hAnsi="黑体" w:eastAsia="黑体" w:cs="黑体"/>
          <w:sz w:val="28"/>
          <w:szCs w:val="28"/>
        </w:rPr>
        <w:t>资历表</w:t>
      </w:r>
    </w:p>
    <w:p w14:paraId="174B7213">
      <w:pPr>
        <w:rPr>
          <w:rFonts w:ascii="宋体" w:hAnsi="宋体"/>
          <w:b/>
          <w:sz w:val="30"/>
          <w:szCs w:val="30"/>
        </w:rPr>
      </w:pPr>
    </w:p>
    <w:p w14:paraId="7400F052">
      <w:pPr>
        <w:rPr>
          <w:rFonts w:ascii="宋体" w:hAnsi="宋体"/>
          <w:b/>
          <w:sz w:val="30"/>
          <w:szCs w:val="30"/>
        </w:rPr>
      </w:pPr>
    </w:p>
    <w:p w14:paraId="59A2401F">
      <w:pPr>
        <w:spacing w:line="360" w:lineRule="auto"/>
        <w:rPr>
          <w:rFonts w:ascii="宋体" w:hAnsi="宋体"/>
          <w:sz w:val="24"/>
        </w:rPr>
      </w:pPr>
    </w:p>
    <w:p w14:paraId="4776364D">
      <w:pPr>
        <w:spacing w:line="360" w:lineRule="auto"/>
        <w:rPr>
          <w:rFonts w:ascii="宋体" w:hAnsi="宋体"/>
          <w:sz w:val="24"/>
        </w:rPr>
      </w:pPr>
    </w:p>
    <w:p w14:paraId="2817BDB9">
      <w:pPr>
        <w:spacing w:line="360" w:lineRule="auto"/>
        <w:ind w:left="420" w:hanging="420" w:hangingChars="200"/>
        <w:rPr>
          <w:rFonts w:ascii="宋体" w:hAnsi="宋体"/>
          <w:szCs w:val="21"/>
        </w:rPr>
      </w:pPr>
      <w:r>
        <w:rPr>
          <w:rFonts w:hint="eastAsia" w:ascii="宋体" w:hAnsi="宋体"/>
          <w:szCs w:val="21"/>
        </w:rPr>
        <w:t>注</w:t>
      </w:r>
      <w:r>
        <w:rPr>
          <w:rFonts w:ascii="宋体" w:hAnsi="宋体"/>
          <w:szCs w:val="21"/>
        </w:rPr>
        <w:t>：招标人</w:t>
      </w:r>
      <w:r>
        <w:rPr>
          <w:rFonts w:hint="eastAsia" w:ascii="宋体" w:hAnsi="宋体"/>
          <w:szCs w:val="21"/>
        </w:rPr>
        <w:t>可参照设计项目负责人或勘察设计技术负责人或总设计师、</w:t>
      </w:r>
      <w:r>
        <w:rPr>
          <w:rFonts w:ascii="宋体" w:hAnsi="宋体"/>
          <w:szCs w:val="21"/>
        </w:rPr>
        <w:t>项目经理或项目总工资历表格式，并根据</w:t>
      </w:r>
      <w:r>
        <w:rPr>
          <w:rFonts w:hint="eastAsia" w:ascii="宋体" w:hAnsi="宋体"/>
          <w:szCs w:val="21"/>
        </w:rPr>
        <w:t>项目情况</w:t>
      </w:r>
      <w:r>
        <w:rPr>
          <w:rFonts w:ascii="宋体" w:hAnsi="宋体"/>
          <w:szCs w:val="21"/>
        </w:rPr>
        <w:t>自行设定表格形式，但应反映第二章</w:t>
      </w:r>
      <w:r>
        <w:rPr>
          <w:rFonts w:hint="eastAsia" w:ascii="宋体" w:hAnsi="宋体"/>
          <w:szCs w:val="21"/>
        </w:rPr>
        <w:t>“投标人须知”前附表附录</w:t>
      </w:r>
      <w:r>
        <w:rPr>
          <w:rFonts w:ascii="宋体" w:hAnsi="宋体"/>
          <w:szCs w:val="21"/>
        </w:rPr>
        <w:t>6资格审查条件</w:t>
      </w:r>
      <w:r>
        <w:rPr>
          <w:rFonts w:hint="eastAsia" w:ascii="宋体" w:hAnsi="宋体"/>
          <w:szCs w:val="21"/>
        </w:rPr>
        <w:t>、</w:t>
      </w:r>
      <w:r>
        <w:rPr>
          <w:rFonts w:ascii="宋体" w:hAnsi="宋体"/>
          <w:szCs w:val="21"/>
        </w:rPr>
        <w:t>详细评审加分</w:t>
      </w:r>
      <w:r>
        <w:rPr>
          <w:rFonts w:hint="eastAsia" w:ascii="宋体" w:hAnsi="宋体"/>
          <w:szCs w:val="21"/>
        </w:rPr>
        <w:t>（如有）以及</w:t>
      </w:r>
      <w:r>
        <w:rPr>
          <w:rFonts w:ascii="宋体" w:hAnsi="宋体"/>
          <w:szCs w:val="21"/>
        </w:rPr>
        <w:t>公示要求</w:t>
      </w:r>
      <w:r>
        <w:rPr>
          <w:rFonts w:hint="eastAsia" w:ascii="宋体" w:hAnsi="宋体"/>
          <w:szCs w:val="21"/>
        </w:rPr>
        <w:t>的</w:t>
      </w:r>
      <w:r>
        <w:rPr>
          <w:rFonts w:ascii="宋体" w:hAnsi="宋体"/>
          <w:szCs w:val="21"/>
        </w:rPr>
        <w:t>内容。</w:t>
      </w:r>
    </w:p>
    <w:p w14:paraId="4FC1BAF8">
      <w:pPr>
        <w:spacing w:line="360" w:lineRule="auto"/>
        <w:rPr>
          <w:rFonts w:ascii="宋体" w:hAnsi="宋体"/>
          <w:sz w:val="24"/>
        </w:rPr>
      </w:pPr>
    </w:p>
    <w:p w14:paraId="03E591FD">
      <w:pPr>
        <w:spacing w:line="360" w:lineRule="auto"/>
        <w:rPr>
          <w:rFonts w:ascii="宋体" w:hAnsi="宋体"/>
          <w:sz w:val="24"/>
        </w:rPr>
      </w:pPr>
    </w:p>
    <w:p w14:paraId="7F43631E">
      <w:pPr>
        <w:spacing w:line="360" w:lineRule="auto"/>
        <w:rPr>
          <w:rFonts w:ascii="宋体" w:hAnsi="宋体"/>
          <w:sz w:val="24"/>
        </w:rPr>
      </w:pPr>
    </w:p>
    <w:p w14:paraId="261BA47B">
      <w:pPr>
        <w:spacing w:line="360" w:lineRule="auto"/>
        <w:rPr>
          <w:rFonts w:ascii="宋体" w:hAnsi="宋体"/>
          <w:sz w:val="24"/>
        </w:rPr>
      </w:pPr>
    </w:p>
    <w:p w14:paraId="3A1FC37E">
      <w:pPr>
        <w:spacing w:line="360" w:lineRule="auto"/>
        <w:rPr>
          <w:rFonts w:ascii="宋体" w:hAnsi="宋体"/>
          <w:sz w:val="24"/>
        </w:rPr>
      </w:pPr>
    </w:p>
    <w:p w14:paraId="635C1466">
      <w:pPr>
        <w:spacing w:line="360" w:lineRule="auto"/>
        <w:rPr>
          <w:rFonts w:ascii="宋体" w:hAnsi="宋体"/>
          <w:sz w:val="24"/>
        </w:rPr>
      </w:pPr>
    </w:p>
    <w:p w14:paraId="0C8CB019">
      <w:pPr>
        <w:spacing w:line="360" w:lineRule="auto"/>
        <w:rPr>
          <w:rFonts w:ascii="宋体" w:hAnsi="宋体"/>
          <w:sz w:val="24"/>
        </w:rPr>
      </w:pPr>
    </w:p>
    <w:p w14:paraId="7C62FBAC">
      <w:pPr>
        <w:spacing w:line="360" w:lineRule="auto"/>
        <w:rPr>
          <w:rFonts w:ascii="宋体" w:hAnsi="宋体"/>
          <w:sz w:val="24"/>
        </w:rPr>
      </w:pPr>
    </w:p>
    <w:p w14:paraId="781A049D">
      <w:pPr>
        <w:spacing w:line="360" w:lineRule="auto"/>
        <w:rPr>
          <w:rFonts w:ascii="宋体" w:hAnsi="宋体"/>
          <w:sz w:val="24"/>
        </w:rPr>
      </w:pPr>
    </w:p>
    <w:p w14:paraId="1E011280">
      <w:pPr>
        <w:spacing w:line="360" w:lineRule="auto"/>
        <w:rPr>
          <w:rFonts w:ascii="宋体" w:hAnsi="宋体"/>
          <w:sz w:val="24"/>
        </w:rPr>
      </w:pPr>
    </w:p>
    <w:p w14:paraId="7E3B6B87">
      <w:pPr>
        <w:spacing w:line="360" w:lineRule="auto"/>
        <w:rPr>
          <w:rFonts w:ascii="宋体" w:hAnsi="宋体"/>
          <w:sz w:val="24"/>
        </w:rPr>
      </w:pPr>
    </w:p>
    <w:p w14:paraId="04B5EB37">
      <w:pPr>
        <w:spacing w:line="360" w:lineRule="auto"/>
        <w:rPr>
          <w:rFonts w:ascii="宋体" w:hAnsi="宋体"/>
          <w:sz w:val="24"/>
        </w:rPr>
      </w:pPr>
    </w:p>
    <w:p w14:paraId="48FC047C">
      <w:pPr>
        <w:spacing w:line="360" w:lineRule="auto"/>
        <w:rPr>
          <w:rFonts w:ascii="宋体" w:hAnsi="宋体"/>
          <w:sz w:val="24"/>
        </w:rPr>
      </w:pPr>
    </w:p>
    <w:p w14:paraId="59EE6325">
      <w:pPr>
        <w:spacing w:line="360" w:lineRule="auto"/>
        <w:rPr>
          <w:rFonts w:ascii="宋体" w:hAnsi="宋体"/>
          <w:sz w:val="24"/>
        </w:rPr>
      </w:pPr>
    </w:p>
    <w:p w14:paraId="283CEDDF">
      <w:pPr>
        <w:rPr>
          <w:rFonts w:ascii="宋体" w:hAnsi="宋体"/>
          <w:b/>
          <w:sz w:val="30"/>
          <w:szCs w:val="30"/>
        </w:rPr>
      </w:pPr>
    </w:p>
    <w:p w14:paraId="0053D5D5">
      <w:pPr>
        <w:rPr>
          <w:rFonts w:ascii="宋体" w:hAnsi="宋体"/>
          <w:b/>
          <w:sz w:val="30"/>
          <w:szCs w:val="30"/>
        </w:rPr>
      </w:pPr>
    </w:p>
    <w:p w14:paraId="4DC096B8">
      <w:pPr>
        <w:rPr>
          <w:rFonts w:ascii="宋体" w:hAnsi="宋体"/>
          <w:b/>
          <w:sz w:val="30"/>
          <w:szCs w:val="30"/>
        </w:rPr>
      </w:pPr>
    </w:p>
    <w:p w14:paraId="74148F48">
      <w:pPr>
        <w:rPr>
          <w:rFonts w:ascii="宋体" w:hAnsi="宋体"/>
          <w:b/>
          <w:sz w:val="30"/>
          <w:szCs w:val="30"/>
        </w:rPr>
      </w:pPr>
    </w:p>
    <w:p w14:paraId="65ADEBB3">
      <w:pPr>
        <w:rPr>
          <w:rFonts w:ascii="宋体" w:hAnsi="宋体"/>
          <w:b/>
          <w:sz w:val="30"/>
          <w:szCs w:val="30"/>
        </w:rPr>
      </w:pPr>
    </w:p>
    <w:p w14:paraId="748ECE89">
      <w:pPr>
        <w:rPr>
          <w:rFonts w:ascii="宋体" w:hAnsi="宋体"/>
          <w:b/>
          <w:sz w:val="30"/>
          <w:szCs w:val="30"/>
        </w:rPr>
      </w:pPr>
    </w:p>
    <w:p w14:paraId="5D0BD634">
      <w:pPr>
        <w:rPr>
          <w:rFonts w:ascii="黑体" w:hAnsi="黑体" w:eastAsia="黑体" w:cs="黑体"/>
          <w:b/>
          <w:sz w:val="28"/>
          <w:szCs w:val="28"/>
        </w:rPr>
      </w:pPr>
      <w:r>
        <w:rPr>
          <w:rFonts w:hint="eastAsia" w:ascii="黑体" w:hAnsi="黑体" w:eastAsia="黑体" w:cs="黑体"/>
          <w:b/>
          <w:sz w:val="28"/>
          <w:szCs w:val="28"/>
        </w:rPr>
        <w:br w:type="page"/>
      </w:r>
    </w:p>
    <w:p w14:paraId="4C71BE94">
      <w:pPr>
        <w:jc w:val="center"/>
        <w:rPr>
          <w:rFonts w:ascii="黑体" w:hAnsi="黑体" w:eastAsia="黑体"/>
          <w:sz w:val="30"/>
          <w:szCs w:val="30"/>
        </w:rPr>
      </w:pPr>
      <w:r>
        <w:rPr>
          <w:rFonts w:hint="eastAsia" w:ascii="黑体" w:hAnsi="黑体" w:eastAsia="黑体" w:cs="黑体"/>
          <w:b/>
          <w:sz w:val="28"/>
          <w:szCs w:val="28"/>
        </w:rPr>
        <w:t>□</w:t>
      </w:r>
      <w:r>
        <w:rPr>
          <w:rFonts w:hint="eastAsia" w:ascii="黑体" w:hAnsi="黑体" w:eastAsia="黑体" w:cs="黑体"/>
          <w:sz w:val="28"/>
          <w:szCs w:val="28"/>
        </w:rPr>
        <w:t>（八）拟投入本标段的</w:t>
      </w:r>
      <w:r>
        <w:rPr>
          <w:rFonts w:ascii="黑体" w:hAnsi="黑体" w:eastAsia="黑体" w:cs="黑体"/>
          <w:sz w:val="28"/>
          <w:szCs w:val="28"/>
        </w:rPr>
        <w:t>主要施工机械</w:t>
      </w:r>
      <w:r>
        <w:rPr>
          <w:rFonts w:hint="eastAsia" w:ascii="黑体" w:hAnsi="黑体" w:eastAsia="黑体" w:cs="黑体"/>
          <w:sz w:val="28"/>
          <w:szCs w:val="28"/>
        </w:rPr>
        <w:t>表</w:t>
      </w:r>
    </w:p>
    <w:p w14:paraId="31A2EFD6">
      <w:pPr>
        <w:rPr>
          <w:rFonts w:ascii="宋体" w:hAnsi="宋体"/>
          <w:b/>
          <w:sz w:val="30"/>
          <w:szCs w:val="30"/>
        </w:rPr>
      </w:pPr>
    </w:p>
    <w:tbl>
      <w:tblPr>
        <w:tblStyle w:val="4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645"/>
        <w:gridCol w:w="1247"/>
        <w:gridCol w:w="2138"/>
      </w:tblGrid>
      <w:tr w14:paraId="25B8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7DDB8081">
            <w:pPr>
              <w:spacing w:line="40" w:lineRule="atLeast"/>
              <w:jc w:val="center"/>
              <w:rPr>
                <w:rFonts w:ascii="宋体" w:hAnsi="宋体"/>
                <w:szCs w:val="21"/>
              </w:rPr>
            </w:pPr>
            <w:r>
              <w:rPr>
                <w:rFonts w:hint="eastAsia" w:ascii="宋体" w:hAnsi="宋体"/>
                <w:szCs w:val="21"/>
              </w:rPr>
              <w:t>序号</w:t>
            </w:r>
          </w:p>
        </w:tc>
        <w:tc>
          <w:tcPr>
            <w:tcW w:w="4645" w:type="dxa"/>
            <w:vAlign w:val="center"/>
          </w:tcPr>
          <w:p w14:paraId="0E8008FD">
            <w:pPr>
              <w:spacing w:line="40" w:lineRule="atLeast"/>
              <w:jc w:val="center"/>
              <w:rPr>
                <w:rFonts w:ascii="宋体" w:hAnsi="宋体"/>
                <w:szCs w:val="21"/>
              </w:rPr>
            </w:pPr>
            <w:r>
              <w:rPr>
                <w:rFonts w:hint="eastAsia" w:ascii="宋体" w:hAnsi="宋体"/>
                <w:szCs w:val="21"/>
              </w:rPr>
              <w:t>机械设备名称及规格</w:t>
            </w:r>
          </w:p>
        </w:tc>
        <w:tc>
          <w:tcPr>
            <w:tcW w:w="1247" w:type="dxa"/>
            <w:vAlign w:val="center"/>
          </w:tcPr>
          <w:p w14:paraId="58C445CA">
            <w:pPr>
              <w:spacing w:line="40" w:lineRule="atLeast"/>
              <w:jc w:val="center"/>
              <w:rPr>
                <w:rFonts w:ascii="宋体" w:hAnsi="宋体"/>
                <w:szCs w:val="21"/>
              </w:rPr>
            </w:pPr>
            <w:r>
              <w:rPr>
                <w:rFonts w:hint="eastAsia" w:ascii="宋体" w:hAnsi="宋体"/>
                <w:szCs w:val="21"/>
              </w:rPr>
              <w:t>单位</w:t>
            </w:r>
          </w:p>
        </w:tc>
        <w:tc>
          <w:tcPr>
            <w:tcW w:w="2138" w:type="dxa"/>
            <w:vAlign w:val="center"/>
          </w:tcPr>
          <w:p w14:paraId="4C268498">
            <w:pPr>
              <w:widowControl/>
              <w:spacing w:line="40" w:lineRule="atLeast"/>
              <w:jc w:val="center"/>
              <w:rPr>
                <w:rFonts w:ascii="宋体" w:hAnsi="宋体"/>
                <w:szCs w:val="21"/>
              </w:rPr>
            </w:pPr>
            <w:r>
              <w:rPr>
                <w:rFonts w:hint="eastAsia" w:ascii="宋体" w:hAnsi="宋体"/>
                <w:szCs w:val="21"/>
              </w:rPr>
              <w:t>数量</w:t>
            </w:r>
          </w:p>
        </w:tc>
      </w:tr>
      <w:tr w14:paraId="2A8D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3EA99AB9">
            <w:pPr>
              <w:spacing w:line="40" w:lineRule="atLeast"/>
              <w:jc w:val="center"/>
              <w:rPr>
                <w:rFonts w:ascii="宋体" w:hAnsi="宋体"/>
                <w:szCs w:val="21"/>
              </w:rPr>
            </w:pPr>
          </w:p>
        </w:tc>
        <w:tc>
          <w:tcPr>
            <w:tcW w:w="4645" w:type="dxa"/>
            <w:vAlign w:val="center"/>
          </w:tcPr>
          <w:p w14:paraId="3C078DEE">
            <w:pPr>
              <w:widowControl/>
              <w:rPr>
                <w:rFonts w:ascii="宋体" w:hAnsi="宋体"/>
                <w:szCs w:val="21"/>
              </w:rPr>
            </w:pPr>
          </w:p>
        </w:tc>
        <w:tc>
          <w:tcPr>
            <w:tcW w:w="1247" w:type="dxa"/>
            <w:vAlign w:val="center"/>
          </w:tcPr>
          <w:p w14:paraId="62DE7DB9">
            <w:pPr>
              <w:widowControl/>
              <w:jc w:val="center"/>
              <w:rPr>
                <w:rFonts w:ascii="宋体" w:hAnsi="宋体" w:cs="宋体"/>
                <w:kern w:val="0"/>
                <w:szCs w:val="21"/>
              </w:rPr>
            </w:pPr>
          </w:p>
        </w:tc>
        <w:tc>
          <w:tcPr>
            <w:tcW w:w="2138" w:type="dxa"/>
            <w:vAlign w:val="center"/>
          </w:tcPr>
          <w:p w14:paraId="65CD1EE1">
            <w:pPr>
              <w:jc w:val="center"/>
              <w:rPr>
                <w:rFonts w:ascii="宋体" w:hAnsi="宋体" w:cs="宋体"/>
                <w:kern w:val="0"/>
                <w:szCs w:val="21"/>
              </w:rPr>
            </w:pPr>
          </w:p>
        </w:tc>
      </w:tr>
      <w:tr w14:paraId="0E28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148F920">
            <w:pPr>
              <w:spacing w:line="40" w:lineRule="atLeast"/>
              <w:jc w:val="center"/>
              <w:rPr>
                <w:rFonts w:ascii="宋体" w:hAnsi="宋体"/>
                <w:szCs w:val="21"/>
              </w:rPr>
            </w:pPr>
          </w:p>
        </w:tc>
        <w:tc>
          <w:tcPr>
            <w:tcW w:w="4645" w:type="dxa"/>
            <w:vAlign w:val="center"/>
          </w:tcPr>
          <w:p w14:paraId="6601FCA0">
            <w:pPr>
              <w:widowControl/>
              <w:rPr>
                <w:rFonts w:ascii="宋体" w:hAnsi="宋体"/>
                <w:szCs w:val="21"/>
              </w:rPr>
            </w:pPr>
          </w:p>
        </w:tc>
        <w:tc>
          <w:tcPr>
            <w:tcW w:w="1247" w:type="dxa"/>
            <w:vAlign w:val="center"/>
          </w:tcPr>
          <w:p w14:paraId="748404DC">
            <w:pPr>
              <w:widowControl/>
              <w:jc w:val="center"/>
              <w:rPr>
                <w:rFonts w:ascii="宋体" w:hAnsi="宋体" w:cs="宋体"/>
                <w:kern w:val="0"/>
                <w:szCs w:val="21"/>
              </w:rPr>
            </w:pPr>
          </w:p>
        </w:tc>
        <w:tc>
          <w:tcPr>
            <w:tcW w:w="2138" w:type="dxa"/>
            <w:vAlign w:val="center"/>
          </w:tcPr>
          <w:p w14:paraId="58B8F129">
            <w:pPr>
              <w:jc w:val="center"/>
              <w:rPr>
                <w:rFonts w:ascii="宋体" w:hAnsi="宋体" w:cs="宋体"/>
                <w:kern w:val="0"/>
                <w:szCs w:val="21"/>
              </w:rPr>
            </w:pPr>
          </w:p>
        </w:tc>
      </w:tr>
      <w:tr w14:paraId="2EC3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22DF4306">
            <w:pPr>
              <w:spacing w:line="40" w:lineRule="atLeast"/>
              <w:jc w:val="center"/>
              <w:rPr>
                <w:rFonts w:ascii="宋体" w:hAnsi="宋体"/>
                <w:szCs w:val="21"/>
              </w:rPr>
            </w:pPr>
          </w:p>
        </w:tc>
        <w:tc>
          <w:tcPr>
            <w:tcW w:w="4645" w:type="dxa"/>
            <w:vAlign w:val="center"/>
          </w:tcPr>
          <w:p w14:paraId="5AC7E3D8">
            <w:pPr>
              <w:widowControl/>
              <w:rPr>
                <w:rFonts w:ascii="宋体" w:hAnsi="宋体" w:cs="宋体"/>
                <w:kern w:val="0"/>
                <w:szCs w:val="21"/>
              </w:rPr>
            </w:pPr>
          </w:p>
        </w:tc>
        <w:tc>
          <w:tcPr>
            <w:tcW w:w="1247" w:type="dxa"/>
            <w:vAlign w:val="center"/>
          </w:tcPr>
          <w:p w14:paraId="29D8C234">
            <w:pPr>
              <w:widowControl/>
              <w:jc w:val="center"/>
              <w:rPr>
                <w:rFonts w:ascii="宋体" w:hAnsi="宋体" w:cs="宋体"/>
                <w:kern w:val="0"/>
                <w:szCs w:val="21"/>
              </w:rPr>
            </w:pPr>
          </w:p>
        </w:tc>
        <w:tc>
          <w:tcPr>
            <w:tcW w:w="2138" w:type="dxa"/>
            <w:vAlign w:val="center"/>
          </w:tcPr>
          <w:p w14:paraId="5818E52F">
            <w:pPr>
              <w:jc w:val="center"/>
              <w:rPr>
                <w:rFonts w:ascii="宋体" w:hAnsi="宋体" w:cs="宋体"/>
                <w:kern w:val="0"/>
                <w:szCs w:val="21"/>
              </w:rPr>
            </w:pPr>
          </w:p>
        </w:tc>
      </w:tr>
      <w:tr w14:paraId="02BB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806" w:type="dxa"/>
            <w:vAlign w:val="center"/>
          </w:tcPr>
          <w:p w14:paraId="01E46A2F">
            <w:pPr>
              <w:spacing w:line="40" w:lineRule="atLeast"/>
              <w:jc w:val="center"/>
              <w:rPr>
                <w:rFonts w:ascii="宋体" w:hAnsi="宋体"/>
                <w:szCs w:val="21"/>
              </w:rPr>
            </w:pPr>
          </w:p>
        </w:tc>
        <w:tc>
          <w:tcPr>
            <w:tcW w:w="4645" w:type="dxa"/>
            <w:vAlign w:val="center"/>
          </w:tcPr>
          <w:p w14:paraId="70C069A5">
            <w:pPr>
              <w:widowControl/>
              <w:rPr>
                <w:rFonts w:ascii="宋体" w:hAnsi="宋体" w:cs="宋体"/>
                <w:kern w:val="0"/>
                <w:szCs w:val="21"/>
              </w:rPr>
            </w:pPr>
          </w:p>
        </w:tc>
        <w:tc>
          <w:tcPr>
            <w:tcW w:w="1247" w:type="dxa"/>
            <w:vAlign w:val="center"/>
          </w:tcPr>
          <w:p w14:paraId="47F63EA9">
            <w:pPr>
              <w:widowControl/>
              <w:jc w:val="center"/>
              <w:rPr>
                <w:rFonts w:ascii="宋体" w:hAnsi="宋体"/>
                <w:kern w:val="0"/>
                <w:szCs w:val="21"/>
              </w:rPr>
            </w:pPr>
          </w:p>
        </w:tc>
        <w:tc>
          <w:tcPr>
            <w:tcW w:w="2138" w:type="dxa"/>
            <w:vAlign w:val="center"/>
          </w:tcPr>
          <w:p w14:paraId="4A688699">
            <w:pPr>
              <w:jc w:val="center"/>
              <w:rPr>
                <w:rFonts w:ascii="宋体" w:hAnsi="宋体" w:cs="宋体"/>
                <w:kern w:val="0"/>
                <w:szCs w:val="21"/>
              </w:rPr>
            </w:pPr>
          </w:p>
        </w:tc>
      </w:tr>
      <w:tr w14:paraId="26BB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E766BBB">
            <w:pPr>
              <w:spacing w:line="40" w:lineRule="atLeast"/>
              <w:jc w:val="center"/>
              <w:rPr>
                <w:rFonts w:ascii="宋体" w:hAnsi="宋体"/>
                <w:szCs w:val="21"/>
              </w:rPr>
            </w:pPr>
          </w:p>
        </w:tc>
        <w:tc>
          <w:tcPr>
            <w:tcW w:w="4645" w:type="dxa"/>
            <w:vAlign w:val="center"/>
          </w:tcPr>
          <w:p w14:paraId="2FB3D84E">
            <w:pPr>
              <w:widowControl/>
              <w:rPr>
                <w:rFonts w:ascii="宋体" w:hAnsi="宋体" w:cs="宋体"/>
                <w:kern w:val="0"/>
                <w:szCs w:val="21"/>
              </w:rPr>
            </w:pPr>
          </w:p>
        </w:tc>
        <w:tc>
          <w:tcPr>
            <w:tcW w:w="1247" w:type="dxa"/>
            <w:vAlign w:val="center"/>
          </w:tcPr>
          <w:p w14:paraId="70693292">
            <w:pPr>
              <w:widowControl/>
              <w:jc w:val="center"/>
              <w:rPr>
                <w:rFonts w:ascii="宋体" w:hAnsi="宋体"/>
                <w:kern w:val="0"/>
                <w:szCs w:val="21"/>
              </w:rPr>
            </w:pPr>
          </w:p>
        </w:tc>
        <w:tc>
          <w:tcPr>
            <w:tcW w:w="2138" w:type="dxa"/>
            <w:vAlign w:val="center"/>
          </w:tcPr>
          <w:p w14:paraId="246946A9">
            <w:pPr>
              <w:jc w:val="center"/>
              <w:rPr>
                <w:rFonts w:ascii="宋体" w:hAnsi="宋体" w:cs="宋体"/>
                <w:kern w:val="0"/>
                <w:szCs w:val="21"/>
              </w:rPr>
            </w:pPr>
          </w:p>
        </w:tc>
      </w:tr>
      <w:tr w14:paraId="2CD1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19838456">
            <w:pPr>
              <w:spacing w:line="40" w:lineRule="atLeast"/>
              <w:jc w:val="center"/>
              <w:rPr>
                <w:rFonts w:ascii="宋体" w:hAnsi="宋体"/>
                <w:szCs w:val="21"/>
              </w:rPr>
            </w:pPr>
          </w:p>
        </w:tc>
        <w:tc>
          <w:tcPr>
            <w:tcW w:w="4645" w:type="dxa"/>
            <w:vAlign w:val="center"/>
          </w:tcPr>
          <w:p w14:paraId="0B94EA96">
            <w:pPr>
              <w:widowControl/>
              <w:rPr>
                <w:rFonts w:ascii="宋体" w:hAnsi="宋体" w:cs="宋体"/>
                <w:kern w:val="0"/>
                <w:szCs w:val="21"/>
              </w:rPr>
            </w:pPr>
          </w:p>
        </w:tc>
        <w:tc>
          <w:tcPr>
            <w:tcW w:w="1247" w:type="dxa"/>
            <w:vAlign w:val="center"/>
          </w:tcPr>
          <w:p w14:paraId="63B7575D">
            <w:pPr>
              <w:widowControl/>
              <w:jc w:val="center"/>
              <w:rPr>
                <w:rFonts w:ascii="宋体" w:hAnsi="宋体" w:cs="宋体"/>
                <w:kern w:val="0"/>
                <w:szCs w:val="21"/>
              </w:rPr>
            </w:pPr>
          </w:p>
        </w:tc>
        <w:tc>
          <w:tcPr>
            <w:tcW w:w="2138" w:type="dxa"/>
            <w:vAlign w:val="center"/>
          </w:tcPr>
          <w:p w14:paraId="33FEAFFA">
            <w:pPr>
              <w:jc w:val="center"/>
              <w:rPr>
                <w:rFonts w:ascii="宋体" w:hAnsi="宋体" w:cs="宋体"/>
                <w:kern w:val="0"/>
                <w:szCs w:val="21"/>
              </w:rPr>
            </w:pPr>
          </w:p>
        </w:tc>
      </w:tr>
      <w:tr w14:paraId="7EEE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103AA63">
            <w:pPr>
              <w:spacing w:line="40" w:lineRule="atLeast"/>
              <w:jc w:val="center"/>
              <w:rPr>
                <w:rFonts w:ascii="宋体" w:hAnsi="宋体"/>
                <w:szCs w:val="21"/>
              </w:rPr>
            </w:pPr>
          </w:p>
        </w:tc>
        <w:tc>
          <w:tcPr>
            <w:tcW w:w="4645" w:type="dxa"/>
            <w:vAlign w:val="center"/>
          </w:tcPr>
          <w:p w14:paraId="3D0725B3">
            <w:pPr>
              <w:widowControl/>
              <w:rPr>
                <w:rFonts w:ascii="宋体" w:hAnsi="宋体" w:cs="宋体"/>
                <w:kern w:val="0"/>
                <w:szCs w:val="21"/>
              </w:rPr>
            </w:pPr>
          </w:p>
        </w:tc>
        <w:tc>
          <w:tcPr>
            <w:tcW w:w="1247" w:type="dxa"/>
            <w:vAlign w:val="center"/>
          </w:tcPr>
          <w:p w14:paraId="29537085">
            <w:pPr>
              <w:widowControl/>
              <w:jc w:val="center"/>
              <w:rPr>
                <w:rFonts w:ascii="宋体" w:hAnsi="宋体" w:cs="宋体"/>
                <w:kern w:val="0"/>
                <w:szCs w:val="21"/>
              </w:rPr>
            </w:pPr>
          </w:p>
        </w:tc>
        <w:tc>
          <w:tcPr>
            <w:tcW w:w="2138" w:type="dxa"/>
            <w:vAlign w:val="center"/>
          </w:tcPr>
          <w:p w14:paraId="073A2D2D">
            <w:pPr>
              <w:jc w:val="center"/>
              <w:rPr>
                <w:rFonts w:ascii="宋体" w:hAnsi="宋体" w:cs="宋体"/>
                <w:kern w:val="0"/>
                <w:szCs w:val="21"/>
              </w:rPr>
            </w:pPr>
          </w:p>
        </w:tc>
      </w:tr>
      <w:tr w14:paraId="1989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15526BA1">
            <w:pPr>
              <w:spacing w:line="40" w:lineRule="atLeast"/>
              <w:jc w:val="center"/>
              <w:rPr>
                <w:rFonts w:ascii="宋体" w:hAnsi="宋体"/>
                <w:szCs w:val="21"/>
              </w:rPr>
            </w:pPr>
          </w:p>
        </w:tc>
        <w:tc>
          <w:tcPr>
            <w:tcW w:w="4645" w:type="dxa"/>
            <w:vAlign w:val="center"/>
          </w:tcPr>
          <w:p w14:paraId="6C8141FE">
            <w:pPr>
              <w:widowControl/>
              <w:rPr>
                <w:rFonts w:ascii="宋体" w:hAnsi="宋体" w:cs="宋体"/>
                <w:kern w:val="0"/>
                <w:szCs w:val="21"/>
              </w:rPr>
            </w:pPr>
          </w:p>
        </w:tc>
        <w:tc>
          <w:tcPr>
            <w:tcW w:w="1247" w:type="dxa"/>
            <w:vAlign w:val="center"/>
          </w:tcPr>
          <w:p w14:paraId="6404F3A5">
            <w:pPr>
              <w:widowControl/>
              <w:jc w:val="center"/>
              <w:rPr>
                <w:rFonts w:ascii="宋体" w:hAnsi="宋体" w:cs="宋体"/>
                <w:kern w:val="0"/>
                <w:szCs w:val="21"/>
              </w:rPr>
            </w:pPr>
          </w:p>
        </w:tc>
        <w:tc>
          <w:tcPr>
            <w:tcW w:w="2138" w:type="dxa"/>
            <w:vAlign w:val="center"/>
          </w:tcPr>
          <w:p w14:paraId="1DDC7826">
            <w:pPr>
              <w:jc w:val="center"/>
              <w:rPr>
                <w:rFonts w:ascii="宋体" w:hAnsi="宋体" w:cs="宋体"/>
                <w:kern w:val="0"/>
                <w:szCs w:val="21"/>
              </w:rPr>
            </w:pPr>
          </w:p>
        </w:tc>
      </w:tr>
      <w:tr w14:paraId="7336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7E295808">
            <w:pPr>
              <w:spacing w:line="40" w:lineRule="atLeast"/>
              <w:jc w:val="center"/>
              <w:rPr>
                <w:rFonts w:ascii="宋体" w:hAnsi="宋体"/>
                <w:szCs w:val="21"/>
              </w:rPr>
            </w:pPr>
          </w:p>
        </w:tc>
        <w:tc>
          <w:tcPr>
            <w:tcW w:w="4645" w:type="dxa"/>
            <w:vAlign w:val="center"/>
          </w:tcPr>
          <w:p w14:paraId="455A566A">
            <w:pPr>
              <w:widowControl/>
              <w:rPr>
                <w:rFonts w:ascii="宋体" w:hAnsi="宋体" w:cs="宋体"/>
                <w:kern w:val="0"/>
                <w:szCs w:val="21"/>
              </w:rPr>
            </w:pPr>
          </w:p>
        </w:tc>
        <w:tc>
          <w:tcPr>
            <w:tcW w:w="1247" w:type="dxa"/>
            <w:vAlign w:val="center"/>
          </w:tcPr>
          <w:p w14:paraId="5D56D2C0">
            <w:pPr>
              <w:widowControl/>
              <w:jc w:val="center"/>
              <w:rPr>
                <w:rFonts w:ascii="宋体" w:hAnsi="宋体" w:cs="宋体"/>
                <w:kern w:val="0"/>
                <w:szCs w:val="21"/>
              </w:rPr>
            </w:pPr>
          </w:p>
        </w:tc>
        <w:tc>
          <w:tcPr>
            <w:tcW w:w="2138" w:type="dxa"/>
            <w:vAlign w:val="center"/>
          </w:tcPr>
          <w:p w14:paraId="6725C32D">
            <w:pPr>
              <w:jc w:val="center"/>
              <w:rPr>
                <w:rFonts w:ascii="宋体" w:hAnsi="宋体" w:cs="宋体"/>
                <w:kern w:val="0"/>
                <w:szCs w:val="21"/>
              </w:rPr>
            </w:pPr>
          </w:p>
        </w:tc>
      </w:tr>
      <w:tr w14:paraId="504F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F1DA555">
            <w:pPr>
              <w:spacing w:line="40" w:lineRule="atLeast"/>
              <w:jc w:val="center"/>
              <w:rPr>
                <w:rFonts w:ascii="宋体" w:hAnsi="宋体"/>
                <w:szCs w:val="21"/>
              </w:rPr>
            </w:pPr>
          </w:p>
        </w:tc>
        <w:tc>
          <w:tcPr>
            <w:tcW w:w="4645" w:type="dxa"/>
            <w:vAlign w:val="center"/>
          </w:tcPr>
          <w:p w14:paraId="3E685B3A">
            <w:pPr>
              <w:widowControl/>
              <w:rPr>
                <w:rFonts w:ascii="宋体" w:hAnsi="宋体" w:cs="宋体"/>
                <w:kern w:val="0"/>
                <w:szCs w:val="21"/>
              </w:rPr>
            </w:pPr>
          </w:p>
        </w:tc>
        <w:tc>
          <w:tcPr>
            <w:tcW w:w="1247" w:type="dxa"/>
            <w:vAlign w:val="center"/>
          </w:tcPr>
          <w:p w14:paraId="6C876CC2">
            <w:pPr>
              <w:widowControl/>
              <w:jc w:val="center"/>
              <w:rPr>
                <w:rFonts w:ascii="宋体" w:hAnsi="宋体" w:cs="宋体"/>
                <w:kern w:val="0"/>
                <w:szCs w:val="21"/>
              </w:rPr>
            </w:pPr>
          </w:p>
        </w:tc>
        <w:tc>
          <w:tcPr>
            <w:tcW w:w="2138" w:type="dxa"/>
            <w:vAlign w:val="center"/>
          </w:tcPr>
          <w:p w14:paraId="3E20CB00">
            <w:pPr>
              <w:jc w:val="center"/>
              <w:rPr>
                <w:rFonts w:ascii="宋体" w:hAnsi="宋体" w:cs="宋体"/>
                <w:kern w:val="0"/>
                <w:szCs w:val="21"/>
              </w:rPr>
            </w:pPr>
          </w:p>
        </w:tc>
      </w:tr>
      <w:tr w14:paraId="022E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2D841E60">
            <w:pPr>
              <w:spacing w:line="40" w:lineRule="atLeast"/>
              <w:jc w:val="center"/>
              <w:rPr>
                <w:rFonts w:ascii="宋体" w:hAnsi="宋体"/>
                <w:szCs w:val="21"/>
              </w:rPr>
            </w:pPr>
          </w:p>
        </w:tc>
        <w:tc>
          <w:tcPr>
            <w:tcW w:w="4645" w:type="dxa"/>
            <w:vAlign w:val="center"/>
          </w:tcPr>
          <w:p w14:paraId="0A48CC40">
            <w:pPr>
              <w:widowControl/>
              <w:rPr>
                <w:rFonts w:ascii="宋体" w:hAnsi="宋体" w:cs="宋体"/>
                <w:kern w:val="0"/>
                <w:szCs w:val="21"/>
              </w:rPr>
            </w:pPr>
          </w:p>
        </w:tc>
        <w:tc>
          <w:tcPr>
            <w:tcW w:w="1247" w:type="dxa"/>
            <w:vAlign w:val="center"/>
          </w:tcPr>
          <w:p w14:paraId="6D37186B">
            <w:pPr>
              <w:widowControl/>
              <w:jc w:val="center"/>
              <w:rPr>
                <w:rFonts w:ascii="宋体" w:hAnsi="宋体" w:cs="宋体"/>
                <w:kern w:val="0"/>
                <w:szCs w:val="21"/>
              </w:rPr>
            </w:pPr>
          </w:p>
        </w:tc>
        <w:tc>
          <w:tcPr>
            <w:tcW w:w="2138" w:type="dxa"/>
            <w:vAlign w:val="center"/>
          </w:tcPr>
          <w:p w14:paraId="53C8BEA1">
            <w:pPr>
              <w:jc w:val="center"/>
              <w:rPr>
                <w:rFonts w:ascii="宋体" w:hAnsi="宋体" w:cs="宋体"/>
                <w:kern w:val="0"/>
                <w:szCs w:val="21"/>
              </w:rPr>
            </w:pPr>
          </w:p>
        </w:tc>
      </w:tr>
      <w:tr w14:paraId="0B3D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5F538B8">
            <w:pPr>
              <w:spacing w:line="40" w:lineRule="atLeast"/>
              <w:jc w:val="center"/>
              <w:rPr>
                <w:rFonts w:ascii="宋体" w:hAnsi="宋体"/>
                <w:szCs w:val="21"/>
              </w:rPr>
            </w:pPr>
          </w:p>
        </w:tc>
        <w:tc>
          <w:tcPr>
            <w:tcW w:w="4645" w:type="dxa"/>
            <w:vAlign w:val="center"/>
          </w:tcPr>
          <w:p w14:paraId="6E7BABD3">
            <w:pPr>
              <w:widowControl/>
              <w:rPr>
                <w:rFonts w:ascii="宋体" w:hAnsi="宋体" w:cs="宋体"/>
                <w:kern w:val="0"/>
                <w:szCs w:val="21"/>
              </w:rPr>
            </w:pPr>
          </w:p>
        </w:tc>
        <w:tc>
          <w:tcPr>
            <w:tcW w:w="1247" w:type="dxa"/>
            <w:vAlign w:val="center"/>
          </w:tcPr>
          <w:p w14:paraId="2437B79B">
            <w:pPr>
              <w:widowControl/>
              <w:jc w:val="center"/>
              <w:rPr>
                <w:rFonts w:ascii="宋体" w:hAnsi="宋体" w:cs="宋体"/>
                <w:kern w:val="0"/>
                <w:szCs w:val="21"/>
              </w:rPr>
            </w:pPr>
          </w:p>
        </w:tc>
        <w:tc>
          <w:tcPr>
            <w:tcW w:w="2138" w:type="dxa"/>
            <w:vAlign w:val="center"/>
          </w:tcPr>
          <w:p w14:paraId="00D55D86">
            <w:pPr>
              <w:jc w:val="center"/>
              <w:rPr>
                <w:rFonts w:ascii="宋体" w:hAnsi="宋体" w:cs="宋体"/>
                <w:kern w:val="0"/>
                <w:szCs w:val="21"/>
              </w:rPr>
            </w:pPr>
          </w:p>
        </w:tc>
      </w:tr>
    </w:tbl>
    <w:p w14:paraId="6362321D">
      <w:pPr>
        <w:rPr>
          <w:rFonts w:ascii="宋体" w:hAnsi="宋体"/>
          <w:b/>
          <w:sz w:val="30"/>
          <w:szCs w:val="30"/>
        </w:rPr>
      </w:pPr>
    </w:p>
    <w:p w14:paraId="0E8EE8A3">
      <w:pPr>
        <w:spacing w:line="360" w:lineRule="auto"/>
        <w:rPr>
          <w:rFonts w:ascii="宋体" w:hAnsi="宋体"/>
          <w:szCs w:val="21"/>
        </w:rPr>
      </w:pPr>
      <w:r>
        <w:rPr>
          <w:rFonts w:hint="eastAsia" w:ascii="宋体" w:hAnsi="宋体"/>
          <w:szCs w:val="21"/>
        </w:rPr>
        <w:t>注</w:t>
      </w:r>
      <w:r>
        <w:rPr>
          <w:rFonts w:ascii="宋体" w:hAnsi="宋体"/>
          <w:szCs w:val="21"/>
        </w:rPr>
        <w:t>：招标人</w:t>
      </w:r>
      <w:r>
        <w:rPr>
          <w:rFonts w:hint="eastAsia" w:ascii="宋体" w:hAnsi="宋体"/>
          <w:szCs w:val="21"/>
        </w:rPr>
        <w:t>可</w:t>
      </w:r>
      <w:r>
        <w:rPr>
          <w:rFonts w:ascii="宋体" w:hAnsi="宋体"/>
          <w:szCs w:val="21"/>
        </w:rPr>
        <w:t>根据</w:t>
      </w:r>
      <w:r>
        <w:rPr>
          <w:rFonts w:hint="eastAsia" w:ascii="宋体" w:hAnsi="宋体"/>
          <w:szCs w:val="21"/>
        </w:rPr>
        <w:t>项目情况</w:t>
      </w:r>
      <w:r>
        <w:rPr>
          <w:rFonts w:ascii="宋体" w:hAnsi="宋体"/>
          <w:szCs w:val="21"/>
        </w:rPr>
        <w:t>自行设定表格形式，但应反映第二章</w:t>
      </w:r>
      <w:r>
        <w:rPr>
          <w:rFonts w:hint="eastAsia" w:ascii="宋体" w:hAnsi="宋体"/>
          <w:szCs w:val="21"/>
        </w:rPr>
        <w:t>“投标人须知”前附表附录</w:t>
      </w:r>
      <w:r>
        <w:rPr>
          <w:rFonts w:ascii="宋体" w:hAnsi="宋体"/>
          <w:szCs w:val="21"/>
        </w:rPr>
        <w:t>7</w:t>
      </w:r>
      <w:r>
        <w:rPr>
          <w:rFonts w:hint="eastAsia" w:ascii="宋体" w:hAnsi="宋体"/>
          <w:szCs w:val="21"/>
        </w:rPr>
        <w:t>资格审查条件（主要机械设备和试验检测设备最低要求）</w:t>
      </w:r>
      <w:r>
        <w:rPr>
          <w:rFonts w:ascii="宋体" w:hAnsi="宋体"/>
          <w:szCs w:val="21"/>
        </w:rPr>
        <w:t>要求的内容</w:t>
      </w:r>
      <w:r>
        <w:rPr>
          <w:rFonts w:hint="eastAsia" w:ascii="宋体" w:hAnsi="宋体"/>
          <w:szCs w:val="21"/>
        </w:rPr>
        <w:t>并提供相应的证明材料（如要求）</w:t>
      </w:r>
      <w:r>
        <w:rPr>
          <w:rFonts w:ascii="宋体" w:hAnsi="宋体"/>
          <w:szCs w:val="21"/>
        </w:rPr>
        <w:t>。</w:t>
      </w:r>
    </w:p>
    <w:p w14:paraId="189DCD4A">
      <w:pPr>
        <w:rPr>
          <w:rFonts w:ascii="宋体" w:hAnsi="宋体"/>
          <w:b/>
          <w:sz w:val="30"/>
          <w:szCs w:val="30"/>
        </w:rPr>
      </w:pPr>
    </w:p>
    <w:p w14:paraId="21417D25">
      <w:pPr>
        <w:rPr>
          <w:rFonts w:ascii="宋体" w:hAnsi="宋体"/>
          <w:b/>
          <w:sz w:val="30"/>
          <w:szCs w:val="30"/>
        </w:rPr>
      </w:pPr>
    </w:p>
    <w:p w14:paraId="192C55EE">
      <w:pPr>
        <w:rPr>
          <w:rFonts w:ascii="宋体" w:hAnsi="宋体"/>
          <w:b/>
          <w:sz w:val="30"/>
          <w:szCs w:val="30"/>
        </w:rPr>
      </w:pPr>
    </w:p>
    <w:p w14:paraId="47A09A3A">
      <w:pPr>
        <w:rPr>
          <w:rFonts w:ascii="宋体" w:hAnsi="宋体"/>
          <w:b/>
          <w:sz w:val="30"/>
          <w:szCs w:val="30"/>
        </w:rPr>
      </w:pPr>
    </w:p>
    <w:p w14:paraId="1EDD68F8">
      <w:pPr>
        <w:rPr>
          <w:rFonts w:ascii="宋体" w:hAnsi="宋体"/>
          <w:b/>
          <w:sz w:val="30"/>
          <w:szCs w:val="30"/>
        </w:rPr>
      </w:pPr>
    </w:p>
    <w:p w14:paraId="208DAEF8">
      <w:pPr>
        <w:rPr>
          <w:rFonts w:ascii="宋体" w:hAnsi="宋体"/>
          <w:b/>
          <w:sz w:val="30"/>
          <w:szCs w:val="30"/>
        </w:rPr>
      </w:pPr>
    </w:p>
    <w:p w14:paraId="723C9A65">
      <w:pPr>
        <w:rPr>
          <w:rFonts w:ascii="宋体" w:hAnsi="宋体"/>
          <w:b/>
          <w:sz w:val="30"/>
          <w:szCs w:val="30"/>
        </w:rPr>
      </w:pPr>
    </w:p>
    <w:p w14:paraId="134F6EDA">
      <w:pPr>
        <w:rPr>
          <w:rFonts w:ascii="宋体" w:hAnsi="宋体"/>
          <w:b/>
          <w:sz w:val="30"/>
          <w:szCs w:val="30"/>
        </w:rPr>
      </w:pPr>
    </w:p>
    <w:p w14:paraId="788E39C9">
      <w:pPr>
        <w:rPr>
          <w:rFonts w:ascii="宋体" w:hAnsi="宋体"/>
          <w:b/>
          <w:sz w:val="30"/>
          <w:szCs w:val="30"/>
        </w:rPr>
      </w:pPr>
    </w:p>
    <w:p w14:paraId="0B47C32D">
      <w:pPr>
        <w:rPr>
          <w:rFonts w:ascii="宋体" w:hAnsi="宋体"/>
          <w:b/>
          <w:sz w:val="30"/>
          <w:szCs w:val="30"/>
        </w:rPr>
      </w:pPr>
    </w:p>
    <w:p w14:paraId="4BD574D5">
      <w:pPr>
        <w:rPr>
          <w:rFonts w:ascii="宋体" w:hAnsi="宋体"/>
          <w:b/>
          <w:sz w:val="30"/>
          <w:szCs w:val="30"/>
        </w:rPr>
      </w:pPr>
    </w:p>
    <w:p w14:paraId="4615A7CE">
      <w:pPr>
        <w:rPr>
          <w:rFonts w:ascii="宋体" w:hAnsi="宋体"/>
          <w:b/>
          <w:sz w:val="30"/>
          <w:szCs w:val="30"/>
        </w:rPr>
      </w:pPr>
    </w:p>
    <w:p w14:paraId="40781615">
      <w:pPr>
        <w:rPr>
          <w:rFonts w:ascii="宋体" w:hAnsi="宋体"/>
          <w:b/>
          <w:sz w:val="30"/>
          <w:szCs w:val="30"/>
        </w:rPr>
      </w:pPr>
    </w:p>
    <w:p w14:paraId="288F5BC1">
      <w:pPr>
        <w:rPr>
          <w:rFonts w:ascii="宋体" w:hAnsi="宋体"/>
          <w:b/>
          <w:sz w:val="30"/>
          <w:szCs w:val="30"/>
        </w:rPr>
      </w:pPr>
    </w:p>
    <w:p w14:paraId="45BFFA39">
      <w:pPr>
        <w:jc w:val="center"/>
        <w:rPr>
          <w:rFonts w:ascii="黑体" w:hAnsi="黑体" w:eastAsia="黑体"/>
          <w:sz w:val="30"/>
          <w:szCs w:val="30"/>
        </w:rPr>
      </w:pPr>
      <w:r>
        <w:rPr>
          <w:rFonts w:hint="eastAsia" w:ascii="黑体" w:hAnsi="黑体" w:eastAsia="黑体" w:cs="黑体"/>
          <w:b/>
          <w:sz w:val="28"/>
          <w:szCs w:val="28"/>
        </w:rPr>
        <w:t>□</w:t>
      </w:r>
      <w:r>
        <w:rPr>
          <w:rFonts w:hint="eastAsia" w:ascii="黑体" w:hAnsi="黑体" w:eastAsia="黑体" w:cs="黑体"/>
          <w:sz w:val="28"/>
          <w:szCs w:val="28"/>
        </w:rPr>
        <w:t>（九）拟配备本标段的</w:t>
      </w:r>
      <w:r>
        <w:rPr>
          <w:rFonts w:ascii="黑体" w:hAnsi="黑体" w:eastAsia="黑体" w:cs="黑体"/>
          <w:sz w:val="28"/>
          <w:szCs w:val="28"/>
        </w:rPr>
        <w:t>主要</w:t>
      </w:r>
      <w:r>
        <w:rPr>
          <w:rFonts w:hint="eastAsia" w:ascii="黑体" w:hAnsi="黑体" w:eastAsia="黑体" w:cs="黑体"/>
          <w:sz w:val="28"/>
          <w:szCs w:val="28"/>
        </w:rPr>
        <w:t>材料试验、</w:t>
      </w:r>
      <w:r>
        <w:rPr>
          <w:rFonts w:ascii="黑体" w:hAnsi="黑体" w:eastAsia="黑体" w:cs="黑体"/>
          <w:sz w:val="28"/>
          <w:szCs w:val="28"/>
        </w:rPr>
        <w:t>测量、</w:t>
      </w:r>
      <w:r>
        <w:rPr>
          <w:rFonts w:hint="eastAsia" w:ascii="黑体" w:hAnsi="黑体" w:eastAsia="黑体" w:cs="黑体"/>
          <w:sz w:val="28"/>
          <w:szCs w:val="28"/>
        </w:rPr>
        <w:t>质检</w:t>
      </w:r>
      <w:r>
        <w:rPr>
          <w:rFonts w:ascii="黑体" w:hAnsi="黑体" w:eastAsia="黑体" w:cs="黑体"/>
          <w:sz w:val="28"/>
          <w:szCs w:val="28"/>
        </w:rPr>
        <w:t>仪器设备</w:t>
      </w:r>
      <w:r>
        <w:rPr>
          <w:rFonts w:hint="eastAsia" w:ascii="黑体" w:hAnsi="黑体" w:eastAsia="黑体" w:cs="黑体"/>
          <w:sz w:val="28"/>
          <w:szCs w:val="28"/>
        </w:rPr>
        <w:t>表</w:t>
      </w:r>
    </w:p>
    <w:p w14:paraId="21AF96C1">
      <w:pPr>
        <w:rPr>
          <w:rFonts w:ascii="宋体" w:hAnsi="宋体"/>
          <w:b/>
          <w:sz w:val="30"/>
          <w:szCs w:val="30"/>
        </w:rPr>
      </w:pPr>
    </w:p>
    <w:tbl>
      <w:tblPr>
        <w:tblStyle w:val="4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645"/>
        <w:gridCol w:w="1247"/>
        <w:gridCol w:w="2138"/>
      </w:tblGrid>
      <w:tr w14:paraId="6795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5D30827">
            <w:pPr>
              <w:spacing w:line="40" w:lineRule="atLeast"/>
              <w:jc w:val="center"/>
              <w:rPr>
                <w:rFonts w:ascii="宋体" w:hAnsi="宋体"/>
                <w:szCs w:val="21"/>
              </w:rPr>
            </w:pPr>
            <w:r>
              <w:rPr>
                <w:rFonts w:hint="eastAsia" w:ascii="宋体" w:hAnsi="宋体"/>
                <w:szCs w:val="21"/>
              </w:rPr>
              <w:t>序号</w:t>
            </w:r>
          </w:p>
        </w:tc>
        <w:tc>
          <w:tcPr>
            <w:tcW w:w="4645" w:type="dxa"/>
            <w:vAlign w:val="center"/>
          </w:tcPr>
          <w:p w14:paraId="0E7724B5">
            <w:pPr>
              <w:spacing w:line="40" w:lineRule="atLeast"/>
              <w:jc w:val="center"/>
              <w:rPr>
                <w:rFonts w:ascii="宋体" w:hAnsi="宋体"/>
                <w:szCs w:val="21"/>
              </w:rPr>
            </w:pPr>
            <w:r>
              <w:rPr>
                <w:rFonts w:hint="eastAsia" w:ascii="宋体" w:hAnsi="宋体"/>
                <w:szCs w:val="21"/>
              </w:rPr>
              <w:t>仪器设备名称及规格</w:t>
            </w:r>
          </w:p>
        </w:tc>
        <w:tc>
          <w:tcPr>
            <w:tcW w:w="1247" w:type="dxa"/>
            <w:vAlign w:val="center"/>
          </w:tcPr>
          <w:p w14:paraId="2E4326C6">
            <w:pPr>
              <w:spacing w:line="40" w:lineRule="atLeast"/>
              <w:jc w:val="center"/>
              <w:rPr>
                <w:rFonts w:ascii="宋体" w:hAnsi="宋体"/>
                <w:szCs w:val="21"/>
              </w:rPr>
            </w:pPr>
            <w:r>
              <w:rPr>
                <w:rFonts w:hint="eastAsia" w:ascii="宋体" w:hAnsi="宋体"/>
                <w:szCs w:val="21"/>
              </w:rPr>
              <w:t>单位</w:t>
            </w:r>
          </w:p>
        </w:tc>
        <w:tc>
          <w:tcPr>
            <w:tcW w:w="2138" w:type="dxa"/>
            <w:vAlign w:val="center"/>
          </w:tcPr>
          <w:p w14:paraId="58ACF5C6">
            <w:pPr>
              <w:widowControl/>
              <w:spacing w:line="40" w:lineRule="atLeast"/>
              <w:jc w:val="center"/>
              <w:rPr>
                <w:rFonts w:ascii="宋体" w:hAnsi="宋体"/>
                <w:szCs w:val="21"/>
              </w:rPr>
            </w:pPr>
            <w:r>
              <w:rPr>
                <w:rFonts w:hint="eastAsia" w:ascii="宋体" w:hAnsi="宋体"/>
                <w:szCs w:val="21"/>
              </w:rPr>
              <w:t>数量</w:t>
            </w:r>
          </w:p>
        </w:tc>
      </w:tr>
      <w:tr w14:paraId="1A11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E250160">
            <w:pPr>
              <w:spacing w:line="40" w:lineRule="atLeast"/>
              <w:jc w:val="center"/>
              <w:rPr>
                <w:rFonts w:ascii="宋体" w:hAnsi="宋体"/>
                <w:szCs w:val="21"/>
              </w:rPr>
            </w:pPr>
          </w:p>
        </w:tc>
        <w:tc>
          <w:tcPr>
            <w:tcW w:w="4645" w:type="dxa"/>
            <w:vAlign w:val="center"/>
          </w:tcPr>
          <w:p w14:paraId="211FAD1E">
            <w:pPr>
              <w:widowControl/>
              <w:rPr>
                <w:rFonts w:ascii="宋体" w:hAnsi="宋体"/>
                <w:szCs w:val="21"/>
              </w:rPr>
            </w:pPr>
          </w:p>
        </w:tc>
        <w:tc>
          <w:tcPr>
            <w:tcW w:w="1247" w:type="dxa"/>
            <w:vAlign w:val="center"/>
          </w:tcPr>
          <w:p w14:paraId="092E40E9">
            <w:pPr>
              <w:widowControl/>
              <w:jc w:val="center"/>
              <w:rPr>
                <w:rFonts w:ascii="宋体" w:hAnsi="宋体" w:cs="宋体"/>
                <w:kern w:val="0"/>
                <w:szCs w:val="21"/>
              </w:rPr>
            </w:pPr>
          </w:p>
        </w:tc>
        <w:tc>
          <w:tcPr>
            <w:tcW w:w="2138" w:type="dxa"/>
            <w:vAlign w:val="center"/>
          </w:tcPr>
          <w:p w14:paraId="0580269B">
            <w:pPr>
              <w:jc w:val="center"/>
              <w:rPr>
                <w:rFonts w:ascii="宋体" w:hAnsi="宋体" w:cs="宋体"/>
                <w:kern w:val="0"/>
                <w:szCs w:val="21"/>
              </w:rPr>
            </w:pPr>
          </w:p>
        </w:tc>
      </w:tr>
      <w:tr w14:paraId="6219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04A7346">
            <w:pPr>
              <w:spacing w:line="40" w:lineRule="atLeast"/>
              <w:jc w:val="center"/>
              <w:rPr>
                <w:rFonts w:ascii="宋体" w:hAnsi="宋体"/>
                <w:szCs w:val="21"/>
              </w:rPr>
            </w:pPr>
          </w:p>
        </w:tc>
        <w:tc>
          <w:tcPr>
            <w:tcW w:w="4645" w:type="dxa"/>
            <w:vAlign w:val="center"/>
          </w:tcPr>
          <w:p w14:paraId="69C4492F">
            <w:pPr>
              <w:widowControl/>
              <w:rPr>
                <w:rFonts w:ascii="宋体" w:hAnsi="宋体"/>
                <w:szCs w:val="21"/>
              </w:rPr>
            </w:pPr>
          </w:p>
        </w:tc>
        <w:tc>
          <w:tcPr>
            <w:tcW w:w="1247" w:type="dxa"/>
            <w:vAlign w:val="center"/>
          </w:tcPr>
          <w:p w14:paraId="7DBF92AB">
            <w:pPr>
              <w:widowControl/>
              <w:jc w:val="center"/>
              <w:rPr>
                <w:rFonts w:ascii="宋体" w:hAnsi="宋体" w:cs="宋体"/>
                <w:kern w:val="0"/>
                <w:szCs w:val="21"/>
              </w:rPr>
            </w:pPr>
          </w:p>
        </w:tc>
        <w:tc>
          <w:tcPr>
            <w:tcW w:w="2138" w:type="dxa"/>
            <w:vAlign w:val="center"/>
          </w:tcPr>
          <w:p w14:paraId="135D705E">
            <w:pPr>
              <w:jc w:val="center"/>
              <w:rPr>
                <w:rFonts w:ascii="宋体" w:hAnsi="宋体" w:cs="宋体"/>
                <w:kern w:val="0"/>
                <w:szCs w:val="21"/>
              </w:rPr>
            </w:pPr>
          </w:p>
        </w:tc>
      </w:tr>
      <w:tr w14:paraId="11EB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15CA3C10">
            <w:pPr>
              <w:spacing w:line="40" w:lineRule="atLeast"/>
              <w:jc w:val="center"/>
              <w:rPr>
                <w:rFonts w:ascii="宋体" w:hAnsi="宋体"/>
                <w:szCs w:val="21"/>
              </w:rPr>
            </w:pPr>
          </w:p>
        </w:tc>
        <w:tc>
          <w:tcPr>
            <w:tcW w:w="4645" w:type="dxa"/>
            <w:vAlign w:val="center"/>
          </w:tcPr>
          <w:p w14:paraId="1E806881">
            <w:pPr>
              <w:widowControl/>
              <w:rPr>
                <w:rFonts w:ascii="宋体" w:hAnsi="宋体" w:cs="宋体"/>
                <w:kern w:val="0"/>
                <w:szCs w:val="21"/>
              </w:rPr>
            </w:pPr>
          </w:p>
        </w:tc>
        <w:tc>
          <w:tcPr>
            <w:tcW w:w="1247" w:type="dxa"/>
            <w:vAlign w:val="center"/>
          </w:tcPr>
          <w:p w14:paraId="1C3214B7">
            <w:pPr>
              <w:widowControl/>
              <w:jc w:val="center"/>
              <w:rPr>
                <w:rFonts w:ascii="宋体" w:hAnsi="宋体" w:cs="宋体"/>
                <w:kern w:val="0"/>
                <w:szCs w:val="21"/>
              </w:rPr>
            </w:pPr>
          </w:p>
        </w:tc>
        <w:tc>
          <w:tcPr>
            <w:tcW w:w="2138" w:type="dxa"/>
            <w:vAlign w:val="center"/>
          </w:tcPr>
          <w:p w14:paraId="41C5ECB4">
            <w:pPr>
              <w:jc w:val="center"/>
              <w:rPr>
                <w:rFonts w:ascii="宋体" w:hAnsi="宋体" w:cs="宋体"/>
                <w:kern w:val="0"/>
                <w:szCs w:val="21"/>
              </w:rPr>
            </w:pPr>
          </w:p>
        </w:tc>
      </w:tr>
      <w:tr w14:paraId="0458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3345677">
            <w:pPr>
              <w:spacing w:line="40" w:lineRule="atLeast"/>
              <w:jc w:val="center"/>
              <w:rPr>
                <w:rFonts w:ascii="宋体" w:hAnsi="宋体"/>
                <w:szCs w:val="21"/>
              </w:rPr>
            </w:pPr>
          </w:p>
        </w:tc>
        <w:tc>
          <w:tcPr>
            <w:tcW w:w="4645" w:type="dxa"/>
            <w:vAlign w:val="center"/>
          </w:tcPr>
          <w:p w14:paraId="6220E2E0">
            <w:pPr>
              <w:widowControl/>
              <w:rPr>
                <w:rFonts w:ascii="宋体" w:hAnsi="宋体" w:cs="宋体"/>
                <w:kern w:val="0"/>
                <w:szCs w:val="21"/>
              </w:rPr>
            </w:pPr>
          </w:p>
        </w:tc>
        <w:tc>
          <w:tcPr>
            <w:tcW w:w="1247" w:type="dxa"/>
            <w:vAlign w:val="center"/>
          </w:tcPr>
          <w:p w14:paraId="0391D1E2">
            <w:pPr>
              <w:widowControl/>
              <w:jc w:val="center"/>
              <w:rPr>
                <w:rFonts w:ascii="宋体" w:hAnsi="宋体"/>
                <w:kern w:val="0"/>
                <w:szCs w:val="21"/>
              </w:rPr>
            </w:pPr>
          </w:p>
        </w:tc>
        <w:tc>
          <w:tcPr>
            <w:tcW w:w="2138" w:type="dxa"/>
            <w:vAlign w:val="center"/>
          </w:tcPr>
          <w:p w14:paraId="48958F4A">
            <w:pPr>
              <w:jc w:val="center"/>
              <w:rPr>
                <w:rFonts w:ascii="宋体" w:hAnsi="宋体" w:cs="宋体"/>
                <w:kern w:val="0"/>
                <w:szCs w:val="21"/>
              </w:rPr>
            </w:pPr>
          </w:p>
        </w:tc>
      </w:tr>
      <w:tr w14:paraId="66E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60D4C142">
            <w:pPr>
              <w:spacing w:line="40" w:lineRule="atLeast"/>
              <w:jc w:val="center"/>
              <w:rPr>
                <w:rFonts w:ascii="宋体" w:hAnsi="宋体"/>
                <w:szCs w:val="21"/>
              </w:rPr>
            </w:pPr>
          </w:p>
        </w:tc>
        <w:tc>
          <w:tcPr>
            <w:tcW w:w="4645" w:type="dxa"/>
            <w:vAlign w:val="center"/>
          </w:tcPr>
          <w:p w14:paraId="325179D0">
            <w:pPr>
              <w:widowControl/>
              <w:rPr>
                <w:rFonts w:ascii="宋体" w:hAnsi="宋体" w:cs="宋体"/>
                <w:kern w:val="0"/>
                <w:szCs w:val="21"/>
              </w:rPr>
            </w:pPr>
          </w:p>
        </w:tc>
        <w:tc>
          <w:tcPr>
            <w:tcW w:w="1247" w:type="dxa"/>
            <w:vAlign w:val="center"/>
          </w:tcPr>
          <w:p w14:paraId="5E67968B">
            <w:pPr>
              <w:widowControl/>
              <w:jc w:val="center"/>
              <w:rPr>
                <w:rFonts w:ascii="宋体" w:hAnsi="宋体"/>
                <w:kern w:val="0"/>
                <w:szCs w:val="21"/>
              </w:rPr>
            </w:pPr>
          </w:p>
        </w:tc>
        <w:tc>
          <w:tcPr>
            <w:tcW w:w="2138" w:type="dxa"/>
            <w:vAlign w:val="center"/>
          </w:tcPr>
          <w:p w14:paraId="4EF9D791">
            <w:pPr>
              <w:jc w:val="center"/>
              <w:rPr>
                <w:rFonts w:ascii="宋体" w:hAnsi="宋体" w:cs="宋体"/>
                <w:kern w:val="0"/>
                <w:szCs w:val="21"/>
              </w:rPr>
            </w:pPr>
          </w:p>
        </w:tc>
      </w:tr>
      <w:tr w14:paraId="6054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E4DE5ED">
            <w:pPr>
              <w:spacing w:line="40" w:lineRule="atLeast"/>
              <w:jc w:val="center"/>
              <w:rPr>
                <w:rFonts w:ascii="宋体" w:hAnsi="宋体"/>
                <w:szCs w:val="21"/>
              </w:rPr>
            </w:pPr>
          </w:p>
        </w:tc>
        <w:tc>
          <w:tcPr>
            <w:tcW w:w="4645" w:type="dxa"/>
            <w:vAlign w:val="center"/>
          </w:tcPr>
          <w:p w14:paraId="6625A7D7">
            <w:pPr>
              <w:widowControl/>
              <w:rPr>
                <w:rFonts w:ascii="宋体" w:hAnsi="宋体" w:cs="宋体"/>
                <w:kern w:val="0"/>
                <w:szCs w:val="21"/>
              </w:rPr>
            </w:pPr>
          </w:p>
        </w:tc>
        <w:tc>
          <w:tcPr>
            <w:tcW w:w="1247" w:type="dxa"/>
            <w:vAlign w:val="center"/>
          </w:tcPr>
          <w:p w14:paraId="5F06B9D7">
            <w:pPr>
              <w:widowControl/>
              <w:jc w:val="center"/>
              <w:rPr>
                <w:rFonts w:ascii="宋体" w:hAnsi="宋体" w:cs="宋体"/>
                <w:kern w:val="0"/>
                <w:szCs w:val="21"/>
              </w:rPr>
            </w:pPr>
          </w:p>
        </w:tc>
        <w:tc>
          <w:tcPr>
            <w:tcW w:w="2138" w:type="dxa"/>
            <w:vAlign w:val="center"/>
          </w:tcPr>
          <w:p w14:paraId="65C3ABD6">
            <w:pPr>
              <w:jc w:val="center"/>
              <w:rPr>
                <w:rFonts w:ascii="宋体" w:hAnsi="宋体" w:cs="宋体"/>
                <w:kern w:val="0"/>
                <w:szCs w:val="21"/>
              </w:rPr>
            </w:pPr>
          </w:p>
        </w:tc>
      </w:tr>
      <w:tr w14:paraId="7691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04ECFF1A">
            <w:pPr>
              <w:spacing w:line="40" w:lineRule="atLeast"/>
              <w:jc w:val="center"/>
              <w:rPr>
                <w:rFonts w:ascii="宋体" w:hAnsi="宋体"/>
                <w:szCs w:val="21"/>
              </w:rPr>
            </w:pPr>
          </w:p>
        </w:tc>
        <w:tc>
          <w:tcPr>
            <w:tcW w:w="4645" w:type="dxa"/>
            <w:vAlign w:val="center"/>
          </w:tcPr>
          <w:p w14:paraId="370F7873">
            <w:pPr>
              <w:widowControl/>
              <w:rPr>
                <w:rFonts w:ascii="宋体" w:hAnsi="宋体" w:cs="宋体"/>
                <w:kern w:val="0"/>
                <w:szCs w:val="21"/>
              </w:rPr>
            </w:pPr>
          </w:p>
        </w:tc>
        <w:tc>
          <w:tcPr>
            <w:tcW w:w="1247" w:type="dxa"/>
            <w:vAlign w:val="center"/>
          </w:tcPr>
          <w:p w14:paraId="4B849DD4">
            <w:pPr>
              <w:widowControl/>
              <w:jc w:val="center"/>
              <w:rPr>
                <w:rFonts w:ascii="宋体" w:hAnsi="宋体" w:cs="宋体"/>
                <w:kern w:val="0"/>
                <w:szCs w:val="21"/>
              </w:rPr>
            </w:pPr>
          </w:p>
        </w:tc>
        <w:tc>
          <w:tcPr>
            <w:tcW w:w="2138" w:type="dxa"/>
            <w:vAlign w:val="center"/>
          </w:tcPr>
          <w:p w14:paraId="68464F7D">
            <w:pPr>
              <w:jc w:val="center"/>
              <w:rPr>
                <w:rFonts w:ascii="宋体" w:hAnsi="宋体" w:cs="宋体"/>
                <w:kern w:val="0"/>
                <w:szCs w:val="21"/>
              </w:rPr>
            </w:pPr>
          </w:p>
        </w:tc>
      </w:tr>
      <w:tr w14:paraId="12BB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22486DE0">
            <w:pPr>
              <w:spacing w:line="40" w:lineRule="atLeast"/>
              <w:jc w:val="center"/>
              <w:rPr>
                <w:rFonts w:ascii="宋体" w:hAnsi="宋体"/>
                <w:szCs w:val="21"/>
              </w:rPr>
            </w:pPr>
          </w:p>
        </w:tc>
        <w:tc>
          <w:tcPr>
            <w:tcW w:w="4645" w:type="dxa"/>
            <w:vAlign w:val="center"/>
          </w:tcPr>
          <w:p w14:paraId="75CF015C">
            <w:pPr>
              <w:widowControl/>
              <w:rPr>
                <w:rFonts w:ascii="宋体" w:hAnsi="宋体" w:cs="宋体"/>
                <w:kern w:val="0"/>
                <w:szCs w:val="21"/>
              </w:rPr>
            </w:pPr>
          </w:p>
        </w:tc>
        <w:tc>
          <w:tcPr>
            <w:tcW w:w="1247" w:type="dxa"/>
            <w:vAlign w:val="center"/>
          </w:tcPr>
          <w:p w14:paraId="18FBB924">
            <w:pPr>
              <w:widowControl/>
              <w:jc w:val="center"/>
              <w:rPr>
                <w:rFonts w:ascii="宋体" w:hAnsi="宋体" w:cs="宋体"/>
                <w:kern w:val="0"/>
                <w:szCs w:val="21"/>
              </w:rPr>
            </w:pPr>
          </w:p>
        </w:tc>
        <w:tc>
          <w:tcPr>
            <w:tcW w:w="2138" w:type="dxa"/>
            <w:vAlign w:val="center"/>
          </w:tcPr>
          <w:p w14:paraId="49EAAAB3">
            <w:pPr>
              <w:jc w:val="center"/>
              <w:rPr>
                <w:rFonts w:ascii="宋体" w:hAnsi="宋体" w:cs="宋体"/>
                <w:kern w:val="0"/>
                <w:szCs w:val="21"/>
              </w:rPr>
            </w:pPr>
          </w:p>
        </w:tc>
      </w:tr>
      <w:tr w14:paraId="031D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F81CD84">
            <w:pPr>
              <w:spacing w:line="40" w:lineRule="atLeast"/>
              <w:jc w:val="center"/>
              <w:rPr>
                <w:rFonts w:ascii="宋体" w:hAnsi="宋体"/>
                <w:szCs w:val="21"/>
              </w:rPr>
            </w:pPr>
          </w:p>
        </w:tc>
        <w:tc>
          <w:tcPr>
            <w:tcW w:w="4645" w:type="dxa"/>
            <w:vAlign w:val="center"/>
          </w:tcPr>
          <w:p w14:paraId="59EB3857">
            <w:pPr>
              <w:widowControl/>
              <w:rPr>
                <w:rFonts w:ascii="宋体" w:hAnsi="宋体" w:cs="宋体"/>
                <w:kern w:val="0"/>
                <w:szCs w:val="21"/>
              </w:rPr>
            </w:pPr>
          </w:p>
        </w:tc>
        <w:tc>
          <w:tcPr>
            <w:tcW w:w="1247" w:type="dxa"/>
            <w:vAlign w:val="center"/>
          </w:tcPr>
          <w:p w14:paraId="55662BE8">
            <w:pPr>
              <w:widowControl/>
              <w:jc w:val="center"/>
              <w:rPr>
                <w:rFonts w:ascii="宋体" w:hAnsi="宋体" w:cs="宋体"/>
                <w:kern w:val="0"/>
                <w:szCs w:val="21"/>
              </w:rPr>
            </w:pPr>
          </w:p>
        </w:tc>
        <w:tc>
          <w:tcPr>
            <w:tcW w:w="2138" w:type="dxa"/>
            <w:vAlign w:val="center"/>
          </w:tcPr>
          <w:p w14:paraId="690707B1">
            <w:pPr>
              <w:jc w:val="center"/>
              <w:rPr>
                <w:rFonts w:ascii="宋体" w:hAnsi="宋体" w:cs="宋体"/>
                <w:kern w:val="0"/>
                <w:szCs w:val="21"/>
              </w:rPr>
            </w:pPr>
          </w:p>
        </w:tc>
      </w:tr>
      <w:tr w14:paraId="7CF1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2388B91">
            <w:pPr>
              <w:spacing w:line="40" w:lineRule="atLeast"/>
              <w:jc w:val="center"/>
              <w:rPr>
                <w:rFonts w:ascii="宋体" w:hAnsi="宋体"/>
                <w:szCs w:val="21"/>
              </w:rPr>
            </w:pPr>
          </w:p>
        </w:tc>
        <w:tc>
          <w:tcPr>
            <w:tcW w:w="4645" w:type="dxa"/>
            <w:vAlign w:val="center"/>
          </w:tcPr>
          <w:p w14:paraId="444CE954">
            <w:pPr>
              <w:widowControl/>
              <w:rPr>
                <w:rFonts w:ascii="宋体" w:hAnsi="宋体" w:cs="宋体"/>
                <w:kern w:val="0"/>
                <w:szCs w:val="21"/>
              </w:rPr>
            </w:pPr>
          </w:p>
        </w:tc>
        <w:tc>
          <w:tcPr>
            <w:tcW w:w="1247" w:type="dxa"/>
            <w:vAlign w:val="center"/>
          </w:tcPr>
          <w:p w14:paraId="29890F62">
            <w:pPr>
              <w:widowControl/>
              <w:jc w:val="center"/>
              <w:rPr>
                <w:rFonts w:ascii="宋体" w:hAnsi="宋体" w:cs="宋体"/>
                <w:kern w:val="0"/>
                <w:szCs w:val="21"/>
              </w:rPr>
            </w:pPr>
          </w:p>
        </w:tc>
        <w:tc>
          <w:tcPr>
            <w:tcW w:w="2138" w:type="dxa"/>
            <w:vAlign w:val="center"/>
          </w:tcPr>
          <w:p w14:paraId="3841BF1A">
            <w:pPr>
              <w:jc w:val="center"/>
              <w:rPr>
                <w:rFonts w:ascii="宋体" w:hAnsi="宋体" w:cs="宋体"/>
                <w:kern w:val="0"/>
                <w:szCs w:val="21"/>
              </w:rPr>
            </w:pPr>
          </w:p>
        </w:tc>
      </w:tr>
      <w:tr w14:paraId="70ED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496D814A">
            <w:pPr>
              <w:spacing w:line="40" w:lineRule="atLeast"/>
              <w:jc w:val="center"/>
              <w:rPr>
                <w:rFonts w:ascii="宋体" w:hAnsi="宋体"/>
                <w:szCs w:val="21"/>
              </w:rPr>
            </w:pPr>
          </w:p>
        </w:tc>
        <w:tc>
          <w:tcPr>
            <w:tcW w:w="4645" w:type="dxa"/>
            <w:vAlign w:val="center"/>
          </w:tcPr>
          <w:p w14:paraId="33A89127">
            <w:pPr>
              <w:widowControl/>
              <w:rPr>
                <w:rFonts w:ascii="宋体" w:hAnsi="宋体" w:cs="宋体"/>
                <w:kern w:val="0"/>
                <w:szCs w:val="21"/>
              </w:rPr>
            </w:pPr>
          </w:p>
        </w:tc>
        <w:tc>
          <w:tcPr>
            <w:tcW w:w="1247" w:type="dxa"/>
            <w:vAlign w:val="center"/>
          </w:tcPr>
          <w:p w14:paraId="794C404D">
            <w:pPr>
              <w:widowControl/>
              <w:jc w:val="center"/>
              <w:rPr>
                <w:rFonts w:ascii="宋体" w:hAnsi="宋体" w:cs="宋体"/>
                <w:kern w:val="0"/>
                <w:szCs w:val="21"/>
              </w:rPr>
            </w:pPr>
          </w:p>
        </w:tc>
        <w:tc>
          <w:tcPr>
            <w:tcW w:w="2138" w:type="dxa"/>
            <w:vAlign w:val="center"/>
          </w:tcPr>
          <w:p w14:paraId="6F29D1EA">
            <w:pPr>
              <w:jc w:val="center"/>
              <w:rPr>
                <w:rFonts w:ascii="宋体" w:hAnsi="宋体" w:cs="宋体"/>
                <w:kern w:val="0"/>
                <w:szCs w:val="21"/>
              </w:rPr>
            </w:pPr>
          </w:p>
        </w:tc>
      </w:tr>
      <w:tr w14:paraId="3C06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6" w:type="dxa"/>
            <w:vAlign w:val="center"/>
          </w:tcPr>
          <w:p w14:paraId="5D975D43">
            <w:pPr>
              <w:spacing w:line="40" w:lineRule="atLeast"/>
              <w:jc w:val="center"/>
              <w:rPr>
                <w:rFonts w:ascii="宋体" w:hAnsi="宋体"/>
                <w:szCs w:val="21"/>
              </w:rPr>
            </w:pPr>
          </w:p>
        </w:tc>
        <w:tc>
          <w:tcPr>
            <w:tcW w:w="4645" w:type="dxa"/>
            <w:vAlign w:val="center"/>
          </w:tcPr>
          <w:p w14:paraId="786B520C">
            <w:pPr>
              <w:widowControl/>
              <w:rPr>
                <w:rFonts w:ascii="宋体" w:hAnsi="宋体" w:cs="宋体"/>
                <w:kern w:val="0"/>
                <w:szCs w:val="21"/>
              </w:rPr>
            </w:pPr>
          </w:p>
        </w:tc>
        <w:tc>
          <w:tcPr>
            <w:tcW w:w="1247" w:type="dxa"/>
            <w:vAlign w:val="center"/>
          </w:tcPr>
          <w:p w14:paraId="730965E0">
            <w:pPr>
              <w:widowControl/>
              <w:jc w:val="center"/>
              <w:rPr>
                <w:rFonts w:ascii="宋体" w:hAnsi="宋体" w:cs="宋体"/>
                <w:kern w:val="0"/>
                <w:szCs w:val="21"/>
              </w:rPr>
            </w:pPr>
          </w:p>
        </w:tc>
        <w:tc>
          <w:tcPr>
            <w:tcW w:w="2138" w:type="dxa"/>
            <w:vAlign w:val="center"/>
          </w:tcPr>
          <w:p w14:paraId="586A935C">
            <w:pPr>
              <w:jc w:val="center"/>
              <w:rPr>
                <w:rFonts w:ascii="宋体" w:hAnsi="宋体" w:cs="宋体"/>
                <w:kern w:val="0"/>
                <w:szCs w:val="21"/>
              </w:rPr>
            </w:pPr>
          </w:p>
        </w:tc>
      </w:tr>
    </w:tbl>
    <w:p w14:paraId="32853BAF">
      <w:pPr>
        <w:rPr>
          <w:rFonts w:ascii="宋体" w:hAnsi="宋体"/>
          <w:b/>
          <w:sz w:val="30"/>
          <w:szCs w:val="30"/>
        </w:rPr>
      </w:pPr>
    </w:p>
    <w:p w14:paraId="1C8E61C3">
      <w:pPr>
        <w:spacing w:line="360" w:lineRule="auto"/>
        <w:rPr>
          <w:rFonts w:ascii="宋体" w:hAnsi="宋体"/>
          <w:b/>
          <w:szCs w:val="21"/>
        </w:rPr>
      </w:pPr>
      <w:r>
        <w:rPr>
          <w:rFonts w:hint="eastAsia" w:ascii="宋体" w:hAnsi="宋体"/>
          <w:szCs w:val="21"/>
        </w:rPr>
        <w:t>注</w:t>
      </w:r>
      <w:r>
        <w:rPr>
          <w:rFonts w:ascii="宋体" w:hAnsi="宋体"/>
          <w:szCs w:val="21"/>
        </w:rPr>
        <w:t>：招标人</w:t>
      </w:r>
      <w:r>
        <w:rPr>
          <w:rFonts w:hint="eastAsia" w:ascii="宋体" w:hAnsi="宋体"/>
          <w:szCs w:val="21"/>
        </w:rPr>
        <w:t>可</w:t>
      </w:r>
      <w:r>
        <w:rPr>
          <w:rFonts w:ascii="宋体" w:hAnsi="宋体"/>
          <w:szCs w:val="21"/>
        </w:rPr>
        <w:t>根据</w:t>
      </w:r>
      <w:r>
        <w:rPr>
          <w:rFonts w:hint="eastAsia" w:ascii="宋体" w:hAnsi="宋体"/>
          <w:szCs w:val="21"/>
        </w:rPr>
        <w:t>项目情况</w:t>
      </w:r>
      <w:r>
        <w:rPr>
          <w:rFonts w:ascii="宋体" w:hAnsi="宋体"/>
          <w:szCs w:val="21"/>
        </w:rPr>
        <w:t>自行设定表格形式，但应反映第二章</w:t>
      </w:r>
      <w:r>
        <w:rPr>
          <w:rFonts w:hint="eastAsia" w:ascii="宋体" w:hAnsi="宋体"/>
          <w:szCs w:val="21"/>
        </w:rPr>
        <w:t>“投标人须知”前附表附录</w:t>
      </w:r>
      <w:r>
        <w:rPr>
          <w:rFonts w:ascii="宋体" w:hAnsi="宋体"/>
          <w:szCs w:val="21"/>
        </w:rPr>
        <w:t>7</w:t>
      </w:r>
      <w:r>
        <w:rPr>
          <w:rFonts w:hint="eastAsia" w:ascii="宋体" w:hAnsi="宋体"/>
          <w:szCs w:val="21"/>
        </w:rPr>
        <w:t>资格审查条件（主要机械设备和试验检测设备最低要求）</w:t>
      </w:r>
      <w:r>
        <w:rPr>
          <w:rFonts w:ascii="宋体" w:hAnsi="宋体"/>
          <w:szCs w:val="21"/>
        </w:rPr>
        <w:t>要求的内容</w:t>
      </w:r>
      <w:r>
        <w:rPr>
          <w:rFonts w:hint="eastAsia" w:ascii="宋体" w:hAnsi="宋体"/>
          <w:szCs w:val="21"/>
        </w:rPr>
        <w:t>并提供相应的证明材料（如要求）</w:t>
      </w:r>
      <w:r>
        <w:rPr>
          <w:rFonts w:ascii="宋体" w:hAnsi="宋体"/>
          <w:szCs w:val="21"/>
        </w:rPr>
        <w:t>。</w:t>
      </w:r>
    </w:p>
    <w:p w14:paraId="664A740F">
      <w:pPr>
        <w:rPr>
          <w:rFonts w:ascii="宋体" w:hAnsi="宋体"/>
          <w:b/>
          <w:sz w:val="30"/>
          <w:szCs w:val="30"/>
        </w:rPr>
      </w:pPr>
    </w:p>
    <w:p w14:paraId="6E4FA587">
      <w:pPr>
        <w:rPr>
          <w:rFonts w:ascii="宋体" w:hAnsi="宋体"/>
          <w:b/>
          <w:sz w:val="30"/>
          <w:szCs w:val="30"/>
        </w:rPr>
      </w:pPr>
    </w:p>
    <w:p w14:paraId="59E2F391">
      <w:pPr>
        <w:numPr>
          <w:ilvl w:val="0"/>
          <w:numId w:val="12"/>
        </w:numPr>
        <w:jc w:val="center"/>
        <w:rPr>
          <w:rFonts w:ascii="黑体" w:hAnsi="黑体" w:eastAsia="黑体"/>
          <w:sz w:val="30"/>
          <w:szCs w:val="30"/>
        </w:rPr>
        <w:sectPr>
          <w:footerReference r:id="rId31" w:type="even"/>
          <w:footnotePr>
            <w:numFmt w:val="decimalEnclosedCircleChinese"/>
            <w:numRestart w:val="eachPage"/>
          </w:footnotePr>
          <w:pgSz w:w="11900" w:h="16838"/>
          <w:pgMar w:top="1418" w:right="1418" w:bottom="1418" w:left="1701" w:header="850" w:footer="992" w:gutter="0"/>
          <w:cols w:space="720" w:num="1"/>
          <w:docGrid w:linePitch="312" w:charSpace="0"/>
        </w:sectPr>
      </w:pPr>
    </w:p>
    <w:p w14:paraId="6A37C379">
      <w:pPr>
        <w:pStyle w:val="4"/>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□（十）拟用于本项目关键机电设备品牌及主要技术性能指标表</w:t>
      </w:r>
    </w:p>
    <w:tbl>
      <w:tblPr>
        <w:tblStyle w:val="50"/>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423"/>
        <w:gridCol w:w="1552"/>
        <w:gridCol w:w="1276"/>
        <w:gridCol w:w="1417"/>
        <w:gridCol w:w="1701"/>
        <w:gridCol w:w="851"/>
      </w:tblGrid>
      <w:tr w14:paraId="3026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restart"/>
            <w:vAlign w:val="center"/>
          </w:tcPr>
          <w:p w14:paraId="45255D78">
            <w:pPr>
              <w:pStyle w:val="26"/>
              <w:jc w:val="center"/>
              <w:rPr>
                <w:rFonts w:hAnsi="宋体"/>
              </w:rPr>
            </w:pPr>
            <w:r>
              <w:rPr>
                <w:rFonts w:hint="eastAsia" w:hAnsi="宋体"/>
              </w:rPr>
              <w:t>序号</w:t>
            </w:r>
          </w:p>
        </w:tc>
        <w:tc>
          <w:tcPr>
            <w:tcW w:w="1423" w:type="dxa"/>
            <w:vMerge w:val="restart"/>
            <w:vAlign w:val="center"/>
          </w:tcPr>
          <w:p w14:paraId="3BAE618E">
            <w:pPr>
              <w:pStyle w:val="26"/>
              <w:jc w:val="center"/>
              <w:rPr>
                <w:rFonts w:hAnsi="宋体"/>
              </w:rPr>
            </w:pPr>
            <w:r>
              <w:rPr>
                <w:rFonts w:hint="eastAsia" w:hAnsi="宋体"/>
              </w:rPr>
              <w:t>设备名称</w:t>
            </w:r>
          </w:p>
        </w:tc>
        <w:tc>
          <w:tcPr>
            <w:tcW w:w="1552" w:type="dxa"/>
            <w:vMerge w:val="restart"/>
            <w:vAlign w:val="center"/>
          </w:tcPr>
          <w:p w14:paraId="5E01C6FF">
            <w:pPr>
              <w:pStyle w:val="26"/>
              <w:jc w:val="center"/>
              <w:rPr>
                <w:rFonts w:hAnsi="宋体"/>
              </w:rPr>
            </w:pPr>
            <w:r>
              <w:rPr>
                <w:rFonts w:hint="eastAsia" w:hAnsi="宋体"/>
              </w:rPr>
              <w:t>招标人主要性能</w:t>
            </w:r>
            <w:r>
              <w:rPr>
                <w:rFonts w:hAnsi="宋体"/>
              </w:rPr>
              <w:t>指标要求</w:t>
            </w:r>
          </w:p>
        </w:tc>
        <w:tc>
          <w:tcPr>
            <w:tcW w:w="4394" w:type="dxa"/>
            <w:gridSpan w:val="3"/>
            <w:vAlign w:val="center"/>
          </w:tcPr>
          <w:p w14:paraId="7AC47059">
            <w:pPr>
              <w:pStyle w:val="26"/>
              <w:jc w:val="center"/>
              <w:rPr>
                <w:rFonts w:hAnsi="宋体"/>
              </w:rPr>
            </w:pPr>
            <w:r>
              <w:rPr>
                <w:rFonts w:hint="eastAsia" w:hAnsi="宋体" w:cs="宋体"/>
                <w:bCs/>
                <w:kern w:val="0"/>
              </w:rPr>
              <w:t>投标人拟提供的设备</w:t>
            </w:r>
          </w:p>
        </w:tc>
        <w:tc>
          <w:tcPr>
            <w:tcW w:w="851" w:type="dxa"/>
            <w:vMerge w:val="restart"/>
            <w:vAlign w:val="center"/>
          </w:tcPr>
          <w:p w14:paraId="21D95EB0">
            <w:pPr>
              <w:pStyle w:val="26"/>
              <w:jc w:val="center"/>
              <w:rPr>
                <w:rFonts w:hAnsi="宋体"/>
              </w:rPr>
            </w:pPr>
            <w:r>
              <w:rPr>
                <w:rFonts w:hint="eastAsia" w:hAnsi="宋体" w:cs="宋体"/>
                <w:bCs/>
                <w:kern w:val="0"/>
              </w:rPr>
              <w:t>品牌及型号</w:t>
            </w:r>
          </w:p>
        </w:tc>
      </w:tr>
      <w:tr w14:paraId="6EC3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93" w:type="dxa"/>
            <w:vMerge w:val="continue"/>
            <w:vAlign w:val="center"/>
          </w:tcPr>
          <w:p w14:paraId="6EE48BD9">
            <w:pPr>
              <w:pStyle w:val="26"/>
              <w:jc w:val="center"/>
              <w:rPr>
                <w:rFonts w:hAnsi="宋体"/>
              </w:rPr>
            </w:pPr>
          </w:p>
        </w:tc>
        <w:tc>
          <w:tcPr>
            <w:tcW w:w="1423" w:type="dxa"/>
            <w:vMerge w:val="continue"/>
            <w:vAlign w:val="center"/>
          </w:tcPr>
          <w:p w14:paraId="5622BDC2">
            <w:pPr>
              <w:pStyle w:val="26"/>
              <w:jc w:val="center"/>
              <w:rPr>
                <w:rFonts w:hAnsi="宋体"/>
              </w:rPr>
            </w:pPr>
          </w:p>
        </w:tc>
        <w:tc>
          <w:tcPr>
            <w:tcW w:w="1552" w:type="dxa"/>
            <w:vMerge w:val="continue"/>
            <w:vAlign w:val="center"/>
          </w:tcPr>
          <w:p w14:paraId="3DAC8028">
            <w:pPr>
              <w:pStyle w:val="26"/>
              <w:jc w:val="center"/>
              <w:rPr>
                <w:rFonts w:hAnsi="宋体"/>
              </w:rPr>
            </w:pPr>
          </w:p>
        </w:tc>
        <w:tc>
          <w:tcPr>
            <w:tcW w:w="1276" w:type="dxa"/>
            <w:tcBorders>
              <w:top w:val="nil"/>
              <w:left w:val="nil"/>
              <w:bottom w:val="single" w:color="auto" w:sz="4" w:space="0"/>
              <w:right w:val="single" w:color="auto" w:sz="4" w:space="0"/>
            </w:tcBorders>
            <w:vAlign w:val="center"/>
          </w:tcPr>
          <w:p w14:paraId="20B0C360">
            <w:pPr>
              <w:pStyle w:val="26"/>
              <w:jc w:val="center"/>
              <w:rPr>
                <w:rFonts w:hAnsi="宋体"/>
              </w:rPr>
            </w:pPr>
            <w:r>
              <w:rPr>
                <w:rFonts w:hint="eastAsia" w:hAnsi="宋体" w:cs="宋体"/>
                <w:bCs/>
                <w:kern w:val="0"/>
              </w:rPr>
              <w:t>主要技术性能指标响应情况</w:t>
            </w:r>
          </w:p>
        </w:tc>
        <w:tc>
          <w:tcPr>
            <w:tcW w:w="1417" w:type="dxa"/>
            <w:tcBorders>
              <w:top w:val="nil"/>
              <w:left w:val="nil"/>
              <w:bottom w:val="single" w:color="auto" w:sz="4" w:space="0"/>
              <w:right w:val="single" w:color="auto" w:sz="4" w:space="0"/>
            </w:tcBorders>
            <w:vAlign w:val="center"/>
          </w:tcPr>
          <w:p w14:paraId="3B262365">
            <w:pPr>
              <w:pStyle w:val="26"/>
              <w:jc w:val="center"/>
              <w:rPr>
                <w:rFonts w:hAnsi="宋体"/>
              </w:rPr>
            </w:pPr>
            <w:r>
              <w:rPr>
                <w:rFonts w:hint="eastAsia" w:hAnsi="宋体"/>
              </w:rPr>
              <w:t>本</w:t>
            </w:r>
            <w:r>
              <w:rPr>
                <w:rFonts w:hAnsi="宋体"/>
              </w:rPr>
              <w:t>设备的所有证明材料</w:t>
            </w:r>
            <w:r>
              <w:rPr>
                <w:rFonts w:hint="eastAsia" w:hAnsi="宋体"/>
              </w:rPr>
              <w:t>总</w:t>
            </w:r>
            <w:r>
              <w:rPr>
                <w:rFonts w:hAnsi="宋体"/>
              </w:rPr>
              <w:t>页数</w:t>
            </w:r>
          </w:p>
        </w:tc>
        <w:tc>
          <w:tcPr>
            <w:tcW w:w="1701" w:type="dxa"/>
            <w:tcBorders>
              <w:top w:val="nil"/>
              <w:left w:val="nil"/>
              <w:bottom w:val="single" w:color="auto" w:sz="4" w:space="0"/>
              <w:right w:val="single" w:color="auto" w:sz="4" w:space="0"/>
            </w:tcBorders>
            <w:vAlign w:val="center"/>
          </w:tcPr>
          <w:p w14:paraId="4EE51C6B">
            <w:pPr>
              <w:pStyle w:val="26"/>
              <w:jc w:val="center"/>
              <w:rPr>
                <w:rFonts w:hAnsi="宋体"/>
              </w:rPr>
            </w:pPr>
            <w:r>
              <w:rPr>
                <w:rFonts w:hAnsi="宋体"/>
              </w:rPr>
              <w:t>本设备技术性能指标的证明材料</w:t>
            </w:r>
            <w:r>
              <w:rPr>
                <w:rFonts w:hint="eastAsia" w:hAnsi="宋体"/>
              </w:rPr>
              <w:t>对应所在</w:t>
            </w:r>
            <w:r>
              <w:rPr>
                <w:rFonts w:hAnsi="宋体"/>
              </w:rPr>
              <w:t>页码</w:t>
            </w:r>
          </w:p>
        </w:tc>
        <w:tc>
          <w:tcPr>
            <w:tcW w:w="851" w:type="dxa"/>
            <w:vMerge w:val="continue"/>
            <w:vAlign w:val="center"/>
          </w:tcPr>
          <w:p w14:paraId="64F3D7A5">
            <w:pPr>
              <w:pStyle w:val="26"/>
              <w:jc w:val="center"/>
              <w:rPr>
                <w:rFonts w:hAnsi="宋体"/>
              </w:rPr>
            </w:pPr>
          </w:p>
        </w:tc>
      </w:tr>
      <w:tr w14:paraId="4DB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Align w:val="center"/>
          </w:tcPr>
          <w:p w14:paraId="1917EDD3">
            <w:pPr>
              <w:pStyle w:val="26"/>
              <w:jc w:val="center"/>
              <w:rPr>
                <w:rFonts w:hAnsi="宋体"/>
              </w:rPr>
            </w:pPr>
            <w:r>
              <w:rPr>
                <w:rFonts w:hAnsi="宋体"/>
              </w:rPr>
              <w:t>一</w:t>
            </w:r>
          </w:p>
        </w:tc>
        <w:tc>
          <w:tcPr>
            <w:tcW w:w="8220" w:type="dxa"/>
            <w:gridSpan w:val="6"/>
            <w:vAlign w:val="center"/>
          </w:tcPr>
          <w:p w14:paraId="3AD92493">
            <w:pPr>
              <w:pStyle w:val="26"/>
              <w:rPr>
                <w:rFonts w:hAnsi="宋体"/>
              </w:rPr>
            </w:pPr>
            <w:r>
              <w:rPr>
                <w:rFonts w:ascii="Arial" w:hAnsi="Arial" w:cs="Arial"/>
              </w:rPr>
              <w:t>××</w:t>
            </w:r>
            <w:r>
              <w:rPr>
                <w:rFonts w:hint="eastAsia" w:hAnsi="宋体"/>
              </w:rPr>
              <w:t>系统</w:t>
            </w:r>
          </w:p>
        </w:tc>
      </w:tr>
      <w:tr w14:paraId="794A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restart"/>
            <w:vAlign w:val="center"/>
          </w:tcPr>
          <w:p w14:paraId="5083B6FA">
            <w:pPr>
              <w:pStyle w:val="26"/>
              <w:jc w:val="center"/>
              <w:rPr>
                <w:rFonts w:hAnsi="宋体"/>
              </w:rPr>
            </w:pPr>
            <w:r>
              <w:rPr>
                <w:rFonts w:hAnsi="宋体"/>
              </w:rPr>
              <w:t>1</w:t>
            </w:r>
          </w:p>
        </w:tc>
        <w:tc>
          <w:tcPr>
            <w:tcW w:w="1423" w:type="dxa"/>
            <w:vMerge w:val="restart"/>
            <w:vAlign w:val="center"/>
          </w:tcPr>
          <w:p w14:paraId="6FA3B4D9">
            <w:pPr>
              <w:pStyle w:val="26"/>
              <w:jc w:val="center"/>
              <w:rPr>
                <w:rFonts w:hAnsi="宋体"/>
              </w:rPr>
            </w:pPr>
            <w:r>
              <w:rPr>
                <w:rFonts w:ascii="Arial" w:hAnsi="Arial" w:cs="Arial"/>
              </w:rPr>
              <w:t>××</w:t>
            </w:r>
            <w:r>
              <w:rPr>
                <w:rFonts w:hAnsi="宋体"/>
              </w:rPr>
              <w:t>设备</w:t>
            </w:r>
          </w:p>
        </w:tc>
        <w:tc>
          <w:tcPr>
            <w:tcW w:w="1552" w:type="dxa"/>
            <w:vAlign w:val="center"/>
          </w:tcPr>
          <w:p w14:paraId="6C1900C6">
            <w:pPr>
              <w:pStyle w:val="26"/>
              <w:jc w:val="left"/>
              <w:rPr>
                <w:rFonts w:hAnsi="宋体"/>
              </w:rPr>
            </w:pPr>
            <w:r>
              <w:rPr>
                <w:rFonts w:hint="eastAsia" w:hAnsi="宋体"/>
              </w:rPr>
              <w:t>（</w:t>
            </w:r>
            <w:r>
              <w:rPr>
                <w:rFonts w:hAnsi="宋体"/>
              </w:rPr>
              <w:t>1）</w:t>
            </w:r>
            <w:r>
              <w:rPr>
                <w:rFonts w:ascii="Arial" w:hAnsi="Arial" w:cs="Arial"/>
              </w:rPr>
              <w:t>××</w:t>
            </w:r>
            <w:r>
              <w:rPr>
                <w:rFonts w:hAnsi="宋体"/>
              </w:rPr>
              <w:t xml:space="preserve">指标   </w:t>
            </w:r>
          </w:p>
        </w:tc>
        <w:tc>
          <w:tcPr>
            <w:tcW w:w="1276" w:type="dxa"/>
            <w:vAlign w:val="center"/>
          </w:tcPr>
          <w:p w14:paraId="301410E0">
            <w:pPr>
              <w:pStyle w:val="26"/>
              <w:jc w:val="center"/>
              <w:rPr>
                <w:rFonts w:hAnsi="宋体"/>
              </w:rPr>
            </w:pPr>
          </w:p>
        </w:tc>
        <w:tc>
          <w:tcPr>
            <w:tcW w:w="1417" w:type="dxa"/>
            <w:vMerge w:val="restart"/>
            <w:vAlign w:val="center"/>
          </w:tcPr>
          <w:p w14:paraId="0AD0CFAA">
            <w:pPr>
              <w:pStyle w:val="26"/>
              <w:jc w:val="center"/>
              <w:rPr>
                <w:rFonts w:hAnsi="宋体"/>
              </w:rPr>
            </w:pPr>
          </w:p>
        </w:tc>
        <w:tc>
          <w:tcPr>
            <w:tcW w:w="1701" w:type="dxa"/>
            <w:vAlign w:val="center"/>
          </w:tcPr>
          <w:p w14:paraId="7C9F94AF">
            <w:pPr>
              <w:pStyle w:val="26"/>
              <w:jc w:val="center"/>
              <w:rPr>
                <w:rFonts w:hAnsi="宋体"/>
              </w:rPr>
            </w:pPr>
          </w:p>
        </w:tc>
        <w:tc>
          <w:tcPr>
            <w:tcW w:w="851" w:type="dxa"/>
            <w:vAlign w:val="center"/>
          </w:tcPr>
          <w:p w14:paraId="33102211">
            <w:pPr>
              <w:pStyle w:val="26"/>
              <w:jc w:val="center"/>
              <w:rPr>
                <w:rFonts w:hAnsi="宋体"/>
              </w:rPr>
            </w:pPr>
          </w:p>
        </w:tc>
      </w:tr>
      <w:tr w14:paraId="410C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32B0F372">
            <w:pPr>
              <w:pStyle w:val="26"/>
              <w:jc w:val="center"/>
              <w:rPr>
                <w:rFonts w:hAnsi="宋体"/>
              </w:rPr>
            </w:pPr>
          </w:p>
        </w:tc>
        <w:tc>
          <w:tcPr>
            <w:tcW w:w="1423" w:type="dxa"/>
            <w:vMerge w:val="continue"/>
            <w:vAlign w:val="center"/>
          </w:tcPr>
          <w:p w14:paraId="2D2CABF9">
            <w:pPr>
              <w:pStyle w:val="26"/>
              <w:jc w:val="center"/>
              <w:rPr>
                <w:rFonts w:hAnsi="宋体"/>
              </w:rPr>
            </w:pPr>
          </w:p>
        </w:tc>
        <w:tc>
          <w:tcPr>
            <w:tcW w:w="1552" w:type="dxa"/>
            <w:vAlign w:val="center"/>
          </w:tcPr>
          <w:p w14:paraId="4D30B218">
            <w:pPr>
              <w:pStyle w:val="26"/>
              <w:jc w:val="left"/>
              <w:rPr>
                <w:rFonts w:hAnsi="宋体"/>
              </w:rPr>
            </w:pPr>
            <w:r>
              <w:rPr>
                <w:rFonts w:hint="eastAsia" w:hAnsi="宋体"/>
              </w:rPr>
              <w:t>（</w:t>
            </w:r>
            <w:r>
              <w:rPr>
                <w:rFonts w:hAnsi="宋体"/>
              </w:rPr>
              <w:t>2）</w:t>
            </w:r>
          </w:p>
        </w:tc>
        <w:tc>
          <w:tcPr>
            <w:tcW w:w="1276" w:type="dxa"/>
            <w:vAlign w:val="center"/>
          </w:tcPr>
          <w:p w14:paraId="349DF9F0">
            <w:pPr>
              <w:pStyle w:val="26"/>
              <w:jc w:val="center"/>
              <w:rPr>
                <w:rFonts w:hAnsi="宋体"/>
              </w:rPr>
            </w:pPr>
          </w:p>
        </w:tc>
        <w:tc>
          <w:tcPr>
            <w:tcW w:w="1417" w:type="dxa"/>
            <w:vMerge w:val="continue"/>
            <w:vAlign w:val="center"/>
          </w:tcPr>
          <w:p w14:paraId="6D912921">
            <w:pPr>
              <w:pStyle w:val="26"/>
              <w:jc w:val="center"/>
              <w:rPr>
                <w:rFonts w:hAnsi="宋体"/>
              </w:rPr>
            </w:pPr>
          </w:p>
        </w:tc>
        <w:tc>
          <w:tcPr>
            <w:tcW w:w="1701" w:type="dxa"/>
            <w:vAlign w:val="center"/>
          </w:tcPr>
          <w:p w14:paraId="33A64380">
            <w:pPr>
              <w:pStyle w:val="26"/>
              <w:jc w:val="center"/>
              <w:rPr>
                <w:rFonts w:hAnsi="宋体"/>
              </w:rPr>
            </w:pPr>
          </w:p>
        </w:tc>
        <w:tc>
          <w:tcPr>
            <w:tcW w:w="851" w:type="dxa"/>
            <w:vAlign w:val="center"/>
          </w:tcPr>
          <w:p w14:paraId="3054C697">
            <w:pPr>
              <w:pStyle w:val="26"/>
              <w:jc w:val="center"/>
              <w:rPr>
                <w:rFonts w:hAnsi="宋体"/>
              </w:rPr>
            </w:pPr>
          </w:p>
        </w:tc>
      </w:tr>
      <w:tr w14:paraId="5A70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53E2F5C3">
            <w:pPr>
              <w:pStyle w:val="26"/>
              <w:jc w:val="center"/>
              <w:rPr>
                <w:rFonts w:hAnsi="宋体"/>
              </w:rPr>
            </w:pPr>
          </w:p>
        </w:tc>
        <w:tc>
          <w:tcPr>
            <w:tcW w:w="1423" w:type="dxa"/>
            <w:vMerge w:val="continue"/>
            <w:vAlign w:val="center"/>
          </w:tcPr>
          <w:p w14:paraId="0AE4DAEE">
            <w:pPr>
              <w:pStyle w:val="26"/>
              <w:jc w:val="center"/>
              <w:rPr>
                <w:rFonts w:hAnsi="宋体"/>
              </w:rPr>
            </w:pPr>
          </w:p>
        </w:tc>
        <w:tc>
          <w:tcPr>
            <w:tcW w:w="1552" w:type="dxa"/>
            <w:vAlign w:val="center"/>
          </w:tcPr>
          <w:p w14:paraId="506A60F8">
            <w:pPr>
              <w:pStyle w:val="26"/>
              <w:rPr>
                <w:rFonts w:hAnsi="宋体"/>
              </w:rPr>
            </w:pPr>
            <w:r>
              <w:rPr>
                <w:rFonts w:hint="eastAsia" w:hAnsi="宋体"/>
              </w:rPr>
              <w:t>…</w:t>
            </w:r>
          </w:p>
        </w:tc>
        <w:tc>
          <w:tcPr>
            <w:tcW w:w="1276" w:type="dxa"/>
            <w:vAlign w:val="center"/>
          </w:tcPr>
          <w:p w14:paraId="4EC95065">
            <w:pPr>
              <w:pStyle w:val="26"/>
              <w:jc w:val="center"/>
              <w:rPr>
                <w:rFonts w:hAnsi="宋体"/>
              </w:rPr>
            </w:pPr>
          </w:p>
        </w:tc>
        <w:tc>
          <w:tcPr>
            <w:tcW w:w="1417" w:type="dxa"/>
            <w:vMerge w:val="continue"/>
            <w:vAlign w:val="center"/>
          </w:tcPr>
          <w:p w14:paraId="5B0B2A56">
            <w:pPr>
              <w:pStyle w:val="26"/>
              <w:jc w:val="center"/>
              <w:rPr>
                <w:rFonts w:hAnsi="宋体"/>
              </w:rPr>
            </w:pPr>
          </w:p>
        </w:tc>
        <w:tc>
          <w:tcPr>
            <w:tcW w:w="1701" w:type="dxa"/>
            <w:vAlign w:val="center"/>
          </w:tcPr>
          <w:p w14:paraId="3ADC4ED9">
            <w:pPr>
              <w:pStyle w:val="26"/>
              <w:jc w:val="center"/>
              <w:rPr>
                <w:rFonts w:hAnsi="宋体"/>
              </w:rPr>
            </w:pPr>
          </w:p>
        </w:tc>
        <w:tc>
          <w:tcPr>
            <w:tcW w:w="851" w:type="dxa"/>
            <w:vAlign w:val="center"/>
          </w:tcPr>
          <w:p w14:paraId="34392991">
            <w:pPr>
              <w:pStyle w:val="26"/>
              <w:jc w:val="center"/>
              <w:rPr>
                <w:rFonts w:hAnsi="宋体"/>
              </w:rPr>
            </w:pPr>
          </w:p>
        </w:tc>
      </w:tr>
      <w:tr w14:paraId="5FAD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659561F1">
            <w:pPr>
              <w:pStyle w:val="26"/>
              <w:jc w:val="center"/>
              <w:rPr>
                <w:rFonts w:hAnsi="宋体"/>
              </w:rPr>
            </w:pPr>
          </w:p>
        </w:tc>
        <w:tc>
          <w:tcPr>
            <w:tcW w:w="1423" w:type="dxa"/>
            <w:vMerge w:val="continue"/>
            <w:vAlign w:val="center"/>
          </w:tcPr>
          <w:p w14:paraId="5EEA9434">
            <w:pPr>
              <w:pStyle w:val="26"/>
              <w:jc w:val="center"/>
              <w:rPr>
                <w:rFonts w:hAnsi="宋体"/>
              </w:rPr>
            </w:pPr>
          </w:p>
        </w:tc>
        <w:tc>
          <w:tcPr>
            <w:tcW w:w="1552" w:type="dxa"/>
            <w:vAlign w:val="center"/>
          </w:tcPr>
          <w:p w14:paraId="46D8DB2C">
            <w:pPr>
              <w:pStyle w:val="26"/>
              <w:rPr>
                <w:rFonts w:hAnsi="宋体"/>
              </w:rPr>
            </w:pPr>
            <w:r>
              <w:rPr>
                <w:rFonts w:hint="eastAsia" w:hAnsi="宋体"/>
              </w:rPr>
              <w:t>…</w:t>
            </w:r>
          </w:p>
        </w:tc>
        <w:tc>
          <w:tcPr>
            <w:tcW w:w="1276" w:type="dxa"/>
            <w:vAlign w:val="center"/>
          </w:tcPr>
          <w:p w14:paraId="5E031912">
            <w:pPr>
              <w:pStyle w:val="26"/>
              <w:jc w:val="center"/>
              <w:rPr>
                <w:rFonts w:hAnsi="宋体"/>
              </w:rPr>
            </w:pPr>
          </w:p>
        </w:tc>
        <w:tc>
          <w:tcPr>
            <w:tcW w:w="1417" w:type="dxa"/>
            <w:vMerge w:val="continue"/>
            <w:vAlign w:val="center"/>
          </w:tcPr>
          <w:p w14:paraId="092FE476">
            <w:pPr>
              <w:pStyle w:val="26"/>
              <w:jc w:val="center"/>
              <w:rPr>
                <w:rFonts w:hAnsi="宋体"/>
              </w:rPr>
            </w:pPr>
          </w:p>
        </w:tc>
        <w:tc>
          <w:tcPr>
            <w:tcW w:w="1701" w:type="dxa"/>
            <w:vAlign w:val="center"/>
          </w:tcPr>
          <w:p w14:paraId="47A12F57">
            <w:pPr>
              <w:pStyle w:val="26"/>
              <w:jc w:val="center"/>
              <w:rPr>
                <w:rFonts w:hAnsi="宋体"/>
              </w:rPr>
            </w:pPr>
          </w:p>
        </w:tc>
        <w:tc>
          <w:tcPr>
            <w:tcW w:w="851" w:type="dxa"/>
            <w:vAlign w:val="center"/>
          </w:tcPr>
          <w:p w14:paraId="560F8B27">
            <w:pPr>
              <w:pStyle w:val="26"/>
              <w:jc w:val="center"/>
              <w:rPr>
                <w:rFonts w:hAnsi="宋体"/>
              </w:rPr>
            </w:pPr>
          </w:p>
        </w:tc>
      </w:tr>
      <w:tr w14:paraId="693D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restart"/>
            <w:vAlign w:val="center"/>
          </w:tcPr>
          <w:p w14:paraId="6B379DF2">
            <w:pPr>
              <w:pStyle w:val="26"/>
              <w:jc w:val="center"/>
              <w:rPr>
                <w:rFonts w:hAnsi="宋体"/>
              </w:rPr>
            </w:pPr>
            <w:r>
              <w:rPr>
                <w:rFonts w:hAnsi="宋体"/>
              </w:rPr>
              <w:t>2</w:t>
            </w:r>
          </w:p>
        </w:tc>
        <w:tc>
          <w:tcPr>
            <w:tcW w:w="1423" w:type="dxa"/>
            <w:vMerge w:val="restart"/>
            <w:vAlign w:val="center"/>
          </w:tcPr>
          <w:p w14:paraId="76AF161C">
            <w:pPr>
              <w:pStyle w:val="26"/>
              <w:jc w:val="center"/>
              <w:rPr>
                <w:rFonts w:hAnsi="宋体"/>
              </w:rPr>
            </w:pPr>
            <w:r>
              <w:rPr>
                <w:rFonts w:ascii="Arial" w:hAnsi="Arial" w:cs="Arial"/>
              </w:rPr>
              <w:t>××</w:t>
            </w:r>
            <w:r>
              <w:rPr>
                <w:rFonts w:hAnsi="宋体"/>
              </w:rPr>
              <w:t>设备</w:t>
            </w:r>
          </w:p>
        </w:tc>
        <w:tc>
          <w:tcPr>
            <w:tcW w:w="1552" w:type="dxa"/>
            <w:vAlign w:val="center"/>
          </w:tcPr>
          <w:p w14:paraId="2D76DC77">
            <w:pPr>
              <w:pStyle w:val="26"/>
              <w:rPr>
                <w:rFonts w:hAnsi="宋体"/>
              </w:rPr>
            </w:pPr>
            <w:r>
              <w:rPr>
                <w:rFonts w:hint="eastAsia" w:hAnsi="宋体"/>
              </w:rPr>
              <w:t>（</w:t>
            </w:r>
            <w:r>
              <w:rPr>
                <w:rFonts w:hAnsi="宋体"/>
              </w:rPr>
              <w:t>1）</w:t>
            </w:r>
          </w:p>
        </w:tc>
        <w:tc>
          <w:tcPr>
            <w:tcW w:w="1276" w:type="dxa"/>
            <w:vAlign w:val="center"/>
          </w:tcPr>
          <w:p w14:paraId="41EDBAF4">
            <w:pPr>
              <w:pStyle w:val="26"/>
              <w:jc w:val="center"/>
              <w:rPr>
                <w:rFonts w:hAnsi="宋体"/>
              </w:rPr>
            </w:pPr>
          </w:p>
        </w:tc>
        <w:tc>
          <w:tcPr>
            <w:tcW w:w="1417" w:type="dxa"/>
            <w:vMerge w:val="restart"/>
            <w:vAlign w:val="center"/>
          </w:tcPr>
          <w:p w14:paraId="3173B44F">
            <w:pPr>
              <w:pStyle w:val="26"/>
              <w:jc w:val="center"/>
              <w:rPr>
                <w:rFonts w:hAnsi="宋体"/>
              </w:rPr>
            </w:pPr>
          </w:p>
        </w:tc>
        <w:tc>
          <w:tcPr>
            <w:tcW w:w="1701" w:type="dxa"/>
            <w:vAlign w:val="center"/>
          </w:tcPr>
          <w:p w14:paraId="73634115">
            <w:pPr>
              <w:pStyle w:val="26"/>
              <w:jc w:val="center"/>
              <w:rPr>
                <w:rFonts w:hAnsi="宋体"/>
              </w:rPr>
            </w:pPr>
          </w:p>
        </w:tc>
        <w:tc>
          <w:tcPr>
            <w:tcW w:w="851" w:type="dxa"/>
            <w:vAlign w:val="center"/>
          </w:tcPr>
          <w:p w14:paraId="0A6EC2A0">
            <w:pPr>
              <w:pStyle w:val="26"/>
              <w:jc w:val="center"/>
              <w:rPr>
                <w:rFonts w:hAnsi="宋体"/>
              </w:rPr>
            </w:pPr>
          </w:p>
        </w:tc>
      </w:tr>
      <w:tr w14:paraId="585E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34ECB30C">
            <w:pPr>
              <w:pStyle w:val="26"/>
              <w:jc w:val="center"/>
              <w:rPr>
                <w:rFonts w:hAnsi="宋体"/>
              </w:rPr>
            </w:pPr>
          </w:p>
        </w:tc>
        <w:tc>
          <w:tcPr>
            <w:tcW w:w="1423" w:type="dxa"/>
            <w:vMerge w:val="continue"/>
            <w:vAlign w:val="center"/>
          </w:tcPr>
          <w:p w14:paraId="16900DCE">
            <w:pPr>
              <w:pStyle w:val="26"/>
              <w:jc w:val="center"/>
              <w:rPr>
                <w:rFonts w:hAnsi="宋体"/>
              </w:rPr>
            </w:pPr>
          </w:p>
        </w:tc>
        <w:tc>
          <w:tcPr>
            <w:tcW w:w="1552" w:type="dxa"/>
            <w:vAlign w:val="center"/>
          </w:tcPr>
          <w:p w14:paraId="439BD710">
            <w:pPr>
              <w:pStyle w:val="26"/>
              <w:rPr>
                <w:rFonts w:hAnsi="宋体"/>
              </w:rPr>
            </w:pPr>
            <w:r>
              <w:rPr>
                <w:rFonts w:hint="eastAsia" w:hAnsi="宋体"/>
              </w:rPr>
              <w:t>（</w:t>
            </w:r>
            <w:r>
              <w:rPr>
                <w:rFonts w:hAnsi="宋体"/>
              </w:rPr>
              <w:t>2）</w:t>
            </w:r>
          </w:p>
        </w:tc>
        <w:tc>
          <w:tcPr>
            <w:tcW w:w="1276" w:type="dxa"/>
            <w:vAlign w:val="center"/>
          </w:tcPr>
          <w:p w14:paraId="450C6D6C">
            <w:pPr>
              <w:pStyle w:val="26"/>
              <w:jc w:val="center"/>
              <w:rPr>
                <w:rFonts w:hAnsi="宋体"/>
              </w:rPr>
            </w:pPr>
          </w:p>
        </w:tc>
        <w:tc>
          <w:tcPr>
            <w:tcW w:w="1417" w:type="dxa"/>
            <w:vMerge w:val="continue"/>
            <w:vAlign w:val="center"/>
          </w:tcPr>
          <w:p w14:paraId="13C0A8CF">
            <w:pPr>
              <w:pStyle w:val="26"/>
              <w:jc w:val="center"/>
              <w:rPr>
                <w:rFonts w:hAnsi="宋体"/>
              </w:rPr>
            </w:pPr>
          </w:p>
        </w:tc>
        <w:tc>
          <w:tcPr>
            <w:tcW w:w="1701" w:type="dxa"/>
            <w:vAlign w:val="center"/>
          </w:tcPr>
          <w:p w14:paraId="177B947D">
            <w:pPr>
              <w:pStyle w:val="26"/>
              <w:jc w:val="center"/>
              <w:rPr>
                <w:rFonts w:hAnsi="宋体"/>
              </w:rPr>
            </w:pPr>
          </w:p>
        </w:tc>
        <w:tc>
          <w:tcPr>
            <w:tcW w:w="851" w:type="dxa"/>
            <w:vAlign w:val="center"/>
          </w:tcPr>
          <w:p w14:paraId="4F3F87E2">
            <w:pPr>
              <w:pStyle w:val="26"/>
              <w:jc w:val="center"/>
              <w:rPr>
                <w:rFonts w:hAnsi="宋体"/>
              </w:rPr>
            </w:pPr>
          </w:p>
        </w:tc>
      </w:tr>
      <w:tr w14:paraId="3B8A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20F22BFD">
            <w:pPr>
              <w:pStyle w:val="26"/>
              <w:jc w:val="center"/>
              <w:rPr>
                <w:rFonts w:hAnsi="宋体"/>
              </w:rPr>
            </w:pPr>
          </w:p>
        </w:tc>
        <w:tc>
          <w:tcPr>
            <w:tcW w:w="1423" w:type="dxa"/>
            <w:vMerge w:val="continue"/>
            <w:vAlign w:val="center"/>
          </w:tcPr>
          <w:p w14:paraId="45B0A0E2">
            <w:pPr>
              <w:pStyle w:val="26"/>
              <w:jc w:val="center"/>
              <w:rPr>
                <w:rFonts w:hAnsi="宋体"/>
              </w:rPr>
            </w:pPr>
          </w:p>
        </w:tc>
        <w:tc>
          <w:tcPr>
            <w:tcW w:w="1552" w:type="dxa"/>
            <w:vAlign w:val="center"/>
          </w:tcPr>
          <w:p w14:paraId="7BBB6847">
            <w:pPr>
              <w:pStyle w:val="26"/>
              <w:rPr>
                <w:rFonts w:hAnsi="宋体"/>
              </w:rPr>
            </w:pPr>
            <w:r>
              <w:rPr>
                <w:rFonts w:hint="eastAsia" w:hAnsi="宋体"/>
              </w:rPr>
              <w:t>…</w:t>
            </w:r>
          </w:p>
        </w:tc>
        <w:tc>
          <w:tcPr>
            <w:tcW w:w="1276" w:type="dxa"/>
            <w:vAlign w:val="center"/>
          </w:tcPr>
          <w:p w14:paraId="06CB3EEC">
            <w:pPr>
              <w:pStyle w:val="26"/>
              <w:jc w:val="center"/>
              <w:rPr>
                <w:rFonts w:hAnsi="宋体"/>
              </w:rPr>
            </w:pPr>
          </w:p>
        </w:tc>
        <w:tc>
          <w:tcPr>
            <w:tcW w:w="1417" w:type="dxa"/>
            <w:vMerge w:val="continue"/>
            <w:vAlign w:val="center"/>
          </w:tcPr>
          <w:p w14:paraId="64AFAFEA">
            <w:pPr>
              <w:pStyle w:val="26"/>
              <w:jc w:val="center"/>
              <w:rPr>
                <w:rFonts w:hAnsi="宋体"/>
              </w:rPr>
            </w:pPr>
          </w:p>
        </w:tc>
        <w:tc>
          <w:tcPr>
            <w:tcW w:w="1701" w:type="dxa"/>
            <w:vAlign w:val="center"/>
          </w:tcPr>
          <w:p w14:paraId="387FF8C9">
            <w:pPr>
              <w:pStyle w:val="26"/>
              <w:jc w:val="center"/>
              <w:rPr>
                <w:rFonts w:hAnsi="宋体"/>
              </w:rPr>
            </w:pPr>
          </w:p>
        </w:tc>
        <w:tc>
          <w:tcPr>
            <w:tcW w:w="851" w:type="dxa"/>
            <w:vAlign w:val="center"/>
          </w:tcPr>
          <w:p w14:paraId="6B7A6B30">
            <w:pPr>
              <w:pStyle w:val="26"/>
              <w:jc w:val="center"/>
              <w:rPr>
                <w:rFonts w:hAnsi="宋体"/>
              </w:rPr>
            </w:pPr>
          </w:p>
        </w:tc>
      </w:tr>
      <w:tr w14:paraId="354F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02E914C1">
            <w:pPr>
              <w:pStyle w:val="26"/>
              <w:jc w:val="center"/>
              <w:rPr>
                <w:rFonts w:hAnsi="宋体"/>
              </w:rPr>
            </w:pPr>
          </w:p>
        </w:tc>
        <w:tc>
          <w:tcPr>
            <w:tcW w:w="1423" w:type="dxa"/>
            <w:vMerge w:val="continue"/>
            <w:vAlign w:val="center"/>
          </w:tcPr>
          <w:p w14:paraId="7FBD7DF2">
            <w:pPr>
              <w:pStyle w:val="26"/>
              <w:jc w:val="center"/>
              <w:rPr>
                <w:rFonts w:hAnsi="宋体"/>
              </w:rPr>
            </w:pPr>
          </w:p>
        </w:tc>
        <w:tc>
          <w:tcPr>
            <w:tcW w:w="1552" w:type="dxa"/>
            <w:vAlign w:val="center"/>
          </w:tcPr>
          <w:p w14:paraId="53814EB3">
            <w:pPr>
              <w:pStyle w:val="26"/>
              <w:rPr>
                <w:rFonts w:hAnsi="宋体"/>
              </w:rPr>
            </w:pPr>
            <w:r>
              <w:rPr>
                <w:rFonts w:hint="eastAsia" w:hAnsi="宋体"/>
              </w:rPr>
              <w:t>…</w:t>
            </w:r>
          </w:p>
        </w:tc>
        <w:tc>
          <w:tcPr>
            <w:tcW w:w="1276" w:type="dxa"/>
            <w:vAlign w:val="center"/>
          </w:tcPr>
          <w:p w14:paraId="1AF8CB69">
            <w:pPr>
              <w:pStyle w:val="26"/>
              <w:jc w:val="center"/>
              <w:rPr>
                <w:rFonts w:hAnsi="宋体"/>
              </w:rPr>
            </w:pPr>
          </w:p>
        </w:tc>
        <w:tc>
          <w:tcPr>
            <w:tcW w:w="1417" w:type="dxa"/>
            <w:vMerge w:val="continue"/>
            <w:vAlign w:val="center"/>
          </w:tcPr>
          <w:p w14:paraId="089ABD32">
            <w:pPr>
              <w:pStyle w:val="26"/>
              <w:jc w:val="center"/>
              <w:rPr>
                <w:rFonts w:hAnsi="宋体"/>
              </w:rPr>
            </w:pPr>
          </w:p>
        </w:tc>
        <w:tc>
          <w:tcPr>
            <w:tcW w:w="1701" w:type="dxa"/>
            <w:vAlign w:val="center"/>
          </w:tcPr>
          <w:p w14:paraId="72E6535E">
            <w:pPr>
              <w:pStyle w:val="26"/>
              <w:jc w:val="center"/>
              <w:rPr>
                <w:rFonts w:hAnsi="宋体"/>
              </w:rPr>
            </w:pPr>
          </w:p>
        </w:tc>
        <w:tc>
          <w:tcPr>
            <w:tcW w:w="851" w:type="dxa"/>
            <w:vAlign w:val="center"/>
          </w:tcPr>
          <w:p w14:paraId="59AD8899">
            <w:pPr>
              <w:pStyle w:val="26"/>
              <w:jc w:val="center"/>
              <w:rPr>
                <w:rFonts w:hAnsi="宋体"/>
              </w:rPr>
            </w:pPr>
          </w:p>
        </w:tc>
      </w:tr>
      <w:tr w14:paraId="08CB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Align w:val="center"/>
          </w:tcPr>
          <w:p w14:paraId="4AEBFFDD">
            <w:pPr>
              <w:pStyle w:val="26"/>
              <w:jc w:val="center"/>
              <w:rPr>
                <w:rFonts w:hAnsi="宋体"/>
              </w:rPr>
            </w:pPr>
            <w:r>
              <w:rPr>
                <w:rFonts w:hint="eastAsia" w:hAnsi="宋体"/>
              </w:rPr>
              <w:t>…</w:t>
            </w:r>
          </w:p>
        </w:tc>
        <w:tc>
          <w:tcPr>
            <w:tcW w:w="1423" w:type="dxa"/>
            <w:vAlign w:val="center"/>
          </w:tcPr>
          <w:p w14:paraId="102BFDFA">
            <w:pPr>
              <w:pStyle w:val="26"/>
              <w:jc w:val="center"/>
              <w:rPr>
                <w:rFonts w:hAnsi="宋体"/>
              </w:rPr>
            </w:pPr>
          </w:p>
        </w:tc>
        <w:tc>
          <w:tcPr>
            <w:tcW w:w="1552" w:type="dxa"/>
            <w:vAlign w:val="center"/>
          </w:tcPr>
          <w:p w14:paraId="79D7A39E">
            <w:pPr>
              <w:pStyle w:val="26"/>
              <w:jc w:val="center"/>
              <w:rPr>
                <w:rFonts w:hAnsi="宋体"/>
              </w:rPr>
            </w:pPr>
          </w:p>
        </w:tc>
        <w:tc>
          <w:tcPr>
            <w:tcW w:w="1276" w:type="dxa"/>
            <w:vAlign w:val="center"/>
          </w:tcPr>
          <w:p w14:paraId="0131D661">
            <w:pPr>
              <w:pStyle w:val="26"/>
              <w:jc w:val="center"/>
              <w:rPr>
                <w:rFonts w:hAnsi="宋体"/>
              </w:rPr>
            </w:pPr>
          </w:p>
        </w:tc>
        <w:tc>
          <w:tcPr>
            <w:tcW w:w="1417" w:type="dxa"/>
            <w:vAlign w:val="center"/>
          </w:tcPr>
          <w:p w14:paraId="496B7701">
            <w:pPr>
              <w:pStyle w:val="26"/>
              <w:jc w:val="center"/>
              <w:rPr>
                <w:rFonts w:hAnsi="宋体"/>
              </w:rPr>
            </w:pPr>
          </w:p>
        </w:tc>
        <w:tc>
          <w:tcPr>
            <w:tcW w:w="1701" w:type="dxa"/>
            <w:vAlign w:val="center"/>
          </w:tcPr>
          <w:p w14:paraId="0EC267C3">
            <w:pPr>
              <w:pStyle w:val="26"/>
              <w:jc w:val="center"/>
              <w:rPr>
                <w:rFonts w:hAnsi="宋体"/>
              </w:rPr>
            </w:pPr>
          </w:p>
        </w:tc>
        <w:tc>
          <w:tcPr>
            <w:tcW w:w="851" w:type="dxa"/>
            <w:vAlign w:val="center"/>
          </w:tcPr>
          <w:p w14:paraId="4E682B15">
            <w:pPr>
              <w:pStyle w:val="26"/>
              <w:jc w:val="center"/>
              <w:rPr>
                <w:rFonts w:hAnsi="宋体"/>
              </w:rPr>
            </w:pPr>
          </w:p>
        </w:tc>
      </w:tr>
      <w:tr w14:paraId="6619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Align w:val="center"/>
          </w:tcPr>
          <w:p w14:paraId="1DE264BE">
            <w:pPr>
              <w:pStyle w:val="26"/>
              <w:jc w:val="center"/>
              <w:rPr>
                <w:rFonts w:hAnsi="宋体"/>
              </w:rPr>
            </w:pPr>
            <w:r>
              <w:rPr>
                <w:rFonts w:hint="eastAsia" w:hAnsi="宋体"/>
              </w:rPr>
              <w:t>…</w:t>
            </w:r>
          </w:p>
        </w:tc>
        <w:tc>
          <w:tcPr>
            <w:tcW w:w="1423" w:type="dxa"/>
            <w:vAlign w:val="center"/>
          </w:tcPr>
          <w:p w14:paraId="0A44378A">
            <w:pPr>
              <w:pStyle w:val="26"/>
              <w:jc w:val="center"/>
              <w:rPr>
                <w:rFonts w:hAnsi="宋体"/>
              </w:rPr>
            </w:pPr>
          </w:p>
        </w:tc>
        <w:tc>
          <w:tcPr>
            <w:tcW w:w="1552" w:type="dxa"/>
            <w:vAlign w:val="center"/>
          </w:tcPr>
          <w:p w14:paraId="13D6CC0A">
            <w:pPr>
              <w:pStyle w:val="26"/>
              <w:jc w:val="center"/>
              <w:rPr>
                <w:rFonts w:hAnsi="宋体"/>
              </w:rPr>
            </w:pPr>
          </w:p>
        </w:tc>
        <w:tc>
          <w:tcPr>
            <w:tcW w:w="1276" w:type="dxa"/>
            <w:vAlign w:val="center"/>
          </w:tcPr>
          <w:p w14:paraId="70BAD4B4">
            <w:pPr>
              <w:pStyle w:val="26"/>
              <w:jc w:val="center"/>
              <w:rPr>
                <w:rFonts w:hAnsi="宋体"/>
              </w:rPr>
            </w:pPr>
          </w:p>
        </w:tc>
        <w:tc>
          <w:tcPr>
            <w:tcW w:w="1417" w:type="dxa"/>
            <w:vAlign w:val="center"/>
          </w:tcPr>
          <w:p w14:paraId="66DA507E">
            <w:pPr>
              <w:pStyle w:val="26"/>
              <w:jc w:val="center"/>
              <w:rPr>
                <w:rFonts w:hAnsi="宋体"/>
              </w:rPr>
            </w:pPr>
          </w:p>
        </w:tc>
        <w:tc>
          <w:tcPr>
            <w:tcW w:w="1701" w:type="dxa"/>
            <w:vAlign w:val="center"/>
          </w:tcPr>
          <w:p w14:paraId="6B9734DF">
            <w:pPr>
              <w:pStyle w:val="26"/>
              <w:jc w:val="center"/>
              <w:rPr>
                <w:rFonts w:hAnsi="宋体"/>
              </w:rPr>
            </w:pPr>
          </w:p>
        </w:tc>
        <w:tc>
          <w:tcPr>
            <w:tcW w:w="851" w:type="dxa"/>
            <w:vAlign w:val="center"/>
          </w:tcPr>
          <w:p w14:paraId="708A7949">
            <w:pPr>
              <w:pStyle w:val="26"/>
              <w:jc w:val="center"/>
              <w:rPr>
                <w:rFonts w:hAnsi="宋体"/>
              </w:rPr>
            </w:pPr>
          </w:p>
        </w:tc>
      </w:tr>
      <w:tr w14:paraId="57B1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Align w:val="center"/>
          </w:tcPr>
          <w:p w14:paraId="7203B463">
            <w:pPr>
              <w:pStyle w:val="26"/>
              <w:jc w:val="center"/>
              <w:rPr>
                <w:rFonts w:hAnsi="宋体"/>
              </w:rPr>
            </w:pPr>
            <w:r>
              <w:rPr>
                <w:rFonts w:hAnsi="宋体"/>
              </w:rPr>
              <w:t>二</w:t>
            </w:r>
          </w:p>
        </w:tc>
        <w:tc>
          <w:tcPr>
            <w:tcW w:w="8220" w:type="dxa"/>
            <w:gridSpan w:val="6"/>
            <w:vAlign w:val="center"/>
          </w:tcPr>
          <w:p w14:paraId="682CC75B">
            <w:pPr>
              <w:pStyle w:val="26"/>
              <w:rPr>
                <w:rFonts w:hAnsi="宋体"/>
              </w:rPr>
            </w:pPr>
            <w:r>
              <w:rPr>
                <w:rFonts w:ascii="Arial" w:hAnsi="Arial" w:cs="Arial"/>
              </w:rPr>
              <w:t>××</w:t>
            </w:r>
            <w:r>
              <w:rPr>
                <w:rFonts w:hAnsi="宋体"/>
              </w:rPr>
              <w:t>系统</w:t>
            </w:r>
          </w:p>
        </w:tc>
      </w:tr>
      <w:tr w14:paraId="724F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restart"/>
            <w:vAlign w:val="center"/>
          </w:tcPr>
          <w:p w14:paraId="181A46D3">
            <w:pPr>
              <w:pStyle w:val="26"/>
              <w:jc w:val="center"/>
              <w:rPr>
                <w:rFonts w:hAnsi="宋体"/>
              </w:rPr>
            </w:pPr>
            <w:r>
              <w:rPr>
                <w:rFonts w:hAnsi="宋体"/>
              </w:rPr>
              <w:t>1</w:t>
            </w:r>
          </w:p>
        </w:tc>
        <w:tc>
          <w:tcPr>
            <w:tcW w:w="1423" w:type="dxa"/>
            <w:vMerge w:val="restart"/>
            <w:vAlign w:val="center"/>
          </w:tcPr>
          <w:p w14:paraId="153328AA">
            <w:pPr>
              <w:pStyle w:val="26"/>
              <w:jc w:val="center"/>
              <w:rPr>
                <w:rFonts w:hAnsi="宋体"/>
              </w:rPr>
            </w:pPr>
            <w:r>
              <w:rPr>
                <w:rFonts w:ascii="Arial" w:hAnsi="Arial" w:cs="Arial"/>
              </w:rPr>
              <w:t>××</w:t>
            </w:r>
            <w:r>
              <w:rPr>
                <w:rFonts w:hAnsi="宋体"/>
              </w:rPr>
              <w:t>设备</w:t>
            </w:r>
          </w:p>
        </w:tc>
        <w:tc>
          <w:tcPr>
            <w:tcW w:w="1552" w:type="dxa"/>
            <w:vAlign w:val="center"/>
          </w:tcPr>
          <w:p w14:paraId="6670A0C5">
            <w:pPr>
              <w:pStyle w:val="26"/>
              <w:rPr>
                <w:rFonts w:hAnsi="宋体"/>
              </w:rPr>
            </w:pPr>
            <w:r>
              <w:rPr>
                <w:rFonts w:hint="eastAsia" w:hAnsi="宋体"/>
              </w:rPr>
              <w:t>（</w:t>
            </w:r>
            <w:r>
              <w:rPr>
                <w:rFonts w:hAnsi="宋体"/>
              </w:rPr>
              <w:t xml:space="preserve">1）   </w:t>
            </w:r>
          </w:p>
        </w:tc>
        <w:tc>
          <w:tcPr>
            <w:tcW w:w="1276" w:type="dxa"/>
            <w:vAlign w:val="center"/>
          </w:tcPr>
          <w:p w14:paraId="0DF18A5F">
            <w:pPr>
              <w:pStyle w:val="26"/>
              <w:jc w:val="center"/>
              <w:rPr>
                <w:rFonts w:hAnsi="宋体"/>
              </w:rPr>
            </w:pPr>
          </w:p>
        </w:tc>
        <w:tc>
          <w:tcPr>
            <w:tcW w:w="1417" w:type="dxa"/>
            <w:vMerge w:val="restart"/>
            <w:vAlign w:val="center"/>
          </w:tcPr>
          <w:p w14:paraId="61ADE00A">
            <w:pPr>
              <w:pStyle w:val="26"/>
              <w:jc w:val="center"/>
              <w:rPr>
                <w:rFonts w:hAnsi="宋体"/>
              </w:rPr>
            </w:pPr>
          </w:p>
        </w:tc>
        <w:tc>
          <w:tcPr>
            <w:tcW w:w="1701" w:type="dxa"/>
            <w:vAlign w:val="center"/>
          </w:tcPr>
          <w:p w14:paraId="318EE580">
            <w:pPr>
              <w:pStyle w:val="26"/>
              <w:jc w:val="center"/>
              <w:rPr>
                <w:rFonts w:hAnsi="宋体"/>
              </w:rPr>
            </w:pPr>
          </w:p>
        </w:tc>
        <w:tc>
          <w:tcPr>
            <w:tcW w:w="851" w:type="dxa"/>
            <w:vAlign w:val="center"/>
          </w:tcPr>
          <w:p w14:paraId="71757392">
            <w:pPr>
              <w:pStyle w:val="26"/>
              <w:jc w:val="center"/>
              <w:rPr>
                <w:rFonts w:hAnsi="宋体"/>
              </w:rPr>
            </w:pPr>
          </w:p>
        </w:tc>
      </w:tr>
      <w:tr w14:paraId="6D30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6D35B8C3">
            <w:pPr>
              <w:pStyle w:val="26"/>
              <w:jc w:val="center"/>
              <w:rPr>
                <w:rFonts w:hAnsi="宋体"/>
              </w:rPr>
            </w:pPr>
          </w:p>
        </w:tc>
        <w:tc>
          <w:tcPr>
            <w:tcW w:w="1423" w:type="dxa"/>
            <w:vMerge w:val="continue"/>
            <w:vAlign w:val="center"/>
          </w:tcPr>
          <w:p w14:paraId="3DC1B129">
            <w:pPr>
              <w:pStyle w:val="26"/>
              <w:jc w:val="center"/>
              <w:rPr>
                <w:rFonts w:hAnsi="宋体"/>
              </w:rPr>
            </w:pPr>
          </w:p>
        </w:tc>
        <w:tc>
          <w:tcPr>
            <w:tcW w:w="1552" w:type="dxa"/>
            <w:vAlign w:val="center"/>
          </w:tcPr>
          <w:p w14:paraId="33859B87">
            <w:pPr>
              <w:pStyle w:val="26"/>
              <w:rPr>
                <w:rFonts w:hAnsi="宋体"/>
              </w:rPr>
            </w:pPr>
            <w:r>
              <w:rPr>
                <w:rFonts w:hint="eastAsia" w:hAnsi="宋体"/>
              </w:rPr>
              <w:t>（</w:t>
            </w:r>
            <w:r>
              <w:rPr>
                <w:rFonts w:hAnsi="宋体"/>
              </w:rPr>
              <w:t>2）</w:t>
            </w:r>
          </w:p>
        </w:tc>
        <w:tc>
          <w:tcPr>
            <w:tcW w:w="1276" w:type="dxa"/>
            <w:vAlign w:val="center"/>
          </w:tcPr>
          <w:p w14:paraId="19BBF979">
            <w:pPr>
              <w:pStyle w:val="26"/>
              <w:jc w:val="center"/>
              <w:rPr>
                <w:rFonts w:hAnsi="宋体"/>
              </w:rPr>
            </w:pPr>
          </w:p>
        </w:tc>
        <w:tc>
          <w:tcPr>
            <w:tcW w:w="1417" w:type="dxa"/>
            <w:vMerge w:val="continue"/>
            <w:vAlign w:val="center"/>
          </w:tcPr>
          <w:p w14:paraId="70F03F47">
            <w:pPr>
              <w:pStyle w:val="26"/>
              <w:jc w:val="center"/>
              <w:rPr>
                <w:rFonts w:hAnsi="宋体"/>
              </w:rPr>
            </w:pPr>
          </w:p>
        </w:tc>
        <w:tc>
          <w:tcPr>
            <w:tcW w:w="1701" w:type="dxa"/>
            <w:vAlign w:val="center"/>
          </w:tcPr>
          <w:p w14:paraId="765A23A4">
            <w:pPr>
              <w:pStyle w:val="26"/>
              <w:jc w:val="center"/>
              <w:rPr>
                <w:rFonts w:hAnsi="宋体"/>
              </w:rPr>
            </w:pPr>
          </w:p>
        </w:tc>
        <w:tc>
          <w:tcPr>
            <w:tcW w:w="851" w:type="dxa"/>
            <w:vAlign w:val="center"/>
          </w:tcPr>
          <w:p w14:paraId="2FFCE21D">
            <w:pPr>
              <w:pStyle w:val="26"/>
              <w:jc w:val="center"/>
              <w:rPr>
                <w:rFonts w:hAnsi="宋体"/>
              </w:rPr>
            </w:pPr>
          </w:p>
        </w:tc>
      </w:tr>
      <w:tr w14:paraId="3686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130B2CBC">
            <w:pPr>
              <w:pStyle w:val="26"/>
              <w:jc w:val="center"/>
              <w:rPr>
                <w:rFonts w:hAnsi="宋体"/>
              </w:rPr>
            </w:pPr>
          </w:p>
        </w:tc>
        <w:tc>
          <w:tcPr>
            <w:tcW w:w="1423" w:type="dxa"/>
            <w:vMerge w:val="continue"/>
            <w:vAlign w:val="center"/>
          </w:tcPr>
          <w:p w14:paraId="6B583953">
            <w:pPr>
              <w:pStyle w:val="26"/>
              <w:jc w:val="center"/>
              <w:rPr>
                <w:rFonts w:hAnsi="宋体"/>
              </w:rPr>
            </w:pPr>
          </w:p>
        </w:tc>
        <w:tc>
          <w:tcPr>
            <w:tcW w:w="1552" w:type="dxa"/>
            <w:vAlign w:val="center"/>
          </w:tcPr>
          <w:p w14:paraId="57CA065C">
            <w:pPr>
              <w:pStyle w:val="26"/>
              <w:rPr>
                <w:rFonts w:hAnsi="宋体"/>
              </w:rPr>
            </w:pPr>
            <w:r>
              <w:rPr>
                <w:rFonts w:hint="eastAsia" w:hAnsi="宋体"/>
              </w:rPr>
              <w:t>…</w:t>
            </w:r>
          </w:p>
        </w:tc>
        <w:tc>
          <w:tcPr>
            <w:tcW w:w="1276" w:type="dxa"/>
            <w:vAlign w:val="center"/>
          </w:tcPr>
          <w:p w14:paraId="47E3124C">
            <w:pPr>
              <w:pStyle w:val="26"/>
              <w:jc w:val="center"/>
              <w:rPr>
                <w:rFonts w:hAnsi="宋体"/>
              </w:rPr>
            </w:pPr>
          </w:p>
        </w:tc>
        <w:tc>
          <w:tcPr>
            <w:tcW w:w="1417" w:type="dxa"/>
            <w:vMerge w:val="continue"/>
            <w:vAlign w:val="center"/>
          </w:tcPr>
          <w:p w14:paraId="00D64790">
            <w:pPr>
              <w:pStyle w:val="26"/>
              <w:jc w:val="center"/>
              <w:rPr>
                <w:rFonts w:hAnsi="宋体"/>
              </w:rPr>
            </w:pPr>
          </w:p>
        </w:tc>
        <w:tc>
          <w:tcPr>
            <w:tcW w:w="1701" w:type="dxa"/>
            <w:vAlign w:val="center"/>
          </w:tcPr>
          <w:p w14:paraId="6C7B2A09">
            <w:pPr>
              <w:pStyle w:val="26"/>
              <w:jc w:val="center"/>
              <w:rPr>
                <w:rFonts w:hAnsi="宋体"/>
              </w:rPr>
            </w:pPr>
          </w:p>
        </w:tc>
        <w:tc>
          <w:tcPr>
            <w:tcW w:w="851" w:type="dxa"/>
            <w:vAlign w:val="center"/>
          </w:tcPr>
          <w:p w14:paraId="1817140C">
            <w:pPr>
              <w:pStyle w:val="26"/>
              <w:jc w:val="center"/>
              <w:rPr>
                <w:rFonts w:hAnsi="宋体"/>
              </w:rPr>
            </w:pPr>
          </w:p>
        </w:tc>
      </w:tr>
      <w:tr w14:paraId="05F6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56F77387">
            <w:pPr>
              <w:pStyle w:val="26"/>
              <w:jc w:val="center"/>
              <w:rPr>
                <w:rFonts w:hAnsi="宋体"/>
              </w:rPr>
            </w:pPr>
          </w:p>
        </w:tc>
        <w:tc>
          <w:tcPr>
            <w:tcW w:w="1423" w:type="dxa"/>
            <w:vMerge w:val="continue"/>
            <w:vAlign w:val="center"/>
          </w:tcPr>
          <w:p w14:paraId="25F69D88">
            <w:pPr>
              <w:pStyle w:val="26"/>
              <w:jc w:val="center"/>
              <w:rPr>
                <w:rFonts w:hAnsi="宋体"/>
              </w:rPr>
            </w:pPr>
          </w:p>
        </w:tc>
        <w:tc>
          <w:tcPr>
            <w:tcW w:w="1552" w:type="dxa"/>
            <w:vAlign w:val="center"/>
          </w:tcPr>
          <w:p w14:paraId="21C85412">
            <w:pPr>
              <w:pStyle w:val="26"/>
              <w:rPr>
                <w:rFonts w:hAnsi="宋体"/>
              </w:rPr>
            </w:pPr>
            <w:r>
              <w:rPr>
                <w:rFonts w:hint="eastAsia" w:hAnsi="宋体"/>
              </w:rPr>
              <w:t>…</w:t>
            </w:r>
          </w:p>
        </w:tc>
        <w:tc>
          <w:tcPr>
            <w:tcW w:w="1276" w:type="dxa"/>
            <w:vAlign w:val="center"/>
          </w:tcPr>
          <w:p w14:paraId="39515BC9">
            <w:pPr>
              <w:pStyle w:val="26"/>
              <w:jc w:val="center"/>
              <w:rPr>
                <w:rFonts w:hAnsi="宋体"/>
              </w:rPr>
            </w:pPr>
          </w:p>
        </w:tc>
        <w:tc>
          <w:tcPr>
            <w:tcW w:w="1417" w:type="dxa"/>
            <w:vMerge w:val="continue"/>
            <w:vAlign w:val="center"/>
          </w:tcPr>
          <w:p w14:paraId="43F0784F">
            <w:pPr>
              <w:pStyle w:val="26"/>
              <w:jc w:val="center"/>
              <w:rPr>
                <w:rFonts w:hAnsi="宋体"/>
              </w:rPr>
            </w:pPr>
          </w:p>
        </w:tc>
        <w:tc>
          <w:tcPr>
            <w:tcW w:w="1701" w:type="dxa"/>
            <w:vAlign w:val="center"/>
          </w:tcPr>
          <w:p w14:paraId="2C5E3710">
            <w:pPr>
              <w:pStyle w:val="26"/>
              <w:jc w:val="center"/>
              <w:rPr>
                <w:rFonts w:hAnsi="宋体"/>
              </w:rPr>
            </w:pPr>
          </w:p>
        </w:tc>
        <w:tc>
          <w:tcPr>
            <w:tcW w:w="851" w:type="dxa"/>
            <w:vAlign w:val="center"/>
          </w:tcPr>
          <w:p w14:paraId="775F8687">
            <w:pPr>
              <w:pStyle w:val="26"/>
              <w:jc w:val="center"/>
              <w:rPr>
                <w:rFonts w:hAnsi="宋体"/>
              </w:rPr>
            </w:pPr>
          </w:p>
        </w:tc>
      </w:tr>
      <w:tr w14:paraId="6E9D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restart"/>
            <w:vAlign w:val="center"/>
          </w:tcPr>
          <w:p w14:paraId="467344F3">
            <w:pPr>
              <w:pStyle w:val="26"/>
              <w:jc w:val="center"/>
              <w:rPr>
                <w:rFonts w:hAnsi="宋体"/>
              </w:rPr>
            </w:pPr>
            <w:r>
              <w:rPr>
                <w:rFonts w:hAnsi="宋体"/>
              </w:rPr>
              <w:t>2</w:t>
            </w:r>
          </w:p>
        </w:tc>
        <w:tc>
          <w:tcPr>
            <w:tcW w:w="1423" w:type="dxa"/>
            <w:vMerge w:val="restart"/>
            <w:vAlign w:val="center"/>
          </w:tcPr>
          <w:p w14:paraId="7606B2D7">
            <w:pPr>
              <w:pStyle w:val="26"/>
              <w:jc w:val="center"/>
              <w:rPr>
                <w:rFonts w:hAnsi="宋体"/>
              </w:rPr>
            </w:pPr>
            <w:r>
              <w:rPr>
                <w:rFonts w:ascii="Arial" w:hAnsi="Arial" w:cs="Arial"/>
              </w:rPr>
              <w:t>××</w:t>
            </w:r>
            <w:r>
              <w:rPr>
                <w:rFonts w:hAnsi="宋体"/>
              </w:rPr>
              <w:t>设备</w:t>
            </w:r>
          </w:p>
        </w:tc>
        <w:tc>
          <w:tcPr>
            <w:tcW w:w="1552" w:type="dxa"/>
            <w:vAlign w:val="center"/>
          </w:tcPr>
          <w:p w14:paraId="0EA80A99">
            <w:pPr>
              <w:pStyle w:val="26"/>
              <w:rPr>
                <w:rFonts w:hAnsi="宋体"/>
              </w:rPr>
            </w:pPr>
            <w:r>
              <w:rPr>
                <w:rFonts w:hint="eastAsia" w:hAnsi="宋体"/>
              </w:rPr>
              <w:t>（</w:t>
            </w:r>
            <w:r>
              <w:rPr>
                <w:rFonts w:hAnsi="宋体"/>
              </w:rPr>
              <w:t>1）</w:t>
            </w:r>
          </w:p>
        </w:tc>
        <w:tc>
          <w:tcPr>
            <w:tcW w:w="1276" w:type="dxa"/>
            <w:vAlign w:val="center"/>
          </w:tcPr>
          <w:p w14:paraId="542DE1EA">
            <w:pPr>
              <w:pStyle w:val="26"/>
              <w:jc w:val="center"/>
              <w:rPr>
                <w:rFonts w:hAnsi="宋体"/>
              </w:rPr>
            </w:pPr>
          </w:p>
        </w:tc>
        <w:tc>
          <w:tcPr>
            <w:tcW w:w="1417" w:type="dxa"/>
            <w:vMerge w:val="restart"/>
            <w:vAlign w:val="center"/>
          </w:tcPr>
          <w:p w14:paraId="157B0B0B">
            <w:pPr>
              <w:pStyle w:val="26"/>
              <w:jc w:val="center"/>
              <w:rPr>
                <w:rFonts w:hAnsi="宋体"/>
              </w:rPr>
            </w:pPr>
          </w:p>
        </w:tc>
        <w:tc>
          <w:tcPr>
            <w:tcW w:w="1701" w:type="dxa"/>
            <w:vAlign w:val="center"/>
          </w:tcPr>
          <w:p w14:paraId="3316E0CA">
            <w:pPr>
              <w:pStyle w:val="26"/>
              <w:jc w:val="center"/>
              <w:rPr>
                <w:rFonts w:hAnsi="宋体"/>
              </w:rPr>
            </w:pPr>
          </w:p>
        </w:tc>
        <w:tc>
          <w:tcPr>
            <w:tcW w:w="851" w:type="dxa"/>
            <w:vAlign w:val="center"/>
          </w:tcPr>
          <w:p w14:paraId="26833242">
            <w:pPr>
              <w:pStyle w:val="26"/>
              <w:jc w:val="center"/>
              <w:rPr>
                <w:rFonts w:hAnsi="宋体"/>
              </w:rPr>
            </w:pPr>
          </w:p>
        </w:tc>
      </w:tr>
      <w:tr w14:paraId="398D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1A7247A9">
            <w:pPr>
              <w:pStyle w:val="26"/>
              <w:jc w:val="center"/>
              <w:rPr>
                <w:rFonts w:hAnsi="宋体"/>
              </w:rPr>
            </w:pPr>
          </w:p>
        </w:tc>
        <w:tc>
          <w:tcPr>
            <w:tcW w:w="1423" w:type="dxa"/>
            <w:vMerge w:val="continue"/>
            <w:vAlign w:val="center"/>
          </w:tcPr>
          <w:p w14:paraId="41C782DA">
            <w:pPr>
              <w:pStyle w:val="26"/>
              <w:jc w:val="center"/>
              <w:rPr>
                <w:rFonts w:hAnsi="宋体"/>
              </w:rPr>
            </w:pPr>
          </w:p>
        </w:tc>
        <w:tc>
          <w:tcPr>
            <w:tcW w:w="1552" w:type="dxa"/>
            <w:vAlign w:val="center"/>
          </w:tcPr>
          <w:p w14:paraId="00ED7145">
            <w:pPr>
              <w:pStyle w:val="26"/>
              <w:rPr>
                <w:rFonts w:hAnsi="宋体"/>
              </w:rPr>
            </w:pPr>
            <w:r>
              <w:rPr>
                <w:rFonts w:hint="eastAsia" w:hAnsi="宋体"/>
              </w:rPr>
              <w:t>（</w:t>
            </w:r>
            <w:r>
              <w:rPr>
                <w:rFonts w:hAnsi="宋体"/>
              </w:rPr>
              <w:t>2）</w:t>
            </w:r>
          </w:p>
        </w:tc>
        <w:tc>
          <w:tcPr>
            <w:tcW w:w="1276" w:type="dxa"/>
            <w:vAlign w:val="center"/>
          </w:tcPr>
          <w:p w14:paraId="0910920A">
            <w:pPr>
              <w:pStyle w:val="26"/>
              <w:jc w:val="center"/>
              <w:rPr>
                <w:rFonts w:hAnsi="宋体"/>
              </w:rPr>
            </w:pPr>
          </w:p>
        </w:tc>
        <w:tc>
          <w:tcPr>
            <w:tcW w:w="1417" w:type="dxa"/>
            <w:vMerge w:val="continue"/>
            <w:vAlign w:val="center"/>
          </w:tcPr>
          <w:p w14:paraId="5593F07C">
            <w:pPr>
              <w:pStyle w:val="26"/>
              <w:jc w:val="center"/>
              <w:rPr>
                <w:rFonts w:hAnsi="宋体"/>
              </w:rPr>
            </w:pPr>
          </w:p>
        </w:tc>
        <w:tc>
          <w:tcPr>
            <w:tcW w:w="1701" w:type="dxa"/>
            <w:vAlign w:val="center"/>
          </w:tcPr>
          <w:p w14:paraId="4FAB5927">
            <w:pPr>
              <w:pStyle w:val="26"/>
              <w:jc w:val="center"/>
              <w:rPr>
                <w:rFonts w:hAnsi="宋体"/>
              </w:rPr>
            </w:pPr>
          </w:p>
        </w:tc>
        <w:tc>
          <w:tcPr>
            <w:tcW w:w="851" w:type="dxa"/>
            <w:vAlign w:val="center"/>
          </w:tcPr>
          <w:p w14:paraId="52B8DC68">
            <w:pPr>
              <w:pStyle w:val="26"/>
              <w:jc w:val="center"/>
              <w:rPr>
                <w:rFonts w:hAnsi="宋体"/>
              </w:rPr>
            </w:pPr>
          </w:p>
        </w:tc>
      </w:tr>
      <w:tr w14:paraId="6E41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01078CA3">
            <w:pPr>
              <w:pStyle w:val="26"/>
              <w:jc w:val="center"/>
              <w:rPr>
                <w:rFonts w:hAnsi="宋体"/>
              </w:rPr>
            </w:pPr>
          </w:p>
        </w:tc>
        <w:tc>
          <w:tcPr>
            <w:tcW w:w="1423" w:type="dxa"/>
            <w:vMerge w:val="continue"/>
            <w:vAlign w:val="center"/>
          </w:tcPr>
          <w:p w14:paraId="2B5499C0">
            <w:pPr>
              <w:pStyle w:val="26"/>
              <w:jc w:val="center"/>
              <w:rPr>
                <w:rFonts w:hAnsi="宋体"/>
              </w:rPr>
            </w:pPr>
          </w:p>
        </w:tc>
        <w:tc>
          <w:tcPr>
            <w:tcW w:w="1552" w:type="dxa"/>
            <w:vAlign w:val="center"/>
          </w:tcPr>
          <w:p w14:paraId="2F8C6676">
            <w:pPr>
              <w:pStyle w:val="26"/>
              <w:rPr>
                <w:rFonts w:hAnsi="宋体"/>
              </w:rPr>
            </w:pPr>
            <w:r>
              <w:rPr>
                <w:rFonts w:hint="eastAsia" w:hAnsi="宋体"/>
              </w:rPr>
              <w:t>…</w:t>
            </w:r>
          </w:p>
        </w:tc>
        <w:tc>
          <w:tcPr>
            <w:tcW w:w="1276" w:type="dxa"/>
            <w:vAlign w:val="center"/>
          </w:tcPr>
          <w:p w14:paraId="36FE18C0">
            <w:pPr>
              <w:pStyle w:val="26"/>
              <w:jc w:val="center"/>
              <w:rPr>
                <w:rFonts w:hAnsi="宋体"/>
              </w:rPr>
            </w:pPr>
          </w:p>
        </w:tc>
        <w:tc>
          <w:tcPr>
            <w:tcW w:w="1417" w:type="dxa"/>
            <w:vMerge w:val="continue"/>
            <w:vAlign w:val="center"/>
          </w:tcPr>
          <w:p w14:paraId="003335E3">
            <w:pPr>
              <w:pStyle w:val="26"/>
              <w:jc w:val="center"/>
              <w:rPr>
                <w:rFonts w:hAnsi="宋体"/>
              </w:rPr>
            </w:pPr>
          </w:p>
        </w:tc>
        <w:tc>
          <w:tcPr>
            <w:tcW w:w="1701" w:type="dxa"/>
            <w:vAlign w:val="center"/>
          </w:tcPr>
          <w:p w14:paraId="5F9BCBC4">
            <w:pPr>
              <w:pStyle w:val="26"/>
              <w:jc w:val="center"/>
              <w:rPr>
                <w:rFonts w:hAnsi="宋体"/>
              </w:rPr>
            </w:pPr>
          </w:p>
        </w:tc>
        <w:tc>
          <w:tcPr>
            <w:tcW w:w="851" w:type="dxa"/>
            <w:vAlign w:val="center"/>
          </w:tcPr>
          <w:p w14:paraId="17FECCFB">
            <w:pPr>
              <w:pStyle w:val="26"/>
              <w:jc w:val="center"/>
              <w:rPr>
                <w:rFonts w:hAnsi="宋体"/>
              </w:rPr>
            </w:pPr>
          </w:p>
        </w:tc>
      </w:tr>
      <w:tr w14:paraId="2257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Merge w:val="continue"/>
            <w:vAlign w:val="center"/>
          </w:tcPr>
          <w:p w14:paraId="26DF4B27">
            <w:pPr>
              <w:pStyle w:val="26"/>
              <w:jc w:val="center"/>
              <w:rPr>
                <w:rFonts w:hAnsi="宋体"/>
              </w:rPr>
            </w:pPr>
          </w:p>
        </w:tc>
        <w:tc>
          <w:tcPr>
            <w:tcW w:w="1423" w:type="dxa"/>
            <w:vMerge w:val="continue"/>
            <w:vAlign w:val="center"/>
          </w:tcPr>
          <w:p w14:paraId="5537670E">
            <w:pPr>
              <w:pStyle w:val="26"/>
              <w:jc w:val="center"/>
              <w:rPr>
                <w:rFonts w:hAnsi="宋体"/>
              </w:rPr>
            </w:pPr>
          </w:p>
        </w:tc>
        <w:tc>
          <w:tcPr>
            <w:tcW w:w="1552" w:type="dxa"/>
            <w:vAlign w:val="center"/>
          </w:tcPr>
          <w:p w14:paraId="630CEF97">
            <w:pPr>
              <w:pStyle w:val="26"/>
              <w:rPr>
                <w:rFonts w:hAnsi="宋体"/>
              </w:rPr>
            </w:pPr>
            <w:r>
              <w:rPr>
                <w:rFonts w:hint="eastAsia" w:hAnsi="宋体"/>
              </w:rPr>
              <w:t>…</w:t>
            </w:r>
          </w:p>
        </w:tc>
        <w:tc>
          <w:tcPr>
            <w:tcW w:w="1276" w:type="dxa"/>
            <w:vAlign w:val="center"/>
          </w:tcPr>
          <w:p w14:paraId="48483CB2">
            <w:pPr>
              <w:pStyle w:val="26"/>
              <w:jc w:val="center"/>
              <w:rPr>
                <w:rFonts w:hAnsi="宋体"/>
              </w:rPr>
            </w:pPr>
          </w:p>
        </w:tc>
        <w:tc>
          <w:tcPr>
            <w:tcW w:w="1417" w:type="dxa"/>
            <w:vMerge w:val="continue"/>
            <w:vAlign w:val="center"/>
          </w:tcPr>
          <w:p w14:paraId="44E1D928">
            <w:pPr>
              <w:pStyle w:val="26"/>
              <w:jc w:val="center"/>
              <w:rPr>
                <w:rFonts w:hAnsi="宋体"/>
              </w:rPr>
            </w:pPr>
          </w:p>
        </w:tc>
        <w:tc>
          <w:tcPr>
            <w:tcW w:w="1701" w:type="dxa"/>
            <w:vAlign w:val="center"/>
          </w:tcPr>
          <w:p w14:paraId="22B13FF0">
            <w:pPr>
              <w:pStyle w:val="26"/>
              <w:jc w:val="center"/>
              <w:rPr>
                <w:rFonts w:hAnsi="宋体"/>
              </w:rPr>
            </w:pPr>
          </w:p>
        </w:tc>
        <w:tc>
          <w:tcPr>
            <w:tcW w:w="851" w:type="dxa"/>
            <w:vAlign w:val="center"/>
          </w:tcPr>
          <w:p w14:paraId="5095760B">
            <w:pPr>
              <w:pStyle w:val="26"/>
              <w:jc w:val="center"/>
              <w:rPr>
                <w:rFonts w:hAnsi="宋体"/>
              </w:rPr>
            </w:pPr>
          </w:p>
        </w:tc>
      </w:tr>
      <w:tr w14:paraId="75B3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93" w:type="dxa"/>
            <w:vAlign w:val="center"/>
          </w:tcPr>
          <w:p w14:paraId="05BEAE0F">
            <w:pPr>
              <w:pStyle w:val="26"/>
              <w:jc w:val="center"/>
              <w:rPr>
                <w:rFonts w:hAnsi="宋体"/>
              </w:rPr>
            </w:pPr>
            <w:r>
              <w:rPr>
                <w:rFonts w:hint="eastAsia" w:hAnsi="宋体"/>
              </w:rPr>
              <w:t>…</w:t>
            </w:r>
          </w:p>
        </w:tc>
        <w:tc>
          <w:tcPr>
            <w:tcW w:w="1423" w:type="dxa"/>
            <w:vAlign w:val="center"/>
          </w:tcPr>
          <w:p w14:paraId="4F1AF1B2">
            <w:pPr>
              <w:pStyle w:val="26"/>
              <w:jc w:val="center"/>
              <w:rPr>
                <w:rFonts w:hAnsi="宋体"/>
              </w:rPr>
            </w:pPr>
            <w:r>
              <w:rPr>
                <w:rFonts w:hint="eastAsia" w:hAnsi="宋体"/>
              </w:rPr>
              <w:t>…</w:t>
            </w:r>
          </w:p>
        </w:tc>
        <w:tc>
          <w:tcPr>
            <w:tcW w:w="1552" w:type="dxa"/>
            <w:vAlign w:val="center"/>
          </w:tcPr>
          <w:p w14:paraId="43DA0141">
            <w:pPr>
              <w:pStyle w:val="26"/>
              <w:rPr>
                <w:rFonts w:hAnsi="宋体"/>
              </w:rPr>
            </w:pPr>
            <w:r>
              <w:rPr>
                <w:rFonts w:hint="eastAsia" w:hAnsi="宋体"/>
              </w:rPr>
              <w:t>…</w:t>
            </w:r>
          </w:p>
        </w:tc>
        <w:tc>
          <w:tcPr>
            <w:tcW w:w="1276" w:type="dxa"/>
            <w:vAlign w:val="center"/>
          </w:tcPr>
          <w:p w14:paraId="19B0CFC8">
            <w:pPr>
              <w:pStyle w:val="26"/>
              <w:jc w:val="center"/>
              <w:rPr>
                <w:rFonts w:hAnsi="宋体"/>
              </w:rPr>
            </w:pPr>
          </w:p>
        </w:tc>
        <w:tc>
          <w:tcPr>
            <w:tcW w:w="1417" w:type="dxa"/>
            <w:vAlign w:val="center"/>
          </w:tcPr>
          <w:p w14:paraId="07836B3D">
            <w:pPr>
              <w:pStyle w:val="26"/>
              <w:jc w:val="center"/>
              <w:rPr>
                <w:rFonts w:hAnsi="宋体"/>
              </w:rPr>
            </w:pPr>
          </w:p>
        </w:tc>
        <w:tc>
          <w:tcPr>
            <w:tcW w:w="1701" w:type="dxa"/>
            <w:vAlign w:val="center"/>
          </w:tcPr>
          <w:p w14:paraId="72A401A4">
            <w:pPr>
              <w:pStyle w:val="26"/>
              <w:jc w:val="center"/>
              <w:rPr>
                <w:rFonts w:hAnsi="宋体"/>
              </w:rPr>
            </w:pPr>
          </w:p>
        </w:tc>
        <w:tc>
          <w:tcPr>
            <w:tcW w:w="851" w:type="dxa"/>
            <w:vAlign w:val="center"/>
          </w:tcPr>
          <w:p w14:paraId="42B500E1">
            <w:pPr>
              <w:pStyle w:val="26"/>
              <w:jc w:val="center"/>
              <w:rPr>
                <w:rFonts w:hAnsi="宋体"/>
              </w:rPr>
            </w:pPr>
          </w:p>
        </w:tc>
      </w:tr>
      <w:tr w14:paraId="54F9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93" w:type="dxa"/>
            <w:vAlign w:val="center"/>
          </w:tcPr>
          <w:p w14:paraId="13872BB0">
            <w:pPr>
              <w:pStyle w:val="26"/>
              <w:jc w:val="center"/>
              <w:rPr>
                <w:rFonts w:hAnsi="宋体"/>
              </w:rPr>
            </w:pPr>
            <w:r>
              <w:rPr>
                <w:rFonts w:hint="eastAsia" w:hAnsi="宋体"/>
              </w:rPr>
              <w:t>…</w:t>
            </w:r>
          </w:p>
        </w:tc>
        <w:tc>
          <w:tcPr>
            <w:tcW w:w="1423" w:type="dxa"/>
            <w:vAlign w:val="center"/>
          </w:tcPr>
          <w:p w14:paraId="5003A188">
            <w:pPr>
              <w:pStyle w:val="26"/>
              <w:jc w:val="center"/>
              <w:rPr>
                <w:rFonts w:hAnsi="宋体"/>
              </w:rPr>
            </w:pPr>
            <w:r>
              <w:rPr>
                <w:rFonts w:hint="eastAsia" w:hAnsi="宋体"/>
              </w:rPr>
              <w:t>…</w:t>
            </w:r>
          </w:p>
        </w:tc>
        <w:tc>
          <w:tcPr>
            <w:tcW w:w="1552" w:type="dxa"/>
            <w:vAlign w:val="center"/>
          </w:tcPr>
          <w:p w14:paraId="56341A79">
            <w:pPr>
              <w:pStyle w:val="26"/>
              <w:rPr>
                <w:rFonts w:hAnsi="宋体"/>
              </w:rPr>
            </w:pPr>
            <w:r>
              <w:rPr>
                <w:rFonts w:hint="eastAsia" w:hAnsi="宋体"/>
              </w:rPr>
              <w:t>…</w:t>
            </w:r>
          </w:p>
        </w:tc>
        <w:tc>
          <w:tcPr>
            <w:tcW w:w="1276" w:type="dxa"/>
            <w:vAlign w:val="center"/>
          </w:tcPr>
          <w:p w14:paraId="44DA0EE9">
            <w:pPr>
              <w:pStyle w:val="26"/>
              <w:jc w:val="center"/>
              <w:rPr>
                <w:rFonts w:hAnsi="宋体"/>
              </w:rPr>
            </w:pPr>
          </w:p>
        </w:tc>
        <w:tc>
          <w:tcPr>
            <w:tcW w:w="1417" w:type="dxa"/>
            <w:vAlign w:val="center"/>
          </w:tcPr>
          <w:p w14:paraId="0A984DEE">
            <w:pPr>
              <w:pStyle w:val="26"/>
              <w:jc w:val="center"/>
              <w:rPr>
                <w:rFonts w:hAnsi="宋体"/>
              </w:rPr>
            </w:pPr>
          </w:p>
        </w:tc>
        <w:tc>
          <w:tcPr>
            <w:tcW w:w="1701" w:type="dxa"/>
            <w:vAlign w:val="center"/>
          </w:tcPr>
          <w:p w14:paraId="63215815">
            <w:pPr>
              <w:pStyle w:val="26"/>
              <w:jc w:val="center"/>
              <w:rPr>
                <w:rFonts w:hAnsi="宋体"/>
              </w:rPr>
            </w:pPr>
          </w:p>
        </w:tc>
        <w:tc>
          <w:tcPr>
            <w:tcW w:w="851" w:type="dxa"/>
            <w:vAlign w:val="center"/>
          </w:tcPr>
          <w:p w14:paraId="0CEBBC75">
            <w:pPr>
              <w:pStyle w:val="26"/>
              <w:jc w:val="center"/>
              <w:rPr>
                <w:rFonts w:hAnsi="宋体"/>
              </w:rPr>
            </w:pPr>
          </w:p>
        </w:tc>
      </w:tr>
    </w:tbl>
    <w:p w14:paraId="24402F77">
      <w:pPr>
        <w:autoSpaceDE w:val="0"/>
        <w:autoSpaceDN w:val="0"/>
        <w:adjustRightInd w:val="0"/>
        <w:spacing w:line="276" w:lineRule="auto"/>
        <w:jc w:val="left"/>
        <w:rPr>
          <w:rFonts w:asciiTheme="minorEastAsia" w:hAnsiTheme="minorEastAsia" w:eastAsiaTheme="minorEastAsia"/>
          <w:sz w:val="18"/>
          <w:szCs w:val="18"/>
        </w:rPr>
      </w:pPr>
    </w:p>
    <w:p w14:paraId="61EBD7C4">
      <w:pPr>
        <w:numPr>
          <w:ilvl w:val="255"/>
          <w:numId w:val="0"/>
        </w:numPr>
        <w:spacing w:line="360" w:lineRule="auto"/>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注：</w:t>
      </w:r>
      <w:r>
        <w:rPr>
          <w:rFonts w:hint="eastAsia" w:cs="Times New Roman" w:asciiTheme="minorEastAsia" w:hAnsiTheme="minorEastAsia" w:eastAsiaTheme="minorEastAsia"/>
          <w:bCs w:val="0"/>
          <w:kern w:val="2"/>
          <w:sz w:val="21"/>
          <w:szCs w:val="21"/>
          <w:lang w:eastAsia="zh-CN"/>
        </w:rPr>
        <w:t>1</w:t>
      </w:r>
      <w:r>
        <w:rPr>
          <w:rFonts w:hint="eastAsia" w:cs="Times New Roman" w:asciiTheme="minorEastAsia" w:hAnsiTheme="minorEastAsia" w:eastAsiaTheme="minorEastAsia"/>
          <w:bCs w:val="0"/>
          <w:kern w:val="2"/>
          <w:sz w:val="21"/>
          <w:szCs w:val="21"/>
          <w:lang w:val="en-US" w:eastAsia="zh-CN"/>
        </w:rPr>
        <w:t>.</w:t>
      </w:r>
      <w:r>
        <w:rPr>
          <w:rFonts w:hint="eastAsia" w:asciiTheme="minorEastAsia" w:hAnsiTheme="minorEastAsia" w:eastAsiaTheme="minorEastAsia"/>
          <w:sz w:val="21"/>
          <w:szCs w:val="21"/>
        </w:rPr>
        <w:t>本表适用于招标范围包括机电工程时，招标人对关键机电工程设备提出具体技术指标资格审查要求的情形。</w:t>
      </w:r>
    </w:p>
    <w:p w14:paraId="373592C3">
      <w:pPr>
        <w:numPr>
          <w:ilvl w:val="255"/>
          <w:numId w:val="0"/>
        </w:numPr>
        <w:autoSpaceDE w:val="0"/>
        <w:autoSpaceDN w:val="0"/>
        <w:adjustRightInd w:val="0"/>
        <w:spacing w:line="360" w:lineRule="auto"/>
        <w:ind w:firstLine="420" w:firstLineChars="200"/>
        <w:jc w:val="left"/>
        <w:rPr>
          <w:rFonts w:hint="eastAsia" w:asciiTheme="minorEastAsia" w:hAnsiTheme="minorEastAsia" w:eastAsiaTheme="minorEastAsia"/>
          <w:szCs w:val="21"/>
        </w:rPr>
      </w:pPr>
      <w:r>
        <w:rPr>
          <w:rFonts w:hint="eastAsia" w:cs="Times New Roman" w:asciiTheme="minorEastAsia" w:hAnsiTheme="minorEastAsia" w:eastAsiaTheme="minorEastAsia"/>
          <w:bCs w:val="0"/>
          <w:kern w:val="2"/>
          <w:sz w:val="21"/>
          <w:szCs w:val="21"/>
          <w:lang w:eastAsia="zh-CN"/>
        </w:rPr>
        <w:t>2</w:t>
      </w:r>
      <w:r>
        <w:rPr>
          <w:rFonts w:hint="eastAsia" w:cs="Times New Roman" w:asciiTheme="minorEastAsia" w:hAnsiTheme="minorEastAsia" w:eastAsiaTheme="minorEastAsia"/>
          <w:bCs w:val="0"/>
          <w:kern w:val="2"/>
          <w:sz w:val="21"/>
          <w:szCs w:val="21"/>
          <w:lang w:val="en-US" w:eastAsia="zh-CN"/>
        </w:rPr>
        <w:t>.</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设备名称</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招标人主要性能指标要求</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栏由招标人提供。</w:t>
      </w:r>
    </w:p>
    <w:p w14:paraId="4479D3BE">
      <w:pPr>
        <w:spacing w:line="360" w:lineRule="auto"/>
        <w:ind w:left="0" w:leftChars="0"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投标人应按照第二章“投标人须知”附录8资格审查条件（关键机电设备主要技术性能指标最低要求）要求填写本表。</w:t>
      </w:r>
    </w:p>
    <w:p w14:paraId="5D11B874">
      <w:pPr>
        <w:spacing w:line="360" w:lineRule="auto"/>
        <w:ind w:left="0" w:firstLine="420" w:firstLineChars="200"/>
        <w:rPr>
          <w:rFonts w:hAnsi="宋体" w:cs="宋体"/>
          <w:bCs/>
          <w:kern w:val="0"/>
          <w:szCs w:val="21"/>
        </w:rPr>
      </w:pP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.本表中“</w:t>
      </w:r>
      <w:r>
        <w:rPr>
          <w:rFonts w:hint="eastAsia" w:hAnsi="宋体" w:cs="宋体"/>
          <w:bCs/>
          <w:kern w:val="0"/>
          <w:szCs w:val="21"/>
        </w:rPr>
        <w:t>投标人拟提供的设备</w:t>
      </w:r>
      <w:r>
        <w:rPr>
          <w:rFonts w:hint="eastAsia" w:asciiTheme="minorEastAsia" w:hAnsiTheme="minorEastAsia" w:eastAsiaTheme="minorEastAsia"/>
          <w:kern w:val="0"/>
          <w:szCs w:val="21"/>
        </w:rPr>
        <w:t>”</w:t>
      </w:r>
      <w:r>
        <w:rPr>
          <w:rFonts w:hint="eastAsia" w:hAnsi="宋体" w:cs="宋体"/>
          <w:bCs/>
          <w:kern w:val="0"/>
          <w:szCs w:val="21"/>
        </w:rPr>
        <w:t>对应栏目以及“品牌及型号”栏由投标人根据自身情况进行填报。</w:t>
      </w:r>
    </w:p>
    <w:p w14:paraId="28DE30FE">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5</w:t>
      </w:r>
      <w:r>
        <w:rPr>
          <w:rFonts w:asciiTheme="minorEastAsia" w:hAnsiTheme="minorEastAsia" w:eastAsiaTheme="minorEastAsia"/>
          <w:kern w:val="0"/>
          <w:szCs w:val="21"/>
        </w:rPr>
        <w:t>.投标人拟提供的设备栏中的</w:t>
      </w:r>
      <w:r>
        <w:rPr>
          <w:rFonts w:hint="eastAsia" w:asciiTheme="minorEastAsia" w:hAnsiTheme="minorEastAsia" w:eastAsiaTheme="minorEastAsia"/>
          <w:kern w:val="0"/>
          <w:szCs w:val="21"/>
        </w:rPr>
        <w:t>“主要技术性能指标响应情况”的填写方式：</w:t>
      </w:r>
    </w:p>
    <w:p w14:paraId="3D671F31">
      <w:pPr>
        <w:spacing w:line="360" w:lineRule="auto"/>
        <w:ind w:left="0" w:leftChars="0"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1）“主要</w:t>
      </w:r>
      <w:r>
        <w:rPr>
          <w:rFonts w:hint="eastAsia" w:asciiTheme="minorEastAsia" w:hAnsiTheme="minorEastAsia" w:eastAsiaTheme="minorEastAsia"/>
          <w:kern w:val="0"/>
          <w:szCs w:val="21"/>
        </w:rPr>
        <w:t>技术性能指标要求”如为具体参数要求，投标人应结合拟提供设备的样本或检测报告或其他技术指标材料（以下简称“证明材料”）上对应的技术参数，与招标文件要求的指标一一对应填写拟提供设备的具体参数，并在本表后附相应的证明材料。拟提供设备证明材料中如有多个系列型号，投标人应在拟用的型号条目上及要求响应的指标上进行标注，以便审阅。</w:t>
      </w:r>
    </w:p>
    <w:p w14:paraId="4DA91FAE">
      <w:pPr>
        <w:spacing w:line="360" w:lineRule="auto"/>
        <w:ind w:left="0" w:leftChars="0"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2）“主要</w:t>
      </w:r>
      <w:r>
        <w:rPr>
          <w:rFonts w:hint="eastAsia" w:asciiTheme="minorEastAsia" w:hAnsiTheme="minorEastAsia" w:eastAsiaTheme="minorEastAsia"/>
          <w:kern w:val="0"/>
          <w:szCs w:val="21"/>
        </w:rPr>
        <w:t>技术性能指标要求”如为功能性要求，投标人应结合拟提供设备的证明材料填写“满足”或“不满足”。投标人拟提供设备的主要技术性能指标响应情况的描述与证明材料不一致，则以证明材料为准；如果证明材料中的主要参数不全，投标人可另附说明（具体指标参数以经厂家盖章的说明为准），但须就具体参数作出针对性的说明或承诺。</w:t>
      </w:r>
    </w:p>
    <w:p w14:paraId="074D531F">
      <w:pPr>
        <w:spacing w:line="360" w:lineRule="auto"/>
        <w:ind w:left="0" w:leftChars="0"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3）</w:t>
      </w:r>
      <w:r>
        <w:rPr>
          <w:rFonts w:hint="eastAsia" w:asciiTheme="minorEastAsia" w:hAnsiTheme="minorEastAsia" w:eastAsiaTheme="minorEastAsia"/>
          <w:kern w:val="0"/>
          <w:szCs w:val="21"/>
        </w:rPr>
        <w:t>“主要技术性能指标要求”如为业绩要求，投标人应结合拟提供设备的业绩情况填写“满足”或“不满足”，并将业绩证明材料附在表后，业绩证明材料为：□发包人证明、□其他：</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w:t>
      </w:r>
    </w:p>
    <w:p w14:paraId="5909C0B1">
      <w:pPr>
        <w:spacing w:line="360" w:lineRule="auto"/>
        <w:ind w:left="0" w:leftChars="0" w:firstLine="420" w:firstLineChars="200"/>
        <w:rPr>
          <w:rFonts w:hAnsi="Calibri"/>
          <w:kern w:val="0"/>
          <w:szCs w:val="21"/>
        </w:rPr>
      </w:pP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“本</w:t>
      </w:r>
      <w:r>
        <w:rPr>
          <w:rFonts w:asciiTheme="minorEastAsia" w:hAnsiTheme="minorEastAsia" w:eastAsiaTheme="minorEastAsia"/>
          <w:kern w:val="0"/>
          <w:szCs w:val="21"/>
        </w:rPr>
        <w:t>设备的所有证明材料</w:t>
      </w:r>
      <w:r>
        <w:rPr>
          <w:rFonts w:hint="eastAsia" w:asciiTheme="minorEastAsia" w:hAnsiTheme="minorEastAsia" w:eastAsiaTheme="minorEastAsia"/>
          <w:kern w:val="0"/>
          <w:szCs w:val="21"/>
        </w:rPr>
        <w:t>总</w:t>
      </w:r>
      <w:r>
        <w:rPr>
          <w:rFonts w:asciiTheme="minorEastAsia" w:hAnsiTheme="minorEastAsia" w:eastAsiaTheme="minorEastAsia"/>
          <w:kern w:val="0"/>
          <w:szCs w:val="21"/>
        </w:rPr>
        <w:t>页数</w:t>
      </w:r>
      <w:r>
        <w:rPr>
          <w:rFonts w:hint="eastAsia" w:asciiTheme="minorEastAsia" w:hAnsiTheme="minorEastAsia" w:eastAsiaTheme="minorEastAsia"/>
          <w:kern w:val="0"/>
          <w:szCs w:val="21"/>
        </w:rPr>
        <w:t>”的填写方式：投标人根据填写的该</w:t>
      </w:r>
      <w:r>
        <w:rPr>
          <w:rFonts w:asciiTheme="minorEastAsia" w:hAnsiTheme="minorEastAsia" w:eastAsiaTheme="minorEastAsia"/>
          <w:kern w:val="0"/>
          <w:szCs w:val="21"/>
        </w:rPr>
        <w:t>设备的</w:t>
      </w:r>
      <w:r>
        <w:rPr>
          <w:rFonts w:hint="eastAsia" w:asciiTheme="minorEastAsia" w:hAnsiTheme="minorEastAsia" w:eastAsiaTheme="minorEastAsia"/>
          <w:kern w:val="0"/>
          <w:szCs w:val="21"/>
        </w:rPr>
        <w:t>主要技术性能指标响应情</w:t>
      </w:r>
      <w:r>
        <w:rPr>
          <w:rFonts w:hint="eastAsia" w:hAnsi="Calibri"/>
          <w:kern w:val="0"/>
          <w:szCs w:val="21"/>
        </w:rPr>
        <w:t>况，将拟提供该设备的所有证明材料的总页数填写到对应设备的表栏中。</w:t>
      </w:r>
    </w:p>
    <w:p w14:paraId="28B01FD5">
      <w:p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本设备技术性能指标的证明材料对应所在页码”的填写方式：投标人根据填写的本设备主要技术性能指标响应情况，将拟提供该设备的相应指标证明材料在该设备总页数排序中的所在具体页码填写到对应主要技术性能指标响应情况的表栏中。</w:t>
      </w:r>
    </w:p>
    <w:p w14:paraId="10F9124B">
      <w:p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“品牌及型号”的填写方式：投标人根据招标文件的要求，将拟提供设备的品牌及型号填写在对应的表栏中。</w:t>
      </w:r>
    </w:p>
    <w:p w14:paraId="5E958150">
      <w:p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本表中的某项主要设备未附证明材料或证明材料不全或不能与所证明的内容相匹配的，投标人的该项关键设备技术指标视为不满足招标文件对应的要求，投标人自行承担相关责任。</w:t>
      </w:r>
    </w:p>
    <w:p w14:paraId="73B12A3F">
      <w:pPr>
        <w:spacing w:line="360" w:lineRule="auto"/>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拟提供设备对于同一类型设备须为同一品牌，否则发包人有权要求承包人在合同执行期间进行更换。</w:t>
      </w:r>
    </w:p>
    <w:p w14:paraId="4BE97352">
      <w:pPr>
        <w:numPr>
          <w:ilvl w:val="-1"/>
          <w:numId w:val="0"/>
        </w:num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如本表</w:t>
      </w:r>
      <w:r>
        <w:rPr>
          <w:rFonts w:asciiTheme="minorEastAsia" w:hAnsiTheme="minorEastAsia" w:eastAsiaTheme="minorEastAsia"/>
          <w:szCs w:val="21"/>
        </w:rPr>
        <w:t>“主要</w:t>
      </w:r>
      <w:r>
        <w:rPr>
          <w:rFonts w:hint="eastAsia" w:asciiTheme="minorEastAsia" w:hAnsiTheme="minorEastAsia" w:eastAsiaTheme="minorEastAsia"/>
          <w:szCs w:val="21"/>
        </w:rPr>
        <w:t>技术性能指标要求”与技术规范不一致，以本表中主要性能指标要求为准。</w:t>
      </w:r>
    </w:p>
    <w:p w14:paraId="1AC553B3">
      <w:pPr>
        <w:pStyle w:val="48"/>
        <w:ind w:left="0" w:leftChars="0"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上述证明材料均指“原件原色扫描件”或“黑白/彩色扫描件”。</w:t>
      </w:r>
    </w:p>
    <w:p w14:paraId="7AB5B7B6">
      <w:pPr>
        <w:numPr>
          <w:ilvl w:val="0"/>
          <w:numId w:val="12"/>
        </w:numPr>
        <w:jc w:val="center"/>
        <w:rPr>
          <w:rFonts w:ascii="黑体" w:hAnsi="黑体" w:eastAsia="黑体"/>
          <w:sz w:val="30"/>
          <w:szCs w:val="30"/>
        </w:rPr>
        <w:sectPr>
          <w:footnotePr>
            <w:numFmt w:val="decimalEnclosedCircleChinese"/>
            <w:numRestart w:val="eachPage"/>
          </w:footnotePr>
          <w:pgSz w:w="11900" w:h="16838"/>
          <w:pgMar w:top="1418" w:right="1418" w:bottom="1418" w:left="1701" w:header="850" w:footer="992" w:gutter="0"/>
          <w:cols w:space="720" w:num="1"/>
          <w:docGrid w:linePitch="312" w:charSpace="0"/>
        </w:sectPr>
      </w:pPr>
    </w:p>
    <w:p w14:paraId="062D0B7C">
      <w:pPr>
        <w:numPr>
          <w:ilvl w:val="0"/>
          <w:numId w:val="12"/>
        </w:numPr>
        <w:jc w:val="center"/>
        <w:rPr>
          <w:rFonts w:ascii="黑体" w:hAnsi="黑体" w:eastAsia="黑体"/>
          <w:sz w:val="30"/>
          <w:szCs w:val="30"/>
        </w:rPr>
      </w:pPr>
      <w:r>
        <w:rPr>
          <w:rFonts w:hint="eastAsia" w:ascii="黑体" w:hAnsi="黑体" w:eastAsia="黑体"/>
          <w:sz w:val="30"/>
          <w:szCs w:val="30"/>
        </w:rPr>
        <w:t>其他资料（如有）</w:t>
      </w:r>
    </w:p>
    <w:p w14:paraId="77AC92A7">
      <w:pPr>
        <w:jc w:val="center"/>
        <w:rPr>
          <w:rFonts w:ascii="宋体" w:hAnsi="宋体"/>
          <w:b/>
          <w:sz w:val="30"/>
          <w:szCs w:val="30"/>
        </w:rPr>
      </w:pPr>
    </w:p>
    <w:p w14:paraId="107977D7">
      <w:pPr>
        <w:jc w:val="center"/>
        <w:rPr>
          <w:rFonts w:ascii="宋体" w:hAnsi="宋体"/>
          <w:b/>
          <w:sz w:val="30"/>
          <w:szCs w:val="30"/>
        </w:rPr>
      </w:pPr>
    </w:p>
    <w:p w14:paraId="79C46A76">
      <w:pPr>
        <w:jc w:val="center"/>
        <w:rPr>
          <w:rFonts w:ascii="宋体" w:hAnsi="宋体"/>
          <w:b/>
          <w:sz w:val="30"/>
          <w:szCs w:val="30"/>
        </w:rPr>
      </w:pPr>
    </w:p>
    <w:p w14:paraId="2370512A">
      <w:pPr>
        <w:spacing w:before="13"/>
        <w:ind w:left="217"/>
        <w:jc w:val="center"/>
        <w:rPr>
          <w:rFonts w:ascii="宋体" w:hAnsi="宋体"/>
          <w:sz w:val="30"/>
          <w:szCs w:val="30"/>
        </w:rPr>
      </w:pPr>
    </w:p>
    <w:p w14:paraId="4939632F">
      <w:pPr>
        <w:spacing w:before="13"/>
        <w:ind w:left="217"/>
        <w:jc w:val="center"/>
        <w:rPr>
          <w:rFonts w:ascii="宋体" w:hAnsi="宋体"/>
          <w:sz w:val="30"/>
          <w:szCs w:val="30"/>
        </w:rPr>
      </w:pPr>
    </w:p>
    <w:p w14:paraId="79EE9693">
      <w:pPr>
        <w:pStyle w:val="299"/>
        <w:rPr>
          <w:rFonts w:ascii="宋体" w:hAnsi="宋体" w:cs="宋体"/>
        </w:rPr>
      </w:pPr>
      <w:r>
        <w:rPr>
          <w:rFonts w:hint="eastAsia" w:ascii="宋体" w:hAnsi="宋体" w:cs="宋体"/>
        </w:rPr>
        <w:t>注：指投标人认为需要附的其他资料。</w:t>
      </w:r>
    </w:p>
    <w:p w14:paraId="4587F447">
      <w:pPr>
        <w:spacing w:before="13"/>
        <w:ind w:left="217"/>
        <w:jc w:val="center"/>
        <w:rPr>
          <w:rFonts w:ascii="宋体" w:hAnsi="宋体"/>
          <w:sz w:val="30"/>
          <w:szCs w:val="30"/>
        </w:rPr>
      </w:pPr>
    </w:p>
    <w:p w14:paraId="055F1C1E">
      <w:pPr>
        <w:pStyle w:val="20"/>
        <w:spacing w:before="188"/>
        <w:ind w:left="2481" w:right="103"/>
      </w:pPr>
    </w:p>
    <w:p w14:paraId="61B5D777">
      <w:pPr>
        <w:pStyle w:val="20"/>
        <w:spacing w:before="188"/>
        <w:ind w:left="2481" w:right="103"/>
      </w:pPr>
    </w:p>
    <w:p w14:paraId="061107AE">
      <w:pPr>
        <w:rPr>
          <w:rFonts w:ascii="宋体" w:hAnsi="宋体"/>
        </w:rPr>
        <w:sectPr>
          <w:footnotePr>
            <w:numFmt w:val="decimalEnclosedCircleChinese"/>
            <w:numRestart w:val="eachPage"/>
          </w:footnotePr>
          <w:pgSz w:w="11900" w:h="16838"/>
          <w:pgMar w:top="1418" w:right="1418" w:bottom="1418" w:left="1701" w:header="850" w:footer="992" w:gutter="0"/>
          <w:cols w:space="720" w:num="1"/>
          <w:docGrid w:linePitch="312" w:charSpace="0"/>
        </w:sectPr>
      </w:pPr>
    </w:p>
    <w:p w14:paraId="41239FEC">
      <w:pPr>
        <w:pStyle w:val="20"/>
        <w:rPr>
          <w:sz w:val="20"/>
        </w:rPr>
      </w:pPr>
    </w:p>
    <w:p w14:paraId="24BE7381">
      <w:pPr>
        <w:pStyle w:val="20"/>
        <w:spacing w:before="9"/>
        <w:rPr>
          <w:b/>
          <w:sz w:val="36"/>
          <w:szCs w:val="36"/>
        </w:rPr>
      </w:pPr>
      <w:r>
        <w:rPr>
          <w:sz w:val="36"/>
          <w:szCs w:val="36"/>
        </w:rPr>
        <w:br w:type="page"/>
      </w:r>
    </w:p>
    <w:p w14:paraId="660DE6DA">
      <w:pPr>
        <w:pStyle w:val="20"/>
        <w:tabs>
          <w:tab w:val="left" w:pos="3585"/>
          <w:tab w:val="left" w:pos="5670"/>
        </w:tabs>
        <w:wordWrap w:val="0"/>
        <w:spacing w:before="148"/>
        <w:jc w:val="center"/>
        <w:rPr>
          <w:b/>
          <w:sz w:val="36"/>
          <w:szCs w:val="36"/>
          <w:u w:val="single"/>
        </w:rPr>
      </w:pPr>
    </w:p>
    <w:p w14:paraId="72AB44FF">
      <w:pPr>
        <w:pStyle w:val="20"/>
        <w:tabs>
          <w:tab w:val="left" w:pos="3585"/>
          <w:tab w:val="left" w:pos="5670"/>
        </w:tabs>
        <w:spacing w:before="148" w:line="360" w:lineRule="auto"/>
        <w:jc w:val="center"/>
        <w:rPr>
          <w:rFonts w:ascii="黑体" w:hAnsi="黑体" w:eastAsia="黑体"/>
          <w:sz w:val="32"/>
          <w:szCs w:val="32"/>
          <w:u w:val="single"/>
        </w:rPr>
      </w:pPr>
      <w:r>
        <w:rPr>
          <w:rFonts w:ascii="黑体" w:hAnsi="黑体" w:eastAsia="黑体"/>
          <w:sz w:val="32"/>
          <w:szCs w:val="32"/>
          <w:u w:val="single"/>
        </w:rPr>
        <w:t xml:space="preserve">           </w:t>
      </w:r>
      <w:r>
        <w:rPr>
          <w:rFonts w:ascii="黑体" w:hAnsi="黑体" w:eastAsia="黑体"/>
          <w:sz w:val="32"/>
          <w:szCs w:val="32"/>
        </w:rPr>
        <w:t>（</w:t>
      </w:r>
      <w:r>
        <w:rPr>
          <w:rFonts w:hint="eastAsia" w:ascii="黑体" w:hAnsi="黑体" w:eastAsia="黑体"/>
          <w:sz w:val="32"/>
          <w:szCs w:val="32"/>
        </w:rPr>
        <w:t>招标项目名称</w:t>
      </w:r>
      <w:r>
        <w:rPr>
          <w:rFonts w:ascii="黑体" w:hAnsi="黑体" w:eastAsia="黑体"/>
          <w:sz w:val="32"/>
          <w:szCs w:val="32"/>
        </w:rPr>
        <w:t>）</w:t>
      </w:r>
      <w:r>
        <w:rPr>
          <w:rFonts w:hint="eastAsia" w:ascii="黑体" w:hAnsi="黑体" w:eastAsia="黑体"/>
          <w:sz w:val="32"/>
          <w:szCs w:val="32"/>
          <w:lang w:val="en-US" w:eastAsia="zh-CN"/>
        </w:rPr>
        <w:t>设计施工总承包</w:t>
      </w:r>
      <w:r>
        <w:rPr>
          <w:rFonts w:ascii="黑体" w:hAnsi="黑体" w:eastAsia="黑体"/>
          <w:sz w:val="32"/>
          <w:szCs w:val="32"/>
          <w:u w:val="single"/>
        </w:rPr>
        <w:t xml:space="preserve">   </w:t>
      </w:r>
      <w:r>
        <w:rPr>
          <w:rFonts w:hint="eastAsia" w:ascii="黑体" w:hAnsi="黑体" w:eastAsia="黑体"/>
          <w:sz w:val="32"/>
          <w:szCs w:val="32"/>
        </w:rPr>
        <w:t>标段</w:t>
      </w:r>
    </w:p>
    <w:p w14:paraId="20C43241">
      <w:pPr>
        <w:pStyle w:val="20"/>
        <w:spacing w:line="360" w:lineRule="auto"/>
        <w:jc w:val="center"/>
        <w:rPr>
          <w:rFonts w:ascii="黑体" w:hAnsi="黑体" w:eastAsia="黑体"/>
          <w:sz w:val="32"/>
          <w:szCs w:val="32"/>
        </w:rPr>
      </w:pPr>
    </w:p>
    <w:p w14:paraId="28A60E55">
      <w:pPr>
        <w:pStyle w:val="20"/>
        <w:rPr>
          <w:sz w:val="20"/>
        </w:rPr>
      </w:pPr>
    </w:p>
    <w:p w14:paraId="2083359E">
      <w:pPr>
        <w:pStyle w:val="20"/>
        <w:rPr>
          <w:sz w:val="20"/>
        </w:rPr>
      </w:pPr>
    </w:p>
    <w:p w14:paraId="3B5F104B">
      <w:pPr>
        <w:pStyle w:val="20"/>
        <w:rPr>
          <w:sz w:val="20"/>
        </w:rPr>
      </w:pPr>
    </w:p>
    <w:p w14:paraId="4EA5D4A3">
      <w:pPr>
        <w:pStyle w:val="20"/>
        <w:rPr>
          <w:sz w:val="20"/>
        </w:rPr>
      </w:pPr>
    </w:p>
    <w:p w14:paraId="64950DB7">
      <w:pPr>
        <w:pStyle w:val="20"/>
        <w:rPr>
          <w:sz w:val="20"/>
        </w:rPr>
      </w:pPr>
    </w:p>
    <w:p w14:paraId="2F8F9C7A">
      <w:pPr>
        <w:pStyle w:val="20"/>
        <w:rPr>
          <w:sz w:val="20"/>
        </w:rPr>
      </w:pPr>
    </w:p>
    <w:p w14:paraId="2F0DF9B4">
      <w:pPr>
        <w:pStyle w:val="20"/>
        <w:rPr>
          <w:sz w:val="20"/>
        </w:rPr>
      </w:pPr>
    </w:p>
    <w:p w14:paraId="09BB160C">
      <w:pPr>
        <w:pStyle w:val="20"/>
        <w:rPr>
          <w:sz w:val="20"/>
        </w:rPr>
      </w:pPr>
    </w:p>
    <w:p w14:paraId="4717D719">
      <w:pPr>
        <w:pStyle w:val="20"/>
        <w:rPr>
          <w:sz w:val="20"/>
        </w:rPr>
      </w:pPr>
    </w:p>
    <w:p w14:paraId="3D2664BC">
      <w:pPr>
        <w:pStyle w:val="20"/>
        <w:rPr>
          <w:sz w:val="20"/>
        </w:rPr>
      </w:pPr>
    </w:p>
    <w:p w14:paraId="79A1A34F">
      <w:pPr>
        <w:pStyle w:val="20"/>
        <w:spacing w:before="9"/>
        <w:rPr>
          <w:sz w:val="17"/>
        </w:rPr>
      </w:pPr>
    </w:p>
    <w:p w14:paraId="21A8F876">
      <w:pPr>
        <w:pStyle w:val="221"/>
        <w:tabs>
          <w:tab w:val="left" w:pos="1477"/>
          <w:tab w:val="left" w:pos="2917"/>
          <w:tab w:val="left" w:pos="4357"/>
        </w:tabs>
        <w:spacing w:line="820" w:lineRule="exact"/>
        <w:rPr>
          <w:b/>
          <w:lang w:eastAsia="zh-CN"/>
        </w:rPr>
      </w:pPr>
      <w:bookmarkStart w:id="910" w:name="_Toc27059931"/>
      <w:bookmarkStart w:id="911" w:name="_Toc27059558"/>
      <w:bookmarkStart w:id="912" w:name="_Toc27060736"/>
      <w:bookmarkStart w:id="913" w:name="_Toc27059829"/>
      <w:bookmarkStart w:id="914" w:name="_Toc53685817"/>
      <w:bookmarkStart w:id="915" w:name="_Toc27059739"/>
      <w:r>
        <w:rPr>
          <w:b/>
          <w:lang w:eastAsia="zh-CN"/>
        </w:rPr>
        <w:t>投</w:t>
      </w:r>
      <w:r>
        <w:rPr>
          <w:b/>
          <w:lang w:eastAsia="zh-CN"/>
        </w:rPr>
        <w:tab/>
      </w:r>
      <w:r>
        <w:rPr>
          <w:b/>
          <w:lang w:eastAsia="zh-CN"/>
        </w:rPr>
        <w:t>标</w:t>
      </w:r>
      <w:r>
        <w:rPr>
          <w:b/>
          <w:lang w:eastAsia="zh-CN"/>
        </w:rPr>
        <w:tab/>
      </w:r>
      <w:r>
        <w:rPr>
          <w:b/>
          <w:lang w:eastAsia="zh-CN"/>
        </w:rPr>
        <w:t>文</w:t>
      </w:r>
      <w:r>
        <w:rPr>
          <w:b/>
          <w:lang w:eastAsia="zh-CN"/>
        </w:rPr>
        <w:tab/>
      </w:r>
      <w:r>
        <w:rPr>
          <w:b/>
          <w:lang w:eastAsia="zh-CN"/>
        </w:rPr>
        <w:t>件</w:t>
      </w:r>
      <w:bookmarkEnd w:id="910"/>
      <w:bookmarkEnd w:id="911"/>
      <w:bookmarkEnd w:id="912"/>
      <w:bookmarkEnd w:id="913"/>
      <w:bookmarkEnd w:id="914"/>
      <w:bookmarkEnd w:id="915"/>
    </w:p>
    <w:p w14:paraId="2FAEAEC9">
      <w:pPr>
        <w:pStyle w:val="263"/>
        <w:spacing w:before="521"/>
        <w:ind w:left="38"/>
        <w:rPr>
          <w:lang w:eastAsia="zh-CN"/>
        </w:rPr>
      </w:pPr>
      <w:r>
        <w:rPr>
          <w:lang w:eastAsia="zh-CN"/>
        </w:rPr>
        <w:t>第二个信封（报价文件）</w:t>
      </w:r>
    </w:p>
    <w:p w14:paraId="1171EA19">
      <w:pPr>
        <w:pStyle w:val="20"/>
        <w:rPr>
          <w:sz w:val="32"/>
        </w:rPr>
      </w:pPr>
    </w:p>
    <w:p w14:paraId="569C22ED">
      <w:pPr>
        <w:pStyle w:val="20"/>
        <w:rPr>
          <w:sz w:val="32"/>
        </w:rPr>
      </w:pPr>
    </w:p>
    <w:p w14:paraId="7E0DFF13">
      <w:pPr>
        <w:pStyle w:val="20"/>
        <w:rPr>
          <w:sz w:val="32"/>
        </w:rPr>
      </w:pPr>
    </w:p>
    <w:p w14:paraId="2629B024">
      <w:pPr>
        <w:pStyle w:val="20"/>
        <w:rPr>
          <w:sz w:val="32"/>
        </w:rPr>
      </w:pPr>
    </w:p>
    <w:p w14:paraId="1D1B6589">
      <w:pPr>
        <w:pStyle w:val="20"/>
        <w:rPr>
          <w:sz w:val="32"/>
        </w:rPr>
      </w:pPr>
    </w:p>
    <w:p w14:paraId="02BD3A0C">
      <w:pPr>
        <w:pStyle w:val="20"/>
        <w:rPr>
          <w:sz w:val="32"/>
        </w:rPr>
      </w:pPr>
    </w:p>
    <w:p w14:paraId="25A595EC">
      <w:pPr>
        <w:pStyle w:val="20"/>
        <w:rPr>
          <w:sz w:val="32"/>
        </w:rPr>
      </w:pPr>
    </w:p>
    <w:p w14:paraId="42C58BC1">
      <w:pPr>
        <w:pStyle w:val="20"/>
        <w:rPr>
          <w:sz w:val="32"/>
        </w:rPr>
      </w:pPr>
    </w:p>
    <w:p w14:paraId="28E2D835">
      <w:pPr>
        <w:pStyle w:val="20"/>
        <w:rPr>
          <w:sz w:val="32"/>
        </w:rPr>
      </w:pPr>
    </w:p>
    <w:p w14:paraId="69BC99A2">
      <w:pPr>
        <w:pStyle w:val="20"/>
        <w:rPr>
          <w:sz w:val="32"/>
        </w:rPr>
      </w:pPr>
    </w:p>
    <w:p w14:paraId="3967835E">
      <w:pPr>
        <w:pStyle w:val="20"/>
        <w:rPr>
          <w:sz w:val="32"/>
        </w:rPr>
      </w:pPr>
    </w:p>
    <w:p w14:paraId="765C5691">
      <w:pPr>
        <w:pStyle w:val="20"/>
        <w:rPr>
          <w:sz w:val="32"/>
        </w:rPr>
      </w:pPr>
    </w:p>
    <w:p w14:paraId="15BA9774">
      <w:pPr>
        <w:pStyle w:val="20"/>
        <w:rPr>
          <w:sz w:val="32"/>
        </w:rPr>
      </w:pPr>
    </w:p>
    <w:p w14:paraId="5EBCD00D">
      <w:pPr>
        <w:pStyle w:val="299"/>
        <w:jc w:val="center"/>
        <w:rPr>
          <w:rFonts w:ascii="黑体" w:hAnsi="黑体" w:eastAsia="黑体"/>
          <w:sz w:val="28"/>
          <w:szCs w:val="28"/>
        </w:rPr>
      </w:pPr>
      <w:r>
        <w:rPr>
          <w:rFonts w:hint="eastAsia" w:ascii="黑体" w:hAnsi="黑体" w:eastAsia="黑体"/>
          <w:sz w:val="28"/>
          <w:szCs w:val="28"/>
        </w:rPr>
        <w:t>投标人：</w:t>
      </w:r>
      <w:r>
        <w:rPr>
          <w:rFonts w:ascii="黑体" w:hAnsi="黑体" w:eastAsia="黑体"/>
          <w:sz w:val="28"/>
          <w:szCs w:val="28"/>
          <w:u w:val="single"/>
        </w:rPr>
        <w:t xml:space="preserve">            （全称）   </w:t>
      </w:r>
      <w:r>
        <w:rPr>
          <w:rFonts w:hint="eastAsia" w:ascii="黑体" w:hAnsi="黑体" w:eastAsia="黑体"/>
          <w:sz w:val="28"/>
          <w:szCs w:val="28"/>
          <w:u w:val="single"/>
          <w:lang w:val="en-US" w:eastAsia="zh-CN"/>
        </w:rPr>
        <w:t xml:space="preserve">     </w:t>
      </w:r>
      <w:r>
        <w:rPr>
          <w:rFonts w:ascii="黑体" w:hAnsi="黑体" w:eastAsia="黑体"/>
          <w:sz w:val="28"/>
          <w:szCs w:val="28"/>
          <w:u w:val="single"/>
        </w:rPr>
        <w:t xml:space="preserve">    </w:t>
      </w:r>
    </w:p>
    <w:p w14:paraId="7066F29F">
      <w:pPr>
        <w:pStyle w:val="299"/>
        <w:ind w:firstLine="0" w:firstLineChars="0"/>
        <w:jc w:val="center"/>
        <w:rPr>
          <w:rFonts w:ascii="黑体" w:hAnsi="黑体" w:eastAsia="黑体"/>
          <w:sz w:val="28"/>
          <w:szCs w:val="28"/>
        </w:rPr>
      </w:pPr>
    </w:p>
    <w:p w14:paraId="4210AF47">
      <w:pPr>
        <w:pStyle w:val="299"/>
        <w:ind w:firstLine="0" w:firstLineChars="0"/>
        <w:jc w:val="center"/>
        <w:rPr>
          <w:rFonts w:ascii="黑体" w:hAnsi="黑体" w:eastAsia="黑体"/>
          <w:sz w:val="28"/>
          <w:szCs w:val="28"/>
        </w:rPr>
      </w:pPr>
      <w:r>
        <w:rPr>
          <w:rFonts w:hint="eastAsia" w:ascii="黑体" w:hAnsi="黑体" w:eastAsia="黑体"/>
          <w:sz w:val="28"/>
          <w:szCs w:val="28"/>
        </w:rPr>
        <w:t>年</w:t>
      </w:r>
      <w:r>
        <w:rPr>
          <w:rFonts w:ascii="黑体" w:hAnsi="黑体" w:eastAsia="黑体"/>
          <w:sz w:val="28"/>
          <w:szCs w:val="28"/>
          <w:u w:val="single"/>
        </w:rPr>
        <w:t xml:space="preserve">    </w:t>
      </w:r>
      <w:r>
        <w:rPr>
          <w:rFonts w:ascii="黑体" w:hAnsi="黑体" w:eastAsia="黑体"/>
          <w:sz w:val="28"/>
          <w:szCs w:val="28"/>
          <w:u w:val="single"/>
        </w:rPr>
        <w:tab/>
      </w:r>
      <w:r>
        <w:rPr>
          <w:rFonts w:hint="eastAsia" w:ascii="黑体" w:hAnsi="黑体" w:eastAsia="黑体"/>
          <w:sz w:val="28"/>
          <w:szCs w:val="28"/>
        </w:rPr>
        <w:t>月</w:t>
      </w:r>
      <w:r>
        <w:rPr>
          <w:rFonts w:ascii="黑体" w:hAnsi="黑体" w:eastAsia="黑体"/>
          <w:sz w:val="28"/>
          <w:szCs w:val="28"/>
          <w:u w:val="single"/>
        </w:rPr>
        <w:t xml:space="preserve">       </w:t>
      </w:r>
      <w:r>
        <w:rPr>
          <w:rFonts w:hint="eastAsia" w:ascii="黑体" w:hAnsi="黑体" w:eastAsia="黑体"/>
          <w:sz w:val="28"/>
          <w:szCs w:val="28"/>
        </w:rPr>
        <w:t>日</w:t>
      </w:r>
    </w:p>
    <w:p w14:paraId="59735C43">
      <w:pPr>
        <w:pStyle w:val="299"/>
        <w:ind w:firstLine="1687" w:firstLineChars="600"/>
        <w:rPr>
          <w:b/>
          <w:sz w:val="28"/>
          <w:szCs w:val="28"/>
        </w:rPr>
      </w:pPr>
    </w:p>
    <w:p w14:paraId="6C70D33A">
      <w:pPr>
        <w:pStyle w:val="299"/>
        <w:ind w:firstLine="1687" w:firstLineChars="600"/>
        <w:rPr>
          <w:b/>
          <w:sz w:val="28"/>
          <w:szCs w:val="28"/>
        </w:rPr>
        <w:sectPr>
          <w:footerReference r:id="rId32" w:type="default"/>
          <w:footerReference r:id="rId33" w:type="even"/>
          <w:footnotePr>
            <w:numFmt w:val="decimalEnclosedCircleChinese"/>
            <w:numRestart w:val="eachPage"/>
          </w:footnotePr>
          <w:type w:val="continuous"/>
          <w:pgSz w:w="11900" w:h="16838"/>
          <w:pgMar w:top="1418" w:right="1418" w:bottom="1418" w:left="1701" w:header="851" w:footer="624" w:gutter="0"/>
          <w:cols w:space="720" w:num="1"/>
          <w:docGrid w:linePitch="312" w:charSpace="0"/>
        </w:sectPr>
      </w:pPr>
    </w:p>
    <w:p w14:paraId="702FAC2D">
      <w:pPr>
        <w:pStyle w:val="299"/>
        <w:rPr>
          <w:b/>
          <w:sz w:val="28"/>
          <w:szCs w:val="28"/>
        </w:rPr>
      </w:pPr>
      <w:r>
        <w:rPr>
          <w:b/>
          <w:sz w:val="28"/>
          <w:szCs w:val="28"/>
        </w:rPr>
        <w:t xml:space="preserve">            </w:t>
      </w:r>
    </w:p>
    <w:p w14:paraId="48285BB8">
      <w:pPr>
        <w:rPr>
          <w:rFonts w:ascii="宋体" w:hAnsi="宋体"/>
          <w:sz w:val="28"/>
          <w:szCs w:val="28"/>
        </w:rPr>
        <w:sectPr>
          <w:footnotePr>
            <w:numFmt w:val="decimalEnclosedCircleChinese"/>
            <w:numRestart w:val="eachPage"/>
          </w:footnotePr>
          <w:type w:val="continuous"/>
          <w:pgSz w:w="11900" w:h="16838"/>
          <w:pgMar w:top="1417" w:right="1134" w:bottom="1134" w:left="1417" w:header="850" w:footer="992" w:gutter="0"/>
          <w:cols w:space="720" w:num="1"/>
          <w:docGrid w:linePitch="312" w:charSpace="0"/>
        </w:sectPr>
      </w:pPr>
    </w:p>
    <w:p w14:paraId="72CA26FA">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注：以联合体形式投标的，投标人为联合体牵头人单位全称。</w:t>
      </w:r>
    </w:p>
    <w:p w14:paraId="54F54FB6">
      <w:pPr>
        <w:spacing w:before="0"/>
        <w:ind w:left="0"/>
        <w:jc w:val="left"/>
        <w:rPr>
          <w:rFonts w:hint="eastAsia" w:ascii="黑体" w:hAnsi="黑体" w:eastAsia="黑体"/>
          <w:sz w:val="32"/>
          <w:szCs w:val="32"/>
        </w:rPr>
      </w:pPr>
      <w:r>
        <w:rPr>
          <w:rFonts w:hint="eastAsia" w:ascii="黑体" w:hAnsi="黑体" w:eastAsia="黑体"/>
          <w:sz w:val="32"/>
          <w:szCs w:val="32"/>
        </w:rPr>
        <w:br w:type="page"/>
      </w:r>
    </w:p>
    <w:p w14:paraId="7C3E660D">
      <w:pPr>
        <w:tabs>
          <w:tab w:val="left" w:pos="1421"/>
        </w:tabs>
        <w:spacing w:before="7"/>
        <w:ind w:left="368"/>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ab/>
      </w:r>
      <w:r>
        <w:rPr>
          <w:rFonts w:hint="eastAsia" w:ascii="黑体" w:hAnsi="黑体" w:eastAsia="黑体"/>
          <w:sz w:val="32"/>
          <w:szCs w:val="32"/>
        </w:rPr>
        <w:t>录</w:t>
      </w:r>
    </w:p>
    <w:p w14:paraId="513E14A2">
      <w:pPr>
        <w:pStyle w:val="20"/>
        <w:spacing w:before="7"/>
        <w:rPr>
          <w:b/>
          <w:sz w:val="42"/>
        </w:rPr>
      </w:pPr>
    </w:p>
    <w:p w14:paraId="56976054">
      <w:pPr>
        <w:pStyle w:val="20"/>
        <w:spacing w:before="7"/>
        <w:rPr>
          <w:b/>
          <w:sz w:val="42"/>
        </w:rPr>
      </w:pPr>
    </w:p>
    <w:p w14:paraId="399ECA76">
      <w:pPr>
        <w:pStyle w:val="20"/>
        <w:spacing w:line="480" w:lineRule="auto"/>
        <w:ind w:right="4587"/>
      </w:pPr>
      <w:r>
        <w:t>一、投标函</w:t>
      </w:r>
      <w:r>
        <w:rPr>
          <w:rFonts w:hint="eastAsia"/>
        </w:rPr>
        <w:t>（第二个信封）</w:t>
      </w:r>
      <w:r>
        <w:t xml:space="preserve"> </w:t>
      </w:r>
    </w:p>
    <w:p w14:paraId="7DE0184F">
      <w:pPr>
        <w:pStyle w:val="20"/>
        <w:spacing w:line="480" w:lineRule="auto"/>
        <w:ind w:right="4587"/>
      </w:pPr>
      <w:r>
        <w:t>二、已标价价格清单</w:t>
      </w:r>
      <w:r>
        <w:rPr>
          <w:rFonts w:hint="eastAsia"/>
        </w:rPr>
        <w:t>（如有）</w:t>
      </w:r>
      <w:r>
        <w:t xml:space="preserve"> </w:t>
      </w:r>
    </w:p>
    <w:p w14:paraId="42B20113">
      <w:pPr>
        <w:spacing w:before="8" w:line="360" w:lineRule="auto"/>
        <w:ind w:left="3620" w:right="3563"/>
        <w:jc w:val="center"/>
        <w:rPr>
          <w:rFonts w:ascii="宋体" w:hAnsi="宋体"/>
          <w:b/>
          <w:sz w:val="30"/>
        </w:rPr>
      </w:pPr>
      <w:bookmarkStart w:id="916" w:name="_TOC_250016"/>
      <w:bookmarkEnd w:id="916"/>
    </w:p>
    <w:p w14:paraId="14384FA0">
      <w:pPr>
        <w:spacing w:before="8" w:line="360" w:lineRule="auto"/>
        <w:ind w:left="3620" w:right="3563"/>
        <w:jc w:val="center"/>
        <w:rPr>
          <w:rFonts w:ascii="宋体" w:hAnsi="宋体"/>
          <w:b/>
          <w:sz w:val="30"/>
        </w:rPr>
      </w:pPr>
    </w:p>
    <w:p w14:paraId="78A8A66A">
      <w:pPr>
        <w:spacing w:before="8" w:line="360" w:lineRule="auto"/>
        <w:ind w:left="3620" w:right="3563"/>
        <w:jc w:val="center"/>
        <w:rPr>
          <w:rFonts w:ascii="宋体" w:hAnsi="宋体"/>
          <w:b/>
          <w:sz w:val="30"/>
        </w:rPr>
      </w:pPr>
    </w:p>
    <w:p w14:paraId="100A436F">
      <w:pPr>
        <w:jc w:val="center"/>
        <w:rPr>
          <w:rFonts w:ascii="黑体" w:hAnsi="黑体" w:eastAsia="黑体"/>
          <w:sz w:val="30"/>
          <w:szCs w:val="30"/>
        </w:rPr>
      </w:pPr>
      <w:r>
        <w:br w:type="page"/>
      </w:r>
      <w:r>
        <w:rPr>
          <w:rFonts w:hint="eastAsia" w:ascii="黑体" w:hAnsi="黑体" w:eastAsia="黑体"/>
          <w:sz w:val="30"/>
          <w:szCs w:val="30"/>
        </w:rPr>
        <w:t>一、投标函（第二个信封）</w:t>
      </w:r>
    </w:p>
    <w:p w14:paraId="121F856B">
      <w:pPr>
        <w:pStyle w:val="20"/>
        <w:spacing w:before="9" w:line="360" w:lineRule="auto"/>
        <w:rPr>
          <w:sz w:val="23"/>
        </w:rPr>
      </w:pPr>
    </w:p>
    <w:p w14:paraId="4921784B">
      <w:pPr>
        <w:pStyle w:val="20"/>
        <w:tabs>
          <w:tab w:val="left" w:pos="3163"/>
        </w:tabs>
        <w:spacing w:line="360" w:lineRule="auto"/>
        <w:ind w:left="284" w:right="866"/>
      </w:pPr>
      <w:r>
        <w:rPr>
          <w:u w:val="single"/>
        </w:rPr>
        <w:t xml:space="preserve"> </w:t>
      </w:r>
      <w:r>
        <w:rPr>
          <w:u w:val="single"/>
        </w:rPr>
        <w:tab/>
      </w:r>
      <w:r>
        <w:rPr>
          <w:rFonts w:hint="eastAsia"/>
        </w:rPr>
        <w:t>（</w:t>
      </w:r>
      <w:r>
        <w:t>招标人名称</w:t>
      </w:r>
      <w:r>
        <w:rPr>
          <w:rFonts w:hint="eastAsia"/>
        </w:rPr>
        <w:t>）</w:t>
      </w:r>
      <w:r>
        <w:t>：</w:t>
      </w:r>
    </w:p>
    <w:p w14:paraId="71F877D7">
      <w:pPr>
        <w:pStyle w:val="20"/>
        <w:spacing w:before="4" w:line="360" w:lineRule="auto"/>
      </w:pPr>
    </w:p>
    <w:p w14:paraId="042149BA">
      <w:pPr>
        <w:pStyle w:val="20"/>
        <w:numPr>
          <w:ilvl w:val="-1"/>
          <w:numId w:val="0"/>
        </w:numPr>
        <w:tabs>
          <w:tab w:val="left" w:pos="1857"/>
          <w:tab w:val="left" w:pos="4380"/>
          <w:tab w:val="left" w:pos="4908"/>
          <w:tab w:val="left" w:pos="7245"/>
        </w:tabs>
        <w:spacing w:before="26" w:line="360" w:lineRule="auto"/>
        <w:ind w:left="0" w:right="100" w:firstLine="480" w:firstLineChars="200"/>
      </w:pPr>
      <w:r>
        <w:rPr>
          <w:rFonts w:hint="eastAsia"/>
          <w:lang w:val="en-US" w:eastAsia="zh-CN"/>
        </w:rPr>
        <w:t>1.</w:t>
      </w:r>
      <w:r>
        <w:t>我方已仔细研究</w:t>
      </w:r>
      <w:r>
        <w:rPr>
          <w:u w:val="single"/>
        </w:rPr>
        <w:t xml:space="preserve"> </w:t>
      </w:r>
      <w:r>
        <w:rPr>
          <w:u w:val="single"/>
        </w:rPr>
        <w:tab/>
      </w:r>
      <w:r>
        <w:rPr>
          <w:rFonts w:hint="eastAsia"/>
        </w:rPr>
        <w:t>（</w:t>
      </w:r>
      <w:r>
        <w:rPr>
          <w:rFonts w:hint="eastAsia" w:ascii="Times New Roman" w:hAnsi="Times New Roman"/>
        </w:rPr>
        <w:t>招标</w:t>
      </w:r>
      <w:r>
        <w:t>项目名称</w:t>
      </w:r>
      <w:r>
        <w:rPr>
          <w:rFonts w:hint="eastAsia"/>
        </w:rPr>
        <w:t>）</w:t>
      </w:r>
      <w:r>
        <w:rPr>
          <w:rFonts w:hint="eastAsia" w:ascii="Times New Roman" w:hAnsi="Times New Roman"/>
          <w:lang w:val="en-US" w:eastAsia="zh-CN"/>
        </w:rPr>
        <w:t>设计施工总承包</w:t>
      </w:r>
      <w:r>
        <w:rPr>
          <w:u w:val="single"/>
        </w:rPr>
        <w:t xml:space="preserve">   </w:t>
      </w:r>
      <w:r>
        <w:t>标段招标文件的全部内容（含</w:t>
      </w:r>
      <w:r>
        <w:rPr>
          <w:rFonts w:hint="eastAsia"/>
        </w:rPr>
        <w:t>所有</w:t>
      </w:r>
      <w:r>
        <w:t>补遗书），在考察工程现场后，愿意以</w:t>
      </w:r>
      <w:r>
        <w:rPr>
          <w:rFonts w:hint="eastAsia"/>
        </w:rPr>
        <w:t>下列投标报价，</w:t>
      </w:r>
      <w:r>
        <w:t>按合同约定实施和完成承包工程，修补工程中的任何缺陷。</w:t>
      </w:r>
    </w:p>
    <w:p w14:paraId="1E3DF229">
      <w:pPr>
        <w:pStyle w:val="20"/>
        <w:numPr>
          <w:ilvl w:val="255"/>
          <w:numId w:val="0"/>
        </w:numPr>
        <w:tabs>
          <w:tab w:val="left" w:pos="1857"/>
          <w:tab w:val="left" w:pos="4380"/>
          <w:tab w:val="left" w:pos="4908"/>
          <w:tab w:val="left" w:pos="7245"/>
        </w:tabs>
        <w:spacing w:before="26" w:line="360" w:lineRule="auto"/>
        <w:ind w:left="0" w:right="100" w:firstLine="723" w:firstLineChars="300"/>
      </w:pPr>
      <w:r>
        <w:rPr>
          <w:rFonts w:hint="eastAsia" w:cs="宋体"/>
          <w:b/>
          <w:bCs/>
        </w:rPr>
        <w:t>□</w:t>
      </w:r>
      <w:r>
        <w:rPr>
          <w:rFonts w:hint="eastAsia"/>
        </w:rPr>
        <w:t xml:space="preserve"> </w:t>
      </w:r>
      <w:r>
        <w:t>人民币</w:t>
      </w:r>
      <w:r>
        <w:rPr>
          <w:rFonts w:hint="eastAsia"/>
        </w:rPr>
        <w:t>（</w:t>
      </w:r>
      <w:r>
        <w:t>大写</w:t>
      </w:r>
      <w:r>
        <w:rPr>
          <w:rFonts w:hint="eastAsia"/>
        </w:rPr>
        <w:t>）</w:t>
      </w:r>
      <w:r>
        <w:rPr>
          <w:u w:val="single"/>
        </w:rPr>
        <w:t xml:space="preserve">   </w:t>
      </w:r>
      <w:r>
        <w:rPr>
          <w:u w:val="single"/>
        </w:rPr>
        <w:tab/>
      </w:r>
      <w:r>
        <w:t>元</w:t>
      </w:r>
      <w:r>
        <w:rPr>
          <w:rFonts w:hint="eastAsia"/>
        </w:rPr>
        <w:t>（</w:t>
      </w:r>
      <w:r>
        <w:rPr>
          <w:rFonts w:hint="eastAsia" w:cs="宋体"/>
        </w:rPr>
        <w:t>¥</w:t>
      </w:r>
      <w:r>
        <w:rPr>
          <w:u w:val="single"/>
        </w:rPr>
        <w:t xml:space="preserve">           </w:t>
      </w:r>
      <w:r>
        <w:t xml:space="preserve"> ）</w:t>
      </w:r>
      <w:r>
        <w:rPr>
          <w:spacing w:val="4"/>
        </w:rPr>
        <w:t>的投标总报价</w:t>
      </w:r>
      <w:r>
        <w:rPr>
          <w:rFonts w:hint="eastAsia"/>
          <w:spacing w:val="4"/>
        </w:rPr>
        <w:t>（其中增值税税率为</w:t>
      </w:r>
      <w:r>
        <w:rPr>
          <w:spacing w:val="4"/>
          <w:u w:val="single"/>
        </w:rPr>
        <w:t xml:space="preserve">        </w:t>
      </w:r>
      <w:r>
        <w:rPr>
          <w:rFonts w:hint="eastAsia"/>
          <w:spacing w:val="4"/>
        </w:rPr>
        <w:t>）</w:t>
      </w:r>
    </w:p>
    <w:p w14:paraId="6B8726D5">
      <w:pPr>
        <w:pStyle w:val="20"/>
        <w:numPr>
          <w:ilvl w:val="255"/>
          <w:numId w:val="0"/>
        </w:numPr>
        <w:tabs>
          <w:tab w:val="left" w:pos="1857"/>
          <w:tab w:val="left" w:pos="4380"/>
          <w:tab w:val="left" w:pos="4908"/>
          <w:tab w:val="left" w:pos="7245"/>
        </w:tabs>
        <w:spacing w:before="26" w:line="360" w:lineRule="auto"/>
        <w:ind w:left="0" w:right="100" w:firstLine="723" w:firstLineChars="300"/>
      </w:pPr>
      <w:r>
        <w:rPr>
          <w:rFonts w:hint="eastAsia" w:cs="宋体"/>
          <w:b/>
          <w:bCs/>
        </w:rPr>
        <w:t>□</w:t>
      </w:r>
      <w:r>
        <w:rPr>
          <w:rFonts w:hint="eastAsia" w:cs="宋体"/>
        </w:rPr>
        <w:t xml:space="preserve"> </w:t>
      </w:r>
      <w:r>
        <w:rPr>
          <w:u w:val="single"/>
        </w:rPr>
        <w:t xml:space="preserve">   </w:t>
      </w:r>
      <w:r>
        <w:rPr>
          <w:u w:val="single"/>
        </w:rPr>
        <w:tab/>
      </w:r>
      <w:r>
        <w:rPr>
          <w:rFonts w:hint="eastAsia"/>
          <w:u w:val="single"/>
        </w:rPr>
        <w:t xml:space="preserve">    </w:t>
      </w:r>
      <w:r>
        <w:rPr>
          <w:rFonts w:hint="eastAsia"/>
          <w:u w:val="none"/>
          <w:lang w:eastAsia="zh-CN"/>
        </w:rPr>
        <w:t>。</w:t>
      </w:r>
      <w:r>
        <w:rPr>
          <w:rFonts w:hint="eastAsia"/>
        </w:rPr>
        <w:t xml:space="preserve"> </w:t>
      </w:r>
    </w:p>
    <w:p w14:paraId="62167F8D">
      <w:pPr>
        <w:pStyle w:val="20"/>
        <w:tabs>
          <w:tab w:val="left" w:pos="1857"/>
          <w:tab w:val="left" w:pos="4380"/>
          <w:tab w:val="left" w:pos="4908"/>
          <w:tab w:val="left" w:pos="7245"/>
        </w:tabs>
        <w:spacing w:before="26" w:line="360" w:lineRule="auto"/>
        <w:ind w:left="0" w:right="100" w:firstLine="468" w:firstLineChars="200"/>
      </w:pPr>
      <w:r>
        <w:rPr>
          <w:spacing w:val="-3"/>
        </w:rPr>
        <w:t>2．在合同协议书正式签署生效之前，本投标函连同你方的中标通知书将构成我</w:t>
      </w:r>
      <w:r>
        <w:t>们双方之间共同遵守的文件，对双方具有约束力。</w:t>
      </w:r>
    </w:p>
    <w:p w14:paraId="65874FF9">
      <w:pPr>
        <w:pStyle w:val="20"/>
        <w:tabs>
          <w:tab w:val="left" w:pos="5683"/>
        </w:tabs>
        <w:spacing w:before="37" w:line="360" w:lineRule="auto"/>
        <w:ind w:left="0" w:right="866" w:firstLine="480" w:firstLineChars="200"/>
      </w:pPr>
      <w:r>
        <w:t>3．</w:t>
      </w:r>
      <w:r>
        <w:rPr>
          <w:u w:val="single"/>
        </w:rPr>
        <w:t xml:space="preserve"> </w:t>
      </w:r>
      <w:r>
        <w:rPr>
          <w:u w:val="single"/>
        </w:rPr>
        <w:tab/>
      </w:r>
      <w:r>
        <w:t>（其他补充说明）。</w:t>
      </w:r>
    </w:p>
    <w:p w14:paraId="59B04F95">
      <w:pPr>
        <w:pStyle w:val="20"/>
        <w:spacing w:line="360" w:lineRule="auto"/>
      </w:pPr>
    </w:p>
    <w:p w14:paraId="6FCA9A62">
      <w:pPr>
        <w:pStyle w:val="20"/>
        <w:spacing w:line="360" w:lineRule="auto"/>
      </w:pPr>
    </w:p>
    <w:p w14:paraId="18CA3D63">
      <w:pPr>
        <w:spacing w:line="360" w:lineRule="auto"/>
        <w:ind w:firstLine="2520" w:firstLineChars="1050"/>
        <w:rPr>
          <w:rFonts w:ascii="宋体" w:hAns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（全称）</w:t>
      </w:r>
      <w:r>
        <w:rPr>
          <w:rFonts w:hint="eastAsia" w:ascii="宋体" w:hAnsi="宋体" w:cs="宋体"/>
          <w:sz w:val="24"/>
          <w:u w:val="single"/>
          <w:lang w:val="en-US" w:eastAsia="zh-CN"/>
        </w:rPr>
        <w:t xml:space="preserve">     </w:t>
      </w:r>
      <w:r>
        <w:rPr>
          <w:rFonts w:hint="eastAsia" w:ascii="宋体" w:hAnsi="宋体" w:cs="宋体"/>
          <w:sz w:val="24"/>
        </w:rPr>
        <w:t>（盖单位电子印章）</w:t>
      </w:r>
    </w:p>
    <w:p w14:paraId="28CEF43D">
      <w:pPr>
        <w:spacing w:line="360" w:lineRule="auto"/>
        <w:ind w:firstLine="2520" w:firstLineChars="1050"/>
        <w:rPr>
          <w:rFonts w:ascii="宋体" w:hAnsi="宋体" w:cs="宋体"/>
          <w:sz w:val="24"/>
        </w:rPr>
      </w:pPr>
      <w:r>
        <w:rPr>
          <w:rFonts w:hint="eastAsia" w:ascii="宋体" w:hAnsi="宋体" w:cs="宋体"/>
          <w:sz w:val="24"/>
        </w:rPr>
        <w:t>法定代表人</w:t>
      </w:r>
    </w:p>
    <w:p w14:paraId="08D594CA">
      <w:pPr>
        <w:spacing w:line="360" w:lineRule="auto"/>
        <w:ind w:firstLine="2520" w:firstLineChars="1050"/>
        <w:rPr>
          <w:rFonts w:ascii="宋体" w:hAnsi="宋体" w:cs="宋体"/>
          <w:sz w:val="24"/>
        </w:rPr>
      </w:pPr>
      <w:r>
        <w:rPr>
          <w:rFonts w:hint="eastAsia" w:ascii="宋体" w:hAnsi="宋体" w:cs="宋体"/>
          <w:sz w:val="24"/>
        </w:rPr>
        <w:t>或其委托代理人：</w:t>
      </w:r>
      <w:r>
        <w:rPr>
          <w:rFonts w:ascii="宋体" w:hAnsi="宋体" w:cs="宋体"/>
          <w:sz w:val="24"/>
          <w:u w:val="single"/>
        </w:rPr>
        <w:t xml:space="preserve">    </w:t>
      </w:r>
      <w:r>
        <w:rPr>
          <w:rFonts w:hint="eastAsia" w:ascii="宋体" w:hAnsi="宋体" w:cs="宋体"/>
          <w:sz w:val="24"/>
        </w:rPr>
        <w:t>（个人电子签名章或个人电子印章）</w:t>
      </w:r>
    </w:p>
    <w:p w14:paraId="16A03159">
      <w:pPr>
        <w:spacing w:line="360" w:lineRule="auto"/>
        <w:ind w:firstLine="2520" w:firstLineChars="1050"/>
        <w:rPr>
          <w:rFonts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ascii="宋体" w:hAnsi="宋体" w:cs="宋体"/>
          <w:sz w:val="24"/>
        </w:rPr>
        <w:t xml:space="preserve">  </w:t>
      </w:r>
    </w:p>
    <w:p w14:paraId="10817BEC">
      <w:pPr>
        <w:spacing w:line="360" w:lineRule="auto"/>
        <w:ind w:firstLine="2520" w:firstLineChars="1050"/>
        <w:rPr>
          <w:rFonts w:ascii="宋体" w:hAnsi="宋体" w:cs="宋体"/>
          <w:sz w:val="24"/>
        </w:rPr>
      </w:pPr>
      <w:r>
        <w:rPr>
          <w:rFonts w:hint="eastAsia" w:ascii="宋体" w:hAnsi="宋体" w:cs="宋体"/>
          <w:sz w:val="24"/>
        </w:rPr>
        <w:t>网</w:t>
      </w:r>
      <w:r>
        <w:rPr>
          <w:rFonts w:hint="eastAsia" w:ascii="宋体" w:hAnsi="宋体" w:cs="宋体"/>
          <w:sz w:val="24"/>
          <w:lang w:val="en-US" w:eastAsia="zh-CN"/>
        </w:rPr>
        <w:t xml:space="preserve">    </w:t>
      </w:r>
      <w:r>
        <w:rPr>
          <w:rFonts w:hint="eastAsia" w:ascii="宋体" w:hAnsi="宋体" w:cs="宋体"/>
          <w:sz w:val="24"/>
        </w:rPr>
        <w:t>址：</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35FD2BE4">
      <w:pPr>
        <w:spacing w:line="360" w:lineRule="auto"/>
        <w:ind w:firstLine="2520" w:firstLineChars="1050"/>
        <w:rPr>
          <w:rFonts w:ascii="宋体" w:hAnsi="宋体" w:cs="宋体"/>
          <w:sz w:val="24"/>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65341CD8">
      <w:pPr>
        <w:spacing w:line="360" w:lineRule="auto"/>
        <w:ind w:firstLine="2520" w:firstLineChars="1050"/>
        <w:rPr>
          <w:rFonts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66D569FB">
      <w:pPr>
        <w:spacing w:line="360" w:lineRule="auto"/>
        <w:ind w:firstLine="480" w:firstLineChars="200"/>
        <w:rPr>
          <w:rFonts w:cs="宋体"/>
          <w:sz w:val="24"/>
          <w:u w:val="single"/>
        </w:rPr>
      </w:pPr>
      <w:r>
        <w:rPr>
          <w:rFonts w:ascii="宋体" w:hAnsi="宋体" w:cs="宋体"/>
          <w:sz w:val="24"/>
        </w:rPr>
        <w:t xml:space="preserve">                 邮政编码：</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680E8129">
      <w:pPr>
        <w:spacing w:line="360" w:lineRule="auto"/>
        <w:ind w:firstLine="3600" w:firstLineChars="1500"/>
        <w:rPr>
          <w:rFonts w:cs="宋体"/>
          <w:sz w:val="24"/>
          <w:u w:val="single"/>
        </w:rPr>
      </w:pPr>
    </w:p>
    <w:p w14:paraId="663A3791">
      <w:pPr>
        <w:spacing w:line="360" w:lineRule="auto"/>
        <w:ind w:firstLine="5520" w:firstLineChars="2300"/>
        <w:rPr>
          <w:rFonts w:ascii="宋体" w:hAnsi="宋体"/>
          <w:sz w:val="24"/>
        </w:rPr>
      </w:pPr>
      <w:r>
        <w:rPr>
          <w:rFonts w:cs="宋体"/>
          <w:sz w:val="24"/>
          <w:u w:val="single"/>
        </w:rPr>
        <w:t xml:space="preserve">       </w:t>
      </w:r>
      <w:r>
        <w:rPr>
          <w:rFonts w:hint="eastAsia" w:cs="宋体"/>
          <w:sz w:val="24"/>
        </w:rPr>
        <w:t>年</w:t>
      </w:r>
      <w:r>
        <w:rPr>
          <w:rFonts w:cs="宋体"/>
          <w:sz w:val="24"/>
          <w:u w:val="single"/>
        </w:rPr>
        <w:tab/>
      </w:r>
      <w:r>
        <w:rPr>
          <w:rFonts w:cs="宋体"/>
          <w:sz w:val="24"/>
          <w:u w:val="single"/>
        </w:rPr>
        <w:t xml:space="preserve">   </w:t>
      </w:r>
      <w:r>
        <w:rPr>
          <w:rFonts w:hint="eastAsia" w:cs="宋体"/>
          <w:sz w:val="24"/>
        </w:rPr>
        <w:t>月</w:t>
      </w:r>
      <w:r>
        <w:rPr>
          <w:rFonts w:cs="宋体"/>
          <w:sz w:val="24"/>
          <w:u w:val="single"/>
        </w:rPr>
        <w:t xml:space="preserve"> </w:t>
      </w:r>
      <w:r>
        <w:rPr>
          <w:rFonts w:cs="宋体"/>
          <w:sz w:val="24"/>
          <w:u w:val="single"/>
        </w:rPr>
        <w:tab/>
      </w:r>
      <w:r>
        <w:rPr>
          <w:rFonts w:cs="宋体"/>
          <w:sz w:val="24"/>
          <w:u w:val="single"/>
        </w:rPr>
        <w:t xml:space="preserve">  </w:t>
      </w:r>
      <w:r>
        <w:rPr>
          <w:rFonts w:hint="eastAsia" w:cs="宋体"/>
          <w:sz w:val="24"/>
        </w:rPr>
        <w:t>日</w:t>
      </w:r>
    </w:p>
    <w:p w14:paraId="743FBC93">
      <w:pPr>
        <w:ind w:left="0"/>
        <w:rPr>
          <w:rFonts w:hint="eastAsia" w:ascii="宋体" w:hAnsi="宋体" w:cs="宋体"/>
        </w:rPr>
      </w:pPr>
      <w:bookmarkStart w:id="917" w:name="_TOC_250015"/>
      <w:bookmarkEnd w:id="917"/>
    </w:p>
    <w:p w14:paraId="0765FA70">
      <w:pPr>
        <w:ind w:left="0"/>
        <w:rPr>
          <w:rFonts w:hint="eastAsia" w:ascii="宋体" w:hAnsi="宋体" w:cs="宋体"/>
        </w:rPr>
      </w:pPr>
      <w:r>
        <w:rPr>
          <w:rFonts w:hint="eastAsia" w:ascii="宋体" w:hAnsi="宋体" w:cs="宋体"/>
        </w:rPr>
        <w:t>注：1.若招标人要求投标报价不作价税分离的，税费综合在相应的综合单价或总额价中，投标函中的增值税率填写为“/”，否则投标人应填写实际税率。</w:t>
      </w:r>
    </w:p>
    <w:p w14:paraId="55A169F0">
      <w:pPr>
        <w:ind w:left="0" w:leftChars="0" w:firstLine="420" w:firstLineChars="200"/>
        <w:rPr>
          <w:rFonts w:hint="eastAsia" w:ascii="宋体" w:hAnsi="宋体" w:cs="宋体"/>
        </w:rPr>
      </w:pPr>
      <w:r>
        <w:rPr>
          <w:rFonts w:hint="eastAsia" w:ascii="宋体" w:hAnsi="宋体" w:cs="宋体"/>
        </w:rPr>
        <w:t>2.当第二章“投标人须知”前附表第3.2.3项的报价方式采用单价或总价以外的其他情形时，在此按照约定填报具体投标总报价内容。</w:t>
      </w:r>
    </w:p>
    <w:p w14:paraId="0B1C5B76">
      <w:pPr>
        <w:ind w:left="424" w:leftChars="202" w:firstLine="2"/>
        <w:rPr>
          <w:rFonts w:hint="eastAsia" w:ascii="宋体" w:hAnsi="宋体" w:cs="宋体"/>
        </w:rPr>
      </w:pPr>
      <w:r>
        <w:rPr>
          <w:rFonts w:hint="eastAsia" w:ascii="宋体" w:hAnsi="宋体" w:cs="宋体"/>
        </w:rPr>
        <w:t>3.以联合体形式投标的，为联合体联合体牵头人单位全称。</w:t>
      </w:r>
    </w:p>
    <w:p w14:paraId="30EC6771">
      <w:pPr>
        <w:ind w:left="424" w:leftChars="202" w:firstLine="2"/>
        <w:rPr>
          <w:rFonts w:hint="eastAsia" w:ascii="宋体" w:hAnsi="宋体" w:cs="宋体"/>
        </w:rPr>
      </w:pPr>
      <w:r>
        <w:rPr>
          <w:rFonts w:hint="eastAsia" w:ascii="宋体" w:hAnsi="宋体" w:cs="宋体"/>
        </w:rPr>
        <w:t>4.以联合体形式投标的，只需联合体牵头人盖单位电子印章。</w:t>
      </w:r>
    </w:p>
    <w:p w14:paraId="157098AD">
      <w:pPr>
        <w:ind w:left="424" w:leftChars="202" w:firstLine="2"/>
        <w:rPr>
          <w:rFonts w:hint="eastAsia" w:ascii="宋体" w:hAnsi="宋体" w:cs="宋体"/>
        </w:rPr>
      </w:pPr>
      <w:r>
        <w:rPr>
          <w:rFonts w:hint="eastAsia" w:ascii="宋体" w:hAnsi="宋体" w:cs="宋体"/>
        </w:rPr>
        <w:t>5.以联合体形式投标的，为联合体牵头人的法定代表人或其委托代理人。</w:t>
      </w:r>
    </w:p>
    <w:p w14:paraId="66514237">
      <w:pPr>
        <w:spacing w:before="14"/>
        <w:ind w:right="103"/>
        <w:jc w:val="center"/>
        <w:rPr>
          <w:rFonts w:ascii="黑体" w:hAnsi="黑体" w:eastAsia="黑体"/>
          <w:sz w:val="30"/>
          <w:szCs w:val="30"/>
        </w:rPr>
      </w:pPr>
      <w:r>
        <w:rPr>
          <w:rFonts w:ascii="宋体" w:hAnsi="宋体"/>
          <w:b/>
          <w:sz w:val="30"/>
          <w:szCs w:val="30"/>
        </w:rPr>
        <w:br w:type="page"/>
      </w:r>
      <w:r>
        <w:rPr>
          <w:rFonts w:hint="eastAsia" w:ascii="黑体" w:hAnsi="黑体" w:eastAsia="黑体"/>
          <w:sz w:val="30"/>
          <w:szCs w:val="30"/>
        </w:rPr>
        <w:t>二、已标价价格清单（如有）</w:t>
      </w:r>
    </w:p>
    <w:p w14:paraId="57EE8B4E">
      <w:pPr>
        <w:pStyle w:val="20"/>
        <w:rPr>
          <w:sz w:val="28"/>
        </w:rPr>
      </w:pPr>
    </w:p>
    <w:p w14:paraId="53CEFE36">
      <w:pPr>
        <w:pStyle w:val="20"/>
        <w:tabs>
          <w:tab w:val="left" w:pos="2552"/>
        </w:tabs>
        <w:spacing w:before="8"/>
        <w:rPr>
          <w:sz w:val="32"/>
        </w:rPr>
      </w:pPr>
      <w:r>
        <w:rPr>
          <w:sz w:val="32"/>
        </w:rPr>
        <w:tab/>
      </w:r>
    </w:p>
    <w:p w14:paraId="10433ACC">
      <w:pPr>
        <w:pStyle w:val="20"/>
        <w:spacing w:line="360" w:lineRule="auto"/>
        <w:ind w:left="143" w:right="98" w:firstLine="480"/>
      </w:pPr>
      <w:r>
        <w:t>投标人应按照第五章“价格清单”的</w:t>
      </w:r>
      <w:r>
        <w:rPr>
          <w:rFonts w:hint="eastAsia"/>
        </w:rPr>
        <w:t>格式及</w:t>
      </w:r>
      <w:r>
        <w:t>要求逐项填报价格清单，包括价格清单说明及价格清单各项表格</w:t>
      </w:r>
      <w:r>
        <w:rPr>
          <w:rFonts w:hint="eastAsia"/>
        </w:rPr>
        <w:t>（如有）。</w:t>
      </w:r>
    </w:p>
    <w:p w14:paraId="2093D382">
      <w:pPr>
        <w:spacing w:line="360" w:lineRule="auto"/>
        <w:jc w:val="center"/>
        <w:rPr>
          <w:rFonts w:ascii="宋体" w:hAnsi="宋体"/>
          <w:b/>
          <w:sz w:val="48"/>
          <w:szCs w:val="48"/>
        </w:rPr>
      </w:pPr>
    </w:p>
    <w:p w14:paraId="1E0D2F34">
      <w:pPr>
        <w:spacing w:line="360" w:lineRule="auto"/>
        <w:jc w:val="center"/>
        <w:rPr>
          <w:rFonts w:ascii="宋体" w:hAnsi="宋体"/>
          <w:b/>
          <w:sz w:val="48"/>
          <w:szCs w:val="48"/>
        </w:rPr>
      </w:pPr>
    </w:p>
    <w:p w14:paraId="4982F99F">
      <w:pPr>
        <w:spacing w:line="360" w:lineRule="auto"/>
        <w:jc w:val="center"/>
        <w:rPr>
          <w:rFonts w:ascii="宋体" w:hAnsi="宋体"/>
          <w:b/>
          <w:sz w:val="48"/>
          <w:szCs w:val="48"/>
        </w:rPr>
      </w:pPr>
    </w:p>
    <w:p w14:paraId="57B82268">
      <w:pPr>
        <w:spacing w:line="360" w:lineRule="auto"/>
        <w:jc w:val="center"/>
        <w:rPr>
          <w:rFonts w:ascii="宋体" w:hAnsi="宋体"/>
          <w:b/>
          <w:sz w:val="48"/>
          <w:szCs w:val="48"/>
        </w:rPr>
      </w:pPr>
    </w:p>
    <w:p w14:paraId="31897387">
      <w:pPr>
        <w:spacing w:line="360" w:lineRule="auto"/>
        <w:jc w:val="center"/>
        <w:rPr>
          <w:rFonts w:ascii="宋体" w:hAnsi="宋体"/>
          <w:b/>
          <w:sz w:val="48"/>
          <w:szCs w:val="48"/>
        </w:rPr>
      </w:pPr>
    </w:p>
    <w:p w14:paraId="09725BF8">
      <w:pPr>
        <w:spacing w:line="360" w:lineRule="auto"/>
        <w:jc w:val="center"/>
        <w:rPr>
          <w:rFonts w:ascii="宋体" w:hAnsi="宋体"/>
          <w:b/>
          <w:sz w:val="48"/>
          <w:szCs w:val="48"/>
        </w:rPr>
      </w:pPr>
    </w:p>
    <w:p w14:paraId="618EAEFD">
      <w:pPr>
        <w:spacing w:line="360" w:lineRule="auto"/>
        <w:jc w:val="center"/>
        <w:rPr>
          <w:rFonts w:ascii="宋体" w:hAnsi="宋体"/>
          <w:b/>
          <w:sz w:val="48"/>
          <w:szCs w:val="48"/>
        </w:rPr>
      </w:pPr>
    </w:p>
    <w:p w14:paraId="0CBE41EB">
      <w:pPr>
        <w:spacing w:line="360" w:lineRule="auto"/>
        <w:jc w:val="center"/>
        <w:rPr>
          <w:rFonts w:ascii="宋体" w:hAnsi="宋体"/>
          <w:b/>
          <w:sz w:val="48"/>
          <w:szCs w:val="48"/>
        </w:rPr>
      </w:pPr>
    </w:p>
    <w:p w14:paraId="2D64D8E9">
      <w:pPr>
        <w:rPr>
          <w:b/>
          <w:bCs/>
          <w:kern w:val="0"/>
        </w:rPr>
      </w:pPr>
    </w:p>
    <w:sectPr>
      <w:footnotePr>
        <w:numFmt w:val="decimalEnclosedCircleChinese"/>
        <w:numRestart w:val="eachPage"/>
      </w:footnotePr>
      <w:type w:val="continuous"/>
      <w:pgSz w:w="11900" w:h="16838"/>
      <w:pgMar w:top="1418" w:right="1418" w:bottom="1418" w:left="1701" w:header="851"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HiddenHorzOCl">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Roman 10cpi">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28DD">
    <w:pPr>
      <w:pStyle w:val="32"/>
      <w:spacing w:line="360" w:lineRule="auto"/>
      <w:ind w:left="420"/>
      <w:rPr>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6723">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7456"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11"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6936F3C4">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212</w:t>
                          </w:r>
                          <w:r>
                            <w:rPr>
                              <w:rFonts w:asci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文本框 125" o:spid="_x0000_s1026" o:spt="202" type="#_x0000_t202" style="position:absolute;left:0pt;margin-left:77pt;margin-top:788.8pt;height:11pt;width:17.7pt;mso-position-horizontal-relative:page;mso-position-vertical-relative:page;z-index:-251649024;mso-width-relative:page;mso-height-relative:page;" filled="f" stroked="f" coordsize="21600,21600" o:allowincell="f" o:gfxdata="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SipDaAAAADQEAAA8AAAAAAAAA&#10;AQAgAAAAIgAAAGRycy9kb3ducmV2LnhtbFBLAQIUABQAAAAIAIdO4kBxtWT8DwIAAAcEAAAOAAAA&#10;AAAAAAEAIAAAACkBAABkcnMvZTJvRG9jLnhtbFBLBQYAAAAABgAGAFkBAACqBQAAAAA=&#10;">
              <v:fill on="f" focussize="0,0"/>
              <v:stroke on="f"/>
              <v:imagedata o:title=""/>
              <o:lock v:ext="edit" aspectratio="f"/>
              <v:textbox inset="0mm,0mm,0mm,0mm">
                <w:txbxContent>
                  <w:p w14:paraId="6936F3C4">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212</w:t>
                    </w:r>
                    <w:r>
                      <w:rPr>
                        <w:rFonts w:ascii="Times New Roman"/>
                        <w:sz w:val="18"/>
                        <w:szCs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E34F">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70528"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8"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1C60EB9D">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216</w:t>
                          </w:r>
                          <w:r>
                            <w:rPr>
                              <w:rFonts w:asci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文本框 137" o:spid="_x0000_s1026" o:spt="202" type="#_x0000_t202" style="position:absolute;left:0pt;margin-left:77pt;margin-top:788.8pt;height:11pt;width:17.7pt;mso-position-horizontal-relative:page;mso-position-vertical-relative:page;z-index:-251645952;mso-width-relative:page;mso-height-relative:page;" filled="f" stroked="f" coordsize="21600,21600" o:allowincell="f" o:gfxdata="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pKKkNoAAAANAQAADwAAAAAAAAAB&#10;ACAAAAAiAAAAZHJzL2Rvd25yZXYueG1sUEsBAhQAFAAAAAgAh07iQLvTuKsOAgAABgQAAA4AAAAA&#10;AAAAAQAgAAAAKQEAAGRycy9lMm9Eb2MueG1sUEsFBgAAAAAGAAYAWQEAAKkFAAAAAA==&#10;">
              <v:fill on="f" focussize="0,0"/>
              <v:stroke on="f"/>
              <v:imagedata o:title=""/>
              <o:lock v:ext="edit" aspectratio="f"/>
              <v:textbox inset="0mm,0mm,0mm,0mm">
                <w:txbxContent>
                  <w:p w14:paraId="1C60EB9D">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216</w:t>
                    </w:r>
                    <w:r>
                      <w:rPr>
                        <w:rFonts w:ascii="Times New Roman"/>
                        <w:sz w:val="18"/>
                        <w:szCs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09E6">
    <w:pPr>
      <w:pStyle w:val="32"/>
      <w:jc w:val="center"/>
    </w:pPr>
    <w:r>
      <w:fldChar w:fldCharType="begin"/>
    </w:r>
    <w:r>
      <w:instrText xml:space="preserve"> PAGE   \* MERGEFORMAT </w:instrText>
    </w:r>
    <w:r>
      <w:fldChar w:fldCharType="separate"/>
    </w:r>
    <w:r>
      <w:rPr>
        <w:lang w:val="zh-CN"/>
      </w:rPr>
      <w:t>274</w:t>
    </w:r>
    <w:r>
      <w:fldChar w:fldCharType="end"/>
    </w:r>
  </w:p>
  <w:p w14:paraId="597E0120">
    <w:pPr>
      <w:pStyle w:val="20"/>
      <w:kinsoku w:val="0"/>
      <w:overflowPunct w:val="0"/>
      <w:spacing w:line="14" w:lineRule="auto"/>
      <w:rPr>
        <w:rFonts w:ascii="Times New Roman"/>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C249B">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6432"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15"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1166B2EC">
                          <w:pPr>
                            <w:pStyle w:val="20"/>
                            <w:kinsoku w:val="0"/>
                            <w:overflowPunct w:val="0"/>
                            <w:spacing w:line="204" w:lineRule="exact"/>
                            <w:ind w:left="40"/>
                            <w:rPr>
                              <w:rFonts w:ascii="Times New Roman"/>
                              <w:sz w:val="18"/>
                              <w:szCs w:val="18"/>
                            </w:rPr>
                          </w:pPr>
                          <w:r>
                            <w:rPr>
                              <w:rFonts w:ascii="Times New Roman"/>
                              <w:sz w:val="18"/>
                              <w:szCs w:val="18"/>
                            </w:rPr>
                            <w:t>232</w:t>
                          </w:r>
                        </w:p>
                      </w:txbxContent>
                    </wps:txbx>
                    <wps:bodyPr rot="0" vert="horz" wrap="square" lIns="0" tIns="0" rIns="0" bIns="0" anchor="t" anchorCtr="0" upright="1">
                      <a:noAutofit/>
                    </wps:bodyPr>
                  </wps:wsp>
                </a:graphicData>
              </a:graphic>
            </wp:anchor>
          </w:drawing>
        </mc:Choice>
        <mc:Fallback>
          <w:pict>
            <v:shape id="文本框 152" o:spid="_x0000_s1026" o:spt="202" type="#_x0000_t202" style="position:absolute;left:0pt;margin-left:77pt;margin-top:788.8pt;height:11pt;width:17.7pt;mso-position-horizontal-relative:page;mso-position-vertical-relative:page;z-index:-251650048;mso-width-relative:page;mso-height-relative:page;" filled="f" stroked="f" coordsize="21600,21600" o:allowincell="f" o:gfxdata="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koqQ2gAAAA0BAAAPAAAAAAAA&#10;AAEAIAAAACIAAABkcnMvZG93bnJldi54bWxQSwECFAAUAAAACACHTuJAOlIpAxACAAAHBAAADgAA&#10;AAAAAAABACAAAAApAQAAZHJzL2Uyb0RvYy54bWxQSwUGAAAAAAYABgBZAQAAqwUAAAAA&#10;">
              <v:fill on="f" focussize="0,0"/>
              <v:stroke on="f"/>
              <v:imagedata o:title=""/>
              <o:lock v:ext="edit" aspectratio="f"/>
              <v:textbox inset="0mm,0mm,0mm,0mm">
                <w:txbxContent>
                  <w:p w14:paraId="1166B2EC">
                    <w:pPr>
                      <w:pStyle w:val="20"/>
                      <w:kinsoku w:val="0"/>
                      <w:overflowPunct w:val="0"/>
                      <w:spacing w:line="204" w:lineRule="exact"/>
                      <w:ind w:left="40"/>
                      <w:rPr>
                        <w:rFonts w:ascii="Times New Roman"/>
                        <w:sz w:val="18"/>
                        <w:szCs w:val="18"/>
                      </w:rPr>
                    </w:pPr>
                    <w:r>
                      <w:rPr>
                        <w:rFonts w:ascii="Times New Roman"/>
                        <w:sz w:val="18"/>
                        <w:szCs w:val="18"/>
                      </w:rPr>
                      <w:t>232</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0FA1">
    <w:pPr>
      <w:pStyle w:val="32"/>
      <w:jc w:val="center"/>
    </w:pPr>
    <w:r>
      <w:fldChar w:fldCharType="begin"/>
    </w:r>
    <w:r>
      <w:instrText xml:space="preserve"> PAGE   \* MERGEFORMAT </w:instrText>
    </w:r>
    <w:r>
      <w:fldChar w:fldCharType="separate"/>
    </w:r>
    <w:r>
      <w:rPr>
        <w:lang w:val="zh-CN"/>
      </w:rPr>
      <w:t>311</w:t>
    </w:r>
    <w:r>
      <w:fldChar w:fldCharType="end"/>
    </w:r>
  </w:p>
  <w:p w14:paraId="5E76758C">
    <w:pPr>
      <w:pStyle w:val="20"/>
      <w:kinsoku w:val="0"/>
      <w:overflowPunct w:val="0"/>
      <w:spacing w:line="14" w:lineRule="auto"/>
      <w:rPr>
        <w:rFonts w:ascii="Times New Roman"/>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4B8AE">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73600" behindDoc="1" locked="0" layoutInCell="0" allowOverlap="1">
              <wp:simplePos x="0" y="0"/>
              <wp:positionH relativeFrom="page">
                <wp:posOffset>977900</wp:posOffset>
              </wp:positionH>
              <wp:positionV relativeFrom="page">
                <wp:posOffset>10017760</wp:posOffset>
              </wp:positionV>
              <wp:extent cx="224790" cy="139700"/>
              <wp:effectExtent l="0" t="0" r="0" b="0"/>
              <wp:wrapNone/>
              <wp:docPr id="5"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00A03393">
                          <w:pPr>
                            <w:pStyle w:val="20"/>
                            <w:kinsoku w:val="0"/>
                            <w:overflowPunct w:val="0"/>
                            <w:spacing w:line="204" w:lineRule="exact"/>
                            <w:ind w:left="40"/>
                            <w:rPr>
                              <w:rFonts w:ascii="Times New Roman"/>
                              <w:sz w:val="18"/>
                              <w:szCs w:val="18"/>
                            </w:rPr>
                          </w:pPr>
                          <w:r>
                            <w:rPr>
                              <w:rFonts w:ascii="Times New Roman"/>
                              <w:sz w:val="18"/>
                              <w:szCs w:val="18"/>
                            </w:rPr>
                            <w:t>232</w:t>
                          </w:r>
                        </w:p>
                      </w:txbxContent>
                    </wps:txbx>
                    <wps:bodyPr rot="0" vert="horz" wrap="square" lIns="0" tIns="0" rIns="0" bIns="0" anchor="t" anchorCtr="0" upright="1">
                      <a:noAutofit/>
                    </wps:bodyPr>
                  </wps:wsp>
                </a:graphicData>
              </a:graphic>
            </wp:anchor>
          </w:drawing>
        </mc:Choice>
        <mc:Fallback>
          <w:pict>
            <v:shape id="文本框 152" o:spid="_x0000_s1026" o:spt="202" type="#_x0000_t202" style="position:absolute;left:0pt;margin-left:77pt;margin-top:788.8pt;height:11pt;width:17.7pt;mso-position-horizontal-relative:page;mso-position-vertical-relative:page;z-index:-251642880;mso-width-relative:page;mso-height-relative:page;" filled="f" stroked="f" coordsize="21600,21600" o:allowincell="f" o:gfxdata="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SipDaAAAADQEAAA8AAAAAAAAA&#10;AQAgAAAAIgAAAGRycy9kb3ducmV2LnhtbFBLAQIUABQAAAAIAIdO4kA8MgRADwIAAAYEAAAOAAAA&#10;AAAAAAEAIAAAACkBAABkcnMvZTJvRG9jLnhtbFBLBQYAAAAABgAGAFkBAACqBQAAAAA=&#10;">
              <v:fill on="f" focussize="0,0"/>
              <v:stroke on="f"/>
              <v:imagedata o:title=""/>
              <o:lock v:ext="edit" aspectratio="f"/>
              <v:textbox inset="0mm,0mm,0mm,0mm">
                <w:txbxContent>
                  <w:p w14:paraId="00A03393">
                    <w:pPr>
                      <w:pStyle w:val="20"/>
                      <w:kinsoku w:val="0"/>
                      <w:overflowPunct w:val="0"/>
                      <w:spacing w:line="204" w:lineRule="exact"/>
                      <w:ind w:left="40"/>
                      <w:rPr>
                        <w:rFonts w:ascii="Times New Roman"/>
                        <w:sz w:val="18"/>
                        <w:szCs w:val="18"/>
                      </w:rPr>
                    </w:pPr>
                    <w:r>
                      <w:rPr>
                        <w:rFonts w:ascii="Times New Roman"/>
                        <w:sz w:val="18"/>
                        <w:szCs w:val="18"/>
                      </w:rPr>
                      <w:t>232</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0EB1">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1031240</wp:posOffset>
              </wp:positionH>
              <wp:positionV relativeFrom="page">
                <wp:posOffset>9605010</wp:posOffset>
              </wp:positionV>
              <wp:extent cx="82550" cy="82550"/>
              <wp:effectExtent l="2540" t="3810" r="635" b="0"/>
              <wp:wrapNone/>
              <wp:docPr id="4"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82550" cy="82550"/>
                      </a:xfrm>
                      <a:prstGeom prst="rect">
                        <a:avLst/>
                      </a:prstGeom>
                      <a:noFill/>
                      <a:ln>
                        <a:noFill/>
                      </a:ln>
                    </wps:spPr>
                    <wps:txbx>
                      <w:txbxContent>
                        <w:p w14:paraId="584F2497">
                          <w:pPr>
                            <w:spacing w:line="110" w:lineRule="exact"/>
                            <w:ind w:left="20"/>
                            <w:rPr>
                              <w:sz w:val="9"/>
                            </w:rPr>
                          </w:pPr>
                        </w:p>
                      </w:txbxContent>
                    </wps:txbx>
                    <wps:bodyPr rot="0" vert="horz" wrap="square" lIns="0" tIns="0" rIns="0" bIns="0" anchor="t" anchorCtr="0" upright="1">
                      <a:noAutofit/>
                    </wps:bodyPr>
                  </wps:wsp>
                </a:graphicData>
              </a:graphic>
            </wp:anchor>
          </w:drawing>
        </mc:Choice>
        <mc:Fallback>
          <w:pict>
            <v:shape id="文本框 75" o:spid="_x0000_s1026" o:spt="202" type="#_x0000_t202" style="position:absolute;left:0pt;margin-left:81.2pt;margin-top:756.3pt;height:6.5pt;width:6.5pt;mso-position-horizontal-relative:page;mso-position-vertical-relative:page;z-index:-251656192;mso-width-relative:page;mso-height-relative:page;" filled="f" stroked="f" coordsize="21600,21600" o:gfxdata="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RZX0XZAAAADQEAAA8AAAAAAAAAAQAgAAAAIgAA&#10;AGRycy9kb3ducmV2LnhtbFBLAQIUABQAAAAIAIdO4kBmWLQ2BwIAAAMEAAAOAAAAAAAAAAEAIAAA&#10;ACgBAABkcnMvZTJvRG9jLnhtbFBLBQYAAAAABgAGAFkBAAChBQAAAAA=&#10;">
              <v:fill on="f" focussize="0,0"/>
              <v:stroke on="f"/>
              <v:imagedata o:title=""/>
              <o:lock v:ext="edit" aspectratio="f"/>
              <v:textbox inset="0mm,0mm,0mm,0mm">
                <w:txbxContent>
                  <w:p w14:paraId="584F2497">
                    <w:pPr>
                      <w:spacing w:line="110" w:lineRule="exact"/>
                      <w:ind w:left="20"/>
                      <w:rPr>
                        <w:sz w:val="9"/>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1145540</wp:posOffset>
              </wp:positionH>
              <wp:positionV relativeFrom="page">
                <wp:posOffset>9613265</wp:posOffset>
              </wp:positionV>
              <wp:extent cx="4711700" cy="139700"/>
              <wp:effectExtent l="2540" t="2540" r="635" b="635"/>
              <wp:wrapNone/>
              <wp:docPr id="3"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4711700" cy="139700"/>
                      </a:xfrm>
                      <a:prstGeom prst="rect">
                        <a:avLst/>
                      </a:prstGeom>
                      <a:noFill/>
                      <a:ln>
                        <a:noFill/>
                      </a:ln>
                    </wps:spPr>
                    <wps:txbx>
                      <w:txbxContent>
                        <w:p w14:paraId="75AE3E61"/>
                      </w:txbxContent>
                    </wps:txbx>
                    <wps:bodyPr rot="0" vert="horz" wrap="square" lIns="0" tIns="0" rIns="0" bIns="0" anchor="t" anchorCtr="0" upright="1">
                      <a:noAutofit/>
                    </wps:bodyPr>
                  </wps:wsp>
                </a:graphicData>
              </a:graphic>
            </wp:anchor>
          </w:drawing>
        </mc:Choice>
        <mc:Fallback>
          <w:pict>
            <v:shape id="文本框 76" o:spid="_x0000_s1026" o:spt="202" type="#_x0000_t202" style="position:absolute;left:0pt;margin-left:90.2pt;margin-top:756.95pt;height:11pt;width:371pt;mso-position-horizontal-relative:page;mso-position-vertical-relative:page;z-index:-251655168;mso-width-relative:page;mso-height-relative:page;" filled="f" stroked="f" coordsize="21600,21600" o:gfxdata="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NMz4TaAAAADQEAAA8AAAAAAAAAAQAg&#10;AAAAIgAAAGRycy9kb3ducmV2LnhtbFBLAQIUABQAAAAIAIdO4kBrWCicDAIAAAYEAAAOAAAAAAAA&#10;AAEAIAAAACkBAABkcnMvZTJvRG9jLnhtbFBLBQYAAAAABgAGAFkBAACnBQAAAAA=&#10;">
              <v:fill on="f" focussize="0,0"/>
              <v:stroke on="f"/>
              <v:imagedata o:title=""/>
              <o:lock v:ext="edit" aspectratio="f"/>
              <v:textbox inset="0mm,0mm,0mm,0mm">
                <w:txbxContent>
                  <w:p w14:paraId="75AE3E61"/>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977900</wp:posOffset>
              </wp:positionH>
              <wp:positionV relativeFrom="page">
                <wp:posOffset>10015220</wp:posOffset>
              </wp:positionV>
              <wp:extent cx="222250" cy="139700"/>
              <wp:effectExtent l="0" t="4445" r="0" b="0"/>
              <wp:wrapNone/>
              <wp:docPr id="2"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wps:spPr>
                    <wps:txbx>
                      <w:txbxContent>
                        <w:p w14:paraId="6D790AE2">
                          <w:pPr>
                            <w:spacing w:line="204" w:lineRule="exact"/>
                            <w:ind w:left="40"/>
                            <w:rPr>
                              <w:sz w:val="18"/>
                            </w:rPr>
                          </w:pPr>
                          <w:r>
                            <w:fldChar w:fldCharType="begin"/>
                          </w:r>
                          <w:r>
                            <w:rPr>
                              <w:sz w:val="18"/>
                            </w:rPr>
                            <w:instrText xml:space="preserve"> PAGE </w:instrText>
                          </w:r>
                          <w:r>
                            <w:fldChar w:fldCharType="separate"/>
                          </w:r>
                          <w:r>
                            <w:rPr>
                              <w:sz w:val="18"/>
                            </w:rPr>
                            <w:t>270</w:t>
                          </w:r>
                          <w:r>
                            <w:fldChar w:fldCharType="end"/>
                          </w:r>
                        </w:p>
                      </w:txbxContent>
                    </wps:txbx>
                    <wps:bodyPr rot="0" vert="horz" wrap="square" lIns="0" tIns="0" rIns="0" bIns="0" anchor="t" anchorCtr="0" upright="1">
                      <a:noAutofit/>
                    </wps:bodyPr>
                  </wps:wsp>
                </a:graphicData>
              </a:graphic>
            </wp:anchor>
          </w:drawing>
        </mc:Choice>
        <mc:Fallback>
          <w:pict>
            <v:shape id="文本框 77" o:spid="_x0000_s1026" o:spt="202" type="#_x0000_t202" style="position:absolute;left:0pt;margin-left:77pt;margin-top:788.6pt;height:11pt;width:17.5pt;mso-position-horizontal-relative:page;mso-position-vertical-relative:page;z-index:-251654144;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APHXXAAAADQEAAA8AAAAAAAAAAQAgAAAA&#10;IgAAAGRycy9kb3ducmV2LnhtbFBLAQIUABQAAAAIAIdO4kCOuQ1gDAIAAAUEAAAOAAAAAAAAAAEA&#10;IAAAACYBAABkcnMvZTJvRG9jLnhtbFBLBQYAAAAABgAGAFkBAACkBQAAAAA=&#10;">
              <v:fill on="f" focussize="0,0"/>
              <v:stroke on="f"/>
              <v:imagedata o:title=""/>
              <o:lock v:ext="edit" aspectratio="f"/>
              <v:textbox inset="0mm,0mm,0mm,0mm">
                <w:txbxContent>
                  <w:p w14:paraId="6D790AE2">
                    <w:pPr>
                      <w:spacing w:line="204" w:lineRule="exact"/>
                      <w:ind w:left="40"/>
                      <w:rPr>
                        <w:sz w:val="18"/>
                      </w:rPr>
                    </w:pPr>
                    <w:r>
                      <w:fldChar w:fldCharType="begin"/>
                    </w:r>
                    <w:r>
                      <w:rPr>
                        <w:sz w:val="18"/>
                      </w:rPr>
                      <w:instrText xml:space="preserve"> PAGE </w:instrText>
                    </w:r>
                    <w:r>
                      <w:fldChar w:fldCharType="separate"/>
                    </w:r>
                    <w:r>
                      <w:rPr>
                        <w:sz w:val="18"/>
                      </w:rPr>
                      <w:t>270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65AC">
    <w:pPr>
      <w:pStyle w:val="32"/>
      <w:jc w:val="center"/>
    </w:pPr>
    <w:r>
      <w:fldChar w:fldCharType="begin"/>
    </w:r>
    <w:r>
      <w:instrText xml:space="preserve"> PAGE   \* MERGEFORMAT </w:instrText>
    </w:r>
    <w:r>
      <w:fldChar w:fldCharType="separate"/>
    </w:r>
    <w:r>
      <w:rPr>
        <w:lang w:val="zh-CN"/>
      </w:rPr>
      <w:t>315</w:t>
    </w:r>
    <w:r>
      <w:fldChar w:fldCharType="end"/>
    </w:r>
  </w:p>
  <w:p w14:paraId="525152D8">
    <w:pPr>
      <w:pStyle w:val="20"/>
      <w:spacing w:line="14" w:lineRule="auto"/>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FFBD">
    <w:pPr>
      <w:pStyle w:val="20"/>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977900</wp:posOffset>
              </wp:positionH>
              <wp:positionV relativeFrom="page">
                <wp:posOffset>10015220</wp:posOffset>
              </wp:positionV>
              <wp:extent cx="222250" cy="139700"/>
              <wp:effectExtent l="0" t="4445" r="0" b="0"/>
              <wp:wrapNone/>
              <wp:docPr id="1"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wps:spPr>
                    <wps:txbx>
                      <w:txbxContent>
                        <w:p w14:paraId="66558D2F">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wps:txbx>
                    <wps:bodyPr rot="0" vert="horz" wrap="square" lIns="0" tIns="0" rIns="0" bIns="0" anchor="t" anchorCtr="0" upright="1">
                      <a:noAutofit/>
                    </wps:bodyPr>
                  </wps:wsp>
                </a:graphicData>
              </a:graphic>
            </wp:anchor>
          </w:drawing>
        </mc:Choice>
        <mc:Fallback>
          <w:pict>
            <v:shape id="文本框 79" o:spid="_x0000_s1026" o:spt="202" type="#_x0000_t202" style="position:absolute;left:0pt;margin-left:77pt;margin-top:788.6pt;height:11pt;width:17.5pt;mso-position-horizontal-relative:page;mso-position-vertical-relative:page;z-index:-251653120;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APHXXAAAADQEAAA8AAAAAAAAAAQAgAAAA&#10;IgAAAGRycy9kb3ducmV2LnhtbFBLAQIUABQAAAAIAIdO4kCxuTbEDAIAAAUEAAAOAAAAAAAAAAEA&#10;IAAAACYBAABkcnMvZTJvRG9jLnhtbFBLBQYAAAAABgAGAFkBAACkBQAAAAA=&#10;">
              <v:fill on="f" focussize="0,0"/>
              <v:stroke on="f"/>
              <v:imagedata o:title=""/>
              <o:lock v:ext="edit" aspectratio="f"/>
              <v:textbox inset="0mm,0mm,0mm,0mm">
                <w:txbxContent>
                  <w:p w14:paraId="66558D2F">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F3CF">
    <w:pPr>
      <w:pStyle w:val="32"/>
      <w:jc w:val="center"/>
    </w:pPr>
    <w:r>
      <w:fldChar w:fldCharType="begin"/>
    </w:r>
    <w:r>
      <w:instrText xml:space="preserve">PAGE   \* MERGEFORMAT</w:instrText>
    </w:r>
    <w:r>
      <w:fldChar w:fldCharType="separate"/>
    </w:r>
    <w:r>
      <w:rPr>
        <w:lang w:val="zh-CN"/>
      </w:rPr>
      <w:t>219</w:t>
    </w:r>
    <w:r>
      <w:fldChar w:fldCharType="end"/>
    </w:r>
  </w:p>
  <w:p w14:paraId="6FD77565">
    <w:pPr>
      <w:pStyle w:val="32"/>
      <w:spacing w:line="360" w:lineRule="auto"/>
      <w:ind w:left="420"/>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29C56">
    <w:pPr>
      <w:pStyle w:val="32"/>
      <w:jc w:val="center"/>
    </w:pPr>
    <w:r>
      <w:fldChar w:fldCharType="begin"/>
    </w:r>
    <w:r>
      <w:instrText xml:space="preserve">PAGE   \* MERGEFORMAT</w:instrText>
    </w:r>
    <w:r>
      <w:fldChar w:fldCharType="separate"/>
    </w:r>
    <w:r>
      <w:rPr>
        <w:lang w:val="zh-CN"/>
      </w:rPr>
      <w:t>241</w:t>
    </w:r>
    <w:r>
      <w:fldChar w:fldCharType="end"/>
    </w:r>
  </w:p>
  <w:p w14:paraId="65DBDE20">
    <w:pPr>
      <w:pStyle w:val="2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2108433"/>
    </w:sdtPr>
    <w:sdtContent>
      <w:p w14:paraId="67A9CF8D">
        <w:pPr>
          <w:pStyle w:val="32"/>
          <w:jc w:val="center"/>
        </w:pPr>
        <w:r>
          <w:fldChar w:fldCharType="begin"/>
        </w:r>
        <w:r>
          <w:instrText xml:space="preserve">PAGE   \* MERGEFORMAT</w:instrText>
        </w:r>
        <w:r>
          <w:fldChar w:fldCharType="separate"/>
        </w:r>
        <w:r>
          <w:rPr>
            <w:lang w:val="zh-CN"/>
          </w:rPr>
          <w:t>265</w:t>
        </w:r>
        <w:r>
          <w:fldChar w:fldCharType="end"/>
        </w:r>
      </w:p>
    </w:sdtContent>
  </w:sdt>
  <w:p w14:paraId="29E9254E">
    <w:pPr>
      <w:pStyle w:val="20"/>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2A05">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ge">
                <wp:posOffset>10021570</wp:posOffset>
              </wp:positionV>
              <wp:extent cx="222250" cy="139700"/>
              <wp:effectExtent l="0" t="1270" r="0" b="1905"/>
              <wp:wrapNone/>
              <wp:docPr id="16"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wps:spPr>
                    <wps:txbx>
                      <w:txbxContent>
                        <w:p w14:paraId="2B6E8CB7">
                          <w:pPr>
                            <w:spacing w:line="204" w:lineRule="exact"/>
                            <w:ind w:left="40"/>
                            <w:rPr>
                              <w:sz w:val="18"/>
                            </w:rPr>
                          </w:pPr>
                          <w:r>
                            <w:fldChar w:fldCharType="begin"/>
                          </w:r>
                          <w:r>
                            <w:rPr>
                              <w:sz w:val="18"/>
                            </w:rPr>
                            <w:instrText xml:space="preserve"> PAGE </w:instrText>
                          </w:r>
                          <w:r>
                            <w:fldChar w:fldCharType="separate"/>
                          </w:r>
                          <w:r>
                            <w:rPr>
                              <w:sz w:val="18"/>
                            </w:rPr>
                            <w:t>204</w:t>
                          </w:r>
                          <w:r>
                            <w:fldChar w:fldCharType="end"/>
                          </w:r>
                        </w:p>
                      </w:txbxContent>
                    </wps:txbx>
                    <wps:bodyPr rot="0" vert="horz" wrap="square" lIns="0" tIns="0" rIns="0" bIns="0" anchor="t" anchorCtr="0" upright="1">
                      <a:noAutofit/>
                    </wps:bodyPr>
                  </wps:wsp>
                </a:graphicData>
              </a:graphic>
            </wp:anchor>
          </w:drawing>
        </mc:Choice>
        <mc:Fallback>
          <w:pict>
            <v:shape id="文本框 49" o:spid="_x0000_s1026" o:spt="202" type="#_x0000_t202" style="position:absolute;left:0pt;margin-left:80.2pt;margin-top:789.1pt;height:11pt;width:17.5pt;mso-position-horizontal-relative:page;mso-position-vertical-relative:page;z-index:-251657216;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r0TZAAAADQEAAA8AAAAAAAAAAQAg&#10;AAAAIgAAAGRycy9kb3ducmV2LnhtbFBLAQIUABQAAAAIAIdO4kAII47/DQIAAAYEAAAOAAAAAAAA&#10;AAEAIAAAACgBAABkcnMvZTJvRG9jLnhtbFBLBQYAAAAABgAGAFkBAACnBQAAAAA=&#10;">
              <v:fill on="f" focussize="0,0"/>
              <v:stroke on="f"/>
              <v:imagedata o:title=""/>
              <o:lock v:ext="edit" aspectratio="f"/>
              <v:textbox inset="0mm,0mm,0mm,0mm">
                <w:txbxContent>
                  <w:p w14:paraId="2B6E8CB7">
                    <w:pPr>
                      <w:spacing w:line="204" w:lineRule="exact"/>
                      <w:ind w:left="40"/>
                      <w:rPr>
                        <w:sz w:val="18"/>
                      </w:rPr>
                    </w:pPr>
                    <w:r>
                      <w:fldChar w:fldCharType="begin"/>
                    </w:r>
                    <w:r>
                      <w:rPr>
                        <w:sz w:val="18"/>
                      </w:rPr>
                      <w:instrText xml:space="preserve"> PAGE </w:instrText>
                    </w:r>
                    <w:r>
                      <w:fldChar w:fldCharType="separate"/>
                    </w:r>
                    <w:r>
                      <w:rPr>
                        <w:sz w:val="18"/>
                      </w:rPr>
                      <w:t>204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FE35">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4384" behindDoc="1" locked="0" layoutInCell="0" allowOverlap="1">
              <wp:simplePos x="0" y="0"/>
              <wp:positionH relativeFrom="page">
                <wp:posOffset>1018540</wp:posOffset>
              </wp:positionH>
              <wp:positionV relativeFrom="page">
                <wp:posOffset>10022205</wp:posOffset>
              </wp:positionV>
              <wp:extent cx="224790" cy="139700"/>
              <wp:effectExtent l="0" t="1905" r="4445" b="1270"/>
              <wp:wrapNone/>
              <wp:docPr id="14" name="Text Box 101"/>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4421FA35">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196</w:t>
                          </w:r>
                          <w:r>
                            <w:rPr>
                              <w:rFonts w:asci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01" o:spid="_x0000_s1026" o:spt="202" type="#_x0000_t202" style="position:absolute;left:0pt;margin-left:80.2pt;margin-top:789.15pt;height:11pt;width:17.7pt;mso-position-horizontal-relative:page;mso-position-vertical-relative:page;z-index:-251652096;mso-width-relative:page;mso-height-relative:page;" filled="f" stroked="f" coordsize="21600,21600" o:allowincell="f" o:gfxdata="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ZCd+fZAAAADQEAAA8AAAAAAAAAAQAgAAAAIgAAAGRycy9kb3du&#10;cmV2LnhtbFBLAQIUABQAAAAIAIdO4kAyiEzO/gEAAAYEAAAOAAAAAAAAAAEAIAAAACgBAABkcnMv&#10;ZTJvRG9jLnhtbFBLBQYAAAAABgAGAFkBAACYBQAAAAA=&#10;">
              <v:fill on="f" focussize="0,0"/>
              <v:stroke on="f"/>
              <v:imagedata o:title=""/>
              <o:lock v:ext="edit" aspectratio="f"/>
              <v:textbox inset="0mm,0mm,0mm,0mm">
                <w:txbxContent>
                  <w:p w14:paraId="4421FA35">
                    <w:pPr>
                      <w:pStyle w:val="20"/>
                      <w:kinsoku w:val="0"/>
                      <w:overflowPunct w:val="0"/>
                      <w:spacing w:line="204" w:lineRule="exact"/>
                      <w:ind w:left="40"/>
                      <w:rPr>
                        <w:rFonts w:ascii="Times New Roman"/>
                        <w:sz w:val="18"/>
                        <w:szCs w:val="18"/>
                      </w:rPr>
                    </w:pPr>
                    <w:r>
                      <w:rPr>
                        <w:rFonts w:ascii="Times New Roman"/>
                        <w:sz w:val="18"/>
                        <w:szCs w:val="18"/>
                      </w:rPr>
                      <w:fldChar w:fldCharType="begin"/>
                    </w:r>
                    <w:r>
                      <w:rPr>
                        <w:rFonts w:ascii="Times New Roman"/>
                        <w:sz w:val="18"/>
                        <w:szCs w:val="18"/>
                      </w:rPr>
                      <w:instrText xml:space="preserve"> PAGE </w:instrText>
                    </w:r>
                    <w:r>
                      <w:rPr>
                        <w:rFonts w:ascii="Times New Roman"/>
                        <w:sz w:val="18"/>
                        <w:szCs w:val="18"/>
                      </w:rPr>
                      <w:fldChar w:fldCharType="separate"/>
                    </w:r>
                    <w:r>
                      <w:rPr>
                        <w:rFonts w:ascii="Times New Roman"/>
                        <w:sz w:val="18"/>
                        <w:szCs w:val="18"/>
                      </w:rPr>
                      <w:t>196</w:t>
                    </w:r>
                    <w:r>
                      <w:rPr>
                        <w:rFonts w:ascii="Times New Roman"/>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ED18E">
    <w:pPr>
      <w:pStyle w:val="20"/>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6C3F">
    <w:pPr>
      <w:pStyle w:val="20"/>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E413">
    <w:pPr>
      <w:pStyle w:val="20"/>
      <w:kinsoku w:val="0"/>
      <w:overflowPunct w:val="0"/>
      <w:spacing w:line="14" w:lineRule="auto"/>
      <w:rPr>
        <w:rFonts w:asci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10F5413">
      <w:pPr>
        <w:pStyle w:val="37"/>
        <w:ind w:left="360" w:hanging="360" w:hangingChars="200"/>
        <w:jc w:val="both"/>
        <w:rPr>
          <w:rFonts w:ascii="宋体" w:hAnsi="宋体"/>
        </w:rPr>
      </w:pPr>
      <w:r>
        <w:rPr>
          <w:rStyle w:val="59"/>
          <w:rFonts w:ascii="宋体" w:hAnsi="宋体"/>
          <w:vertAlign w:val="baseline"/>
        </w:rPr>
        <w:footnoteRef/>
      </w:r>
      <w:r>
        <w:rPr>
          <w:rFonts w:ascii="宋体" w:hAnsi="宋体"/>
        </w:rPr>
        <w:t xml:space="preserve"> </w:t>
      </w:r>
      <w:r>
        <w:rPr>
          <w:rFonts w:hint="eastAsia" w:ascii="宋体" w:hAnsi="宋体"/>
          <w:lang w:val="en-US" w:eastAsia="zh-CN"/>
        </w:rPr>
        <w:t xml:space="preserve"> </w:t>
      </w:r>
      <w:r>
        <w:rPr>
          <w:rFonts w:hint="eastAsia" w:ascii="宋体" w:hAnsi="宋体"/>
        </w:rPr>
        <w:t>对于特别复杂的特大桥梁和特长隧道项目主体工程以及其他有特殊要求的工程，招标人还可增加附录</w:t>
      </w:r>
      <w:r>
        <w:rPr>
          <w:rFonts w:ascii="宋体" w:hAnsi="宋体"/>
        </w:rPr>
        <w:t>6</w:t>
      </w:r>
      <w:r>
        <w:rPr>
          <w:rFonts w:hint="eastAsia" w:ascii="宋体" w:hAnsi="宋体"/>
        </w:rPr>
        <w:t>对投标人的其他人员如设计各专业分项负责人、施工其他管理和技术人员（例如项目副经理、专业工程师等）、附录</w:t>
      </w:r>
      <w:r>
        <w:rPr>
          <w:rFonts w:ascii="宋体" w:hAnsi="宋体"/>
        </w:rPr>
        <w:t>7</w:t>
      </w:r>
      <w:r>
        <w:rPr>
          <w:rFonts w:hint="eastAsia" w:ascii="宋体" w:hAnsi="宋体"/>
        </w:rPr>
        <w:t>主要机械设备和试验检测设备提出要求。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E79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2DAB">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8480" behindDoc="1" locked="0" layoutInCell="0" allowOverlap="1">
              <wp:simplePos x="0" y="0"/>
              <wp:positionH relativeFrom="page">
                <wp:posOffset>1025525</wp:posOffset>
              </wp:positionH>
              <wp:positionV relativeFrom="page">
                <wp:posOffset>737235</wp:posOffset>
              </wp:positionV>
              <wp:extent cx="5424805" cy="12700"/>
              <wp:effectExtent l="6350" t="13335" r="7620" b="0"/>
              <wp:wrapNone/>
              <wp:docPr id="10" name="任意多边形 133"/>
              <wp:cNvGraphicFramePr/>
              <a:graphic xmlns:a="http://schemas.openxmlformats.org/drawingml/2006/main">
                <a:graphicData uri="http://schemas.microsoft.com/office/word/2010/wordprocessingShape">
                  <wps:wsp>
                    <wps:cNvSpPr/>
                    <wps:spPr bwMode="auto">
                      <a:xfrm>
                        <a:off x="0" y="0"/>
                        <a:ext cx="5424805" cy="12700"/>
                      </a:xfrm>
                      <a:custGeom>
                        <a:avLst/>
                        <a:gdLst>
                          <a:gd name="T0" fmla="*/ 0 w 8543"/>
                          <a:gd name="T1" fmla="*/ 0 h 20"/>
                          <a:gd name="T2" fmla="*/ 8543 w 8543"/>
                          <a:gd name="T3" fmla="*/ 0 h 20"/>
                        </a:gdLst>
                        <a:ahLst/>
                        <a:cxnLst>
                          <a:cxn ang="0">
                            <a:pos x="T0" y="T1"/>
                          </a:cxn>
                          <a:cxn ang="0">
                            <a:pos x="T2" y="T3"/>
                          </a:cxn>
                        </a:cxnLst>
                        <a:rect l="0" t="0" r="r" b="b"/>
                        <a:pathLst>
                          <a:path w="8543" h="20">
                            <a:moveTo>
                              <a:pt x="0" y="0"/>
                            </a:moveTo>
                            <a:lnTo>
                              <a:pt x="8543" y="0"/>
                            </a:lnTo>
                          </a:path>
                        </a:pathLst>
                      </a:custGeom>
                      <a:noFill/>
                      <a:ln w="7366"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33" o:spid="_x0000_s1026" o:spt="100" style="position:absolute;left:0pt;margin-left:80.75pt;margin-top:58.05pt;height:1pt;width:427.15pt;mso-position-horizontal-relative:page;mso-position-vertical-relative:page;z-index:-251648000;mso-width-relative:page;mso-height-relative:page;" filled="f" stroked="t" coordsize="8543,20" o:allowincell="f" o:gfxdata="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An53CDVAAAADAEAAA8AAAAA&#10;AAAAAQAgAAAAIgAAAGRycy9kb3ducmV2LnhtbFBLAQIUABQAAAAIAIdO4kDOtjemwgIAANYFAAAO&#10;AAAAAAAAAAEAIAAAACQBAABkcnMvZTJvRG9jLnhtbFBLBQYAAAAABgAGAFkBAABYBgAAAAA=&#10;" path="m0,0l8543,0e">
              <v:path o:connectlocs="0,0;5424805,0" o:connectangles="0,0"/>
              <v:fill on="f" focussize="0,0"/>
              <v:stroke weight="0.5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0" allowOverlap="1">
              <wp:simplePos x="0" y="0"/>
              <wp:positionH relativeFrom="page">
                <wp:posOffset>1031240</wp:posOffset>
              </wp:positionH>
              <wp:positionV relativeFrom="page">
                <wp:posOffset>548005</wp:posOffset>
              </wp:positionV>
              <wp:extent cx="2577465" cy="173355"/>
              <wp:effectExtent l="2540" t="0" r="1270" b="2540"/>
              <wp:wrapNone/>
              <wp:docPr id="9"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2577465" cy="173355"/>
                      </a:xfrm>
                      <a:prstGeom prst="rect">
                        <a:avLst/>
                      </a:prstGeom>
                      <a:noFill/>
                      <a:ln>
                        <a:noFill/>
                      </a:ln>
                    </wps:spPr>
                    <wps:txbx>
                      <w:txbxContent>
                        <w:p w14:paraId="5BE79111">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wps:txbx>
                    <wps:bodyPr rot="0" vert="horz" wrap="square" lIns="0" tIns="0" rIns="0" bIns="0" anchor="t" anchorCtr="0" upright="1">
                      <a:noAutofit/>
                    </wps:bodyPr>
                  </wps:wsp>
                </a:graphicData>
              </a:graphic>
            </wp:anchor>
          </w:drawing>
        </mc:Choice>
        <mc:Fallback>
          <w:pict>
            <v:shape id="文本框 134" o:spid="_x0000_s1026" o:spt="202" type="#_x0000_t202" style="position:absolute;left:0pt;margin-left:81.2pt;margin-top:43.15pt;height:13.65pt;width:202.95pt;mso-position-horizontal-relative:page;mso-position-vertical-relative:page;z-index:-251646976;mso-width-relative:page;mso-height-relative:page;" filled="f" stroked="f" coordsize="21600,21600" o:allowincell="f" o:gfxdata="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SDKtcAAAAKAQAADwAAAAAAAAAB&#10;ACAAAAAiAAAAZHJzL2Rvd25yZXYueG1sUEsBAhQAFAAAAAgAh07iQH2ar6kRAgAABwQAAA4AAAAA&#10;AAAAAQAgAAAAJgEAAGRycy9lMm9Eb2MueG1sUEsFBgAAAAAGAAYAWQEAAKkFAAAAAA==&#10;">
              <v:fill on="f" focussize="0,0"/>
              <v:stroke on="f"/>
              <v:imagedata o:title=""/>
              <o:lock v:ext="edit" aspectratio="f"/>
              <v:textbox inset="0mm,0mm,0mm,0mm">
                <w:txbxContent>
                  <w:p w14:paraId="5BE79111">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F069E">
    <w:pPr>
      <w:pStyle w:val="20"/>
      <w:kinsoku w:val="0"/>
      <w:overflowPunct w:val="0"/>
      <w:spacing w:line="14" w:lineRule="auto"/>
      <w:rPr>
        <w:rFonts w:ascii="Times New Roman"/>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999C2">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71552" behindDoc="1" locked="0" layoutInCell="0" allowOverlap="1">
              <wp:simplePos x="0" y="0"/>
              <wp:positionH relativeFrom="page">
                <wp:posOffset>1025525</wp:posOffset>
              </wp:positionH>
              <wp:positionV relativeFrom="page">
                <wp:posOffset>737235</wp:posOffset>
              </wp:positionV>
              <wp:extent cx="5424805" cy="12700"/>
              <wp:effectExtent l="6350" t="13335" r="7620" b="0"/>
              <wp:wrapNone/>
              <wp:docPr id="7" name="任意多边形 147"/>
              <wp:cNvGraphicFramePr/>
              <a:graphic xmlns:a="http://schemas.openxmlformats.org/drawingml/2006/main">
                <a:graphicData uri="http://schemas.microsoft.com/office/word/2010/wordprocessingShape">
                  <wps:wsp>
                    <wps:cNvSpPr/>
                    <wps:spPr bwMode="auto">
                      <a:xfrm>
                        <a:off x="0" y="0"/>
                        <a:ext cx="5424805" cy="12700"/>
                      </a:xfrm>
                      <a:custGeom>
                        <a:avLst/>
                        <a:gdLst>
                          <a:gd name="T0" fmla="*/ 0 w 8543"/>
                          <a:gd name="T1" fmla="*/ 0 h 20"/>
                          <a:gd name="T2" fmla="*/ 8543 w 8543"/>
                          <a:gd name="T3" fmla="*/ 0 h 20"/>
                        </a:gdLst>
                        <a:ahLst/>
                        <a:cxnLst>
                          <a:cxn ang="0">
                            <a:pos x="T0" y="T1"/>
                          </a:cxn>
                          <a:cxn ang="0">
                            <a:pos x="T2" y="T3"/>
                          </a:cxn>
                        </a:cxnLst>
                        <a:rect l="0" t="0" r="r" b="b"/>
                        <a:pathLst>
                          <a:path w="8543" h="20">
                            <a:moveTo>
                              <a:pt x="0" y="0"/>
                            </a:moveTo>
                            <a:lnTo>
                              <a:pt x="8543" y="0"/>
                            </a:lnTo>
                          </a:path>
                        </a:pathLst>
                      </a:custGeom>
                      <a:noFill/>
                      <a:ln w="7366"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47" o:spid="_x0000_s1026" o:spt="100" style="position:absolute;left:0pt;margin-left:80.75pt;margin-top:58.05pt;height:1pt;width:427.15pt;mso-position-horizontal-relative:page;mso-position-vertical-relative:page;z-index:-251644928;mso-width-relative:page;mso-height-relative:page;" filled="f" stroked="t" coordsize="8543,20" o:allowincell="f" o:gfxdata="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An53CDVAAAADAEAAA8AAAAA&#10;AAAAAQAgAAAAIgAAAGRycy9kb3ducmV2LnhtbFBLAQIUABQAAAAIAIdO4kA2gF1UwgIAANUFAAAO&#10;AAAAAAAAAAEAIAAAACQBAABkcnMvZTJvRG9jLnhtbFBLBQYAAAAABgAGAFkBAABYBgAAAAA=&#10;" path="m0,0l8543,0e">
              <v:path o:connectlocs="0,0;5424805,0" o:connectangles="0,0"/>
              <v:fill on="f" focussize="0,0"/>
              <v:stroke weight="0.58pt" color="#000000" joinstyle="round"/>
              <v:imagedata o:title=""/>
              <o:lock v:ext="edit" aspectratio="f"/>
            </v:shape>
          </w:pict>
        </mc:Fallback>
      </mc:AlternateContent>
    </w:r>
    <w:r>
      <mc:AlternateContent>
        <mc:Choice Requires="wps">
          <w:drawing>
            <wp:anchor distT="0" distB="0" distL="114300" distR="114300" simplePos="0" relativeHeight="251672576" behindDoc="1" locked="0" layoutInCell="0" allowOverlap="1">
              <wp:simplePos x="0" y="0"/>
              <wp:positionH relativeFrom="page">
                <wp:posOffset>1031240</wp:posOffset>
              </wp:positionH>
              <wp:positionV relativeFrom="page">
                <wp:posOffset>548005</wp:posOffset>
              </wp:positionV>
              <wp:extent cx="2577465" cy="173355"/>
              <wp:effectExtent l="2540" t="0" r="1270" b="2540"/>
              <wp:wrapNone/>
              <wp:docPr id="6"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2577465" cy="173355"/>
                      </a:xfrm>
                      <a:prstGeom prst="rect">
                        <a:avLst/>
                      </a:prstGeom>
                      <a:noFill/>
                      <a:ln>
                        <a:noFill/>
                      </a:ln>
                    </wps:spPr>
                    <wps:txbx>
                      <w:txbxContent>
                        <w:p w14:paraId="6B378B9E">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wps:txbx>
                    <wps:bodyPr rot="0" vert="horz" wrap="square" lIns="0" tIns="0" rIns="0" bIns="0" anchor="t" anchorCtr="0" upright="1">
                      <a:noAutofit/>
                    </wps:bodyPr>
                  </wps:wsp>
                </a:graphicData>
              </a:graphic>
            </wp:anchor>
          </w:drawing>
        </mc:Choice>
        <mc:Fallback>
          <w:pict>
            <v:shape id="文本框 148" o:spid="_x0000_s1026" o:spt="202" type="#_x0000_t202" style="position:absolute;left:0pt;margin-left:81.2pt;margin-top:43.15pt;height:13.65pt;width:202.95pt;mso-position-horizontal-relative:page;mso-position-vertical-relative:page;z-index:-251643904;mso-width-relative:page;mso-height-relative:page;" filled="f" stroked="f" coordsize="21600,21600" o:allowincell="f" o:gfxdata="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SDKtcAAAAKAQAADwAAAAAAAAAB&#10;ACAAAAAiAAAAZHJzL2Rvd25yZXYueG1sUEsBAhQAFAAAAAgAh07iQFMP9DkRAgAABwQAAA4AAAAA&#10;AAAAAQAgAAAAJgEAAGRycy9lMm9Eb2MueG1sUEsFBgAAAAAGAAYAWQEAAKkFAAAAAA==&#10;">
              <v:fill on="f" focussize="0,0"/>
              <v:stroke on="f"/>
              <v:imagedata o:title=""/>
              <o:lock v:ext="edit" aspectratio="f"/>
              <v:textbox inset="0mm,0mm,0mm,0mm">
                <w:txbxContent>
                  <w:p w14:paraId="6B378B9E">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B83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75F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0A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939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5644">
    <w:pPr>
      <w:pStyle w:val="20"/>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82E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A3E4">
    <w:pPr>
      <w:pStyle w:val="20"/>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8D68">
    <w:pPr>
      <w:pStyle w:val="20"/>
      <w:kinsoku w:val="0"/>
      <w:overflowPunct w:val="0"/>
      <w:spacing w:line="14" w:lineRule="auto"/>
      <w:rPr>
        <w:rFonts w:ascii="Times New Roman"/>
        <w:sz w:val="20"/>
        <w:szCs w:val="20"/>
      </w:rPr>
    </w:pPr>
    <w:r>
      <mc:AlternateContent>
        <mc:Choice Requires="wps">
          <w:drawing>
            <wp:anchor distT="0" distB="0" distL="114300" distR="114300" simplePos="0" relativeHeight="251665408" behindDoc="1" locked="0" layoutInCell="0" allowOverlap="1">
              <wp:simplePos x="0" y="0"/>
              <wp:positionH relativeFrom="page">
                <wp:posOffset>1025525</wp:posOffset>
              </wp:positionH>
              <wp:positionV relativeFrom="page">
                <wp:posOffset>737235</wp:posOffset>
              </wp:positionV>
              <wp:extent cx="5424805" cy="12700"/>
              <wp:effectExtent l="6350" t="13335" r="7620" b="0"/>
              <wp:wrapNone/>
              <wp:docPr id="13" name="任意多边形 121"/>
              <wp:cNvGraphicFramePr/>
              <a:graphic xmlns:a="http://schemas.openxmlformats.org/drawingml/2006/main">
                <a:graphicData uri="http://schemas.microsoft.com/office/word/2010/wordprocessingShape">
                  <wps:wsp>
                    <wps:cNvSpPr/>
                    <wps:spPr bwMode="auto">
                      <a:xfrm>
                        <a:off x="0" y="0"/>
                        <a:ext cx="5424805" cy="12700"/>
                      </a:xfrm>
                      <a:custGeom>
                        <a:avLst/>
                        <a:gdLst>
                          <a:gd name="T0" fmla="*/ 0 w 8543"/>
                          <a:gd name="T1" fmla="*/ 0 h 20"/>
                          <a:gd name="T2" fmla="*/ 8543 w 8543"/>
                          <a:gd name="T3" fmla="*/ 0 h 20"/>
                        </a:gdLst>
                        <a:ahLst/>
                        <a:cxnLst>
                          <a:cxn ang="0">
                            <a:pos x="T0" y="T1"/>
                          </a:cxn>
                          <a:cxn ang="0">
                            <a:pos x="T2" y="T3"/>
                          </a:cxn>
                        </a:cxnLst>
                        <a:rect l="0" t="0" r="r" b="b"/>
                        <a:pathLst>
                          <a:path w="8543" h="20">
                            <a:moveTo>
                              <a:pt x="0" y="0"/>
                            </a:moveTo>
                            <a:lnTo>
                              <a:pt x="8543" y="0"/>
                            </a:lnTo>
                          </a:path>
                        </a:pathLst>
                      </a:custGeom>
                      <a:noFill/>
                      <a:ln w="7366" cmpd="sng">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21" o:spid="_x0000_s1026" o:spt="100" style="position:absolute;left:0pt;margin-left:80.75pt;margin-top:58.05pt;height:1pt;width:427.15pt;mso-position-horizontal-relative:page;mso-position-vertical-relative:page;z-index:-251651072;mso-width-relative:page;mso-height-relative:page;" filled="f" stroked="t" coordsize="8543,20" o:allowincell="f" o:gfxdata="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J+dwg1QAAAAwBAAAPAAAA&#10;AAAAAAEAIAAAACIAAABkcnMvZG93bnJldi54bWxQSwECFAAUAAAACACHTuJAC80C9cMCAADWBQAA&#10;DgAAAAAAAAABACAAAAAkAQAAZHJzL2Uyb0RvYy54bWxQSwUGAAAAAAYABgBZAQAAWQYAAAAA&#10;" path="m0,0l8543,0e">
              <v:path o:connectlocs="0,0;5424805,0" o:connectangles="0,0"/>
              <v:fill on="f" focussize="0,0"/>
              <v:stroke weight="0.58pt" color="#000000" joinstyle="round"/>
              <v:imagedata o:title=""/>
              <o:lock v:ext="edit" aspectratio="f"/>
            </v:shape>
          </w:pict>
        </mc:Fallback>
      </mc:AlternateContent>
    </w:r>
    <w:r>
      <mc:AlternateContent>
        <mc:Choice Requires="wps">
          <w:drawing>
            <wp:anchor distT="0" distB="0" distL="114300" distR="114300" simplePos="0" relativeHeight="251666432" behindDoc="1" locked="0" layoutInCell="0" allowOverlap="1">
              <wp:simplePos x="0" y="0"/>
              <wp:positionH relativeFrom="page">
                <wp:posOffset>1031240</wp:posOffset>
              </wp:positionH>
              <wp:positionV relativeFrom="page">
                <wp:posOffset>548005</wp:posOffset>
              </wp:positionV>
              <wp:extent cx="2577465" cy="173355"/>
              <wp:effectExtent l="2540" t="0" r="1270" b="2540"/>
              <wp:wrapNone/>
              <wp:docPr id="1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2577465" cy="173355"/>
                      </a:xfrm>
                      <a:prstGeom prst="rect">
                        <a:avLst/>
                      </a:prstGeom>
                      <a:noFill/>
                      <a:ln>
                        <a:noFill/>
                      </a:ln>
                    </wps:spPr>
                    <wps:txbx>
                      <w:txbxContent>
                        <w:p w14:paraId="65D525A1">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wps:txbx>
                    <wps:bodyPr rot="0" vert="horz" wrap="square" lIns="0" tIns="0" rIns="0" bIns="0" anchor="t" anchorCtr="0" upright="1">
                      <a:noAutofit/>
                    </wps:bodyPr>
                  </wps:wsp>
                </a:graphicData>
              </a:graphic>
            </wp:anchor>
          </w:drawing>
        </mc:Choice>
        <mc:Fallback>
          <w:pict>
            <v:shape id="文本框 122" o:spid="_x0000_s1026" o:spt="202" type="#_x0000_t202" style="position:absolute;left:0pt;margin-left:81.2pt;margin-top:43.15pt;height:13.65pt;width:202.95pt;mso-position-horizontal-relative:page;mso-position-vertical-relative:page;z-index:-251650048;mso-width-relative:page;mso-height-relative:page;" filled="f" stroked="f" coordsize="21600,21600" o:allowincell="f" o:gfxdata="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SDKtcAAAAKAQAADwAAAAAAAAAB&#10;ACAAAAAiAAAAZHJzL2Rvd25yZXYueG1sUEsBAhQAFAAAAAgAh07iQL47Oh8RAgAACAQAAA4AAAAA&#10;AAAAAQAgAAAAJgEAAGRycy9lMm9Eb2MueG1sUEsFBgAAAAAGAAYAWQEAAKkFAAAAAA==&#10;">
              <v:fill on="f" focussize="0,0"/>
              <v:stroke on="f"/>
              <v:imagedata o:title=""/>
              <o:lock v:ext="edit" aspectratio="f"/>
              <v:textbox inset="0mm,0mm,0mm,0mm">
                <w:txbxContent>
                  <w:p w14:paraId="65D525A1">
                    <w:pPr>
                      <w:pStyle w:val="20"/>
                      <w:kinsoku w:val="0"/>
                      <w:overflowPunct w:val="0"/>
                      <w:spacing w:line="257" w:lineRule="exact"/>
                      <w:ind w:left="20"/>
                      <w:rPr>
                        <w:rFonts w:ascii="黑体" w:eastAsia="黑体" w:cs="黑体"/>
                        <w:sz w:val="22"/>
                        <w:szCs w:val="22"/>
                      </w:rPr>
                    </w:pPr>
                    <w:r>
                      <w:rPr>
                        <w:rFonts w:hint="eastAsia" w:ascii="黑体" w:eastAsia="黑体" w:cs="黑体"/>
                        <w:spacing w:val="-1"/>
                        <w:sz w:val="22"/>
                        <w:szCs w:val="22"/>
                      </w:rPr>
                      <w:t>公路工程标准施工招标文件（</w:t>
                    </w:r>
                    <w:r>
                      <w:rPr>
                        <w:rFonts w:ascii="Times New Roman" w:eastAsia="黑体"/>
                        <w:spacing w:val="-1"/>
                        <w:sz w:val="22"/>
                        <w:szCs w:val="22"/>
                      </w:rPr>
                      <w:t>2018</w:t>
                    </w:r>
                    <w:r>
                      <w:rPr>
                        <w:rFonts w:ascii="Times New Roman" w:eastAsia="黑体"/>
                        <w:spacing w:val="-3"/>
                        <w:sz w:val="22"/>
                        <w:szCs w:val="22"/>
                      </w:rPr>
                      <w:t xml:space="preserve"> </w:t>
                    </w:r>
                    <w:r>
                      <w:rPr>
                        <w:rFonts w:hint="eastAsia" w:ascii="黑体" w:eastAsia="黑体" w:cs="黑体"/>
                        <w:sz w:val="22"/>
                        <w:szCs w:val="22"/>
                      </w:rPr>
                      <w:t>年版）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101BF"/>
    <w:multiLevelType w:val="singleLevel"/>
    <w:tmpl w:val="A1E101BF"/>
    <w:lvl w:ilvl="0" w:tentative="0">
      <w:start w:val="2"/>
      <w:numFmt w:val="chineseCounting"/>
      <w:suff w:val="space"/>
      <w:lvlText w:val="第%1章"/>
      <w:lvlJc w:val="left"/>
      <w:rPr>
        <w:rFonts w:hint="eastAsia"/>
      </w:rPr>
    </w:lvl>
  </w:abstractNum>
  <w:abstractNum w:abstractNumId="1">
    <w:nsid w:val="D2BDF1C6"/>
    <w:multiLevelType w:val="singleLevel"/>
    <w:tmpl w:val="D2BDF1C6"/>
    <w:lvl w:ilvl="0" w:tentative="0">
      <w:start w:val="2"/>
      <w:numFmt w:val="decimal"/>
      <w:lvlText w:val="%1."/>
      <w:lvlJc w:val="left"/>
      <w:pPr>
        <w:tabs>
          <w:tab w:val="left" w:pos="312"/>
        </w:tabs>
      </w:pPr>
    </w:lvl>
  </w:abstractNum>
  <w:abstractNum w:abstractNumId="2">
    <w:nsid w:val="EE8BD277"/>
    <w:multiLevelType w:val="singleLevel"/>
    <w:tmpl w:val="EE8BD277"/>
    <w:lvl w:ilvl="0" w:tentative="0">
      <w:start w:val="18"/>
      <w:numFmt w:val="decimal"/>
      <w:suff w:val="space"/>
      <w:lvlText w:val="%1."/>
      <w:lvlJc w:val="left"/>
    </w:lvl>
  </w:abstractNum>
  <w:abstractNum w:abstractNumId="3">
    <w:nsid w:val="02AF1E01"/>
    <w:multiLevelType w:val="singleLevel"/>
    <w:tmpl w:val="02AF1E01"/>
    <w:lvl w:ilvl="0" w:tentative="0">
      <w:start w:val="7"/>
      <w:numFmt w:val="decimal"/>
      <w:suff w:val="space"/>
      <w:lvlText w:val="%1."/>
      <w:lvlJc w:val="left"/>
    </w:lvl>
  </w:abstractNum>
  <w:abstractNum w:abstractNumId="4">
    <w:nsid w:val="0DE236A1"/>
    <w:multiLevelType w:val="singleLevel"/>
    <w:tmpl w:val="0DE236A1"/>
    <w:lvl w:ilvl="0" w:tentative="0">
      <w:start w:val="1"/>
      <w:numFmt w:val="upperLetter"/>
      <w:pStyle w:val="5"/>
      <w:lvlText w:val="%1．"/>
      <w:lvlJc w:val="left"/>
      <w:pPr>
        <w:tabs>
          <w:tab w:val="left" w:pos="315"/>
        </w:tabs>
        <w:ind w:left="315" w:hanging="315"/>
      </w:pPr>
      <w:rPr>
        <w:rFonts w:hint="eastAsia"/>
      </w:rPr>
    </w:lvl>
  </w:abstractNum>
  <w:abstractNum w:abstractNumId="5">
    <w:nsid w:val="1B2169D9"/>
    <w:multiLevelType w:val="singleLevel"/>
    <w:tmpl w:val="1B2169D9"/>
    <w:lvl w:ilvl="0" w:tentative="0">
      <w:start w:val="2"/>
      <w:numFmt w:val="decimal"/>
      <w:suff w:val="nothing"/>
      <w:lvlText w:val="（%1）"/>
      <w:lvlJc w:val="left"/>
    </w:lvl>
  </w:abstractNum>
  <w:abstractNum w:abstractNumId="6">
    <w:nsid w:val="23F766B5"/>
    <w:multiLevelType w:val="multilevel"/>
    <w:tmpl w:val="23F766B5"/>
    <w:lvl w:ilvl="0" w:tentative="0">
      <w:start w:val="3"/>
      <w:numFmt w:val="decimal"/>
      <w:lvlText w:val="%1."/>
      <w:lvlJc w:val="left"/>
      <w:pPr>
        <w:ind w:left="360" w:hanging="360"/>
      </w:pPr>
      <w:rPr>
        <w:rFonts w:hint="default"/>
      </w:rPr>
    </w:lvl>
    <w:lvl w:ilvl="1" w:tentative="0">
      <w:start w:val="11"/>
      <w:numFmt w:val="decimal"/>
      <w:isLgl/>
      <w:lvlText w:val="%1.%2"/>
      <w:lvlJc w:val="left"/>
      <w:pPr>
        <w:ind w:left="870" w:hanging="450"/>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1980" w:hanging="72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180" w:hanging="1080"/>
      </w:pPr>
      <w:rPr>
        <w:rFonts w:hint="default"/>
      </w:rPr>
    </w:lvl>
    <w:lvl w:ilvl="6" w:tentative="0">
      <w:start w:val="1"/>
      <w:numFmt w:val="decimal"/>
      <w:isLgl/>
      <w:lvlText w:val="%1.%2.%3.%4.%5.%6.%7"/>
      <w:lvlJc w:val="left"/>
      <w:pPr>
        <w:ind w:left="3600" w:hanging="1080"/>
      </w:pPr>
      <w:rPr>
        <w:rFonts w:hint="default"/>
      </w:rPr>
    </w:lvl>
    <w:lvl w:ilvl="7" w:tentative="0">
      <w:start w:val="1"/>
      <w:numFmt w:val="decimal"/>
      <w:isLgl/>
      <w:lvlText w:val="%1.%2.%3.%4.%5.%6.%7.%8"/>
      <w:lvlJc w:val="left"/>
      <w:pPr>
        <w:ind w:left="4380" w:hanging="1440"/>
      </w:pPr>
      <w:rPr>
        <w:rFonts w:hint="default"/>
      </w:rPr>
    </w:lvl>
    <w:lvl w:ilvl="8" w:tentative="0">
      <w:start w:val="1"/>
      <w:numFmt w:val="decimal"/>
      <w:isLgl/>
      <w:lvlText w:val="%1.%2.%3.%4.%5.%6.%7.%8.%9"/>
      <w:lvlJc w:val="left"/>
      <w:pPr>
        <w:ind w:left="4800" w:hanging="1440"/>
      </w:pPr>
      <w:rPr>
        <w:rFonts w:hint="default"/>
      </w:rPr>
    </w:lvl>
  </w:abstractNum>
  <w:abstractNum w:abstractNumId="7">
    <w:nsid w:val="31068D0E"/>
    <w:multiLevelType w:val="singleLevel"/>
    <w:tmpl w:val="31068D0E"/>
    <w:lvl w:ilvl="0" w:tentative="0">
      <w:start w:val="28"/>
      <w:numFmt w:val="decimal"/>
      <w:suff w:val="space"/>
      <w:lvlText w:val="%1."/>
      <w:lvlJc w:val="left"/>
    </w:lvl>
  </w:abstractNum>
  <w:abstractNum w:abstractNumId="8">
    <w:nsid w:val="38111CF3"/>
    <w:multiLevelType w:val="multilevel"/>
    <w:tmpl w:val="38111CF3"/>
    <w:lvl w:ilvl="0" w:tentative="0">
      <w:start w:val="4"/>
      <w:numFmt w:val="bullet"/>
      <w:lvlText w:val="□"/>
      <w:lvlJc w:val="left"/>
      <w:pPr>
        <w:ind w:left="360" w:hanging="360"/>
      </w:pPr>
      <w:rPr>
        <w:rFonts w:hint="eastAsia" w:ascii="宋体" w:hAnsi="宋体" w:eastAsia="宋体" w:cs="宋体"/>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9C90ADB"/>
    <w:multiLevelType w:val="multilevel"/>
    <w:tmpl w:val="39C90ADB"/>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912A88"/>
    <w:multiLevelType w:val="multilevel"/>
    <w:tmpl w:val="65912A88"/>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1">
    <w:nsid w:val="74942E79"/>
    <w:multiLevelType w:val="singleLevel"/>
    <w:tmpl w:val="74942E79"/>
    <w:lvl w:ilvl="0" w:tentative="0">
      <w:start w:val="25"/>
      <w:numFmt w:val="decimal"/>
      <w:suff w:val="space"/>
      <w:lvlText w:val="%1."/>
      <w:lvlJc w:val="left"/>
    </w:lvl>
  </w:abstractNum>
  <w:num w:numId="1">
    <w:abstractNumId w:val="4"/>
  </w:num>
  <w:num w:numId="2">
    <w:abstractNumId w:val="0"/>
  </w:num>
  <w:num w:numId="3">
    <w:abstractNumId w:val="8"/>
  </w:num>
  <w:num w:numId="4">
    <w:abstractNumId w:val="1"/>
  </w:num>
  <w:num w:numId="5">
    <w:abstractNumId w:val="6"/>
  </w:num>
  <w:num w:numId="6">
    <w:abstractNumId w:val="3"/>
  </w:num>
  <w:num w:numId="7">
    <w:abstractNumId w:val="2"/>
  </w:num>
  <w:num w:numId="8">
    <w:abstractNumId w:val="11"/>
  </w:num>
  <w:num w:numId="9">
    <w:abstractNumId w:val="7"/>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YjZmNjNhYjdkOGQxMDIxNWQwZTA0MzkxMTk4YjMifQ=="/>
  </w:docVars>
  <w:rsids>
    <w:rsidRoot w:val="00172A27"/>
    <w:rsid w:val="000006CA"/>
    <w:rsid w:val="00000790"/>
    <w:rsid w:val="00005064"/>
    <w:rsid w:val="0000524B"/>
    <w:rsid w:val="00005842"/>
    <w:rsid w:val="000062EC"/>
    <w:rsid w:val="000079CB"/>
    <w:rsid w:val="0001041D"/>
    <w:rsid w:val="00013C14"/>
    <w:rsid w:val="000150A8"/>
    <w:rsid w:val="000158C9"/>
    <w:rsid w:val="000163A5"/>
    <w:rsid w:val="00020A7C"/>
    <w:rsid w:val="000224A1"/>
    <w:rsid w:val="00022BE8"/>
    <w:rsid w:val="000239A3"/>
    <w:rsid w:val="000242F4"/>
    <w:rsid w:val="0002520C"/>
    <w:rsid w:val="000261D2"/>
    <w:rsid w:val="00026B45"/>
    <w:rsid w:val="0003044B"/>
    <w:rsid w:val="00031851"/>
    <w:rsid w:val="00032A1B"/>
    <w:rsid w:val="00032A68"/>
    <w:rsid w:val="000359A3"/>
    <w:rsid w:val="00036BD2"/>
    <w:rsid w:val="00037DE1"/>
    <w:rsid w:val="000425F0"/>
    <w:rsid w:val="00045029"/>
    <w:rsid w:val="000456F3"/>
    <w:rsid w:val="00046E59"/>
    <w:rsid w:val="000471D6"/>
    <w:rsid w:val="00050397"/>
    <w:rsid w:val="0005268E"/>
    <w:rsid w:val="00053017"/>
    <w:rsid w:val="00054C34"/>
    <w:rsid w:val="00055480"/>
    <w:rsid w:val="00060D8C"/>
    <w:rsid w:val="000611E0"/>
    <w:rsid w:val="00061F3E"/>
    <w:rsid w:val="000623C8"/>
    <w:rsid w:val="0006489C"/>
    <w:rsid w:val="00065CA8"/>
    <w:rsid w:val="000664F4"/>
    <w:rsid w:val="000674CE"/>
    <w:rsid w:val="00067F29"/>
    <w:rsid w:val="000703FB"/>
    <w:rsid w:val="000733C1"/>
    <w:rsid w:val="00076F7D"/>
    <w:rsid w:val="00077B42"/>
    <w:rsid w:val="00080448"/>
    <w:rsid w:val="00080DA6"/>
    <w:rsid w:val="000811BB"/>
    <w:rsid w:val="00082692"/>
    <w:rsid w:val="00083370"/>
    <w:rsid w:val="00084FCD"/>
    <w:rsid w:val="00085DB9"/>
    <w:rsid w:val="00086797"/>
    <w:rsid w:val="00086C36"/>
    <w:rsid w:val="000870EE"/>
    <w:rsid w:val="0008787F"/>
    <w:rsid w:val="00092455"/>
    <w:rsid w:val="00092BC2"/>
    <w:rsid w:val="00092F15"/>
    <w:rsid w:val="000946CC"/>
    <w:rsid w:val="0009512C"/>
    <w:rsid w:val="000A0B98"/>
    <w:rsid w:val="000A2121"/>
    <w:rsid w:val="000A270E"/>
    <w:rsid w:val="000A35FE"/>
    <w:rsid w:val="000A36EB"/>
    <w:rsid w:val="000A3A7E"/>
    <w:rsid w:val="000A4380"/>
    <w:rsid w:val="000A4580"/>
    <w:rsid w:val="000B0BB7"/>
    <w:rsid w:val="000B12E0"/>
    <w:rsid w:val="000B192D"/>
    <w:rsid w:val="000B45E0"/>
    <w:rsid w:val="000B7057"/>
    <w:rsid w:val="000B7980"/>
    <w:rsid w:val="000C0C5B"/>
    <w:rsid w:val="000C19FD"/>
    <w:rsid w:val="000C1C4F"/>
    <w:rsid w:val="000C218B"/>
    <w:rsid w:val="000C4166"/>
    <w:rsid w:val="000C4DB7"/>
    <w:rsid w:val="000C5DD1"/>
    <w:rsid w:val="000D1534"/>
    <w:rsid w:val="000D16B1"/>
    <w:rsid w:val="000D2692"/>
    <w:rsid w:val="000D422D"/>
    <w:rsid w:val="000D5866"/>
    <w:rsid w:val="000D693E"/>
    <w:rsid w:val="000D7FE2"/>
    <w:rsid w:val="000E03D3"/>
    <w:rsid w:val="000E0DCF"/>
    <w:rsid w:val="000E3C7D"/>
    <w:rsid w:val="000E48CC"/>
    <w:rsid w:val="000E4AA8"/>
    <w:rsid w:val="000E4D90"/>
    <w:rsid w:val="000E5E4E"/>
    <w:rsid w:val="000F0A53"/>
    <w:rsid w:val="000F1826"/>
    <w:rsid w:val="000F1C39"/>
    <w:rsid w:val="000F3E4A"/>
    <w:rsid w:val="000F77E4"/>
    <w:rsid w:val="00101B1C"/>
    <w:rsid w:val="00103EC1"/>
    <w:rsid w:val="001058F4"/>
    <w:rsid w:val="001062F8"/>
    <w:rsid w:val="00107947"/>
    <w:rsid w:val="0010797B"/>
    <w:rsid w:val="00107EFB"/>
    <w:rsid w:val="00111C13"/>
    <w:rsid w:val="00112E63"/>
    <w:rsid w:val="00113BB5"/>
    <w:rsid w:val="00113EF3"/>
    <w:rsid w:val="001142B6"/>
    <w:rsid w:val="001142F9"/>
    <w:rsid w:val="0011464B"/>
    <w:rsid w:val="00116097"/>
    <w:rsid w:val="00116C39"/>
    <w:rsid w:val="00116C68"/>
    <w:rsid w:val="001234AC"/>
    <w:rsid w:val="00125293"/>
    <w:rsid w:val="00126BBE"/>
    <w:rsid w:val="00130198"/>
    <w:rsid w:val="001318E0"/>
    <w:rsid w:val="00131A2F"/>
    <w:rsid w:val="00131A96"/>
    <w:rsid w:val="00131EBE"/>
    <w:rsid w:val="00132ABC"/>
    <w:rsid w:val="00133227"/>
    <w:rsid w:val="00133D22"/>
    <w:rsid w:val="00134D23"/>
    <w:rsid w:val="00141AA0"/>
    <w:rsid w:val="00141DEC"/>
    <w:rsid w:val="001459AC"/>
    <w:rsid w:val="00146025"/>
    <w:rsid w:val="001513E1"/>
    <w:rsid w:val="001514E0"/>
    <w:rsid w:val="00151856"/>
    <w:rsid w:val="0015232D"/>
    <w:rsid w:val="0015612B"/>
    <w:rsid w:val="001564EC"/>
    <w:rsid w:val="001571DC"/>
    <w:rsid w:val="0016169B"/>
    <w:rsid w:val="00163414"/>
    <w:rsid w:val="00163767"/>
    <w:rsid w:val="00163F7B"/>
    <w:rsid w:val="001646DF"/>
    <w:rsid w:val="0016665F"/>
    <w:rsid w:val="0016706B"/>
    <w:rsid w:val="001704D6"/>
    <w:rsid w:val="001711F0"/>
    <w:rsid w:val="001726D3"/>
    <w:rsid w:val="00172A27"/>
    <w:rsid w:val="00174510"/>
    <w:rsid w:val="00175381"/>
    <w:rsid w:val="00175F0D"/>
    <w:rsid w:val="00176C01"/>
    <w:rsid w:val="00177A26"/>
    <w:rsid w:val="00180761"/>
    <w:rsid w:val="00180F01"/>
    <w:rsid w:val="00181083"/>
    <w:rsid w:val="0018151C"/>
    <w:rsid w:val="00181A85"/>
    <w:rsid w:val="00181F31"/>
    <w:rsid w:val="001833AE"/>
    <w:rsid w:val="001837EE"/>
    <w:rsid w:val="00184734"/>
    <w:rsid w:val="00184735"/>
    <w:rsid w:val="001848EA"/>
    <w:rsid w:val="00186138"/>
    <w:rsid w:val="0018660B"/>
    <w:rsid w:val="00186E97"/>
    <w:rsid w:val="00187BAA"/>
    <w:rsid w:val="001905E1"/>
    <w:rsid w:val="0019109F"/>
    <w:rsid w:val="0019219E"/>
    <w:rsid w:val="001923BD"/>
    <w:rsid w:val="00193E62"/>
    <w:rsid w:val="001946EB"/>
    <w:rsid w:val="00195589"/>
    <w:rsid w:val="00196AF2"/>
    <w:rsid w:val="00197AA1"/>
    <w:rsid w:val="00197ED0"/>
    <w:rsid w:val="001A12D0"/>
    <w:rsid w:val="001A2EE6"/>
    <w:rsid w:val="001A37B8"/>
    <w:rsid w:val="001A44A9"/>
    <w:rsid w:val="001A6481"/>
    <w:rsid w:val="001A6A8F"/>
    <w:rsid w:val="001A6E8D"/>
    <w:rsid w:val="001B056F"/>
    <w:rsid w:val="001B15AA"/>
    <w:rsid w:val="001B467E"/>
    <w:rsid w:val="001B4CC2"/>
    <w:rsid w:val="001B66DE"/>
    <w:rsid w:val="001C042D"/>
    <w:rsid w:val="001C1831"/>
    <w:rsid w:val="001C270B"/>
    <w:rsid w:val="001C70C8"/>
    <w:rsid w:val="001C7AE6"/>
    <w:rsid w:val="001D18FE"/>
    <w:rsid w:val="001D1C51"/>
    <w:rsid w:val="001D1F39"/>
    <w:rsid w:val="001D3A23"/>
    <w:rsid w:val="001D6483"/>
    <w:rsid w:val="001D6864"/>
    <w:rsid w:val="001D7511"/>
    <w:rsid w:val="001D79E2"/>
    <w:rsid w:val="001E1ECC"/>
    <w:rsid w:val="001E1FA8"/>
    <w:rsid w:val="001E2866"/>
    <w:rsid w:val="001E6F33"/>
    <w:rsid w:val="001F0ACD"/>
    <w:rsid w:val="001F128B"/>
    <w:rsid w:val="001F3D06"/>
    <w:rsid w:val="001F4932"/>
    <w:rsid w:val="001F58C5"/>
    <w:rsid w:val="001F5CC5"/>
    <w:rsid w:val="001F7EA8"/>
    <w:rsid w:val="00200601"/>
    <w:rsid w:val="00200DDA"/>
    <w:rsid w:val="00202251"/>
    <w:rsid w:val="00205CF9"/>
    <w:rsid w:val="002111DE"/>
    <w:rsid w:val="002126D0"/>
    <w:rsid w:val="00212CCB"/>
    <w:rsid w:val="00214A13"/>
    <w:rsid w:val="002156F4"/>
    <w:rsid w:val="00217AC8"/>
    <w:rsid w:val="002209D9"/>
    <w:rsid w:val="00221411"/>
    <w:rsid w:val="00222620"/>
    <w:rsid w:val="002271AD"/>
    <w:rsid w:val="0023194F"/>
    <w:rsid w:val="00233C89"/>
    <w:rsid w:val="00233F84"/>
    <w:rsid w:val="00234F03"/>
    <w:rsid w:val="00236001"/>
    <w:rsid w:val="002364F5"/>
    <w:rsid w:val="002369C4"/>
    <w:rsid w:val="00237E56"/>
    <w:rsid w:val="00240B93"/>
    <w:rsid w:val="00241322"/>
    <w:rsid w:val="00243CA7"/>
    <w:rsid w:val="00245188"/>
    <w:rsid w:val="002505FF"/>
    <w:rsid w:val="00252335"/>
    <w:rsid w:val="00254173"/>
    <w:rsid w:val="00254276"/>
    <w:rsid w:val="00256B5C"/>
    <w:rsid w:val="00260B48"/>
    <w:rsid w:val="00260DC7"/>
    <w:rsid w:val="00263C0D"/>
    <w:rsid w:val="00264E53"/>
    <w:rsid w:val="0026504A"/>
    <w:rsid w:val="00265FE6"/>
    <w:rsid w:val="00266F34"/>
    <w:rsid w:val="00272B31"/>
    <w:rsid w:val="00272C2D"/>
    <w:rsid w:val="00272F01"/>
    <w:rsid w:val="00273EB4"/>
    <w:rsid w:val="00274DBD"/>
    <w:rsid w:val="00276656"/>
    <w:rsid w:val="00280423"/>
    <w:rsid w:val="0028148E"/>
    <w:rsid w:val="00282870"/>
    <w:rsid w:val="002844B2"/>
    <w:rsid w:val="002861FE"/>
    <w:rsid w:val="00286AB6"/>
    <w:rsid w:val="00287224"/>
    <w:rsid w:val="0028743E"/>
    <w:rsid w:val="00290390"/>
    <w:rsid w:val="00290F6C"/>
    <w:rsid w:val="00291124"/>
    <w:rsid w:val="00291BDA"/>
    <w:rsid w:val="002930D1"/>
    <w:rsid w:val="00294EA1"/>
    <w:rsid w:val="0029574F"/>
    <w:rsid w:val="002A0B3D"/>
    <w:rsid w:val="002A2EFD"/>
    <w:rsid w:val="002A4192"/>
    <w:rsid w:val="002A49F6"/>
    <w:rsid w:val="002A4C39"/>
    <w:rsid w:val="002A4FC9"/>
    <w:rsid w:val="002A6DAC"/>
    <w:rsid w:val="002A74E4"/>
    <w:rsid w:val="002B0052"/>
    <w:rsid w:val="002B03D8"/>
    <w:rsid w:val="002B2217"/>
    <w:rsid w:val="002B273E"/>
    <w:rsid w:val="002B2959"/>
    <w:rsid w:val="002B33C3"/>
    <w:rsid w:val="002B3C62"/>
    <w:rsid w:val="002B4053"/>
    <w:rsid w:val="002B523B"/>
    <w:rsid w:val="002B571D"/>
    <w:rsid w:val="002C4C26"/>
    <w:rsid w:val="002C672E"/>
    <w:rsid w:val="002C6B4A"/>
    <w:rsid w:val="002C6BC6"/>
    <w:rsid w:val="002C6BE3"/>
    <w:rsid w:val="002C79D4"/>
    <w:rsid w:val="002D0D50"/>
    <w:rsid w:val="002D3780"/>
    <w:rsid w:val="002D4C78"/>
    <w:rsid w:val="002D5A92"/>
    <w:rsid w:val="002D5EBE"/>
    <w:rsid w:val="002D6792"/>
    <w:rsid w:val="002D69FE"/>
    <w:rsid w:val="002D7A39"/>
    <w:rsid w:val="002E055E"/>
    <w:rsid w:val="002E0937"/>
    <w:rsid w:val="002E0CB5"/>
    <w:rsid w:val="002E2807"/>
    <w:rsid w:val="002E2DFF"/>
    <w:rsid w:val="002E5CFA"/>
    <w:rsid w:val="002E62B0"/>
    <w:rsid w:val="002F15D7"/>
    <w:rsid w:val="002F3FFA"/>
    <w:rsid w:val="002F408B"/>
    <w:rsid w:val="002F684D"/>
    <w:rsid w:val="002F72D5"/>
    <w:rsid w:val="002F7698"/>
    <w:rsid w:val="002F7927"/>
    <w:rsid w:val="002F7A60"/>
    <w:rsid w:val="00300419"/>
    <w:rsid w:val="00302C2E"/>
    <w:rsid w:val="00303D2C"/>
    <w:rsid w:val="003049B5"/>
    <w:rsid w:val="003049C5"/>
    <w:rsid w:val="0030613C"/>
    <w:rsid w:val="003074F6"/>
    <w:rsid w:val="00310142"/>
    <w:rsid w:val="00311B09"/>
    <w:rsid w:val="003155D3"/>
    <w:rsid w:val="00316261"/>
    <w:rsid w:val="003168DA"/>
    <w:rsid w:val="00316961"/>
    <w:rsid w:val="00316D68"/>
    <w:rsid w:val="00316E45"/>
    <w:rsid w:val="003171F8"/>
    <w:rsid w:val="003175FF"/>
    <w:rsid w:val="0032054D"/>
    <w:rsid w:val="0032213D"/>
    <w:rsid w:val="0032393D"/>
    <w:rsid w:val="00323EE7"/>
    <w:rsid w:val="003241A1"/>
    <w:rsid w:val="00325ECE"/>
    <w:rsid w:val="00326BEE"/>
    <w:rsid w:val="00327564"/>
    <w:rsid w:val="003309F1"/>
    <w:rsid w:val="00330B56"/>
    <w:rsid w:val="00333FFE"/>
    <w:rsid w:val="003357DF"/>
    <w:rsid w:val="00336F80"/>
    <w:rsid w:val="00336FFB"/>
    <w:rsid w:val="00337150"/>
    <w:rsid w:val="003374FB"/>
    <w:rsid w:val="003403BC"/>
    <w:rsid w:val="00340F2B"/>
    <w:rsid w:val="00343CE1"/>
    <w:rsid w:val="00346373"/>
    <w:rsid w:val="00347E5F"/>
    <w:rsid w:val="003506F7"/>
    <w:rsid w:val="00352250"/>
    <w:rsid w:val="0035266D"/>
    <w:rsid w:val="0035419F"/>
    <w:rsid w:val="003544CE"/>
    <w:rsid w:val="00354793"/>
    <w:rsid w:val="003552BD"/>
    <w:rsid w:val="00355D67"/>
    <w:rsid w:val="003561D3"/>
    <w:rsid w:val="00356685"/>
    <w:rsid w:val="00360123"/>
    <w:rsid w:val="003606B0"/>
    <w:rsid w:val="0036158E"/>
    <w:rsid w:val="00361BDE"/>
    <w:rsid w:val="00363E73"/>
    <w:rsid w:val="003641B7"/>
    <w:rsid w:val="00364282"/>
    <w:rsid w:val="003645B2"/>
    <w:rsid w:val="003648BA"/>
    <w:rsid w:val="00364B25"/>
    <w:rsid w:val="0036540F"/>
    <w:rsid w:val="0036744D"/>
    <w:rsid w:val="0037004B"/>
    <w:rsid w:val="003709AE"/>
    <w:rsid w:val="00370C15"/>
    <w:rsid w:val="003725AB"/>
    <w:rsid w:val="003730B0"/>
    <w:rsid w:val="00373D8E"/>
    <w:rsid w:val="00373F9F"/>
    <w:rsid w:val="0037452D"/>
    <w:rsid w:val="00377AE2"/>
    <w:rsid w:val="00380808"/>
    <w:rsid w:val="00380CD7"/>
    <w:rsid w:val="00382734"/>
    <w:rsid w:val="00382BB4"/>
    <w:rsid w:val="0038478D"/>
    <w:rsid w:val="00386690"/>
    <w:rsid w:val="00386C95"/>
    <w:rsid w:val="003903DA"/>
    <w:rsid w:val="00391043"/>
    <w:rsid w:val="003910D6"/>
    <w:rsid w:val="003966DC"/>
    <w:rsid w:val="00397152"/>
    <w:rsid w:val="003A0424"/>
    <w:rsid w:val="003A0B36"/>
    <w:rsid w:val="003A2657"/>
    <w:rsid w:val="003A2E16"/>
    <w:rsid w:val="003A3DA6"/>
    <w:rsid w:val="003A4907"/>
    <w:rsid w:val="003A5096"/>
    <w:rsid w:val="003A5E67"/>
    <w:rsid w:val="003A61F4"/>
    <w:rsid w:val="003A6431"/>
    <w:rsid w:val="003A6CC9"/>
    <w:rsid w:val="003A72E7"/>
    <w:rsid w:val="003A79C8"/>
    <w:rsid w:val="003A7CF9"/>
    <w:rsid w:val="003B36A5"/>
    <w:rsid w:val="003B3FEA"/>
    <w:rsid w:val="003B4BAA"/>
    <w:rsid w:val="003B6A94"/>
    <w:rsid w:val="003B7AF8"/>
    <w:rsid w:val="003B7B97"/>
    <w:rsid w:val="003B7EE1"/>
    <w:rsid w:val="003C0300"/>
    <w:rsid w:val="003C0D75"/>
    <w:rsid w:val="003C206F"/>
    <w:rsid w:val="003C3EDA"/>
    <w:rsid w:val="003C4FEA"/>
    <w:rsid w:val="003C5B83"/>
    <w:rsid w:val="003C6DB5"/>
    <w:rsid w:val="003D063C"/>
    <w:rsid w:val="003D122F"/>
    <w:rsid w:val="003D13D8"/>
    <w:rsid w:val="003D2CF4"/>
    <w:rsid w:val="003D3EFD"/>
    <w:rsid w:val="003D431A"/>
    <w:rsid w:val="003D43C6"/>
    <w:rsid w:val="003D52EA"/>
    <w:rsid w:val="003D58C7"/>
    <w:rsid w:val="003D5C02"/>
    <w:rsid w:val="003D67E7"/>
    <w:rsid w:val="003D6D79"/>
    <w:rsid w:val="003D7175"/>
    <w:rsid w:val="003E030A"/>
    <w:rsid w:val="003E3AF7"/>
    <w:rsid w:val="003E56D5"/>
    <w:rsid w:val="003E588E"/>
    <w:rsid w:val="003F020B"/>
    <w:rsid w:val="003F15F3"/>
    <w:rsid w:val="003F2940"/>
    <w:rsid w:val="003F40F7"/>
    <w:rsid w:val="003F5F74"/>
    <w:rsid w:val="003F6492"/>
    <w:rsid w:val="003F670E"/>
    <w:rsid w:val="004000F7"/>
    <w:rsid w:val="0040131C"/>
    <w:rsid w:val="0040271E"/>
    <w:rsid w:val="00402CD2"/>
    <w:rsid w:val="00407646"/>
    <w:rsid w:val="00412F9C"/>
    <w:rsid w:val="00413BB0"/>
    <w:rsid w:val="00413D32"/>
    <w:rsid w:val="0041400B"/>
    <w:rsid w:val="00415FED"/>
    <w:rsid w:val="00417111"/>
    <w:rsid w:val="00417AB0"/>
    <w:rsid w:val="0042016E"/>
    <w:rsid w:val="00421E53"/>
    <w:rsid w:val="004225CA"/>
    <w:rsid w:val="004227F8"/>
    <w:rsid w:val="00425801"/>
    <w:rsid w:val="00427530"/>
    <w:rsid w:val="00430268"/>
    <w:rsid w:val="00430270"/>
    <w:rsid w:val="00430C94"/>
    <w:rsid w:val="0043329C"/>
    <w:rsid w:val="00434031"/>
    <w:rsid w:val="00436357"/>
    <w:rsid w:val="00441ABC"/>
    <w:rsid w:val="00442D22"/>
    <w:rsid w:val="004432FD"/>
    <w:rsid w:val="0044368A"/>
    <w:rsid w:val="00443ED0"/>
    <w:rsid w:val="00444B04"/>
    <w:rsid w:val="00445134"/>
    <w:rsid w:val="00445451"/>
    <w:rsid w:val="004456F7"/>
    <w:rsid w:val="004459D0"/>
    <w:rsid w:val="00445E71"/>
    <w:rsid w:val="004464D5"/>
    <w:rsid w:val="00447C07"/>
    <w:rsid w:val="00452CE3"/>
    <w:rsid w:val="004534F1"/>
    <w:rsid w:val="00454064"/>
    <w:rsid w:val="00454080"/>
    <w:rsid w:val="00457BE4"/>
    <w:rsid w:val="00460152"/>
    <w:rsid w:val="00460882"/>
    <w:rsid w:val="00460F59"/>
    <w:rsid w:val="00461945"/>
    <w:rsid w:val="00463816"/>
    <w:rsid w:val="00465594"/>
    <w:rsid w:val="004657E9"/>
    <w:rsid w:val="00466456"/>
    <w:rsid w:val="00466513"/>
    <w:rsid w:val="0047083E"/>
    <w:rsid w:val="004720B4"/>
    <w:rsid w:val="004727A0"/>
    <w:rsid w:val="004730F8"/>
    <w:rsid w:val="00474E58"/>
    <w:rsid w:val="0047731C"/>
    <w:rsid w:val="0047758C"/>
    <w:rsid w:val="00484AB3"/>
    <w:rsid w:val="00484C73"/>
    <w:rsid w:val="00484DDE"/>
    <w:rsid w:val="0048500F"/>
    <w:rsid w:val="00486457"/>
    <w:rsid w:val="0048798D"/>
    <w:rsid w:val="00490E90"/>
    <w:rsid w:val="00491CE7"/>
    <w:rsid w:val="0049246B"/>
    <w:rsid w:val="004938C2"/>
    <w:rsid w:val="00493D98"/>
    <w:rsid w:val="00497077"/>
    <w:rsid w:val="004A1AA1"/>
    <w:rsid w:val="004A1CCC"/>
    <w:rsid w:val="004A575B"/>
    <w:rsid w:val="004B06B1"/>
    <w:rsid w:val="004B0BE7"/>
    <w:rsid w:val="004B3032"/>
    <w:rsid w:val="004B3C06"/>
    <w:rsid w:val="004B44A0"/>
    <w:rsid w:val="004B4636"/>
    <w:rsid w:val="004B51FB"/>
    <w:rsid w:val="004B63DC"/>
    <w:rsid w:val="004B6FDD"/>
    <w:rsid w:val="004C0A71"/>
    <w:rsid w:val="004C11AE"/>
    <w:rsid w:val="004C24E5"/>
    <w:rsid w:val="004C25C4"/>
    <w:rsid w:val="004C5C8F"/>
    <w:rsid w:val="004C5E37"/>
    <w:rsid w:val="004D09A3"/>
    <w:rsid w:val="004D0BB3"/>
    <w:rsid w:val="004D230D"/>
    <w:rsid w:val="004D3CC7"/>
    <w:rsid w:val="004D4350"/>
    <w:rsid w:val="004D4BE5"/>
    <w:rsid w:val="004D581E"/>
    <w:rsid w:val="004D71AD"/>
    <w:rsid w:val="004D75F2"/>
    <w:rsid w:val="004E18D0"/>
    <w:rsid w:val="004E27C2"/>
    <w:rsid w:val="004E3E65"/>
    <w:rsid w:val="004E7B5D"/>
    <w:rsid w:val="004F052A"/>
    <w:rsid w:val="004F0647"/>
    <w:rsid w:val="004F0FFB"/>
    <w:rsid w:val="004F16F2"/>
    <w:rsid w:val="004F20DC"/>
    <w:rsid w:val="004F2CE8"/>
    <w:rsid w:val="004F43D9"/>
    <w:rsid w:val="004F4B2A"/>
    <w:rsid w:val="00500223"/>
    <w:rsid w:val="005010D2"/>
    <w:rsid w:val="00503C85"/>
    <w:rsid w:val="0050468B"/>
    <w:rsid w:val="00506B0E"/>
    <w:rsid w:val="00506BFD"/>
    <w:rsid w:val="005071BD"/>
    <w:rsid w:val="00507768"/>
    <w:rsid w:val="0050789E"/>
    <w:rsid w:val="00507C33"/>
    <w:rsid w:val="00512D5D"/>
    <w:rsid w:val="0051305D"/>
    <w:rsid w:val="00514656"/>
    <w:rsid w:val="00514A88"/>
    <w:rsid w:val="0051637B"/>
    <w:rsid w:val="005166C1"/>
    <w:rsid w:val="00517720"/>
    <w:rsid w:val="00520517"/>
    <w:rsid w:val="005212B2"/>
    <w:rsid w:val="005215DB"/>
    <w:rsid w:val="00524E6D"/>
    <w:rsid w:val="005250F0"/>
    <w:rsid w:val="00525ABA"/>
    <w:rsid w:val="00527E51"/>
    <w:rsid w:val="00527FCF"/>
    <w:rsid w:val="005311ED"/>
    <w:rsid w:val="00536B72"/>
    <w:rsid w:val="00540FF3"/>
    <w:rsid w:val="005426C2"/>
    <w:rsid w:val="005440C3"/>
    <w:rsid w:val="00544D2B"/>
    <w:rsid w:val="00547EEF"/>
    <w:rsid w:val="005514E8"/>
    <w:rsid w:val="00551F8D"/>
    <w:rsid w:val="0055267C"/>
    <w:rsid w:val="005541DF"/>
    <w:rsid w:val="005561FB"/>
    <w:rsid w:val="005570F0"/>
    <w:rsid w:val="00557D2E"/>
    <w:rsid w:val="00560245"/>
    <w:rsid w:val="00560C0A"/>
    <w:rsid w:val="005610CA"/>
    <w:rsid w:val="00562A0E"/>
    <w:rsid w:val="00564467"/>
    <w:rsid w:val="005656E7"/>
    <w:rsid w:val="00565FB4"/>
    <w:rsid w:val="005666A9"/>
    <w:rsid w:val="0057125B"/>
    <w:rsid w:val="00571768"/>
    <w:rsid w:val="0057267C"/>
    <w:rsid w:val="00573697"/>
    <w:rsid w:val="00574078"/>
    <w:rsid w:val="00574562"/>
    <w:rsid w:val="0058043B"/>
    <w:rsid w:val="00580A07"/>
    <w:rsid w:val="00580EC1"/>
    <w:rsid w:val="00580EFD"/>
    <w:rsid w:val="0058122A"/>
    <w:rsid w:val="005813C8"/>
    <w:rsid w:val="00581AE7"/>
    <w:rsid w:val="0058273C"/>
    <w:rsid w:val="0058452D"/>
    <w:rsid w:val="00585703"/>
    <w:rsid w:val="00586050"/>
    <w:rsid w:val="005A0B30"/>
    <w:rsid w:val="005A1564"/>
    <w:rsid w:val="005A24AD"/>
    <w:rsid w:val="005B0311"/>
    <w:rsid w:val="005B1627"/>
    <w:rsid w:val="005B184F"/>
    <w:rsid w:val="005B4BFC"/>
    <w:rsid w:val="005B59C5"/>
    <w:rsid w:val="005B6053"/>
    <w:rsid w:val="005B7BCB"/>
    <w:rsid w:val="005C1152"/>
    <w:rsid w:val="005C1FAD"/>
    <w:rsid w:val="005C5013"/>
    <w:rsid w:val="005C5469"/>
    <w:rsid w:val="005C5E58"/>
    <w:rsid w:val="005C7293"/>
    <w:rsid w:val="005D047C"/>
    <w:rsid w:val="005D0D79"/>
    <w:rsid w:val="005D1A74"/>
    <w:rsid w:val="005D1CC8"/>
    <w:rsid w:val="005D2270"/>
    <w:rsid w:val="005D24F5"/>
    <w:rsid w:val="005D3E78"/>
    <w:rsid w:val="005D4021"/>
    <w:rsid w:val="005D4FCB"/>
    <w:rsid w:val="005D6DE4"/>
    <w:rsid w:val="005D6F82"/>
    <w:rsid w:val="005D75B1"/>
    <w:rsid w:val="005D77B0"/>
    <w:rsid w:val="005E0886"/>
    <w:rsid w:val="005E11EB"/>
    <w:rsid w:val="005E2211"/>
    <w:rsid w:val="005E281D"/>
    <w:rsid w:val="005E3046"/>
    <w:rsid w:val="005E3063"/>
    <w:rsid w:val="005E341D"/>
    <w:rsid w:val="005E3F85"/>
    <w:rsid w:val="005E6366"/>
    <w:rsid w:val="005E6C1D"/>
    <w:rsid w:val="005E718A"/>
    <w:rsid w:val="005F00E5"/>
    <w:rsid w:val="005F3239"/>
    <w:rsid w:val="005F4F48"/>
    <w:rsid w:val="005F5819"/>
    <w:rsid w:val="005F5DBD"/>
    <w:rsid w:val="00601334"/>
    <w:rsid w:val="00601AFC"/>
    <w:rsid w:val="00602CAE"/>
    <w:rsid w:val="006050EE"/>
    <w:rsid w:val="00605166"/>
    <w:rsid w:val="006053FC"/>
    <w:rsid w:val="006054C5"/>
    <w:rsid w:val="0060599D"/>
    <w:rsid w:val="006101E5"/>
    <w:rsid w:val="00610EA1"/>
    <w:rsid w:val="00611DFF"/>
    <w:rsid w:val="00613E55"/>
    <w:rsid w:val="0061425B"/>
    <w:rsid w:val="0061570B"/>
    <w:rsid w:val="006164AA"/>
    <w:rsid w:val="00616AF2"/>
    <w:rsid w:val="00616B81"/>
    <w:rsid w:val="006202D5"/>
    <w:rsid w:val="00621AFB"/>
    <w:rsid w:val="0062254B"/>
    <w:rsid w:val="00623A3E"/>
    <w:rsid w:val="00623F66"/>
    <w:rsid w:val="006248AA"/>
    <w:rsid w:val="00624B53"/>
    <w:rsid w:val="00625CBA"/>
    <w:rsid w:val="00626DE3"/>
    <w:rsid w:val="00626E68"/>
    <w:rsid w:val="0062714A"/>
    <w:rsid w:val="00631102"/>
    <w:rsid w:val="006313D8"/>
    <w:rsid w:val="00632673"/>
    <w:rsid w:val="0063311B"/>
    <w:rsid w:val="00633433"/>
    <w:rsid w:val="0063444A"/>
    <w:rsid w:val="00634F6B"/>
    <w:rsid w:val="006353D7"/>
    <w:rsid w:val="00635891"/>
    <w:rsid w:val="006379FB"/>
    <w:rsid w:val="00643798"/>
    <w:rsid w:val="006452BD"/>
    <w:rsid w:val="006459B1"/>
    <w:rsid w:val="006459FC"/>
    <w:rsid w:val="00645EFC"/>
    <w:rsid w:val="00646722"/>
    <w:rsid w:val="0064679E"/>
    <w:rsid w:val="00647337"/>
    <w:rsid w:val="00650027"/>
    <w:rsid w:val="0065059B"/>
    <w:rsid w:val="00652BA9"/>
    <w:rsid w:val="0065351F"/>
    <w:rsid w:val="0065564D"/>
    <w:rsid w:val="00655C14"/>
    <w:rsid w:val="00657681"/>
    <w:rsid w:val="00660180"/>
    <w:rsid w:val="00660303"/>
    <w:rsid w:val="00662004"/>
    <w:rsid w:val="0066237D"/>
    <w:rsid w:val="00662DC3"/>
    <w:rsid w:val="00664B0C"/>
    <w:rsid w:val="00664FD8"/>
    <w:rsid w:val="00665903"/>
    <w:rsid w:val="00665F37"/>
    <w:rsid w:val="0066617C"/>
    <w:rsid w:val="00666956"/>
    <w:rsid w:val="00666998"/>
    <w:rsid w:val="00666BE9"/>
    <w:rsid w:val="00667F42"/>
    <w:rsid w:val="00670A57"/>
    <w:rsid w:val="006710AF"/>
    <w:rsid w:val="00673126"/>
    <w:rsid w:val="006739F0"/>
    <w:rsid w:val="00676787"/>
    <w:rsid w:val="00676D2C"/>
    <w:rsid w:val="00680ACF"/>
    <w:rsid w:val="0068235A"/>
    <w:rsid w:val="006906A8"/>
    <w:rsid w:val="00690759"/>
    <w:rsid w:val="00692464"/>
    <w:rsid w:val="006934CA"/>
    <w:rsid w:val="0069395D"/>
    <w:rsid w:val="006940F4"/>
    <w:rsid w:val="00694D8F"/>
    <w:rsid w:val="00695225"/>
    <w:rsid w:val="00695A08"/>
    <w:rsid w:val="00695D95"/>
    <w:rsid w:val="006A0127"/>
    <w:rsid w:val="006A017E"/>
    <w:rsid w:val="006A0B45"/>
    <w:rsid w:val="006A1236"/>
    <w:rsid w:val="006A1324"/>
    <w:rsid w:val="006A2EF1"/>
    <w:rsid w:val="006A2F4C"/>
    <w:rsid w:val="006A4254"/>
    <w:rsid w:val="006A52A4"/>
    <w:rsid w:val="006A7581"/>
    <w:rsid w:val="006B066C"/>
    <w:rsid w:val="006B20EB"/>
    <w:rsid w:val="006B38AC"/>
    <w:rsid w:val="006B5B1E"/>
    <w:rsid w:val="006C0CAE"/>
    <w:rsid w:val="006C12AD"/>
    <w:rsid w:val="006C2BC4"/>
    <w:rsid w:val="006C2E45"/>
    <w:rsid w:val="006C3465"/>
    <w:rsid w:val="006C4809"/>
    <w:rsid w:val="006C634F"/>
    <w:rsid w:val="006C6B1C"/>
    <w:rsid w:val="006C79E3"/>
    <w:rsid w:val="006D1A33"/>
    <w:rsid w:val="006D2ACC"/>
    <w:rsid w:val="006D38BF"/>
    <w:rsid w:val="006D3EF6"/>
    <w:rsid w:val="006D5D8A"/>
    <w:rsid w:val="006D73A2"/>
    <w:rsid w:val="006E1531"/>
    <w:rsid w:val="006E1963"/>
    <w:rsid w:val="006E2A8F"/>
    <w:rsid w:val="006E2D90"/>
    <w:rsid w:val="006E37F9"/>
    <w:rsid w:val="006E6017"/>
    <w:rsid w:val="006E669F"/>
    <w:rsid w:val="006E7C8B"/>
    <w:rsid w:val="006F12E6"/>
    <w:rsid w:val="006F1CFC"/>
    <w:rsid w:val="006F35EA"/>
    <w:rsid w:val="006F382C"/>
    <w:rsid w:val="006F53FD"/>
    <w:rsid w:val="006F7275"/>
    <w:rsid w:val="00703595"/>
    <w:rsid w:val="00704471"/>
    <w:rsid w:val="00705D2E"/>
    <w:rsid w:val="007069C4"/>
    <w:rsid w:val="0070779D"/>
    <w:rsid w:val="00710487"/>
    <w:rsid w:val="0071101A"/>
    <w:rsid w:val="00715CC3"/>
    <w:rsid w:val="0071603D"/>
    <w:rsid w:val="0071713A"/>
    <w:rsid w:val="0071726E"/>
    <w:rsid w:val="007215D4"/>
    <w:rsid w:val="0072313A"/>
    <w:rsid w:val="00724544"/>
    <w:rsid w:val="00725AE9"/>
    <w:rsid w:val="00727199"/>
    <w:rsid w:val="00732734"/>
    <w:rsid w:val="00733562"/>
    <w:rsid w:val="0073468C"/>
    <w:rsid w:val="0073635D"/>
    <w:rsid w:val="00736B12"/>
    <w:rsid w:val="00737CCA"/>
    <w:rsid w:val="007402DD"/>
    <w:rsid w:val="0074172C"/>
    <w:rsid w:val="00741B5D"/>
    <w:rsid w:val="00742139"/>
    <w:rsid w:val="00742210"/>
    <w:rsid w:val="00742EA1"/>
    <w:rsid w:val="00744750"/>
    <w:rsid w:val="007453EC"/>
    <w:rsid w:val="00751B43"/>
    <w:rsid w:val="00752048"/>
    <w:rsid w:val="0075286D"/>
    <w:rsid w:val="0075602B"/>
    <w:rsid w:val="007561E1"/>
    <w:rsid w:val="007566C6"/>
    <w:rsid w:val="007567F4"/>
    <w:rsid w:val="007567F8"/>
    <w:rsid w:val="007577C9"/>
    <w:rsid w:val="0076050A"/>
    <w:rsid w:val="00760BE4"/>
    <w:rsid w:val="007633BA"/>
    <w:rsid w:val="00764F31"/>
    <w:rsid w:val="00764F3B"/>
    <w:rsid w:val="0076507D"/>
    <w:rsid w:val="00765F0F"/>
    <w:rsid w:val="00765FBD"/>
    <w:rsid w:val="00766611"/>
    <w:rsid w:val="0076684C"/>
    <w:rsid w:val="00767F9A"/>
    <w:rsid w:val="00770A5C"/>
    <w:rsid w:val="0077298E"/>
    <w:rsid w:val="00772BF5"/>
    <w:rsid w:val="007750CC"/>
    <w:rsid w:val="00775AD9"/>
    <w:rsid w:val="007767B8"/>
    <w:rsid w:val="0077745D"/>
    <w:rsid w:val="00777C15"/>
    <w:rsid w:val="00777C73"/>
    <w:rsid w:val="00780B28"/>
    <w:rsid w:val="0078144E"/>
    <w:rsid w:val="0078206E"/>
    <w:rsid w:val="0078329E"/>
    <w:rsid w:val="00785105"/>
    <w:rsid w:val="007851A1"/>
    <w:rsid w:val="007855E4"/>
    <w:rsid w:val="00785929"/>
    <w:rsid w:val="00790972"/>
    <w:rsid w:val="00792038"/>
    <w:rsid w:val="0079369F"/>
    <w:rsid w:val="00794A72"/>
    <w:rsid w:val="00797017"/>
    <w:rsid w:val="007A046D"/>
    <w:rsid w:val="007A1FE9"/>
    <w:rsid w:val="007A306B"/>
    <w:rsid w:val="007A3181"/>
    <w:rsid w:val="007A4B94"/>
    <w:rsid w:val="007A4E83"/>
    <w:rsid w:val="007A758F"/>
    <w:rsid w:val="007B19DF"/>
    <w:rsid w:val="007B3111"/>
    <w:rsid w:val="007B3861"/>
    <w:rsid w:val="007B55CF"/>
    <w:rsid w:val="007B5D26"/>
    <w:rsid w:val="007B6333"/>
    <w:rsid w:val="007B7665"/>
    <w:rsid w:val="007B7D54"/>
    <w:rsid w:val="007C009C"/>
    <w:rsid w:val="007C2CCB"/>
    <w:rsid w:val="007C4AFD"/>
    <w:rsid w:val="007C5181"/>
    <w:rsid w:val="007C60C2"/>
    <w:rsid w:val="007C6145"/>
    <w:rsid w:val="007C65D8"/>
    <w:rsid w:val="007C7BFD"/>
    <w:rsid w:val="007D0D44"/>
    <w:rsid w:val="007D14EE"/>
    <w:rsid w:val="007D1550"/>
    <w:rsid w:val="007D2274"/>
    <w:rsid w:val="007D39EB"/>
    <w:rsid w:val="007D6271"/>
    <w:rsid w:val="007D646E"/>
    <w:rsid w:val="007E112B"/>
    <w:rsid w:val="007E113B"/>
    <w:rsid w:val="007E2B23"/>
    <w:rsid w:val="007F02AF"/>
    <w:rsid w:val="007F0A61"/>
    <w:rsid w:val="007F0CBE"/>
    <w:rsid w:val="007F2BCD"/>
    <w:rsid w:val="007F4825"/>
    <w:rsid w:val="007F5C69"/>
    <w:rsid w:val="0080065E"/>
    <w:rsid w:val="00801CD7"/>
    <w:rsid w:val="00803113"/>
    <w:rsid w:val="0080355A"/>
    <w:rsid w:val="00805F17"/>
    <w:rsid w:val="00807214"/>
    <w:rsid w:val="0081052F"/>
    <w:rsid w:val="008105D9"/>
    <w:rsid w:val="00811424"/>
    <w:rsid w:val="00814710"/>
    <w:rsid w:val="008147B1"/>
    <w:rsid w:val="00814F2C"/>
    <w:rsid w:val="00817B21"/>
    <w:rsid w:val="0082020D"/>
    <w:rsid w:val="00821187"/>
    <w:rsid w:val="008217D3"/>
    <w:rsid w:val="00822D24"/>
    <w:rsid w:val="00823763"/>
    <w:rsid w:val="00825C98"/>
    <w:rsid w:val="00827B75"/>
    <w:rsid w:val="00831305"/>
    <w:rsid w:val="008313AA"/>
    <w:rsid w:val="0083314B"/>
    <w:rsid w:val="0083383A"/>
    <w:rsid w:val="008339ED"/>
    <w:rsid w:val="0083745A"/>
    <w:rsid w:val="008402F1"/>
    <w:rsid w:val="008434E9"/>
    <w:rsid w:val="00843E09"/>
    <w:rsid w:val="00845D05"/>
    <w:rsid w:val="00850A18"/>
    <w:rsid w:val="00850B0E"/>
    <w:rsid w:val="008522BC"/>
    <w:rsid w:val="00854531"/>
    <w:rsid w:val="00854AF9"/>
    <w:rsid w:val="0085525D"/>
    <w:rsid w:val="00855387"/>
    <w:rsid w:val="00855F2C"/>
    <w:rsid w:val="008562F3"/>
    <w:rsid w:val="00860DED"/>
    <w:rsid w:val="008620D4"/>
    <w:rsid w:val="00863D1C"/>
    <w:rsid w:val="008650AC"/>
    <w:rsid w:val="00872915"/>
    <w:rsid w:val="00873618"/>
    <w:rsid w:val="00873735"/>
    <w:rsid w:val="00875836"/>
    <w:rsid w:val="00875CB2"/>
    <w:rsid w:val="00876B5E"/>
    <w:rsid w:val="00880302"/>
    <w:rsid w:val="00881026"/>
    <w:rsid w:val="00881F0A"/>
    <w:rsid w:val="00882BE4"/>
    <w:rsid w:val="008904DD"/>
    <w:rsid w:val="00890DA9"/>
    <w:rsid w:val="00891E1C"/>
    <w:rsid w:val="00891F7A"/>
    <w:rsid w:val="00892A05"/>
    <w:rsid w:val="00893E6B"/>
    <w:rsid w:val="00895006"/>
    <w:rsid w:val="008955C2"/>
    <w:rsid w:val="00895C2A"/>
    <w:rsid w:val="00896CA1"/>
    <w:rsid w:val="008A0E4B"/>
    <w:rsid w:val="008A10C4"/>
    <w:rsid w:val="008A7448"/>
    <w:rsid w:val="008A75D9"/>
    <w:rsid w:val="008B1B8D"/>
    <w:rsid w:val="008B3305"/>
    <w:rsid w:val="008B4177"/>
    <w:rsid w:val="008B477B"/>
    <w:rsid w:val="008B647F"/>
    <w:rsid w:val="008B6E49"/>
    <w:rsid w:val="008C116B"/>
    <w:rsid w:val="008C1CC9"/>
    <w:rsid w:val="008C22A7"/>
    <w:rsid w:val="008C37D0"/>
    <w:rsid w:val="008C4BCB"/>
    <w:rsid w:val="008C4FE3"/>
    <w:rsid w:val="008C51CA"/>
    <w:rsid w:val="008C636C"/>
    <w:rsid w:val="008C6B62"/>
    <w:rsid w:val="008C74E2"/>
    <w:rsid w:val="008D05A5"/>
    <w:rsid w:val="008D1D6D"/>
    <w:rsid w:val="008E1A19"/>
    <w:rsid w:val="008E21A9"/>
    <w:rsid w:val="008E253E"/>
    <w:rsid w:val="008E409D"/>
    <w:rsid w:val="008E5623"/>
    <w:rsid w:val="008E5A42"/>
    <w:rsid w:val="008E6D48"/>
    <w:rsid w:val="008E7C69"/>
    <w:rsid w:val="008F0761"/>
    <w:rsid w:val="008F1D04"/>
    <w:rsid w:val="008F336C"/>
    <w:rsid w:val="008F6063"/>
    <w:rsid w:val="008F62A9"/>
    <w:rsid w:val="008F79A9"/>
    <w:rsid w:val="009009F6"/>
    <w:rsid w:val="00900B5C"/>
    <w:rsid w:val="00900D2C"/>
    <w:rsid w:val="009012E2"/>
    <w:rsid w:val="009022EA"/>
    <w:rsid w:val="009032C2"/>
    <w:rsid w:val="00903AAA"/>
    <w:rsid w:val="00904080"/>
    <w:rsid w:val="00905143"/>
    <w:rsid w:val="0090603F"/>
    <w:rsid w:val="00906E7D"/>
    <w:rsid w:val="00906FFD"/>
    <w:rsid w:val="00907C0B"/>
    <w:rsid w:val="009104ED"/>
    <w:rsid w:val="00912EAB"/>
    <w:rsid w:val="0091571D"/>
    <w:rsid w:val="00915C50"/>
    <w:rsid w:val="00916C51"/>
    <w:rsid w:val="00917720"/>
    <w:rsid w:val="00920665"/>
    <w:rsid w:val="00920832"/>
    <w:rsid w:val="009224DD"/>
    <w:rsid w:val="00922DF9"/>
    <w:rsid w:val="00925F7C"/>
    <w:rsid w:val="00927729"/>
    <w:rsid w:val="00927BBD"/>
    <w:rsid w:val="009311E7"/>
    <w:rsid w:val="00933E5C"/>
    <w:rsid w:val="00933EBB"/>
    <w:rsid w:val="00934697"/>
    <w:rsid w:val="00935706"/>
    <w:rsid w:val="00935D84"/>
    <w:rsid w:val="00942A14"/>
    <w:rsid w:val="00942C92"/>
    <w:rsid w:val="00943467"/>
    <w:rsid w:val="00943791"/>
    <w:rsid w:val="0094463B"/>
    <w:rsid w:val="00945331"/>
    <w:rsid w:val="00945453"/>
    <w:rsid w:val="009456D1"/>
    <w:rsid w:val="00945A46"/>
    <w:rsid w:val="00946CC1"/>
    <w:rsid w:val="00946D31"/>
    <w:rsid w:val="00947C2F"/>
    <w:rsid w:val="00947C4E"/>
    <w:rsid w:val="0095232E"/>
    <w:rsid w:val="009524C9"/>
    <w:rsid w:val="00954B8E"/>
    <w:rsid w:val="009565C3"/>
    <w:rsid w:val="0095722A"/>
    <w:rsid w:val="0095758D"/>
    <w:rsid w:val="00957804"/>
    <w:rsid w:val="009602F7"/>
    <w:rsid w:val="00961148"/>
    <w:rsid w:val="0096246E"/>
    <w:rsid w:val="00964118"/>
    <w:rsid w:val="00965FA6"/>
    <w:rsid w:val="00966900"/>
    <w:rsid w:val="00967590"/>
    <w:rsid w:val="00967730"/>
    <w:rsid w:val="0096776E"/>
    <w:rsid w:val="0097050C"/>
    <w:rsid w:val="00973140"/>
    <w:rsid w:val="00980664"/>
    <w:rsid w:val="0098076C"/>
    <w:rsid w:val="00980BBC"/>
    <w:rsid w:val="009838C6"/>
    <w:rsid w:val="0098555D"/>
    <w:rsid w:val="00985C2B"/>
    <w:rsid w:val="00990FE4"/>
    <w:rsid w:val="00994C4B"/>
    <w:rsid w:val="00995170"/>
    <w:rsid w:val="0099604B"/>
    <w:rsid w:val="00996E9B"/>
    <w:rsid w:val="00996ED8"/>
    <w:rsid w:val="009A11A3"/>
    <w:rsid w:val="009A2766"/>
    <w:rsid w:val="009A43D5"/>
    <w:rsid w:val="009A45CB"/>
    <w:rsid w:val="009A5291"/>
    <w:rsid w:val="009A7CFD"/>
    <w:rsid w:val="009B0574"/>
    <w:rsid w:val="009B0A80"/>
    <w:rsid w:val="009B2D11"/>
    <w:rsid w:val="009B3462"/>
    <w:rsid w:val="009B3F52"/>
    <w:rsid w:val="009B4789"/>
    <w:rsid w:val="009B4994"/>
    <w:rsid w:val="009B6DCC"/>
    <w:rsid w:val="009C0042"/>
    <w:rsid w:val="009C0362"/>
    <w:rsid w:val="009C160D"/>
    <w:rsid w:val="009C19D2"/>
    <w:rsid w:val="009C2356"/>
    <w:rsid w:val="009C39E3"/>
    <w:rsid w:val="009C436F"/>
    <w:rsid w:val="009C474C"/>
    <w:rsid w:val="009C5CA7"/>
    <w:rsid w:val="009C6EFC"/>
    <w:rsid w:val="009C70BB"/>
    <w:rsid w:val="009C7AA2"/>
    <w:rsid w:val="009D0240"/>
    <w:rsid w:val="009D2457"/>
    <w:rsid w:val="009D3B61"/>
    <w:rsid w:val="009D7140"/>
    <w:rsid w:val="009E0439"/>
    <w:rsid w:val="009E07C7"/>
    <w:rsid w:val="009E093C"/>
    <w:rsid w:val="009E10BE"/>
    <w:rsid w:val="009E317F"/>
    <w:rsid w:val="009E5657"/>
    <w:rsid w:val="009E7E6E"/>
    <w:rsid w:val="009E7F07"/>
    <w:rsid w:val="009F0405"/>
    <w:rsid w:val="009F563B"/>
    <w:rsid w:val="009F79D5"/>
    <w:rsid w:val="00A0299D"/>
    <w:rsid w:val="00A02EED"/>
    <w:rsid w:val="00A032C1"/>
    <w:rsid w:val="00A048DA"/>
    <w:rsid w:val="00A0649D"/>
    <w:rsid w:val="00A06F2B"/>
    <w:rsid w:val="00A106C2"/>
    <w:rsid w:val="00A115A7"/>
    <w:rsid w:val="00A12C0A"/>
    <w:rsid w:val="00A1325E"/>
    <w:rsid w:val="00A141C6"/>
    <w:rsid w:val="00A1577C"/>
    <w:rsid w:val="00A16000"/>
    <w:rsid w:val="00A166DA"/>
    <w:rsid w:val="00A16B78"/>
    <w:rsid w:val="00A20F59"/>
    <w:rsid w:val="00A21074"/>
    <w:rsid w:val="00A27856"/>
    <w:rsid w:val="00A27FAB"/>
    <w:rsid w:val="00A30A07"/>
    <w:rsid w:val="00A314DD"/>
    <w:rsid w:val="00A3411A"/>
    <w:rsid w:val="00A35680"/>
    <w:rsid w:val="00A36569"/>
    <w:rsid w:val="00A37DD7"/>
    <w:rsid w:val="00A42D63"/>
    <w:rsid w:val="00A46DEF"/>
    <w:rsid w:val="00A474EB"/>
    <w:rsid w:val="00A5138A"/>
    <w:rsid w:val="00A523C9"/>
    <w:rsid w:val="00A52EE0"/>
    <w:rsid w:val="00A53093"/>
    <w:rsid w:val="00A548D0"/>
    <w:rsid w:val="00A54E25"/>
    <w:rsid w:val="00A60D0D"/>
    <w:rsid w:val="00A613AD"/>
    <w:rsid w:val="00A62774"/>
    <w:rsid w:val="00A64776"/>
    <w:rsid w:val="00A71126"/>
    <w:rsid w:val="00A711D6"/>
    <w:rsid w:val="00A715A6"/>
    <w:rsid w:val="00A71E52"/>
    <w:rsid w:val="00A7353A"/>
    <w:rsid w:val="00A74FFF"/>
    <w:rsid w:val="00A76E6E"/>
    <w:rsid w:val="00A779DA"/>
    <w:rsid w:val="00A8085F"/>
    <w:rsid w:val="00A816E8"/>
    <w:rsid w:val="00A81DEB"/>
    <w:rsid w:val="00A825AA"/>
    <w:rsid w:val="00A8335B"/>
    <w:rsid w:val="00A8367E"/>
    <w:rsid w:val="00A84795"/>
    <w:rsid w:val="00A8797A"/>
    <w:rsid w:val="00A905BF"/>
    <w:rsid w:val="00A91401"/>
    <w:rsid w:val="00A9160C"/>
    <w:rsid w:val="00A92071"/>
    <w:rsid w:val="00A93E58"/>
    <w:rsid w:val="00A94582"/>
    <w:rsid w:val="00A94698"/>
    <w:rsid w:val="00A94B62"/>
    <w:rsid w:val="00A9527F"/>
    <w:rsid w:val="00A9538C"/>
    <w:rsid w:val="00A97320"/>
    <w:rsid w:val="00AA0CB4"/>
    <w:rsid w:val="00AA1527"/>
    <w:rsid w:val="00AA1D0A"/>
    <w:rsid w:val="00AA3727"/>
    <w:rsid w:val="00AA617B"/>
    <w:rsid w:val="00AB21C0"/>
    <w:rsid w:val="00AB2794"/>
    <w:rsid w:val="00AB2FA4"/>
    <w:rsid w:val="00AB33E8"/>
    <w:rsid w:val="00AB3B9D"/>
    <w:rsid w:val="00AB4387"/>
    <w:rsid w:val="00AB6ABB"/>
    <w:rsid w:val="00AC2B78"/>
    <w:rsid w:val="00AC310F"/>
    <w:rsid w:val="00AC3271"/>
    <w:rsid w:val="00AC592B"/>
    <w:rsid w:val="00AC5A59"/>
    <w:rsid w:val="00AC7800"/>
    <w:rsid w:val="00AD040F"/>
    <w:rsid w:val="00AD0F76"/>
    <w:rsid w:val="00AD22EE"/>
    <w:rsid w:val="00AD51F9"/>
    <w:rsid w:val="00AD5988"/>
    <w:rsid w:val="00AE0343"/>
    <w:rsid w:val="00AE27A2"/>
    <w:rsid w:val="00AE343D"/>
    <w:rsid w:val="00AE5396"/>
    <w:rsid w:val="00AE6DC9"/>
    <w:rsid w:val="00AE7B94"/>
    <w:rsid w:val="00AF01EF"/>
    <w:rsid w:val="00AF0EA0"/>
    <w:rsid w:val="00AF1A52"/>
    <w:rsid w:val="00AF1F66"/>
    <w:rsid w:val="00AF3F80"/>
    <w:rsid w:val="00AF451E"/>
    <w:rsid w:val="00AF744E"/>
    <w:rsid w:val="00AF7EB9"/>
    <w:rsid w:val="00B00A03"/>
    <w:rsid w:val="00B01A1D"/>
    <w:rsid w:val="00B034A4"/>
    <w:rsid w:val="00B105BB"/>
    <w:rsid w:val="00B1068B"/>
    <w:rsid w:val="00B10FF2"/>
    <w:rsid w:val="00B1208D"/>
    <w:rsid w:val="00B121EA"/>
    <w:rsid w:val="00B127D0"/>
    <w:rsid w:val="00B13DCA"/>
    <w:rsid w:val="00B142F4"/>
    <w:rsid w:val="00B14BCA"/>
    <w:rsid w:val="00B173AE"/>
    <w:rsid w:val="00B17C5B"/>
    <w:rsid w:val="00B17DC1"/>
    <w:rsid w:val="00B20C2C"/>
    <w:rsid w:val="00B2261F"/>
    <w:rsid w:val="00B22FC6"/>
    <w:rsid w:val="00B2479E"/>
    <w:rsid w:val="00B24BEC"/>
    <w:rsid w:val="00B26120"/>
    <w:rsid w:val="00B26902"/>
    <w:rsid w:val="00B26C79"/>
    <w:rsid w:val="00B27430"/>
    <w:rsid w:val="00B30762"/>
    <w:rsid w:val="00B3126C"/>
    <w:rsid w:val="00B318C4"/>
    <w:rsid w:val="00B3292E"/>
    <w:rsid w:val="00B334DD"/>
    <w:rsid w:val="00B341CA"/>
    <w:rsid w:val="00B352EF"/>
    <w:rsid w:val="00B378B4"/>
    <w:rsid w:val="00B402DE"/>
    <w:rsid w:val="00B43DE2"/>
    <w:rsid w:val="00B449F9"/>
    <w:rsid w:val="00B454FD"/>
    <w:rsid w:val="00B456EF"/>
    <w:rsid w:val="00B470C3"/>
    <w:rsid w:val="00B47BEB"/>
    <w:rsid w:val="00B51F3D"/>
    <w:rsid w:val="00B532F8"/>
    <w:rsid w:val="00B5335E"/>
    <w:rsid w:val="00B54AC1"/>
    <w:rsid w:val="00B54F42"/>
    <w:rsid w:val="00B553DC"/>
    <w:rsid w:val="00B56204"/>
    <w:rsid w:val="00B60115"/>
    <w:rsid w:val="00B6079D"/>
    <w:rsid w:val="00B613CF"/>
    <w:rsid w:val="00B6243E"/>
    <w:rsid w:val="00B62AC4"/>
    <w:rsid w:val="00B65F67"/>
    <w:rsid w:val="00B7025F"/>
    <w:rsid w:val="00B72134"/>
    <w:rsid w:val="00B72261"/>
    <w:rsid w:val="00B73096"/>
    <w:rsid w:val="00B73C43"/>
    <w:rsid w:val="00B7413C"/>
    <w:rsid w:val="00B8029D"/>
    <w:rsid w:val="00B80684"/>
    <w:rsid w:val="00B8115E"/>
    <w:rsid w:val="00B8183E"/>
    <w:rsid w:val="00B82826"/>
    <w:rsid w:val="00B838A0"/>
    <w:rsid w:val="00B848CD"/>
    <w:rsid w:val="00B84A8F"/>
    <w:rsid w:val="00B84CEA"/>
    <w:rsid w:val="00B8599B"/>
    <w:rsid w:val="00B86728"/>
    <w:rsid w:val="00B86B7A"/>
    <w:rsid w:val="00B8708E"/>
    <w:rsid w:val="00B8744E"/>
    <w:rsid w:val="00B8795B"/>
    <w:rsid w:val="00B91A4A"/>
    <w:rsid w:val="00B91CF6"/>
    <w:rsid w:val="00B9246C"/>
    <w:rsid w:val="00B92CEF"/>
    <w:rsid w:val="00B940E8"/>
    <w:rsid w:val="00B96666"/>
    <w:rsid w:val="00B96EEE"/>
    <w:rsid w:val="00BA1E5B"/>
    <w:rsid w:val="00BA1F32"/>
    <w:rsid w:val="00BA2982"/>
    <w:rsid w:val="00BA3109"/>
    <w:rsid w:val="00BA4015"/>
    <w:rsid w:val="00BA4F85"/>
    <w:rsid w:val="00BA6150"/>
    <w:rsid w:val="00BA6B8B"/>
    <w:rsid w:val="00BA72AC"/>
    <w:rsid w:val="00BB0684"/>
    <w:rsid w:val="00BB1683"/>
    <w:rsid w:val="00BB3AA0"/>
    <w:rsid w:val="00BB5A90"/>
    <w:rsid w:val="00BC056E"/>
    <w:rsid w:val="00BC110B"/>
    <w:rsid w:val="00BC145A"/>
    <w:rsid w:val="00BC23B9"/>
    <w:rsid w:val="00BC29FD"/>
    <w:rsid w:val="00BC4C93"/>
    <w:rsid w:val="00BC5173"/>
    <w:rsid w:val="00BC63EB"/>
    <w:rsid w:val="00BD1E8F"/>
    <w:rsid w:val="00BD298A"/>
    <w:rsid w:val="00BD2C1F"/>
    <w:rsid w:val="00BD44D8"/>
    <w:rsid w:val="00BD5369"/>
    <w:rsid w:val="00BE3371"/>
    <w:rsid w:val="00BE38A5"/>
    <w:rsid w:val="00BE4906"/>
    <w:rsid w:val="00BE64CF"/>
    <w:rsid w:val="00BE66CE"/>
    <w:rsid w:val="00BE775B"/>
    <w:rsid w:val="00BE7E2D"/>
    <w:rsid w:val="00BF01B8"/>
    <w:rsid w:val="00BF18D4"/>
    <w:rsid w:val="00BF1B38"/>
    <w:rsid w:val="00BF489C"/>
    <w:rsid w:val="00BF7C91"/>
    <w:rsid w:val="00C014EA"/>
    <w:rsid w:val="00C03F87"/>
    <w:rsid w:val="00C05682"/>
    <w:rsid w:val="00C0657E"/>
    <w:rsid w:val="00C10AE6"/>
    <w:rsid w:val="00C1122F"/>
    <w:rsid w:val="00C115F7"/>
    <w:rsid w:val="00C126A8"/>
    <w:rsid w:val="00C12B99"/>
    <w:rsid w:val="00C13169"/>
    <w:rsid w:val="00C1445F"/>
    <w:rsid w:val="00C14E7D"/>
    <w:rsid w:val="00C15B8E"/>
    <w:rsid w:val="00C1668D"/>
    <w:rsid w:val="00C17695"/>
    <w:rsid w:val="00C1770B"/>
    <w:rsid w:val="00C177BC"/>
    <w:rsid w:val="00C20036"/>
    <w:rsid w:val="00C2050C"/>
    <w:rsid w:val="00C207DC"/>
    <w:rsid w:val="00C20D8E"/>
    <w:rsid w:val="00C213E0"/>
    <w:rsid w:val="00C221BB"/>
    <w:rsid w:val="00C25304"/>
    <w:rsid w:val="00C2660A"/>
    <w:rsid w:val="00C327DD"/>
    <w:rsid w:val="00C33604"/>
    <w:rsid w:val="00C342B8"/>
    <w:rsid w:val="00C344D2"/>
    <w:rsid w:val="00C35242"/>
    <w:rsid w:val="00C35782"/>
    <w:rsid w:val="00C36E48"/>
    <w:rsid w:val="00C37D23"/>
    <w:rsid w:val="00C42CF7"/>
    <w:rsid w:val="00C43558"/>
    <w:rsid w:val="00C441FB"/>
    <w:rsid w:val="00C4510D"/>
    <w:rsid w:val="00C46216"/>
    <w:rsid w:val="00C46406"/>
    <w:rsid w:val="00C46533"/>
    <w:rsid w:val="00C47048"/>
    <w:rsid w:val="00C47582"/>
    <w:rsid w:val="00C502A4"/>
    <w:rsid w:val="00C5058F"/>
    <w:rsid w:val="00C52328"/>
    <w:rsid w:val="00C53B4C"/>
    <w:rsid w:val="00C55879"/>
    <w:rsid w:val="00C57E59"/>
    <w:rsid w:val="00C60011"/>
    <w:rsid w:val="00C63373"/>
    <w:rsid w:val="00C63881"/>
    <w:rsid w:val="00C64043"/>
    <w:rsid w:val="00C648C1"/>
    <w:rsid w:val="00C64F75"/>
    <w:rsid w:val="00C65C45"/>
    <w:rsid w:val="00C678F8"/>
    <w:rsid w:val="00C67FB2"/>
    <w:rsid w:val="00C70004"/>
    <w:rsid w:val="00C70268"/>
    <w:rsid w:val="00C70C12"/>
    <w:rsid w:val="00C71AE6"/>
    <w:rsid w:val="00C72882"/>
    <w:rsid w:val="00C728FB"/>
    <w:rsid w:val="00C7297A"/>
    <w:rsid w:val="00C74802"/>
    <w:rsid w:val="00C754B0"/>
    <w:rsid w:val="00C75BD8"/>
    <w:rsid w:val="00C76CCD"/>
    <w:rsid w:val="00C770C3"/>
    <w:rsid w:val="00C7740A"/>
    <w:rsid w:val="00C8121F"/>
    <w:rsid w:val="00C815B8"/>
    <w:rsid w:val="00C83264"/>
    <w:rsid w:val="00C84A8B"/>
    <w:rsid w:val="00C85C55"/>
    <w:rsid w:val="00C8725E"/>
    <w:rsid w:val="00C87CCE"/>
    <w:rsid w:val="00C90021"/>
    <w:rsid w:val="00C90E0F"/>
    <w:rsid w:val="00C91041"/>
    <w:rsid w:val="00C9140A"/>
    <w:rsid w:val="00C94615"/>
    <w:rsid w:val="00C94D05"/>
    <w:rsid w:val="00C953EF"/>
    <w:rsid w:val="00C954A3"/>
    <w:rsid w:val="00C95694"/>
    <w:rsid w:val="00C96C58"/>
    <w:rsid w:val="00C96D85"/>
    <w:rsid w:val="00C97A50"/>
    <w:rsid w:val="00C97CF2"/>
    <w:rsid w:val="00CA0802"/>
    <w:rsid w:val="00CA1203"/>
    <w:rsid w:val="00CA16D0"/>
    <w:rsid w:val="00CA4119"/>
    <w:rsid w:val="00CA5BD1"/>
    <w:rsid w:val="00CA6BD6"/>
    <w:rsid w:val="00CA70FD"/>
    <w:rsid w:val="00CB08B9"/>
    <w:rsid w:val="00CB16A1"/>
    <w:rsid w:val="00CB187A"/>
    <w:rsid w:val="00CB19D0"/>
    <w:rsid w:val="00CB3A28"/>
    <w:rsid w:val="00CB3CBF"/>
    <w:rsid w:val="00CB452C"/>
    <w:rsid w:val="00CB61F2"/>
    <w:rsid w:val="00CB7263"/>
    <w:rsid w:val="00CC0233"/>
    <w:rsid w:val="00CC03E0"/>
    <w:rsid w:val="00CC0945"/>
    <w:rsid w:val="00CC1C58"/>
    <w:rsid w:val="00CC222E"/>
    <w:rsid w:val="00CC2CE5"/>
    <w:rsid w:val="00CC3B0D"/>
    <w:rsid w:val="00CC58E6"/>
    <w:rsid w:val="00CC5BE5"/>
    <w:rsid w:val="00CC6B75"/>
    <w:rsid w:val="00CC6E92"/>
    <w:rsid w:val="00CD2A33"/>
    <w:rsid w:val="00CD49F5"/>
    <w:rsid w:val="00CD4DE8"/>
    <w:rsid w:val="00CD6C68"/>
    <w:rsid w:val="00CD6F20"/>
    <w:rsid w:val="00CE0131"/>
    <w:rsid w:val="00CE02DF"/>
    <w:rsid w:val="00CE096A"/>
    <w:rsid w:val="00CE148F"/>
    <w:rsid w:val="00CE2170"/>
    <w:rsid w:val="00CE31D7"/>
    <w:rsid w:val="00CE3266"/>
    <w:rsid w:val="00CE38AB"/>
    <w:rsid w:val="00CE3F5E"/>
    <w:rsid w:val="00CE4321"/>
    <w:rsid w:val="00CE7589"/>
    <w:rsid w:val="00CF0C91"/>
    <w:rsid w:val="00CF278F"/>
    <w:rsid w:val="00CF2A27"/>
    <w:rsid w:val="00CF38C2"/>
    <w:rsid w:val="00CF507F"/>
    <w:rsid w:val="00CF7235"/>
    <w:rsid w:val="00D00648"/>
    <w:rsid w:val="00D00942"/>
    <w:rsid w:val="00D02E5C"/>
    <w:rsid w:val="00D038F1"/>
    <w:rsid w:val="00D0469B"/>
    <w:rsid w:val="00D047E5"/>
    <w:rsid w:val="00D061CF"/>
    <w:rsid w:val="00D06FC2"/>
    <w:rsid w:val="00D079C6"/>
    <w:rsid w:val="00D100A0"/>
    <w:rsid w:val="00D10197"/>
    <w:rsid w:val="00D105F1"/>
    <w:rsid w:val="00D119A2"/>
    <w:rsid w:val="00D12B96"/>
    <w:rsid w:val="00D15A8C"/>
    <w:rsid w:val="00D17DB1"/>
    <w:rsid w:val="00D206DA"/>
    <w:rsid w:val="00D2086F"/>
    <w:rsid w:val="00D23E9C"/>
    <w:rsid w:val="00D26BA5"/>
    <w:rsid w:val="00D31670"/>
    <w:rsid w:val="00D31781"/>
    <w:rsid w:val="00D31EA6"/>
    <w:rsid w:val="00D3200F"/>
    <w:rsid w:val="00D329C5"/>
    <w:rsid w:val="00D33419"/>
    <w:rsid w:val="00D34308"/>
    <w:rsid w:val="00D348A6"/>
    <w:rsid w:val="00D35FD0"/>
    <w:rsid w:val="00D3741E"/>
    <w:rsid w:val="00D3761F"/>
    <w:rsid w:val="00D40D5B"/>
    <w:rsid w:val="00D42122"/>
    <w:rsid w:val="00D451E8"/>
    <w:rsid w:val="00D46279"/>
    <w:rsid w:val="00D46A09"/>
    <w:rsid w:val="00D46A9B"/>
    <w:rsid w:val="00D47121"/>
    <w:rsid w:val="00D544E6"/>
    <w:rsid w:val="00D548A2"/>
    <w:rsid w:val="00D5596A"/>
    <w:rsid w:val="00D55A6A"/>
    <w:rsid w:val="00D607E1"/>
    <w:rsid w:val="00D62200"/>
    <w:rsid w:val="00D63CAE"/>
    <w:rsid w:val="00D6615E"/>
    <w:rsid w:val="00D6662B"/>
    <w:rsid w:val="00D66817"/>
    <w:rsid w:val="00D67B2E"/>
    <w:rsid w:val="00D67E55"/>
    <w:rsid w:val="00D71E89"/>
    <w:rsid w:val="00D76184"/>
    <w:rsid w:val="00D77A97"/>
    <w:rsid w:val="00D80067"/>
    <w:rsid w:val="00D805EE"/>
    <w:rsid w:val="00D80FE7"/>
    <w:rsid w:val="00D815BE"/>
    <w:rsid w:val="00D8307B"/>
    <w:rsid w:val="00D84BAC"/>
    <w:rsid w:val="00D859E2"/>
    <w:rsid w:val="00D91D71"/>
    <w:rsid w:val="00D92EA9"/>
    <w:rsid w:val="00D935D7"/>
    <w:rsid w:val="00D94A30"/>
    <w:rsid w:val="00D956E6"/>
    <w:rsid w:val="00D963DF"/>
    <w:rsid w:val="00DA065E"/>
    <w:rsid w:val="00DA24BE"/>
    <w:rsid w:val="00DB156E"/>
    <w:rsid w:val="00DB1ED4"/>
    <w:rsid w:val="00DB2281"/>
    <w:rsid w:val="00DB367C"/>
    <w:rsid w:val="00DB4D4C"/>
    <w:rsid w:val="00DB66BA"/>
    <w:rsid w:val="00DB6708"/>
    <w:rsid w:val="00DB6C51"/>
    <w:rsid w:val="00DB7B32"/>
    <w:rsid w:val="00DC00A8"/>
    <w:rsid w:val="00DC03C7"/>
    <w:rsid w:val="00DC07A0"/>
    <w:rsid w:val="00DC097A"/>
    <w:rsid w:val="00DC15FC"/>
    <w:rsid w:val="00DC1A4A"/>
    <w:rsid w:val="00DC3861"/>
    <w:rsid w:val="00DC58F1"/>
    <w:rsid w:val="00DC6172"/>
    <w:rsid w:val="00DC7F3E"/>
    <w:rsid w:val="00DD1D31"/>
    <w:rsid w:val="00DD27C9"/>
    <w:rsid w:val="00DD2BDB"/>
    <w:rsid w:val="00DE05B6"/>
    <w:rsid w:val="00DE0F34"/>
    <w:rsid w:val="00DE1ED3"/>
    <w:rsid w:val="00DE2230"/>
    <w:rsid w:val="00DE2A10"/>
    <w:rsid w:val="00DE73EE"/>
    <w:rsid w:val="00DF1014"/>
    <w:rsid w:val="00DF1A81"/>
    <w:rsid w:val="00DF2875"/>
    <w:rsid w:val="00DF2BF1"/>
    <w:rsid w:val="00DF342F"/>
    <w:rsid w:val="00DF3556"/>
    <w:rsid w:val="00DF4042"/>
    <w:rsid w:val="00DF5127"/>
    <w:rsid w:val="00DF5625"/>
    <w:rsid w:val="00DF5B68"/>
    <w:rsid w:val="00DF6BAA"/>
    <w:rsid w:val="00DF6C51"/>
    <w:rsid w:val="00DF6E50"/>
    <w:rsid w:val="00DF724E"/>
    <w:rsid w:val="00E00D02"/>
    <w:rsid w:val="00E04CA6"/>
    <w:rsid w:val="00E0514A"/>
    <w:rsid w:val="00E05215"/>
    <w:rsid w:val="00E05D94"/>
    <w:rsid w:val="00E14C1B"/>
    <w:rsid w:val="00E156F2"/>
    <w:rsid w:val="00E167D2"/>
    <w:rsid w:val="00E16E72"/>
    <w:rsid w:val="00E17A58"/>
    <w:rsid w:val="00E20266"/>
    <w:rsid w:val="00E232C6"/>
    <w:rsid w:val="00E238EE"/>
    <w:rsid w:val="00E23B55"/>
    <w:rsid w:val="00E23C09"/>
    <w:rsid w:val="00E25B0D"/>
    <w:rsid w:val="00E3067F"/>
    <w:rsid w:val="00E30704"/>
    <w:rsid w:val="00E30964"/>
    <w:rsid w:val="00E31DA7"/>
    <w:rsid w:val="00E325C6"/>
    <w:rsid w:val="00E34DF4"/>
    <w:rsid w:val="00E3578D"/>
    <w:rsid w:val="00E36F02"/>
    <w:rsid w:val="00E376DB"/>
    <w:rsid w:val="00E4168E"/>
    <w:rsid w:val="00E427B8"/>
    <w:rsid w:val="00E42A63"/>
    <w:rsid w:val="00E45E1B"/>
    <w:rsid w:val="00E46C1B"/>
    <w:rsid w:val="00E500E8"/>
    <w:rsid w:val="00E51C79"/>
    <w:rsid w:val="00E53B95"/>
    <w:rsid w:val="00E55288"/>
    <w:rsid w:val="00E5544B"/>
    <w:rsid w:val="00E56436"/>
    <w:rsid w:val="00E57831"/>
    <w:rsid w:val="00E61BEE"/>
    <w:rsid w:val="00E63321"/>
    <w:rsid w:val="00E65895"/>
    <w:rsid w:val="00E6688B"/>
    <w:rsid w:val="00E66EFD"/>
    <w:rsid w:val="00E704B2"/>
    <w:rsid w:val="00E705B9"/>
    <w:rsid w:val="00E70C29"/>
    <w:rsid w:val="00E733D0"/>
    <w:rsid w:val="00E74781"/>
    <w:rsid w:val="00E74C1D"/>
    <w:rsid w:val="00E74EF4"/>
    <w:rsid w:val="00E75005"/>
    <w:rsid w:val="00E76083"/>
    <w:rsid w:val="00E77F8F"/>
    <w:rsid w:val="00E8082F"/>
    <w:rsid w:val="00E8154D"/>
    <w:rsid w:val="00E821FE"/>
    <w:rsid w:val="00E82489"/>
    <w:rsid w:val="00E83C92"/>
    <w:rsid w:val="00E83D0F"/>
    <w:rsid w:val="00E84629"/>
    <w:rsid w:val="00E84E06"/>
    <w:rsid w:val="00E863B5"/>
    <w:rsid w:val="00E86C58"/>
    <w:rsid w:val="00E87A70"/>
    <w:rsid w:val="00E9036E"/>
    <w:rsid w:val="00E90C66"/>
    <w:rsid w:val="00E90FCA"/>
    <w:rsid w:val="00E93AEE"/>
    <w:rsid w:val="00E95272"/>
    <w:rsid w:val="00E96607"/>
    <w:rsid w:val="00E97EBD"/>
    <w:rsid w:val="00EA155F"/>
    <w:rsid w:val="00EA257D"/>
    <w:rsid w:val="00EA44DD"/>
    <w:rsid w:val="00EA4D7C"/>
    <w:rsid w:val="00EA5C12"/>
    <w:rsid w:val="00EA6F18"/>
    <w:rsid w:val="00EB02FF"/>
    <w:rsid w:val="00EB1050"/>
    <w:rsid w:val="00EB16E2"/>
    <w:rsid w:val="00EB38EB"/>
    <w:rsid w:val="00EB4C36"/>
    <w:rsid w:val="00EB6C4B"/>
    <w:rsid w:val="00EC0652"/>
    <w:rsid w:val="00EC289A"/>
    <w:rsid w:val="00EC58F5"/>
    <w:rsid w:val="00EC6586"/>
    <w:rsid w:val="00EC73C3"/>
    <w:rsid w:val="00EC748D"/>
    <w:rsid w:val="00EC78DA"/>
    <w:rsid w:val="00ED00AC"/>
    <w:rsid w:val="00ED0F8B"/>
    <w:rsid w:val="00ED1692"/>
    <w:rsid w:val="00ED281C"/>
    <w:rsid w:val="00ED3150"/>
    <w:rsid w:val="00ED4A81"/>
    <w:rsid w:val="00ED4B92"/>
    <w:rsid w:val="00ED4ED4"/>
    <w:rsid w:val="00EE5381"/>
    <w:rsid w:val="00EE6261"/>
    <w:rsid w:val="00EE70CD"/>
    <w:rsid w:val="00EF408E"/>
    <w:rsid w:val="00EF40C7"/>
    <w:rsid w:val="00EF4E09"/>
    <w:rsid w:val="00EF7B0B"/>
    <w:rsid w:val="00EF7F96"/>
    <w:rsid w:val="00F006E0"/>
    <w:rsid w:val="00F0261A"/>
    <w:rsid w:val="00F03A79"/>
    <w:rsid w:val="00F03B87"/>
    <w:rsid w:val="00F03D72"/>
    <w:rsid w:val="00F03D76"/>
    <w:rsid w:val="00F04455"/>
    <w:rsid w:val="00F0561B"/>
    <w:rsid w:val="00F0615A"/>
    <w:rsid w:val="00F07DEF"/>
    <w:rsid w:val="00F127D0"/>
    <w:rsid w:val="00F12819"/>
    <w:rsid w:val="00F13287"/>
    <w:rsid w:val="00F1330E"/>
    <w:rsid w:val="00F16A2D"/>
    <w:rsid w:val="00F17AEF"/>
    <w:rsid w:val="00F20343"/>
    <w:rsid w:val="00F20E37"/>
    <w:rsid w:val="00F21BA8"/>
    <w:rsid w:val="00F22319"/>
    <w:rsid w:val="00F234FA"/>
    <w:rsid w:val="00F26484"/>
    <w:rsid w:val="00F279C5"/>
    <w:rsid w:val="00F316FC"/>
    <w:rsid w:val="00F32C0A"/>
    <w:rsid w:val="00F3464E"/>
    <w:rsid w:val="00F34AC1"/>
    <w:rsid w:val="00F368E9"/>
    <w:rsid w:val="00F3703F"/>
    <w:rsid w:val="00F4194F"/>
    <w:rsid w:val="00F4242E"/>
    <w:rsid w:val="00F434AF"/>
    <w:rsid w:val="00F43A13"/>
    <w:rsid w:val="00F460D1"/>
    <w:rsid w:val="00F4790F"/>
    <w:rsid w:val="00F47E8A"/>
    <w:rsid w:val="00F503F6"/>
    <w:rsid w:val="00F5370B"/>
    <w:rsid w:val="00F55D35"/>
    <w:rsid w:val="00F56432"/>
    <w:rsid w:val="00F6029A"/>
    <w:rsid w:val="00F60562"/>
    <w:rsid w:val="00F623C8"/>
    <w:rsid w:val="00F63466"/>
    <w:rsid w:val="00F6356C"/>
    <w:rsid w:val="00F63A26"/>
    <w:rsid w:val="00F6464E"/>
    <w:rsid w:val="00F64FBD"/>
    <w:rsid w:val="00F660F3"/>
    <w:rsid w:val="00F66402"/>
    <w:rsid w:val="00F67821"/>
    <w:rsid w:val="00F67B31"/>
    <w:rsid w:val="00F705A4"/>
    <w:rsid w:val="00F72657"/>
    <w:rsid w:val="00F72780"/>
    <w:rsid w:val="00F72997"/>
    <w:rsid w:val="00F72C4A"/>
    <w:rsid w:val="00F73003"/>
    <w:rsid w:val="00F740AA"/>
    <w:rsid w:val="00F74AC6"/>
    <w:rsid w:val="00F74B13"/>
    <w:rsid w:val="00F75D99"/>
    <w:rsid w:val="00F75F84"/>
    <w:rsid w:val="00F77A5F"/>
    <w:rsid w:val="00F80390"/>
    <w:rsid w:val="00F80E08"/>
    <w:rsid w:val="00F83092"/>
    <w:rsid w:val="00F841A1"/>
    <w:rsid w:val="00F84660"/>
    <w:rsid w:val="00F854CA"/>
    <w:rsid w:val="00F85F27"/>
    <w:rsid w:val="00F9086E"/>
    <w:rsid w:val="00F93B01"/>
    <w:rsid w:val="00F93EA0"/>
    <w:rsid w:val="00F94CB5"/>
    <w:rsid w:val="00F94D92"/>
    <w:rsid w:val="00F979D5"/>
    <w:rsid w:val="00FA1963"/>
    <w:rsid w:val="00FA5B20"/>
    <w:rsid w:val="00FA5DC9"/>
    <w:rsid w:val="00FA6459"/>
    <w:rsid w:val="00FA7B3B"/>
    <w:rsid w:val="00FB0FAD"/>
    <w:rsid w:val="00FB1686"/>
    <w:rsid w:val="00FB180D"/>
    <w:rsid w:val="00FB2195"/>
    <w:rsid w:val="00FB3340"/>
    <w:rsid w:val="00FB3DD3"/>
    <w:rsid w:val="00FB5C6A"/>
    <w:rsid w:val="00FB5EBA"/>
    <w:rsid w:val="00FB6E77"/>
    <w:rsid w:val="00FB7F62"/>
    <w:rsid w:val="00FC0BDF"/>
    <w:rsid w:val="00FC165E"/>
    <w:rsid w:val="00FC17FC"/>
    <w:rsid w:val="00FC3514"/>
    <w:rsid w:val="00FC5BFB"/>
    <w:rsid w:val="00FC5EA5"/>
    <w:rsid w:val="00FC603F"/>
    <w:rsid w:val="00FC63AB"/>
    <w:rsid w:val="00FD0824"/>
    <w:rsid w:val="00FD4B05"/>
    <w:rsid w:val="00FD53F7"/>
    <w:rsid w:val="00FD6B09"/>
    <w:rsid w:val="00FD7043"/>
    <w:rsid w:val="00FE0EC5"/>
    <w:rsid w:val="00FE2267"/>
    <w:rsid w:val="00FE2583"/>
    <w:rsid w:val="00FE27B2"/>
    <w:rsid w:val="00FE46B9"/>
    <w:rsid w:val="00FE58B5"/>
    <w:rsid w:val="00FE67DD"/>
    <w:rsid w:val="00FF04B8"/>
    <w:rsid w:val="00FF04F3"/>
    <w:rsid w:val="00FF06BA"/>
    <w:rsid w:val="00FF0C7E"/>
    <w:rsid w:val="00FF17E7"/>
    <w:rsid w:val="00FF290C"/>
    <w:rsid w:val="00FF4527"/>
    <w:rsid w:val="00FF57A5"/>
    <w:rsid w:val="00FF5EEF"/>
    <w:rsid w:val="00FF75DB"/>
    <w:rsid w:val="00FF7FBB"/>
    <w:rsid w:val="01217860"/>
    <w:rsid w:val="012417AE"/>
    <w:rsid w:val="01263B93"/>
    <w:rsid w:val="013F4ADF"/>
    <w:rsid w:val="01877B89"/>
    <w:rsid w:val="025A1D77"/>
    <w:rsid w:val="03503675"/>
    <w:rsid w:val="03C61102"/>
    <w:rsid w:val="03F51922"/>
    <w:rsid w:val="04051239"/>
    <w:rsid w:val="04787C5D"/>
    <w:rsid w:val="04C93A2E"/>
    <w:rsid w:val="04DF7393"/>
    <w:rsid w:val="052839BA"/>
    <w:rsid w:val="05C21EF2"/>
    <w:rsid w:val="05E779F8"/>
    <w:rsid w:val="05EA06E6"/>
    <w:rsid w:val="05FA5E92"/>
    <w:rsid w:val="06017B38"/>
    <w:rsid w:val="07014924"/>
    <w:rsid w:val="078A03D3"/>
    <w:rsid w:val="07AD0222"/>
    <w:rsid w:val="07F13FAE"/>
    <w:rsid w:val="0877791A"/>
    <w:rsid w:val="08F779ED"/>
    <w:rsid w:val="09114B86"/>
    <w:rsid w:val="09123C05"/>
    <w:rsid w:val="09146392"/>
    <w:rsid w:val="09286B9B"/>
    <w:rsid w:val="095E38C5"/>
    <w:rsid w:val="09702E17"/>
    <w:rsid w:val="0A2A7C4B"/>
    <w:rsid w:val="0A305A43"/>
    <w:rsid w:val="0A9A2ADD"/>
    <w:rsid w:val="0B100BEF"/>
    <w:rsid w:val="0B1F7084"/>
    <w:rsid w:val="0B331F49"/>
    <w:rsid w:val="0BE45E8A"/>
    <w:rsid w:val="0C2B79BB"/>
    <w:rsid w:val="0C2D0BD5"/>
    <w:rsid w:val="0C3B62F7"/>
    <w:rsid w:val="0CFB60B5"/>
    <w:rsid w:val="0D0227BA"/>
    <w:rsid w:val="0D03713D"/>
    <w:rsid w:val="0D261E95"/>
    <w:rsid w:val="0D456160"/>
    <w:rsid w:val="0D8D5376"/>
    <w:rsid w:val="0D9126FC"/>
    <w:rsid w:val="0DAE5B15"/>
    <w:rsid w:val="0DCC5712"/>
    <w:rsid w:val="0DE011D7"/>
    <w:rsid w:val="0E045B44"/>
    <w:rsid w:val="0E052BB6"/>
    <w:rsid w:val="0E2F510E"/>
    <w:rsid w:val="0E5F3689"/>
    <w:rsid w:val="0E6957B9"/>
    <w:rsid w:val="0EAE29CA"/>
    <w:rsid w:val="0F271CB6"/>
    <w:rsid w:val="0F3814EE"/>
    <w:rsid w:val="10914580"/>
    <w:rsid w:val="11C52B96"/>
    <w:rsid w:val="11D52F54"/>
    <w:rsid w:val="1236039E"/>
    <w:rsid w:val="12681311"/>
    <w:rsid w:val="12933AAD"/>
    <w:rsid w:val="129617D1"/>
    <w:rsid w:val="12B702AB"/>
    <w:rsid w:val="12E62ECA"/>
    <w:rsid w:val="130D7E35"/>
    <w:rsid w:val="13BC5DB8"/>
    <w:rsid w:val="141054D5"/>
    <w:rsid w:val="14633220"/>
    <w:rsid w:val="147A5266"/>
    <w:rsid w:val="149E726C"/>
    <w:rsid w:val="14E2792F"/>
    <w:rsid w:val="14E57B85"/>
    <w:rsid w:val="151F712A"/>
    <w:rsid w:val="153B24EF"/>
    <w:rsid w:val="15D564FC"/>
    <w:rsid w:val="15F64E85"/>
    <w:rsid w:val="1652713F"/>
    <w:rsid w:val="16C55CF2"/>
    <w:rsid w:val="16F7712F"/>
    <w:rsid w:val="177B5247"/>
    <w:rsid w:val="17EA444D"/>
    <w:rsid w:val="188D1C23"/>
    <w:rsid w:val="18D023B2"/>
    <w:rsid w:val="18D70F9E"/>
    <w:rsid w:val="19256BD6"/>
    <w:rsid w:val="192A7DDF"/>
    <w:rsid w:val="198D222E"/>
    <w:rsid w:val="1A002777"/>
    <w:rsid w:val="1A9B2BED"/>
    <w:rsid w:val="1AEC5AD6"/>
    <w:rsid w:val="1B0849CD"/>
    <w:rsid w:val="1B601C8F"/>
    <w:rsid w:val="1BC16BD1"/>
    <w:rsid w:val="1C3404B6"/>
    <w:rsid w:val="1C840E8C"/>
    <w:rsid w:val="1C8F393E"/>
    <w:rsid w:val="1CF66481"/>
    <w:rsid w:val="1D863958"/>
    <w:rsid w:val="1D9C40E4"/>
    <w:rsid w:val="1DD004E8"/>
    <w:rsid w:val="1DD1088E"/>
    <w:rsid w:val="1DD82F82"/>
    <w:rsid w:val="1DFE152B"/>
    <w:rsid w:val="1E3A1357"/>
    <w:rsid w:val="1E3C5367"/>
    <w:rsid w:val="1E547E2B"/>
    <w:rsid w:val="1E5F5CBE"/>
    <w:rsid w:val="1E965ABD"/>
    <w:rsid w:val="1F52223B"/>
    <w:rsid w:val="1F615B91"/>
    <w:rsid w:val="1FF6542C"/>
    <w:rsid w:val="206F41B2"/>
    <w:rsid w:val="20716EAB"/>
    <w:rsid w:val="20B16579"/>
    <w:rsid w:val="20DA7400"/>
    <w:rsid w:val="2144109C"/>
    <w:rsid w:val="21873B17"/>
    <w:rsid w:val="21923F12"/>
    <w:rsid w:val="21B14D9F"/>
    <w:rsid w:val="2231313E"/>
    <w:rsid w:val="22377CB8"/>
    <w:rsid w:val="228C4B07"/>
    <w:rsid w:val="22A20B27"/>
    <w:rsid w:val="22C416BB"/>
    <w:rsid w:val="235E06DF"/>
    <w:rsid w:val="23B21740"/>
    <w:rsid w:val="241411EC"/>
    <w:rsid w:val="244649F6"/>
    <w:rsid w:val="248071CE"/>
    <w:rsid w:val="24A15ECF"/>
    <w:rsid w:val="24C33B54"/>
    <w:rsid w:val="251470D6"/>
    <w:rsid w:val="251C704F"/>
    <w:rsid w:val="253641E3"/>
    <w:rsid w:val="256618B1"/>
    <w:rsid w:val="25C91C6F"/>
    <w:rsid w:val="25E57E4B"/>
    <w:rsid w:val="25E6260A"/>
    <w:rsid w:val="2643711A"/>
    <w:rsid w:val="26571970"/>
    <w:rsid w:val="27225ADA"/>
    <w:rsid w:val="276F4129"/>
    <w:rsid w:val="277721F9"/>
    <w:rsid w:val="27F85151"/>
    <w:rsid w:val="28553C74"/>
    <w:rsid w:val="287D1614"/>
    <w:rsid w:val="28D74758"/>
    <w:rsid w:val="28FC3FB6"/>
    <w:rsid w:val="29684D59"/>
    <w:rsid w:val="29720AC4"/>
    <w:rsid w:val="29720BDA"/>
    <w:rsid w:val="29780A16"/>
    <w:rsid w:val="298F4F7D"/>
    <w:rsid w:val="29982084"/>
    <w:rsid w:val="29A749BD"/>
    <w:rsid w:val="29D90AEE"/>
    <w:rsid w:val="29EB4245"/>
    <w:rsid w:val="2A3A09D3"/>
    <w:rsid w:val="2A4810B4"/>
    <w:rsid w:val="2A5F407D"/>
    <w:rsid w:val="2A821361"/>
    <w:rsid w:val="2A8468A3"/>
    <w:rsid w:val="2A8565E2"/>
    <w:rsid w:val="2ABA050C"/>
    <w:rsid w:val="2AFB67B2"/>
    <w:rsid w:val="2B456593"/>
    <w:rsid w:val="2B6324F7"/>
    <w:rsid w:val="2B784FE3"/>
    <w:rsid w:val="2BD2556F"/>
    <w:rsid w:val="2C5A4955"/>
    <w:rsid w:val="2C636682"/>
    <w:rsid w:val="2C6C603F"/>
    <w:rsid w:val="2C7B11F4"/>
    <w:rsid w:val="2CD71AE7"/>
    <w:rsid w:val="2CDD52A2"/>
    <w:rsid w:val="2D421FD7"/>
    <w:rsid w:val="2DD10750"/>
    <w:rsid w:val="2DF9330D"/>
    <w:rsid w:val="2E3A245E"/>
    <w:rsid w:val="2E81260F"/>
    <w:rsid w:val="2E8E5923"/>
    <w:rsid w:val="2E9E65FD"/>
    <w:rsid w:val="2EE25C99"/>
    <w:rsid w:val="2F3960B7"/>
    <w:rsid w:val="2F481C23"/>
    <w:rsid w:val="2FDE20FD"/>
    <w:rsid w:val="301E3249"/>
    <w:rsid w:val="30717245"/>
    <w:rsid w:val="3105576D"/>
    <w:rsid w:val="311E2422"/>
    <w:rsid w:val="31602BB9"/>
    <w:rsid w:val="317E3E51"/>
    <w:rsid w:val="322B6E68"/>
    <w:rsid w:val="332901F1"/>
    <w:rsid w:val="338C075E"/>
    <w:rsid w:val="33E71B23"/>
    <w:rsid w:val="33EA66CA"/>
    <w:rsid w:val="340B2387"/>
    <w:rsid w:val="349067B5"/>
    <w:rsid w:val="34A30E02"/>
    <w:rsid w:val="34BC74B3"/>
    <w:rsid w:val="3531583A"/>
    <w:rsid w:val="35622F24"/>
    <w:rsid w:val="35A90D22"/>
    <w:rsid w:val="3602735E"/>
    <w:rsid w:val="3643120F"/>
    <w:rsid w:val="36FE3493"/>
    <w:rsid w:val="37153AD3"/>
    <w:rsid w:val="371C634A"/>
    <w:rsid w:val="372B30D5"/>
    <w:rsid w:val="37420CB0"/>
    <w:rsid w:val="37943008"/>
    <w:rsid w:val="38033706"/>
    <w:rsid w:val="380C675D"/>
    <w:rsid w:val="38B14B4F"/>
    <w:rsid w:val="38B47087"/>
    <w:rsid w:val="39303477"/>
    <w:rsid w:val="39710A70"/>
    <w:rsid w:val="39721E6B"/>
    <w:rsid w:val="399B43F1"/>
    <w:rsid w:val="399F7448"/>
    <w:rsid w:val="3A313011"/>
    <w:rsid w:val="3A56200E"/>
    <w:rsid w:val="3A9435B2"/>
    <w:rsid w:val="3A9653DF"/>
    <w:rsid w:val="3AE56FDD"/>
    <w:rsid w:val="3AEF2E84"/>
    <w:rsid w:val="3C8D47C1"/>
    <w:rsid w:val="3CB4651A"/>
    <w:rsid w:val="3D024C0F"/>
    <w:rsid w:val="3D397896"/>
    <w:rsid w:val="3D83227C"/>
    <w:rsid w:val="3DE21F50"/>
    <w:rsid w:val="3E2338E6"/>
    <w:rsid w:val="3EA811CA"/>
    <w:rsid w:val="3EF56858"/>
    <w:rsid w:val="3F215B4F"/>
    <w:rsid w:val="3F722BDD"/>
    <w:rsid w:val="3FA23805"/>
    <w:rsid w:val="3FB10495"/>
    <w:rsid w:val="405C0528"/>
    <w:rsid w:val="4146537B"/>
    <w:rsid w:val="414E50AB"/>
    <w:rsid w:val="42CB2326"/>
    <w:rsid w:val="42DA32B5"/>
    <w:rsid w:val="432F53AF"/>
    <w:rsid w:val="43514D82"/>
    <w:rsid w:val="437B4085"/>
    <w:rsid w:val="437F078C"/>
    <w:rsid w:val="43E837B0"/>
    <w:rsid w:val="44681F85"/>
    <w:rsid w:val="44B84165"/>
    <w:rsid w:val="44C73056"/>
    <w:rsid w:val="45784225"/>
    <w:rsid w:val="45A110A9"/>
    <w:rsid w:val="45FB77CB"/>
    <w:rsid w:val="46B10403"/>
    <w:rsid w:val="46BD4231"/>
    <w:rsid w:val="46DD5122"/>
    <w:rsid w:val="46EC0E35"/>
    <w:rsid w:val="47182399"/>
    <w:rsid w:val="47712DB5"/>
    <w:rsid w:val="48055E2E"/>
    <w:rsid w:val="48351812"/>
    <w:rsid w:val="487E3EDE"/>
    <w:rsid w:val="48D10577"/>
    <w:rsid w:val="493F2BE9"/>
    <w:rsid w:val="495D0CB8"/>
    <w:rsid w:val="49695393"/>
    <w:rsid w:val="49DD6ADA"/>
    <w:rsid w:val="4A0013A3"/>
    <w:rsid w:val="4A1C0C37"/>
    <w:rsid w:val="4A7D264F"/>
    <w:rsid w:val="4A982D30"/>
    <w:rsid w:val="4AAD7E84"/>
    <w:rsid w:val="4AC9697E"/>
    <w:rsid w:val="4BA5501F"/>
    <w:rsid w:val="4BA80455"/>
    <w:rsid w:val="4BA82F46"/>
    <w:rsid w:val="4BB4285B"/>
    <w:rsid w:val="4BD80D32"/>
    <w:rsid w:val="4C0849EF"/>
    <w:rsid w:val="4C194E4E"/>
    <w:rsid w:val="4C597BB2"/>
    <w:rsid w:val="4CAC1C8C"/>
    <w:rsid w:val="4CF907DC"/>
    <w:rsid w:val="4D1E6FB9"/>
    <w:rsid w:val="4D60665D"/>
    <w:rsid w:val="4DAF11FB"/>
    <w:rsid w:val="4E0B4C6B"/>
    <w:rsid w:val="4E1F4272"/>
    <w:rsid w:val="4E593C28"/>
    <w:rsid w:val="4EA14174"/>
    <w:rsid w:val="4EC718FF"/>
    <w:rsid w:val="4ED66084"/>
    <w:rsid w:val="4FA54AC2"/>
    <w:rsid w:val="508767FA"/>
    <w:rsid w:val="50C15055"/>
    <w:rsid w:val="50E023DF"/>
    <w:rsid w:val="50E63BBF"/>
    <w:rsid w:val="512E015F"/>
    <w:rsid w:val="514972DD"/>
    <w:rsid w:val="517E2EB2"/>
    <w:rsid w:val="51AC35A9"/>
    <w:rsid w:val="51EB3BEE"/>
    <w:rsid w:val="525B69E9"/>
    <w:rsid w:val="526550C2"/>
    <w:rsid w:val="527D7F5F"/>
    <w:rsid w:val="52B6485E"/>
    <w:rsid w:val="52F061DD"/>
    <w:rsid w:val="530B55DF"/>
    <w:rsid w:val="53441A87"/>
    <w:rsid w:val="534A3FFC"/>
    <w:rsid w:val="53671863"/>
    <w:rsid w:val="53C32DC7"/>
    <w:rsid w:val="53E7446C"/>
    <w:rsid w:val="54306DF8"/>
    <w:rsid w:val="543A0FE6"/>
    <w:rsid w:val="54502599"/>
    <w:rsid w:val="546C1ED1"/>
    <w:rsid w:val="548F1912"/>
    <w:rsid w:val="54BA2547"/>
    <w:rsid w:val="54ED0252"/>
    <w:rsid w:val="558F3206"/>
    <w:rsid w:val="55BA2F56"/>
    <w:rsid w:val="55D91B5C"/>
    <w:rsid w:val="561F7C33"/>
    <w:rsid w:val="56302731"/>
    <w:rsid w:val="567E5728"/>
    <w:rsid w:val="568415D3"/>
    <w:rsid w:val="56A63783"/>
    <w:rsid w:val="56DB1AD8"/>
    <w:rsid w:val="57A37CC2"/>
    <w:rsid w:val="57EA6B30"/>
    <w:rsid w:val="582068D6"/>
    <w:rsid w:val="590C02EE"/>
    <w:rsid w:val="594000E9"/>
    <w:rsid w:val="598A2854"/>
    <w:rsid w:val="59CE5DDA"/>
    <w:rsid w:val="59EE598B"/>
    <w:rsid w:val="59EF1A08"/>
    <w:rsid w:val="59FA453E"/>
    <w:rsid w:val="5A79046A"/>
    <w:rsid w:val="5AA04CD7"/>
    <w:rsid w:val="5B57329D"/>
    <w:rsid w:val="5B885B4D"/>
    <w:rsid w:val="5BAF6779"/>
    <w:rsid w:val="5BC11427"/>
    <w:rsid w:val="5CB66614"/>
    <w:rsid w:val="5D447851"/>
    <w:rsid w:val="5D5D54EE"/>
    <w:rsid w:val="5E342877"/>
    <w:rsid w:val="5E851AAC"/>
    <w:rsid w:val="5EE017FC"/>
    <w:rsid w:val="5F3F3D76"/>
    <w:rsid w:val="5F6C7C85"/>
    <w:rsid w:val="5FC837E1"/>
    <w:rsid w:val="6092443A"/>
    <w:rsid w:val="60A5244C"/>
    <w:rsid w:val="60EA7910"/>
    <w:rsid w:val="612D11B9"/>
    <w:rsid w:val="617B0B26"/>
    <w:rsid w:val="61A92379"/>
    <w:rsid w:val="61DB2EC7"/>
    <w:rsid w:val="6220263B"/>
    <w:rsid w:val="622814F0"/>
    <w:rsid w:val="62B74A42"/>
    <w:rsid w:val="62E278F0"/>
    <w:rsid w:val="633D41B2"/>
    <w:rsid w:val="63D7135E"/>
    <w:rsid w:val="640A3842"/>
    <w:rsid w:val="64CA7846"/>
    <w:rsid w:val="64D633F3"/>
    <w:rsid w:val="65052C7A"/>
    <w:rsid w:val="655D5954"/>
    <w:rsid w:val="65763741"/>
    <w:rsid w:val="657D25E8"/>
    <w:rsid w:val="65A92785"/>
    <w:rsid w:val="65E87914"/>
    <w:rsid w:val="65FC0384"/>
    <w:rsid w:val="66173D55"/>
    <w:rsid w:val="66212E26"/>
    <w:rsid w:val="662D0CDF"/>
    <w:rsid w:val="66531F2C"/>
    <w:rsid w:val="66982825"/>
    <w:rsid w:val="67776615"/>
    <w:rsid w:val="67B01C0A"/>
    <w:rsid w:val="68090D5B"/>
    <w:rsid w:val="68221D7A"/>
    <w:rsid w:val="68225894"/>
    <w:rsid w:val="68314BCA"/>
    <w:rsid w:val="68467858"/>
    <w:rsid w:val="684C0E6A"/>
    <w:rsid w:val="685A4BDC"/>
    <w:rsid w:val="686156A5"/>
    <w:rsid w:val="68985A3B"/>
    <w:rsid w:val="68E9348E"/>
    <w:rsid w:val="69897EFF"/>
    <w:rsid w:val="69B07307"/>
    <w:rsid w:val="6A0C7949"/>
    <w:rsid w:val="6A6148C8"/>
    <w:rsid w:val="6A87154D"/>
    <w:rsid w:val="6B2E1097"/>
    <w:rsid w:val="6B56531F"/>
    <w:rsid w:val="6B774E6E"/>
    <w:rsid w:val="6BBF1C7A"/>
    <w:rsid w:val="6C3F370E"/>
    <w:rsid w:val="6D214580"/>
    <w:rsid w:val="6E053582"/>
    <w:rsid w:val="6E7C5B98"/>
    <w:rsid w:val="6EF94644"/>
    <w:rsid w:val="6EFE33F1"/>
    <w:rsid w:val="6F203DC7"/>
    <w:rsid w:val="6F461A73"/>
    <w:rsid w:val="6F584639"/>
    <w:rsid w:val="6F78315E"/>
    <w:rsid w:val="6F8D5D21"/>
    <w:rsid w:val="6FB35E07"/>
    <w:rsid w:val="6FDB699A"/>
    <w:rsid w:val="6FF759DD"/>
    <w:rsid w:val="701B5335"/>
    <w:rsid w:val="70311EB7"/>
    <w:rsid w:val="70537E63"/>
    <w:rsid w:val="70764479"/>
    <w:rsid w:val="709E7477"/>
    <w:rsid w:val="714B3387"/>
    <w:rsid w:val="7150636D"/>
    <w:rsid w:val="71591012"/>
    <w:rsid w:val="71B261E9"/>
    <w:rsid w:val="71F14047"/>
    <w:rsid w:val="727C1B53"/>
    <w:rsid w:val="72B83D2B"/>
    <w:rsid w:val="72F443E0"/>
    <w:rsid w:val="73593BFF"/>
    <w:rsid w:val="739F2420"/>
    <w:rsid w:val="73C95F07"/>
    <w:rsid w:val="74230C6B"/>
    <w:rsid w:val="74252ECD"/>
    <w:rsid w:val="74575E98"/>
    <w:rsid w:val="75007555"/>
    <w:rsid w:val="754158AD"/>
    <w:rsid w:val="758A7569"/>
    <w:rsid w:val="759A58C1"/>
    <w:rsid w:val="75A94AF9"/>
    <w:rsid w:val="75F53987"/>
    <w:rsid w:val="764D693E"/>
    <w:rsid w:val="76A31F43"/>
    <w:rsid w:val="77564A56"/>
    <w:rsid w:val="77BC2228"/>
    <w:rsid w:val="77D76F5F"/>
    <w:rsid w:val="77E8388F"/>
    <w:rsid w:val="77EA32FC"/>
    <w:rsid w:val="781A76D5"/>
    <w:rsid w:val="784F3FD6"/>
    <w:rsid w:val="788D2961"/>
    <w:rsid w:val="7899696F"/>
    <w:rsid w:val="78EC6E5B"/>
    <w:rsid w:val="78F7073E"/>
    <w:rsid w:val="794142B2"/>
    <w:rsid w:val="7A042345"/>
    <w:rsid w:val="7A07519C"/>
    <w:rsid w:val="7B5A2B3E"/>
    <w:rsid w:val="7B8B1435"/>
    <w:rsid w:val="7BDA74E1"/>
    <w:rsid w:val="7BF46326"/>
    <w:rsid w:val="7C1C1C6D"/>
    <w:rsid w:val="7C506F5A"/>
    <w:rsid w:val="7C9926D0"/>
    <w:rsid w:val="7DF20976"/>
    <w:rsid w:val="7E3E760D"/>
    <w:rsid w:val="7E5D324A"/>
    <w:rsid w:val="7E6F638F"/>
    <w:rsid w:val="7ECF2FC7"/>
    <w:rsid w:val="7F6948C3"/>
    <w:rsid w:val="7F6E0386"/>
    <w:rsid w:val="7F736048"/>
    <w:rsid w:val="7F7C6DA3"/>
    <w:rsid w:val="7F7F53CB"/>
    <w:rsid w:val="7F8F2756"/>
    <w:rsid w:val="D77DB5BE"/>
    <w:rsid w:val="EDA7158B"/>
    <w:rsid w:val="FBFB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0"/>
    <w:qFormat/>
    <w:uiPriority w:val="0"/>
    <w:pPr>
      <w:keepNext/>
      <w:keepLines/>
      <w:spacing w:line="360" w:lineRule="auto"/>
      <w:outlineLvl w:val="0"/>
    </w:pPr>
    <w:rPr>
      <w:rFonts w:eastAsia="黑体"/>
      <w:b/>
      <w:bCs/>
      <w:kern w:val="44"/>
      <w:sz w:val="52"/>
      <w:szCs w:val="44"/>
    </w:rPr>
  </w:style>
  <w:style w:type="paragraph" w:styleId="3">
    <w:name w:val="heading 2"/>
    <w:basedOn w:val="1"/>
    <w:next w:val="1"/>
    <w:link w:val="128"/>
    <w:qFormat/>
    <w:uiPriority w:val="0"/>
    <w:pPr>
      <w:keepNext/>
      <w:keepLines/>
      <w:spacing w:before="100" w:beforeLines="100" w:after="100" w:afterLines="100" w:line="240" w:lineRule="auto"/>
      <w:jc w:val="center"/>
      <w:outlineLvl w:val="1"/>
    </w:pPr>
    <w:rPr>
      <w:rFonts w:ascii="Arial" w:hAnsi="Arial" w:eastAsia="黑体"/>
      <w:b/>
      <w:bCs/>
      <w:kern w:val="0"/>
      <w:sz w:val="28"/>
      <w:szCs w:val="32"/>
    </w:rPr>
  </w:style>
  <w:style w:type="paragraph" w:styleId="4">
    <w:name w:val="heading 3"/>
    <w:basedOn w:val="1"/>
    <w:next w:val="1"/>
    <w:link w:val="350"/>
    <w:qFormat/>
    <w:uiPriority w:val="9"/>
    <w:pPr>
      <w:keepNext/>
      <w:keepLines/>
      <w:spacing w:before="156" w:beforeLines="50" w:after="156" w:afterLines="50"/>
      <w:jc w:val="left"/>
      <w:outlineLvl w:val="2"/>
    </w:pPr>
    <w:rPr>
      <w:b/>
      <w:bCs/>
      <w:kern w:val="0"/>
      <w:sz w:val="32"/>
      <w:szCs w:val="32"/>
    </w:rPr>
  </w:style>
  <w:style w:type="paragraph" w:styleId="5">
    <w:name w:val="heading 4"/>
    <w:basedOn w:val="1"/>
    <w:next w:val="1"/>
    <w:link w:val="186"/>
    <w:qFormat/>
    <w:uiPriority w:val="0"/>
    <w:pPr>
      <w:keepNext/>
      <w:numPr>
        <w:ilvl w:val="0"/>
        <w:numId w:val="1"/>
      </w:numPr>
      <w:jc w:val="center"/>
      <w:outlineLvl w:val="3"/>
    </w:pPr>
    <w:rPr>
      <w:b/>
      <w:bCs/>
      <w:spacing w:val="-2"/>
      <w:kern w:val="0"/>
      <w:sz w:val="24"/>
      <w:szCs w:val="20"/>
    </w:rPr>
  </w:style>
  <w:style w:type="paragraph" w:styleId="6">
    <w:name w:val="heading 5"/>
    <w:basedOn w:val="1"/>
    <w:next w:val="1"/>
    <w:link w:val="144"/>
    <w:qFormat/>
    <w:uiPriority w:val="0"/>
    <w:pPr>
      <w:keepNext/>
      <w:keepLines/>
      <w:spacing w:before="280" w:after="290" w:line="374" w:lineRule="auto"/>
      <w:outlineLvl w:val="4"/>
    </w:pPr>
    <w:rPr>
      <w:b/>
      <w:bCs/>
      <w:sz w:val="28"/>
      <w:szCs w:val="28"/>
    </w:rPr>
  </w:style>
  <w:style w:type="paragraph" w:styleId="7">
    <w:name w:val="heading 6"/>
    <w:basedOn w:val="1"/>
    <w:next w:val="1"/>
    <w:link w:val="78"/>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2"/>
    <w:qFormat/>
    <w:uiPriority w:val="0"/>
    <w:pPr>
      <w:keepNext/>
      <w:keepLines/>
      <w:spacing w:before="240" w:after="64" w:line="320" w:lineRule="auto"/>
      <w:outlineLvl w:val="6"/>
    </w:pPr>
    <w:rPr>
      <w:b/>
      <w:bCs/>
      <w:kern w:val="0"/>
      <w:sz w:val="24"/>
    </w:rPr>
  </w:style>
  <w:style w:type="paragraph" w:styleId="9">
    <w:name w:val="heading 8"/>
    <w:basedOn w:val="1"/>
    <w:next w:val="1"/>
    <w:link w:val="94"/>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164"/>
    <w:qFormat/>
    <w:uiPriority w:val="0"/>
    <w:pPr>
      <w:keepNext/>
      <w:keepLines/>
      <w:spacing w:before="240" w:after="64" w:line="320" w:lineRule="auto"/>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before="160"/>
      <w:ind w:left="717"/>
      <w:jc w:val="left"/>
    </w:pPr>
    <w:rPr>
      <w:rFonts w:ascii="宋体" w:hAnsi="宋体"/>
      <w:kern w:val="0"/>
      <w:sz w:val="20"/>
      <w:szCs w:val="20"/>
      <w:lang w:eastAsia="en-US"/>
    </w:rPr>
  </w:style>
  <w:style w:type="paragraph" w:styleId="12">
    <w:name w:val="table of authorities"/>
    <w:basedOn w:val="1"/>
    <w:next w:val="1"/>
    <w:qFormat/>
    <w:uiPriority w:val="0"/>
    <w:pPr>
      <w:spacing w:line="360" w:lineRule="auto"/>
      <w:ind w:left="200" w:leftChars="200"/>
    </w:pPr>
    <w:rPr>
      <w:sz w:val="24"/>
      <w:szCs w:val="20"/>
    </w:rPr>
  </w:style>
  <w:style w:type="paragraph" w:styleId="13">
    <w:name w:val="Normal Indent"/>
    <w:basedOn w:val="1"/>
    <w:qFormat/>
    <w:uiPriority w:val="0"/>
    <w:pPr>
      <w:ind w:firstLine="42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19"/>
    <w:qFormat/>
    <w:uiPriority w:val="0"/>
    <w:pPr>
      <w:shd w:val="clear" w:color="auto" w:fill="000080"/>
    </w:pPr>
  </w:style>
  <w:style w:type="paragraph" w:styleId="16">
    <w:name w:val="annotation text"/>
    <w:basedOn w:val="1"/>
    <w:link w:val="109"/>
    <w:qFormat/>
    <w:uiPriority w:val="0"/>
    <w:pPr>
      <w:jc w:val="left"/>
    </w:pPr>
  </w:style>
  <w:style w:type="paragraph" w:styleId="17">
    <w:name w:val="Salutation"/>
    <w:basedOn w:val="1"/>
    <w:next w:val="1"/>
    <w:qFormat/>
    <w:uiPriority w:val="0"/>
  </w:style>
  <w:style w:type="paragraph" w:styleId="18">
    <w:name w:val="Body Text 3"/>
    <w:basedOn w:val="1"/>
    <w:link w:val="127"/>
    <w:unhideWhenUsed/>
    <w:qFormat/>
    <w:uiPriority w:val="0"/>
    <w:pPr>
      <w:spacing w:after="120"/>
    </w:pPr>
    <w:rPr>
      <w:rFonts w:ascii="Calibri" w:hAnsi="Calibri"/>
      <w:sz w:val="16"/>
      <w:szCs w:val="16"/>
    </w:rPr>
  </w:style>
  <w:style w:type="paragraph" w:styleId="19">
    <w:name w:val="Closing"/>
    <w:basedOn w:val="1"/>
    <w:qFormat/>
    <w:uiPriority w:val="0"/>
    <w:pPr>
      <w:ind w:left="100" w:leftChars="2100"/>
    </w:pPr>
  </w:style>
  <w:style w:type="paragraph" w:styleId="20">
    <w:name w:val="Body Text"/>
    <w:basedOn w:val="1"/>
    <w:link w:val="154"/>
    <w:qFormat/>
    <w:uiPriority w:val="1"/>
    <w:rPr>
      <w:rFonts w:ascii="宋体" w:hAnsi="宋体"/>
      <w:sz w:val="24"/>
    </w:rPr>
  </w:style>
  <w:style w:type="paragraph" w:styleId="21">
    <w:name w:val="Body Text Indent"/>
    <w:basedOn w:val="1"/>
    <w:link w:val="88"/>
    <w:qFormat/>
    <w:uiPriority w:val="99"/>
    <w:pPr>
      <w:spacing w:after="120"/>
      <w:ind w:left="420" w:leftChars="200"/>
    </w:pPr>
  </w:style>
  <w:style w:type="paragraph" w:styleId="22">
    <w:name w:val="List 2"/>
    <w:basedOn w:val="1"/>
    <w:qFormat/>
    <w:uiPriority w:val="0"/>
    <w:pPr>
      <w:widowControl/>
      <w:spacing w:before="20" w:after="20"/>
    </w:pPr>
    <w:rPr>
      <w:rFonts w:eastAsia="仿宋_GB2312"/>
      <w:kern w:val="0"/>
      <w:sz w:val="24"/>
      <w:szCs w:val="20"/>
    </w:rPr>
  </w:style>
  <w:style w:type="paragraph" w:styleId="23">
    <w:name w:val="Block Text"/>
    <w:basedOn w:val="1"/>
    <w:qFormat/>
    <w:uiPriority w:val="0"/>
    <w:pPr>
      <w:spacing w:after="120" w:line="360" w:lineRule="auto"/>
      <w:ind w:left="700" w:leftChars="700" w:right="700" w:rightChars="700"/>
    </w:pPr>
    <w:rPr>
      <w:rFonts w:ascii="楷体_GB2312" w:hAnsi="宋体" w:eastAsia="楷体_GB2312"/>
      <w:b/>
      <w:sz w:val="32"/>
      <w:szCs w:val="32"/>
    </w:rPr>
  </w:style>
  <w:style w:type="paragraph" w:styleId="24">
    <w:name w:val="toc 5"/>
    <w:basedOn w:val="1"/>
    <w:next w:val="1"/>
    <w:qFormat/>
    <w:uiPriority w:val="39"/>
    <w:pPr>
      <w:spacing w:before="178"/>
      <w:ind w:left="993"/>
      <w:jc w:val="left"/>
    </w:pPr>
    <w:rPr>
      <w:rFonts w:ascii="宋体" w:hAnsi="宋体" w:cs="宋体"/>
      <w:kern w:val="0"/>
      <w:sz w:val="20"/>
      <w:szCs w:val="20"/>
      <w:lang w:eastAsia="en-US"/>
    </w:rPr>
  </w:style>
  <w:style w:type="paragraph" w:styleId="25">
    <w:name w:val="toc 3"/>
    <w:basedOn w:val="1"/>
    <w:next w:val="1"/>
    <w:qFormat/>
    <w:uiPriority w:val="39"/>
    <w:pPr>
      <w:spacing w:before="178"/>
      <w:ind w:left="428"/>
      <w:jc w:val="left"/>
    </w:pPr>
    <w:rPr>
      <w:rFonts w:ascii="宋体" w:hAnsi="宋体" w:cs="宋体"/>
      <w:kern w:val="0"/>
      <w:sz w:val="20"/>
      <w:szCs w:val="20"/>
      <w:lang w:eastAsia="en-US"/>
    </w:rPr>
  </w:style>
  <w:style w:type="paragraph" w:styleId="26">
    <w:name w:val="Plain Text"/>
    <w:basedOn w:val="1"/>
    <w:link w:val="157"/>
    <w:qFormat/>
    <w:uiPriority w:val="0"/>
    <w:rPr>
      <w:rFonts w:ascii="宋体" w:hAnsi="Courier New"/>
      <w:szCs w:val="21"/>
    </w:rPr>
  </w:style>
  <w:style w:type="paragraph" w:styleId="27">
    <w:name w:val="toc 8"/>
    <w:basedOn w:val="1"/>
    <w:next w:val="1"/>
    <w:qFormat/>
    <w:uiPriority w:val="39"/>
    <w:pPr>
      <w:spacing w:before="173"/>
      <w:ind w:left="717"/>
      <w:jc w:val="left"/>
    </w:pPr>
    <w:rPr>
      <w:rFonts w:ascii="宋体" w:hAnsi="宋体"/>
      <w:kern w:val="0"/>
      <w:sz w:val="19"/>
      <w:szCs w:val="19"/>
      <w:lang w:eastAsia="en-US"/>
    </w:rPr>
  </w:style>
  <w:style w:type="paragraph" w:styleId="28">
    <w:name w:val="Date"/>
    <w:basedOn w:val="1"/>
    <w:next w:val="1"/>
    <w:link w:val="146"/>
    <w:qFormat/>
    <w:uiPriority w:val="0"/>
    <w:pPr>
      <w:ind w:left="100" w:leftChars="2500"/>
    </w:pPr>
    <w:rPr>
      <w:rFonts w:ascii="宋体" w:hAnsi="宋体"/>
      <w:kern w:val="0"/>
      <w:sz w:val="24"/>
      <w:szCs w:val="21"/>
    </w:rPr>
  </w:style>
  <w:style w:type="paragraph" w:styleId="29">
    <w:name w:val="Body Text Indent 2"/>
    <w:basedOn w:val="1"/>
    <w:link w:val="172"/>
    <w:qFormat/>
    <w:uiPriority w:val="0"/>
    <w:pPr>
      <w:spacing w:after="120" w:line="480" w:lineRule="auto"/>
      <w:ind w:left="420" w:leftChars="200"/>
    </w:pPr>
    <w:rPr>
      <w:kern w:val="0"/>
      <w:sz w:val="20"/>
    </w:rPr>
  </w:style>
  <w:style w:type="paragraph" w:styleId="30">
    <w:name w:val="endnote text"/>
    <w:basedOn w:val="1"/>
    <w:link w:val="141"/>
    <w:qFormat/>
    <w:uiPriority w:val="0"/>
    <w:pPr>
      <w:snapToGrid w:val="0"/>
      <w:jc w:val="left"/>
    </w:pPr>
  </w:style>
  <w:style w:type="paragraph" w:styleId="31">
    <w:name w:val="Balloon Text"/>
    <w:basedOn w:val="1"/>
    <w:link w:val="168"/>
    <w:qFormat/>
    <w:uiPriority w:val="0"/>
    <w:rPr>
      <w:sz w:val="18"/>
      <w:szCs w:val="18"/>
    </w:rPr>
  </w:style>
  <w:style w:type="paragraph" w:styleId="32">
    <w:name w:val="footer"/>
    <w:basedOn w:val="1"/>
    <w:link w:val="110"/>
    <w:qFormat/>
    <w:uiPriority w:val="99"/>
    <w:pPr>
      <w:tabs>
        <w:tab w:val="center" w:pos="4153"/>
        <w:tab w:val="right" w:pos="8306"/>
      </w:tabs>
      <w:snapToGrid w:val="0"/>
      <w:jc w:val="left"/>
    </w:pPr>
    <w:rPr>
      <w:sz w:val="18"/>
      <w:szCs w:val="18"/>
    </w:rPr>
  </w:style>
  <w:style w:type="paragraph" w:styleId="33">
    <w:name w:val="header"/>
    <w:basedOn w:val="1"/>
    <w:link w:val="166"/>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62"/>
      <w:ind w:left="29"/>
      <w:jc w:val="center"/>
    </w:pPr>
    <w:rPr>
      <w:rFonts w:ascii="黑体" w:hAnsi="黑体" w:eastAsia="黑体" w:cs="黑体"/>
      <w:kern w:val="0"/>
      <w:sz w:val="20"/>
      <w:szCs w:val="20"/>
      <w:lang w:eastAsia="en-US"/>
    </w:rPr>
  </w:style>
  <w:style w:type="paragraph" w:styleId="35">
    <w:name w:val="toc 4"/>
    <w:basedOn w:val="1"/>
    <w:next w:val="1"/>
    <w:qFormat/>
    <w:uiPriority w:val="39"/>
    <w:pPr>
      <w:spacing w:before="178"/>
      <w:ind w:left="710"/>
      <w:jc w:val="left"/>
    </w:pPr>
    <w:rPr>
      <w:rFonts w:ascii="宋体" w:hAnsi="宋体" w:cs="宋体"/>
      <w:kern w:val="0"/>
      <w:sz w:val="20"/>
      <w:szCs w:val="20"/>
      <w:lang w:eastAsia="en-US"/>
    </w:rPr>
  </w:style>
  <w:style w:type="paragraph" w:styleId="36">
    <w:name w:val="Subtitle"/>
    <w:basedOn w:val="1"/>
    <w:next w:val="1"/>
    <w:link w:val="97"/>
    <w:qFormat/>
    <w:uiPriority w:val="0"/>
    <w:pPr>
      <w:spacing w:line="360" w:lineRule="auto"/>
      <w:jc w:val="center"/>
      <w:outlineLvl w:val="1"/>
    </w:pPr>
    <w:rPr>
      <w:rFonts w:ascii="Cambria" w:hAnsi="Cambria"/>
      <w:b/>
      <w:bCs/>
      <w:kern w:val="28"/>
      <w:sz w:val="32"/>
      <w:szCs w:val="32"/>
    </w:rPr>
  </w:style>
  <w:style w:type="paragraph" w:styleId="37">
    <w:name w:val="footnote text"/>
    <w:basedOn w:val="1"/>
    <w:link w:val="156"/>
    <w:qFormat/>
    <w:uiPriority w:val="0"/>
    <w:pPr>
      <w:snapToGrid w:val="0"/>
      <w:jc w:val="left"/>
    </w:pPr>
    <w:rPr>
      <w:sz w:val="18"/>
      <w:szCs w:val="18"/>
    </w:rPr>
  </w:style>
  <w:style w:type="paragraph" w:styleId="38">
    <w:name w:val="toc 6"/>
    <w:basedOn w:val="1"/>
    <w:next w:val="1"/>
    <w:qFormat/>
    <w:uiPriority w:val="39"/>
    <w:pPr>
      <w:spacing w:before="190"/>
      <w:ind w:left="434"/>
      <w:jc w:val="left"/>
    </w:pPr>
    <w:rPr>
      <w:rFonts w:eastAsia="Times New Roman"/>
      <w:b/>
      <w:bCs/>
      <w:i/>
      <w:kern w:val="0"/>
      <w:sz w:val="22"/>
      <w:szCs w:val="22"/>
      <w:lang w:eastAsia="en-US"/>
    </w:rPr>
  </w:style>
  <w:style w:type="paragraph" w:styleId="39">
    <w:name w:val="Body Text Indent 3"/>
    <w:basedOn w:val="1"/>
    <w:link w:val="159"/>
    <w:qFormat/>
    <w:uiPriority w:val="0"/>
    <w:pPr>
      <w:spacing w:line="440" w:lineRule="exact"/>
      <w:ind w:firstLine="480"/>
    </w:pPr>
    <w:rPr>
      <w:rFonts w:ascii="宋体" w:hAnsi="宋体"/>
      <w:kern w:val="0"/>
      <w:sz w:val="24"/>
    </w:rPr>
  </w:style>
  <w:style w:type="paragraph" w:styleId="40">
    <w:name w:val="toc 2"/>
    <w:basedOn w:val="1"/>
    <w:next w:val="1"/>
    <w:qFormat/>
    <w:uiPriority w:val="39"/>
    <w:pPr>
      <w:spacing w:before="178"/>
      <w:ind w:left="144"/>
      <w:jc w:val="left"/>
    </w:pPr>
    <w:rPr>
      <w:rFonts w:ascii="黑体" w:hAnsi="黑体" w:eastAsia="黑体" w:cs="黑体"/>
      <w:kern w:val="0"/>
      <w:sz w:val="20"/>
      <w:szCs w:val="20"/>
      <w:lang w:eastAsia="en-US"/>
    </w:rPr>
  </w:style>
  <w:style w:type="paragraph" w:styleId="41">
    <w:name w:val="toc 9"/>
    <w:basedOn w:val="1"/>
    <w:next w:val="1"/>
    <w:qFormat/>
    <w:uiPriority w:val="39"/>
    <w:pPr>
      <w:spacing w:before="164"/>
      <w:ind w:left="717"/>
      <w:jc w:val="left"/>
    </w:pPr>
    <w:rPr>
      <w:rFonts w:ascii="宋体" w:hAnsi="宋体"/>
      <w:b/>
      <w:bCs/>
      <w:i/>
      <w:kern w:val="0"/>
      <w:sz w:val="22"/>
      <w:szCs w:val="22"/>
      <w:lang w:eastAsia="en-US"/>
    </w:rPr>
  </w:style>
  <w:style w:type="paragraph" w:styleId="42">
    <w:name w:val="Body Text 2"/>
    <w:basedOn w:val="1"/>
    <w:link w:val="77"/>
    <w:qFormat/>
    <w:uiPriority w:val="0"/>
    <w:pPr>
      <w:spacing w:line="240" w:lineRule="atLeast"/>
      <w:jc w:val="center"/>
    </w:pPr>
    <w:rPr>
      <w:kern w:val="0"/>
      <w:sz w:val="20"/>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5">
    <w:name w:val="index 1"/>
    <w:basedOn w:val="1"/>
    <w:next w:val="1"/>
    <w:qFormat/>
    <w:uiPriority w:val="0"/>
  </w:style>
  <w:style w:type="paragraph" w:styleId="46">
    <w:name w:val="Title"/>
    <w:basedOn w:val="1"/>
    <w:link w:val="150"/>
    <w:qFormat/>
    <w:uiPriority w:val="0"/>
    <w:pPr>
      <w:tabs>
        <w:tab w:val="left" w:pos="360"/>
      </w:tabs>
      <w:spacing w:line="360" w:lineRule="auto"/>
      <w:ind w:left="360" w:hanging="360" w:hangingChars="200"/>
      <w:jc w:val="center"/>
    </w:pPr>
    <w:rPr>
      <w:rFonts w:ascii="宋体" w:hAnsi="宋体" w:eastAsia="黑体"/>
      <w:b/>
      <w:bCs/>
      <w:kern w:val="44"/>
      <w:sz w:val="52"/>
      <w:szCs w:val="44"/>
    </w:rPr>
  </w:style>
  <w:style w:type="paragraph" w:styleId="47">
    <w:name w:val="annotation subject"/>
    <w:basedOn w:val="16"/>
    <w:next w:val="16"/>
    <w:link w:val="132"/>
    <w:qFormat/>
    <w:uiPriority w:val="0"/>
    <w:rPr>
      <w:b/>
      <w:bCs/>
    </w:rPr>
  </w:style>
  <w:style w:type="paragraph" w:styleId="48">
    <w:name w:val="Body Text First Indent 2"/>
    <w:basedOn w:val="21"/>
    <w:link w:val="343"/>
    <w:qFormat/>
    <w:uiPriority w:val="0"/>
    <w:pPr>
      <w:ind w:firstLine="420" w:firstLineChars="200"/>
    </w:pPr>
  </w:style>
  <w:style w:type="table" w:styleId="50">
    <w:name w:val="Table Grid"/>
    <w:basedOn w:val="4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0"/>
    <w:rPr>
      <w:color w:val="800080"/>
      <w:u w:val="single"/>
    </w:rPr>
  </w:style>
  <w:style w:type="character" w:styleId="56">
    <w:name w:val="Emphasis"/>
    <w:qFormat/>
    <w:uiPriority w:val="20"/>
    <w:rPr>
      <w:rFonts w:ascii="宋体" w:eastAsia="宋体"/>
      <w:i/>
      <w:iCs/>
      <w:sz w:val="24"/>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Char Char13"/>
    <w:qFormat/>
    <w:uiPriority w:val="0"/>
    <w:rPr>
      <w:b/>
      <w:bCs/>
      <w:sz w:val="24"/>
      <w:szCs w:val="24"/>
    </w:rPr>
  </w:style>
  <w:style w:type="character" w:customStyle="1" w:styleId="61">
    <w:name w:val="普通文字 Char3"/>
    <w:qFormat/>
    <w:uiPriority w:val="0"/>
    <w:rPr>
      <w:rFonts w:eastAsia="宋体" w:cs="Courier New"/>
      <w:kern w:val="2"/>
      <w:sz w:val="21"/>
      <w:szCs w:val="21"/>
      <w:lang w:val="en-US" w:eastAsia="zh-CN" w:bidi="ar-SA"/>
    </w:rPr>
  </w:style>
  <w:style w:type="character" w:customStyle="1" w:styleId="62">
    <w:name w:val="标题 7 Char2"/>
    <w:link w:val="8"/>
    <w:qFormat/>
    <w:uiPriority w:val="0"/>
    <w:rPr>
      <w:b/>
      <w:bCs/>
      <w:sz w:val="24"/>
      <w:szCs w:val="24"/>
    </w:rPr>
  </w:style>
  <w:style w:type="character" w:customStyle="1" w:styleId="63">
    <w:name w:val="数字"/>
    <w:qFormat/>
    <w:uiPriority w:val="0"/>
    <w:rPr>
      <w:rFonts w:eastAsia="黑体"/>
      <w:b/>
      <w:sz w:val="21"/>
    </w:rPr>
  </w:style>
  <w:style w:type="character" w:customStyle="1" w:styleId="64">
    <w:name w:val="标题 7 Char"/>
    <w:qFormat/>
    <w:uiPriority w:val="0"/>
    <w:rPr>
      <w:b/>
      <w:bCs/>
      <w:sz w:val="24"/>
      <w:szCs w:val="24"/>
    </w:rPr>
  </w:style>
  <w:style w:type="character" w:customStyle="1" w:styleId="65">
    <w:name w:val="Char Char6"/>
    <w:qFormat/>
    <w:uiPriority w:val="0"/>
    <w:rPr>
      <w:kern w:val="2"/>
      <w:sz w:val="16"/>
      <w:szCs w:val="16"/>
    </w:rPr>
  </w:style>
  <w:style w:type="character" w:customStyle="1" w:styleId="66">
    <w:name w:val="标题 2 Char"/>
    <w:qFormat/>
    <w:uiPriority w:val="0"/>
    <w:rPr>
      <w:rFonts w:ascii="Arial" w:hAnsi="Arial" w:eastAsia="黑体"/>
      <w:b/>
      <w:bCs/>
      <w:sz w:val="32"/>
      <w:szCs w:val="32"/>
    </w:rPr>
  </w:style>
  <w:style w:type="character" w:customStyle="1" w:styleId="67">
    <w:name w:val="标题 4 Char"/>
    <w:qFormat/>
    <w:uiPriority w:val="0"/>
    <w:rPr>
      <w:b/>
      <w:bCs/>
      <w:spacing w:val="-2"/>
      <w:sz w:val="24"/>
    </w:rPr>
  </w:style>
  <w:style w:type="character" w:customStyle="1" w:styleId="68">
    <w:name w:val="普通文字 Char Char"/>
    <w:qFormat/>
    <w:uiPriority w:val="0"/>
    <w:rPr>
      <w:rFonts w:ascii="宋体" w:hAnsi="Courier New" w:eastAsia="宋体" w:cs="Courier New"/>
      <w:kern w:val="2"/>
      <w:sz w:val="21"/>
      <w:szCs w:val="21"/>
      <w:lang w:val="en-US" w:eastAsia="zh-CN" w:bidi="ar-SA"/>
    </w:rPr>
  </w:style>
  <w:style w:type="character" w:customStyle="1" w:styleId="69">
    <w:name w:val="使用正文 Char"/>
    <w:link w:val="70"/>
    <w:qFormat/>
    <w:uiPriority w:val="0"/>
    <w:rPr>
      <w:rFonts w:eastAsia="仿宋_GB2312"/>
      <w:sz w:val="24"/>
      <w:lang w:val="en-US" w:eastAsia="zh-CN" w:bidi="ar-SA"/>
    </w:rPr>
  </w:style>
  <w:style w:type="paragraph" w:customStyle="1" w:styleId="70">
    <w:name w:val="使用正文"/>
    <w:link w:val="69"/>
    <w:qFormat/>
    <w:uiPriority w:val="0"/>
    <w:pPr>
      <w:widowControl w:val="0"/>
      <w:adjustRightInd w:val="0"/>
      <w:snapToGrid w:val="0"/>
      <w:spacing w:line="288" w:lineRule="auto"/>
      <w:ind w:firstLine="482"/>
      <w:jc w:val="both"/>
    </w:pPr>
    <w:rPr>
      <w:rFonts w:ascii="Times New Roman" w:hAnsi="Times New Roman" w:eastAsia="仿宋_GB2312" w:cs="Times New Roman"/>
      <w:sz w:val="24"/>
      <w:lang w:val="en-US" w:eastAsia="zh-CN" w:bidi="ar-SA"/>
    </w:rPr>
  </w:style>
  <w:style w:type="character" w:customStyle="1" w:styleId="71">
    <w:name w:val="Char Char4"/>
    <w:qFormat/>
    <w:uiPriority w:val="0"/>
    <w:rPr>
      <w:kern w:val="2"/>
      <w:sz w:val="21"/>
      <w:szCs w:val="24"/>
      <w:shd w:val="clear" w:color="auto" w:fill="000080"/>
    </w:rPr>
  </w:style>
  <w:style w:type="character" w:customStyle="1" w:styleId="72">
    <w:name w:val="H001 Char"/>
    <w:link w:val="73"/>
    <w:qFormat/>
    <w:uiPriority w:val="0"/>
    <w:rPr>
      <w:rFonts w:eastAsia="黑体"/>
      <w:bCs/>
      <w:kern w:val="44"/>
      <w:sz w:val="24"/>
      <w:szCs w:val="44"/>
      <w:lang w:bidi="ar-SA"/>
    </w:rPr>
  </w:style>
  <w:style w:type="paragraph" w:customStyle="1" w:styleId="73">
    <w:name w:val="H001"/>
    <w:basedOn w:val="2"/>
    <w:link w:val="72"/>
    <w:qFormat/>
    <w:uiPriority w:val="0"/>
    <w:pPr>
      <w:spacing w:before="240" w:after="240" w:line="240" w:lineRule="exact"/>
    </w:pPr>
    <w:rPr>
      <w:b w:val="0"/>
      <w:sz w:val="24"/>
    </w:rPr>
  </w:style>
  <w:style w:type="character" w:customStyle="1" w:styleId="74">
    <w:name w:val="正文首行缩进 2 Char2"/>
    <w:qFormat/>
    <w:uiPriority w:val="0"/>
    <w:rPr>
      <w:kern w:val="2"/>
      <w:sz w:val="21"/>
    </w:rPr>
  </w:style>
  <w:style w:type="character" w:customStyle="1" w:styleId="75">
    <w:name w:val="标题 6 Char1"/>
    <w:qFormat/>
    <w:uiPriority w:val="0"/>
    <w:rPr>
      <w:rFonts w:ascii="Cambria" w:hAnsi="Cambria"/>
      <w:b/>
      <w:bCs/>
      <w:kern w:val="2"/>
      <w:sz w:val="24"/>
      <w:szCs w:val="24"/>
    </w:rPr>
  </w:style>
  <w:style w:type="character" w:customStyle="1" w:styleId="76">
    <w:name w:val="Char Char8"/>
    <w:qFormat/>
    <w:uiPriority w:val="0"/>
    <w:rPr>
      <w:kern w:val="2"/>
      <w:sz w:val="21"/>
      <w:szCs w:val="24"/>
    </w:rPr>
  </w:style>
  <w:style w:type="character" w:customStyle="1" w:styleId="77">
    <w:name w:val="正文文本 2 Char2"/>
    <w:basedOn w:val="51"/>
    <w:link w:val="42"/>
    <w:qFormat/>
    <w:uiPriority w:val="0"/>
  </w:style>
  <w:style w:type="character" w:customStyle="1" w:styleId="78">
    <w:name w:val="标题 6 Char2"/>
    <w:link w:val="7"/>
    <w:qFormat/>
    <w:uiPriority w:val="0"/>
    <w:rPr>
      <w:rFonts w:ascii="Cambria" w:hAnsi="Cambria"/>
      <w:b/>
      <w:bCs/>
      <w:kern w:val="2"/>
      <w:sz w:val="24"/>
      <w:szCs w:val="24"/>
    </w:rPr>
  </w:style>
  <w:style w:type="character" w:customStyle="1" w:styleId="79">
    <w:name w:val="标题 8 Char1"/>
    <w:qFormat/>
    <w:uiPriority w:val="0"/>
    <w:rPr>
      <w:rFonts w:ascii="Cambria" w:hAnsi="Cambria"/>
      <w:kern w:val="2"/>
      <w:sz w:val="24"/>
      <w:szCs w:val="24"/>
    </w:rPr>
  </w:style>
  <w:style w:type="character" w:customStyle="1" w:styleId="80">
    <w:name w:val="标题 2 Char1"/>
    <w:qFormat/>
    <w:uiPriority w:val="0"/>
    <w:rPr>
      <w:rFonts w:ascii="Cambria" w:hAnsi="Cambria"/>
      <w:b/>
      <w:bCs/>
      <w:kern w:val="2"/>
      <w:sz w:val="48"/>
      <w:szCs w:val="24"/>
    </w:rPr>
  </w:style>
  <w:style w:type="character" w:customStyle="1" w:styleId="81">
    <w:name w:val="ca-3"/>
    <w:basedOn w:val="51"/>
    <w:qFormat/>
    <w:uiPriority w:val="0"/>
  </w:style>
  <w:style w:type="character" w:customStyle="1" w:styleId="82">
    <w:name w:val="批注文字 Char1"/>
    <w:qFormat/>
    <w:uiPriority w:val="0"/>
    <w:rPr>
      <w:kern w:val="2"/>
      <w:sz w:val="21"/>
      <w:szCs w:val="24"/>
    </w:rPr>
  </w:style>
  <w:style w:type="character" w:customStyle="1" w:styleId="83">
    <w:name w:val="批注主题 Char"/>
    <w:qFormat/>
    <w:uiPriority w:val="0"/>
    <w:rPr>
      <w:b/>
      <w:bCs/>
      <w:kern w:val="2"/>
      <w:sz w:val="21"/>
      <w:szCs w:val="24"/>
    </w:rPr>
  </w:style>
  <w:style w:type="character" w:customStyle="1" w:styleId="84">
    <w:name w:val="正文文本 2 Char1"/>
    <w:basedOn w:val="51"/>
    <w:qFormat/>
    <w:uiPriority w:val="0"/>
  </w:style>
  <w:style w:type="character" w:customStyle="1" w:styleId="85">
    <w:name w:val="正文文本缩进 3 Char1"/>
    <w:qFormat/>
    <w:uiPriority w:val="0"/>
    <w:rPr>
      <w:rFonts w:ascii="宋体" w:hAnsi="宋体"/>
      <w:sz w:val="24"/>
      <w:szCs w:val="24"/>
    </w:rPr>
  </w:style>
  <w:style w:type="character" w:customStyle="1" w:styleId="86">
    <w:name w:val="标题 1 Char Char Char Char Char Char Char Char Char Char Char"/>
    <w:qFormat/>
    <w:uiPriority w:val="0"/>
    <w:rPr>
      <w:rFonts w:ascii="黑体" w:eastAsia="黑体"/>
      <w:color w:val="000000"/>
      <w:kern w:val="44"/>
      <w:sz w:val="28"/>
      <w:szCs w:val="28"/>
      <w:lang w:val="en-US" w:eastAsia="zh-CN" w:bidi="ar-SA"/>
    </w:rPr>
  </w:style>
  <w:style w:type="character" w:customStyle="1" w:styleId="87">
    <w:name w:val="正文首行缩进 2 Char1"/>
    <w:basedOn w:val="88"/>
    <w:qFormat/>
    <w:uiPriority w:val="0"/>
    <w:rPr>
      <w:kern w:val="2"/>
      <w:sz w:val="21"/>
      <w:szCs w:val="24"/>
    </w:rPr>
  </w:style>
  <w:style w:type="character" w:customStyle="1" w:styleId="88">
    <w:name w:val="正文文本缩进 Char2"/>
    <w:link w:val="21"/>
    <w:qFormat/>
    <w:uiPriority w:val="99"/>
    <w:rPr>
      <w:kern w:val="2"/>
      <w:sz w:val="21"/>
      <w:szCs w:val="24"/>
    </w:rPr>
  </w:style>
  <w:style w:type="character" w:customStyle="1" w:styleId="89">
    <w:name w:val="标题 6 Char"/>
    <w:qFormat/>
    <w:uiPriority w:val="0"/>
    <w:rPr>
      <w:rFonts w:ascii="Cambria" w:hAnsi="Cambria"/>
      <w:b/>
      <w:bCs/>
      <w:kern w:val="2"/>
      <w:sz w:val="24"/>
      <w:szCs w:val="24"/>
    </w:rPr>
  </w:style>
  <w:style w:type="character" w:customStyle="1" w:styleId="90">
    <w:name w:val="正文文本缩进 2 Char"/>
    <w:qFormat/>
    <w:uiPriority w:val="0"/>
    <w:rPr>
      <w:szCs w:val="24"/>
    </w:rPr>
  </w:style>
  <w:style w:type="character" w:customStyle="1" w:styleId="91">
    <w:name w:val="内容 Char"/>
    <w:link w:val="92"/>
    <w:qFormat/>
    <w:uiPriority w:val="0"/>
    <w:rPr>
      <w:szCs w:val="24"/>
    </w:rPr>
  </w:style>
  <w:style w:type="paragraph" w:customStyle="1" w:styleId="92">
    <w:name w:val="内容"/>
    <w:basedOn w:val="1"/>
    <w:link w:val="91"/>
    <w:qFormat/>
    <w:uiPriority w:val="0"/>
    <w:pPr>
      <w:spacing w:line="480" w:lineRule="exact"/>
      <w:ind w:firstLine="200" w:firstLineChars="200"/>
    </w:pPr>
    <w:rPr>
      <w:kern w:val="0"/>
      <w:sz w:val="20"/>
    </w:rPr>
  </w:style>
  <w:style w:type="character" w:customStyle="1" w:styleId="93">
    <w:name w:val="正文文本 2 Char"/>
    <w:basedOn w:val="51"/>
    <w:qFormat/>
    <w:uiPriority w:val="0"/>
  </w:style>
  <w:style w:type="character" w:customStyle="1" w:styleId="94">
    <w:name w:val="标题 8 Char2"/>
    <w:link w:val="9"/>
    <w:qFormat/>
    <w:uiPriority w:val="0"/>
    <w:rPr>
      <w:rFonts w:ascii="Cambria" w:hAnsi="Cambria"/>
      <w:kern w:val="2"/>
      <w:sz w:val="24"/>
      <w:szCs w:val="24"/>
    </w:rPr>
  </w:style>
  <w:style w:type="character" w:customStyle="1" w:styleId="95">
    <w:name w:val="正文文本缩进 Char1"/>
    <w:qFormat/>
    <w:uiPriority w:val="0"/>
    <w:rPr>
      <w:kern w:val="2"/>
      <w:sz w:val="21"/>
      <w:szCs w:val="24"/>
    </w:rPr>
  </w:style>
  <w:style w:type="character" w:customStyle="1" w:styleId="96">
    <w:name w:val="标题 1 Char1"/>
    <w:qFormat/>
    <w:uiPriority w:val="0"/>
    <w:rPr>
      <w:b/>
      <w:bCs/>
      <w:kern w:val="44"/>
      <w:sz w:val="44"/>
      <w:szCs w:val="44"/>
    </w:rPr>
  </w:style>
  <w:style w:type="character" w:customStyle="1" w:styleId="97">
    <w:name w:val="副标题 Char2"/>
    <w:link w:val="36"/>
    <w:qFormat/>
    <w:uiPriority w:val="0"/>
    <w:rPr>
      <w:rFonts w:ascii="Cambria" w:hAnsi="Cambria"/>
      <w:b/>
      <w:bCs/>
      <w:kern w:val="28"/>
      <w:sz w:val="32"/>
      <w:szCs w:val="32"/>
    </w:rPr>
  </w:style>
  <w:style w:type="character" w:customStyle="1" w:styleId="98">
    <w:name w:val="Char Char17"/>
    <w:qFormat/>
    <w:uiPriority w:val="0"/>
    <w:rPr>
      <w:rFonts w:ascii="Arial" w:hAnsi="Arial" w:eastAsia="黑体"/>
      <w:b/>
      <w:bCs/>
      <w:kern w:val="2"/>
      <w:sz w:val="32"/>
      <w:szCs w:val="32"/>
    </w:rPr>
  </w:style>
  <w:style w:type="character" w:customStyle="1" w:styleId="99">
    <w:name w:val="标题 8 Char"/>
    <w:qFormat/>
    <w:uiPriority w:val="0"/>
    <w:rPr>
      <w:rFonts w:ascii="Cambria" w:hAnsi="Cambria"/>
      <w:kern w:val="2"/>
      <w:sz w:val="24"/>
      <w:szCs w:val="24"/>
    </w:rPr>
  </w:style>
  <w:style w:type="character" w:customStyle="1" w:styleId="100">
    <w:name w:val="标题 1 Char2"/>
    <w:link w:val="2"/>
    <w:qFormat/>
    <w:uiPriority w:val="0"/>
    <w:rPr>
      <w:rFonts w:eastAsia="黑体"/>
      <w:b/>
      <w:bCs/>
      <w:kern w:val="44"/>
      <w:sz w:val="52"/>
      <w:szCs w:val="44"/>
    </w:rPr>
  </w:style>
  <w:style w:type="character" w:customStyle="1" w:styleId="101">
    <w:name w:val="Char Char9"/>
    <w:qFormat/>
    <w:uiPriority w:val="0"/>
    <w:rPr>
      <w:rFonts w:eastAsia="宋体"/>
      <w:b/>
      <w:bCs/>
      <w:kern w:val="2"/>
      <w:sz w:val="32"/>
      <w:szCs w:val="32"/>
      <w:lang w:val="en-US" w:eastAsia="zh-CN" w:bidi="ar-SA"/>
    </w:rPr>
  </w:style>
  <w:style w:type="character" w:customStyle="1" w:styleId="102">
    <w:name w:val="页脚 Char1"/>
    <w:qFormat/>
    <w:uiPriority w:val="99"/>
    <w:rPr>
      <w:rFonts w:ascii="Times New Roman" w:hAnsi="Times New Roman" w:eastAsia="宋体" w:cs="Times New Roman"/>
      <w:sz w:val="18"/>
      <w:szCs w:val="18"/>
    </w:rPr>
  </w:style>
  <w:style w:type="character" w:customStyle="1" w:styleId="103">
    <w:name w:val="标题 3 Char1"/>
    <w:qFormat/>
    <w:uiPriority w:val="9"/>
    <w:rPr>
      <w:b/>
      <w:bCs/>
      <w:sz w:val="32"/>
      <w:szCs w:val="32"/>
    </w:rPr>
  </w:style>
  <w:style w:type="character" w:customStyle="1" w:styleId="104">
    <w:name w:val="脚注文本 字符1"/>
    <w:qFormat/>
    <w:uiPriority w:val="0"/>
    <w:rPr>
      <w:rFonts w:eastAsia="宋体"/>
      <w:kern w:val="2"/>
      <w:sz w:val="18"/>
      <w:szCs w:val="18"/>
      <w:lang w:val="en-US" w:eastAsia="zh-CN" w:bidi="ar-SA"/>
    </w:rPr>
  </w:style>
  <w:style w:type="character" w:customStyle="1" w:styleId="105">
    <w:name w:val="ca-4"/>
    <w:qFormat/>
    <w:uiPriority w:val="0"/>
  </w:style>
  <w:style w:type="character" w:customStyle="1" w:styleId="106">
    <w:name w:val="Char Char16"/>
    <w:qFormat/>
    <w:uiPriority w:val="0"/>
    <w:rPr>
      <w:b/>
      <w:bCs/>
      <w:kern w:val="2"/>
      <w:sz w:val="32"/>
      <w:szCs w:val="32"/>
    </w:rPr>
  </w:style>
  <w:style w:type="character" w:customStyle="1" w:styleId="107">
    <w:name w:val="脚注文本 Char"/>
    <w:qFormat/>
    <w:uiPriority w:val="0"/>
    <w:rPr>
      <w:rFonts w:eastAsia="宋体"/>
      <w:kern w:val="2"/>
      <w:sz w:val="18"/>
      <w:szCs w:val="18"/>
      <w:lang w:val="en-US" w:eastAsia="zh-CN" w:bidi="ar-SA"/>
    </w:rPr>
  </w:style>
  <w:style w:type="character" w:customStyle="1" w:styleId="108">
    <w:name w:val="Char Char15"/>
    <w:qFormat/>
    <w:uiPriority w:val="0"/>
    <w:rPr>
      <w:rFonts w:ascii="Arial" w:hAnsi="Arial" w:eastAsia="黑体"/>
      <w:b/>
      <w:bCs/>
      <w:kern w:val="2"/>
      <w:sz w:val="28"/>
      <w:szCs w:val="28"/>
    </w:rPr>
  </w:style>
  <w:style w:type="character" w:customStyle="1" w:styleId="109">
    <w:name w:val="批注文字 Char2"/>
    <w:link w:val="16"/>
    <w:qFormat/>
    <w:uiPriority w:val="0"/>
    <w:rPr>
      <w:kern w:val="2"/>
      <w:sz w:val="21"/>
      <w:szCs w:val="24"/>
    </w:rPr>
  </w:style>
  <w:style w:type="character" w:customStyle="1" w:styleId="110">
    <w:name w:val="页脚 Char3"/>
    <w:link w:val="32"/>
    <w:qFormat/>
    <w:uiPriority w:val="99"/>
    <w:rPr>
      <w:kern w:val="2"/>
      <w:sz w:val="18"/>
      <w:szCs w:val="18"/>
    </w:rPr>
  </w:style>
  <w:style w:type="character" w:customStyle="1" w:styleId="111">
    <w:name w:val="Char Char2"/>
    <w:qFormat/>
    <w:uiPriority w:val="0"/>
    <w:rPr>
      <w:rFonts w:ascii="宋体" w:hAnsi="Courier New"/>
      <w:color w:val="000000"/>
      <w:kern w:val="2"/>
      <w:sz w:val="21"/>
    </w:rPr>
  </w:style>
  <w:style w:type="character" w:customStyle="1" w:styleId="112">
    <w:name w:val="批注框文本 Char"/>
    <w:qFormat/>
    <w:uiPriority w:val="0"/>
    <w:rPr>
      <w:kern w:val="2"/>
      <w:sz w:val="18"/>
      <w:szCs w:val="18"/>
    </w:rPr>
  </w:style>
  <w:style w:type="character" w:customStyle="1" w:styleId="113">
    <w:name w:val="正文文字4 Char Char"/>
    <w:qFormat/>
    <w:uiPriority w:val="0"/>
    <w:rPr>
      <w:kern w:val="2"/>
      <w:sz w:val="21"/>
      <w:szCs w:val="24"/>
    </w:rPr>
  </w:style>
  <w:style w:type="character" w:customStyle="1" w:styleId="114">
    <w:name w:val="文档结构图 Char"/>
    <w:qFormat/>
    <w:uiPriority w:val="0"/>
    <w:rPr>
      <w:kern w:val="2"/>
      <w:sz w:val="21"/>
      <w:szCs w:val="24"/>
      <w:shd w:val="clear" w:color="auto" w:fill="000080"/>
    </w:rPr>
  </w:style>
  <w:style w:type="character" w:customStyle="1" w:styleId="115">
    <w:name w:val="批注框文本 Char1"/>
    <w:qFormat/>
    <w:uiPriority w:val="0"/>
    <w:rPr>
      <w:kern w:val="2"/>
      <w:sz w:val="18"/>
      <w:szCs w:val="18"/>
    </w:rPr>
  </w:style>
  <w:style w:type="character" w:customStyle="1" w:styleId="116">
    <w:name w:val="15"/>
    <w:qFormat/>
    <w:uiPriority w:val="0"/>
    <w:rPr>
      <w:rFonts w:hint="default" w:ascii="Times New Roman" w:hAnsi="Times New Roman" w:cs="Times New Roman"/>
      <w:vertAlign w:val="superscript"/>
    </w:rPr>
  </w:style>
  <w:style w:type="character" w:customStyle="1" w:styleId="117">
    <w:name w:val="标题 4 Char1"/>
    <w:qFormat/>
    <w:uiPriority w:val="0"/>
    <w:rPr>
      <w:b/>
      <w:bCs/>
      <w:spacing w:val="-2"/>
      <w:sz w:val="24"/>
    </w:rPr>
  </w:style>
  <w:style w:type="character" w:customStyle="1" w:styleId="118">
    <w:name w:val="unnamed2"/>
    <w:qFormat/>
    <w:uiPriority w:val="0"/>
  </w:style>
  <w:style w:type="character" w:customStyle="1" w:styleId="119">
    <w:name w:val="文档结构图 Char3"/>
    <w:link w:val="15"/>
    <w:qFormat/>
    <w:uiPriority w:val="0"/>
    <w:rPr>
      <w:kern w:val="2"/>
      <w:sz w:val="21"/>
      <w:szCs w:val="24"/>
      <w:shd w:val="clear" w:color="auto" w:fill="000080"/>
    </w:rPr>
  </w:style>
  <w:style w:type="character" w:customStyle="1" w:styleId="120">
    <w:name w:val="标题 7 Char1"/>
    <w:qFormat/>
    <w:uiPriority w:val="0"/>
    <w:rPr>
      <w:b/>
      <w:bCs/>
      <w:sz w:val="24"/>
      <w:szCs w:val="24"/>
    </w:rPr>
  </w:style>
  <w:style w:type="character" w:customStyle="1" w:styleId="121">
    <w:name w:val="apple-converted-space"/>
    <w:basedOn w:val="51"/>
    <w:qFormat/>
    <w:uiPriority w:val="0"/>
  </w:style>
  <w:style w:type="character" w:customStyle="1" w:styleId="122">
    <w:name w:val="正文文本缩进 2 Char1"/>
    <w:qFormat/>
    <w:uiPriority w:val="0"/>
    <w:rPr>
      <w:szCs w:val="24"/>
    </w:rPr>
  </w:style>
  <w:style w:type="character" w:customStyle="1" w:styleId="123">
    <w:name w:val="正文文本 3 Char"/>
    <w:qFormat/>
    <w:uiPriority w:val="0"/>
    <w:rPr>
      <w:rFonts w:ascii="Calibri" w:hAnsi="Calibri"/>
      <w:kern w:val="2"/>
      <w:sz w:val="16"/>
      <w:szCs w:val="16"/>
    </w:rPr>
  </w:style>
  <w:style w:type="character" w:customStyle="1" w:styleId="124">
    <w:name w:val="xiaozi01 style46"/>
    <w:basedOn w:val="51"/>
    <w:qFormat/>
    <w:uiPriority w:val="0"/>
  </w:style>
  <w:style w:type="character" w:customStyle="1" w:styleId="125">
    <w:name w:val="尾注文本 Char"/>
    <w:qFormat/>
    <w:uiPriority w:val="0"/>
    <w:rPr>
      <w:kern w:val="2"/>
      <w:sz w:val="21"/>
      <w:szCs w:val="24"/>
    </w:rPr>
  </w:style>
  <w:style w:type="character" w:customStyle="1" w:styleId="126">
    <w:name w:val="标题 Char1"/>
    <w:qFormat/>
    <w:uiPriority w:val="0"/>
    <w:rPr>
      <w:rFonts w:ascii="宋体" w:hAnsi="宋体" w:eastAsia="黑体"/>
      <w:b/>
      <w:bCs/>
      <w:kern w:val="44"/>
      <w:sz w:val="52"/>
      <w:szCs w:val="44"/>
    </w:rPr>
  </w:style>
  <w:style w:type="character" w:customStyle="1" w:styleId="127">
    <w:name w:val="正文文本 3 Char2"/>
    <w:link w:val="18"/>
    <w:qFormat/>
    <w:uiPriority w:val="0"/>
    <w:rPr>
      <w:rFonts w:ascii="Calibri" w:hAnsi="Calibri"/>
      <w:kern w:val="2"/>
      <w:sz w:val="16"/>
      <w:szCs w:val="16"/>
    </w:rPr>
  </w:style>
  <w:style w:type="character" w:customStyle="1" w:styleId="128">
    <w:name w:val="标题 2 Char3"/>
    <w:link w:val="3"/>
    <w:qFormat/>
    <w:uiPriority w:val="0"/>
    <w:rPr>
      <w:rFonts w:ascii="Arial" w:hAnsi="Arial" w:eastAsia="黑体"/>
      <w:b/>
      <w:bCs/>
      <w:sz w:val="28"/>
      <w:szCs w:val="32"/>
    </w:rPr>
  </w:style>
  <w:style w:type="character" w:customStyle="1" w:styleId="129">
    <w:name w:val="ca-7"/>
    <w:qFormat/>
    <w:uiPriority w:val="0"/>
  </w:style>
  <w:style w:type="character" w:customStyle="1" w:styleId="130">
    <w:name w:val="页脚 字符"/>
    <w:qFormat/>
    <w:uiPriority w:val="99"/>
  </w:style>
  <w:style w:type="character" w:customStyle="1" w:styleId="131">
    <w:name w:val="标题 5 Char1"/>
    <w:qFormat/>
    <w:uiPriority w:val="0"/>
    <w:rPr>
      <w:b/>
      <w:bCs/>
      <w:kern w:val="2"/>
      <w:sz w:val="28"/>
      <w:szCs w:val="28"/>
    </w:rPr>
  </w:style>
  <w:style w:type="character" w:customStyle="1" w:styleId="132">
    <w:name w:val="批注主题 Char2"/>
    <w:link w:val="47"/>
    <w:qFormat/>
    <w:uiPriority w:val="0"/>
    <w:rPr>
      <w:b/>
      <w:bCs/>
      <w:kern w:val="2"/>
      <w:sz w:val="21"/>
      <w:szCs w:val="24"/>
    </w:rPr>
  </w:style>
  <w:style w:type="character" w:customStyle="1" w:styleId="133">
    <w:name w:val="脚注文本 Char1"/>
    <w:qFormat/>
    <w:uiPriority w:val="0"/>
    <w:rPr>
      <w:rFonts w:eastAsia="宋体"/>
      <w:kern w:val="2"/>
      <w:sz w:val="18"/>
      <w:szCs w:val="18"/>
      <w:lang w:val="en-US" w:eastAsia="zh-CN" w:bidi="ar-SA"/>
    </w:rPr>
  </w:style>
  <w:style w:type="character" w:customStyle="1" w:styleId="134">
    <w:name w:val="批注文字 Char"/>
    <w:qFormat/>
    <w:uiPriority w:val="0"/>
    <w:rPr>
      <w:kern w:val="2"/>
      <w:sz w:val="21"/>
      <w:szCs w:val="24"/>
    </w:rPr>
  </w:style>
  <w:style w:type="character" w:customStyle="1" w:styleId="135">
    <w:name w:val="页眉 Char1"/>
    <w:qFormat/>
    <w:uiPriority w:val="0"/>
    <w:rPr>
      <w:kern w:val="2"/>
      <w:sz w:val="18"/>
      <w:szCs w:val="18"/>
    </w:rPr>
  </w:style>
  <w:style w:type="character" w:customStyle="1" w:styleId="136">
    <w:name w:val="正文文本首行缩进 2 字符"/>
    <w:link w:val="137"/>
    <w:qFormat/>
    <w:uiPriority w:val="0"/>
    <w:rPr>
      <w:kern w:val="2"/>
      <w:sz w:val="21"/>
    </w:rPr>
  </w:style>
  <w:style w:type="paragraph" w:customStyle="1" w:styleId="137">
    <w:name w:val="正文文本首行缩进 21"/>
    <w:basedOn w:val="1"/>
    <w:link w:val="136"/>
    <w:qFormat/>
    <w:uiPriority w:val="0"/>
    <w:pPr>
      <w:ind w:firstLine="420" w:firstLineChars="200"/>
    </w:pPr>
    <w:rPr>
      <w:szCs w:val="20"/>
    </w:rPr>
  </w:style>
  <w:style w:type="character" w:customStyle="1" w:styleId="138">
    <w:name w:val="副标题 Char"/>
    <w:qFormat/>
    <w:uiPriority w:val="0"/>
    <w:rPr>
      <w:rFonts w:ascii="Cambria" w:hAnsi="Cambria"/>
      <w:b/>
      <w:bCs/>
      <w:kern w:val="28"/>
      <w:sz w:val="32"/>
      <w:szCs w:val="32"/>
    </w:rPr>
  </w:style>
  <w:style w:type="character" w:customStyle="1" w:styleId="139">
    <w:name w:val="页脚 Char2"/>
    <w:qFormat/>
    <w:uiPriority w:val="0"/>
    <w:rPr>
      <w:kern w:val="2"/>
      <w:sz w:val="18"/>
      <w:szCs w:val="18"/>
    </w:rPr>
  </w:style>
  <w:style w:type="character" w:customStyle="1" w:styleId="140">
    <w:name w:val="文档结构图 Char1"/>
    <w:qFormat/>
    <w:uiPriority w:val="0"/>
    <w:rPr>
      <w:rFonts w:ascii="宋体"/>
      <w:kern w:val="2"/>
      <w:sz w:val="18"/>
      <w:szCs w:val="18"/>
    </w:rPr>
  </w:style>
  <w:style w:type="character" w:customStyle="1" w:styleId="141">
    <w:name w:val="尾注文本 Char2"/>
    <w:link w:val="30"/>
    <w:qFormat/>
    <w:uiPriority w:val="0"/>
    <w:rPr>
      <w:kern w:val="2"/>
      <w:sz w:val="21"/>
      <w:szCs w:val="24"/>
    </w:rPr>
  </w:style>
  <w:style w:type="character" w:customStyle="1" w:styleId="142">
    <w:name w:val="日期 Char"/>
    <w:qFormat/>
    <w:uiPriority w:val="0"/>
    <w:rPr>
      <w:rFonts w:ascii="宋体" w:hAnsi="宋体"/>
      <w:sz w:val="24"/>
      <w:szCs w:val="21"/>
    </w:rPr>
  </w:style>
  <w:style w:type="character" w:customStyle="1" w:styleId="143">
    <w:name w:val="页脚 Char"/>
    <w:qFormat/>
    <w:uiPriority w:val="99"/>
    <w:rPr>
      <w:kern w:val="2"/>
      <w:sz w:val="18"/>
      <w:szCs w:val="18"/>
    </w:rPr>
  </w:style>
  <w:style w:type="character" w:customStyle="1" w:styleId="144">
    <w:name w:val="标题 5 Char2"/>
    <w:link w:val="6"/>
    <w:qFormat/>
    <w:uiPriority w:val="0"/>
    <w:rPr>
      <w:b/>
      <w:bCs/>
      <w:kern w:val="2"/>
      <w:sz w:val="28"/>
      <w:szCs w:val="28"/>
    </w:rPr>
  </w:style>
  <w:style w:type="character" w:customStyle="1" w:styleId="145">
    <w:name w:val="未处理的提及1"/>
    <w:unhideWhenUsed/>
    <w:qFormat/>
    <w:uiPriority w:val="0"/>
    <w:rPr>
      <w:color w:val="808080"/>
      <w:shd w:val="clear" w:color="auto" w:fill="E6E6E6"/>
    </w:rPr>
  </w:style>
  <w:style w:type="character" w:customStyle="1" w:styleId="146">
    <w:name w:val="日期 Char2"/>
    <w:link w:val="28"/>
    <w:qFormat/>
    <w:uiPriority w:val="0"/>
    <w:rPr>
      <w:rFonts w:ascii="宋体" w:hAnsi="宋体"/>
      <w:sz w:val="24"/>
      <w:szCs w:val="21"/>
    </w:rPr>
  </w:style>
  <w:style w:type="character" w:customStyle="1" w:styleId="147">
    <w:name w:val="14-6/6-2题"/>
    <w:qFormat/>
    <w:uiPriority w:val="0"/>
    <w:rPr>
      <w:spacing w:val="0"/>
      <w:kern w:val="28"/>
      <w:position w:val="-4"/>
      <w:sz w:val="15"/>
    </w:rPr>
  </w:style>
  <w:style w:type="character" w:customStyle="1" w:styleId="148">
    <w:name w:val="Char Char5"/>
    <w:qFormat/>
    <w:uiPriority w:val="0"/>
    <w:rPr>
      <w:kern w:val="2"/>
      <w:sz w:val="18"/>
      <w:szCs w:val="18"/>
    </w:rPr>
  </w:style>
  <w:style w:type="character" w:customStyle="1" w:styleId="149">
    <w:name w:val="标题 3 Char"/>
    <w:qFormat/>
    <w:uiPriority w:val="0"/>
    <w:rPr>
      <w:b/>
      <w:bCs/>
      <w:sz w:val="32"/>
      <w:szCs w:val="32"/>
    </w:rPr>
  </w:style>
  <w:style w:type="character" w:customStyle="1" w:styleId="150">
    <w:name w:val="标题 Char2"/>
    <w:link w:val="46"/>
    <w:qFormat/>
    <w:uiPriority w:val="0"/>
    <w:rPr>
      <w:rFonts w:ascii="宋体" w:hAnsi="宋体" w:eastAsia="黑体"/>
      <w:b/>
      <w:bCs/>
      <w:kern w:val="44"/>
      <w:sz w:val="52"/>
      <w:szCs w:val="44"/>
    </w:rPr>
  </w:style>
  <w:style w:type="character" w:customStyle="1" w:styleId="151">
    <w:name w:val="Char Char3"/>
    <w:qFormat/>
    <w:uiPriority w:val="0"/>
    <w:rPr>
      <w:rFonts w:ascii="仿宋_GB2312" w:eastAsia="仿宋_GB2312"/>
      <w:kern w:val="2"/>
      <w:sz w:val="28"/>
      <w:szCs w:val="24"/>
    </w:rPr>
  </w:style>
  <w:style w:type="character" w:customStyle="1" w:styleId="152">
    <w:name w:val="标题 3 Char2"/>
    <w:link w:val="4"/>
    <w:qFormat/>
    <w:uiPriority w:val="9"/>
    <w:rPr>
      <w:b/>
      <w:bCs/>
      <w:sz w:val="32"/>
      <w:szCs w:val="32"/>
    </w:rPr>
  </w:style>
  <w:style w:type="character" w:customStyle="1" w:styleId="153">
    <w:name w:val="手改 Char Char"/>
    <w:qFormat/>
    <w:uiPriority w:val="0"/>
    <w:rPr>
      <w:kern w:val="2"/>
      <w:sz w:val="21"/>
      <w:szCs w:val="24"/>
    </w:rPr>
  </w:style>
  <w:style w:type="character" w:customStyle="1" w:styleId="154">
    <w:name w:val="正文文本 Char2"/>
    <w:link w:val="20"/>
    <w:qFormat/>
    <w:uiPriority w:val="1"/>
    <w:rPr>
      <w:rFonts w:ascii="宋体" w:hAnsi="宋体" w:cs="宋体"/>
      <w:kern w:val="2"/>
      <w:sz w:val="24"/>
      <w:szCs w:val="24"/>
    </w:rPr>
  </w:style>
  <w:style w:type="character" w:customStyle="1" w:styleId="155">
    <w:name w:val="Char Char14"/>
    <w:qFormat/>
    <w:uiPriority w:val="0"/>
    <w:rPr>
      <w:rFonts w:ascii="Arial" w:hAnsi="Arial" w:eastAsia="黑体"/>
      <w:b/>
      <w:bCs/>
      <w:sz w:val="24"/>
      <w:szCs w:val="24"/>
    </w:rPr>
  </w:style>
  <w:style w:type="character" w:customStyle="1" w:styleId="156">
    <w:name w:val="脚注文本 Char3"/>
    <w:link w:val="37"/>
    <w:qFormat/>
    <w:uiPriority w:val="0"/>
    <w:rPr>
      <w:rFonts w:eastAsia="宋体"/>
      <w:kern w:val="2"/>
      <w:sz w:val="18"/>
      <w:szCs w:val="18"/>
      <w:lang w:val="en-US" w:eastAsia="zh-CN" w:bidi="ar-SA"/>
    </w:rPr>
  </w:style>
  <w:style w:type="character" w:customStyle="1" w:styleId="157">
    <w:name w:val="纯文本 Char1"/>
    <w:link w:val="26"/>
    <w:qFormat/>
    <w:uiPriority w:val="0"/>
    <w:rPr>
      <w:rFonts w:ascii="宋体" w:hAnsi="Courier New" w:cs="Courier New"/>
      <w:kern w:val="2"/>
      <w:sz w:val="21"/>
      <w:szCs w:val="21"/>
    </w:rPr>
  </w:style>
  <w:style w:type="character" w:customStyle="1" w:styleId="158">
    <w:name w:val="正文首行缩进 2 Char"/>
    <w:qFormat/>
    <w:uiPriority w:val="0"/>
    <w:rPr>
      <w:kern w:val="2"/>
      <w:sz w:val="21"/>
    </w:rPr>
  </w:style>
  <w:style w:type="character" w:customStyle="1" w:styleId="159">
    <w:name w:val="正文文本缩进 3 Char2"/>
    <w:link w:val="39"/>
    <w:qFormat/>
    <w:uiPriority w:val="0"/>
    <w:rPr>
      <w:rFonts w:ascii="宋体" w:hAnsi="宋体"/>
      <w:sz w:val="24"/>
      <w:szCs w:val="24"/>
    </w:rPr>
  </w:style>
  <w:style w:type="character" w:customStyle="1" w:styleId="160">
    <w:name w:val="文档结构图 Char2"/>
    <w:qFormat/>
    <w:uiPriority w:val="0"/>
    <w:rPr>
      <w:kern w:val="2"/>
      <w:sz w:val="21"/>
      <w:szCs w:val="24"/>
      <w:shd w:val="clear" w:color="auto" w:fill="000080"/>
    </w:rPr>
  </w:style>
  <w:style w:type="character" w:customStyle="1" w:styleId="161">
    <w:name w:val="正文文本 Char1"/>
    <w:qFormat/>
    <w:uiPriority w:val="1"/>
    <w:rPr>
      <w:rFonts w:ascii="宋体" w:hAnsi="宋体" w:cs="宋体"/>
      <w:kern w:val="2"/>
      <w:sz w:val="24"/>
      <w:szCs w:val="24"/>
    </w:rPr>
  </w:style>
  <w:style w:type="character" w:customStyle="1" w:styleId="162">
    <w:name w:val="标题 9 Char"/>
    <w:qFormat/>
    <w:uiPriority w:val="0"/>
    <w:rPr>
      <w:rFonts w:ascii="Arial" w:hAnsi="Arial" w:eastAsia="黑体"/>
      <w:kern w:val="2"/>
      <w:sz w:val="21"/>
      <w:szCs w:val="21"/>
    </w:rPr>
  </w:style>
  <w:style w:type="character" w:customStyle="1" w:styleId="163">
    <w:name w:val="批注主题 Char1"/>
    <w:qFormat/>
    <w:uiPriority w:val="0"/>
    <w:rPr>
      <w:b/>
      <w:bCs/>
      <w:kern w:val="2"/>
      <w:sz w:val="21"/>
      <w:szCs w:val="24"/>
    </w:rPr>
  </w:style>
  <w:style w:type="character" w:customStyle="1" w:styleId="164">
    <w:name w:val="标题 9 Char2"/>
    <w:link w:val="10"/>
    <w:qFormat/>
    <w:uiPriority w:val="0"/>
    <w:rPr>
      <w:rFonts w:ascii="Arial" w:hAnsi="Arial" w:eastAsia="黑体"/>
      <w:kern w:val="2"/>
      <w:sz w:val="21"/>
      <w:szCs w:val="21"/>
    </w:rPr>
  </w:style>
  <w:style w:type="character" w:customStyle="1" w:styleId="165">
    <w:name w:val="正文文本 Char"/>
    <w:qFormat/>
    <w:uiPriority w:val="0"/>
    <w:rPr>
      <w:rFonts w:ascii="宋体" w:hAnsi="宋体" w:cs="宋体"/>
      <w:kern w:val="2"/>
      <w:sz w:val="24"/>
      <w:szCs w:val="24"/>
    </w:rPr>
  </w:style>
  <w:style w:type="character" w:customStyle="1" w:styleId="166">
    <w:name w:val="页眉 Char2"/>
    <w:link w:val="33"/>
    <w:qFormat/>
    <w:uiPriority w:val="99"/>
    <w:rPr>
      <w:kern w:val="2"/>
      <w:sz w:val="18"/>
      <w:szCs w:val="18"/>
    </w:rPr>
  </w:style>
  <w:style w:type="character" w:customStyle="1" w:styleId="167">
    <w:name w:val="标题 2 Char2"/>
    <w:qFormat/>
    <w:uiPriority w:val="0"/>
    <w:rPr>
      <w:rFonts w:ascii="Arial" w:hAnsi="Arial" w:eastAsia="黑体"/>
      <w:b/>
      <w:bCs/>
      <w:sz w:val="32"/>
      <w:szCs w:val="32"/>
    </w:rPr>
  </w:style>
  <w:style w:type="character" w:customStyle="1" w:styleId="168">
    <w:name w:val="批注框文本 Char2"/>
    <w:link w:val="31"/>
    <w:qFormat/>
    <w:uiPriority w:val="0"/>
    <w:rPr>
      <w:kern w:val="2"/>
      <w:sz w:val="18"/>
      <w:szCs w:val="18"/>
    </w:rPr>
  </w:style>
  <w:style w:type="character" w:customStyle="1" w:styleId="169">
    <w:name w:val="标题 5 Char"/>
    <w:qFormat/>
    <w:uiPriority w:val="0"/>
    <w:rPr>
      <w:b/>
      <w:bCs/>
      <w:kern w:val="2"/>
      <w:sz w:val="28"/>
      <w:szCs w:val="28"/>
    </w:rPr>
  </w:style>
  <w:style w:type="character" w:customStyle="1" w:styleId="170">
    <w:name w:val="纯文本 Char"/>
    <w:qFormat/>
    <w:uiPriority w:val="0"/>
    <w:rPr>
      <w:rFonts w:ascii="宋体" w:hAnsi="Courier New" w:cs="Courier New"/>
      <w:kern w:val="2"/>
      <w:sz w:val="21"/>
      <w:szCs w:val="21"/>
    </w:rPr>
  </w:style>
  <w:style w:type="character" w:customStyle="1" w:styleId="171">
    <w:name w:val="批注文字 字符"/>
    <w:qFormat/>
    <w:uiPriority w:val="0"/>
    <w:rPr>
      <w:kern w:val="2"/>
      <w:sz w:val="21"/>
      <w:szCs w:val="24"/>
    </w:rPr>
  </w:style>
  <w:style w:type="character" w:customStyle="1" w:styleId="172">
    <w:name w:val="正文文本缩进 2 Char2"/>
    <w:link w:val="29"/>
    <w:qFormat/>
    <w:uiPriority w:val="0"/>
    <w:rPr>
      <w:szCs w:val="24"/>
    </w:rPr>
  </w:style>
  <w:style w:type="character" w:customStyle="1" w:styleId="173">
    <w:name w:val="unnamed11"/>
    <w:qFormat/>
    <w:uiPriority w:val="0"/>
    <w:rPr>
      <w:sz w:val="21"/>
      <w:szCs w:val="21"/>
    </w:rPr>
  </w:style>
  <w:style w:type="character" w:customStyle="1" w:styleId="174">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175">
    <w:name w:val="标题 1 Char"/>
    <w:qFormat/>
    <w:uiPriority w:val="0"/>
    <w:rPr>
      <w:rFonts w:eastAsia="黑体"/>
      <w:b/>
      <w:bCs/>
      <w:kern w:val="44"/>
      <w:sz w:val="52"/>
      <w:szCs w:val="44"/>
    </w:rPr>
  </w:style>
  <w:style w:type="character" w:customStyle="1" w:styleId="176">
    <w:name w:val="font161"/>
    <w:qFormat/>
    <w:uiPriority w:val="0"/>
    <w:rPr>
      <w:b/>
      <w:bCs/>
      <w:sz w:val="32"/>
      <w:szCs w:val="32"/>
    </w:rPr>
  </w:style>
  <w:style w:type="character" w:customStyle="1" w:styleId="177">
    <w:name w:val="页眉 Char"/>
    <w:qFormat/>
    <w:uiPriority w:val="99"/>
    <w:rPr>
      <w:kern w:val="2"/>
      <w:sz w:val="18"/>
      <w:szCs w:val="18"/>
    </w:rPr>
  </w:style>
  <w:style w:type="character" w:customStyle="1" w:styleId="178">
    <w:name w:val="Char Char7"/>
    <w:qFormat/>
    <w:uiPriority w:val="0"/>
    <w:rPr>
      <w:rFonts w:ascii="Arial" w:hAnsi="Arial"/>
      <w:b/>
      <w:bCs/>
      <w:sz w:val="32"/>
    </w:rPr>
  </w:style>
  <w:style w:type="character" w:customStyle="1" w:styleId="179">
    <w:name w:val="正文文本缩进 Char"/>
    <w:qFormat/>
    <w:uiPriority w:val="0"/>
    <w:rPr>
      <w:kern w:val="2"/>
      <w:sz w:val="21"/>
      <w:szCs w:val="24"/>
    </w:rPr>
  </w:style>
  <w:style w:type="character" w:customStyle="1" w:styleId="180">
    <w:name w:val="正文文本缩进 3 Char"/>
    <w:qFormat/>
    <w:uiPriority w:val="0"/>
    <w:rPr>
      <w:rFonts w:ascii="宋体" w:hAnsi="宋体"/>
      <w:sz w:val="24"/>
      <w:szCs w:val="24"/>
    </w:rPr>
  </w:style>
  <w:style w:type="character" w:customStyle="1" w:styleId="181">
    <w:name w:val="Char Char10"/>
    <w:qFormat/>
    <w:uiPriority w:val="0"/>
    <w:rPr>
      <w:rFonts w:eastAsia="宋体"/>
      <w:b/>
      <w:bCs/>
      <w:kern w:val="2"/>
      <w:sz w:val="32"/>
      <w:szCs w:val="32"/>
      <w:lang w:val="en-US" w:eastAsia="zh-CN" w:bidi="ar-SA"/>
    </w:rPr>
  </w:style>
  <w:style w:type="character" w:customStyle="1" w:styleId="182">
    <w:name w:val="标题 9 Char1"/>
    <w:qFormat/>
    <w:uiPriority w:val="0"/>
    <w:rPr>
      <w:rFonts w:ascii="Arial" w:hAnsi="Arial" w:eastAsia="黑体"/>
      <w:kern w:val="2"/>
      <w:sz w:val="21"/>
      <w:szCs w:val="21"/>
    </w:rPr>
  </w:style>
  <w:style w:type="character" w:customStyle="1" w:styleId="183">
    <w:name w:val="标题 Char"/>
    <w:qFormat/>
    <w:uiPriority w:val="0"/>
    <w:rPr>
      <w:rFonts w:ascii="宋体" w:hAnsi="宋体" w:eastAsia="黑体"/>
      <w:b/>
      <w:bCs/>
      <w:kern w:val="44"/>
      <w:sz w:val="52"/>
      <w:szCs w:val="44"/>
    </w:rPr>
  </w:style>
  <w:style w:type="character" w:customStyle="1" w:styleId="184">
    <w:name w:val="尾注文本 Char1"/>
    <w:qFormat/>
    <w:uiPriority w:val="0"/>
    <w:rPr>
      <w:kern w:val="2"/>
      <w:sz w:val="21"/>
      <w:szCs w:val="24"/>
    </w:rPr>
  </w:style>
  <w:style w:type="character" w:customStyle="1" w:styleId="185">
    <w:name w:val="正文文本 3 Char1"/>
    <w:qFormat/>
    <w:uiPriority w:val="0"/>
    <w:rPr>
      <w:rFonts w:ascii="Calibri" w:hAnsi="Calibri"/>
      <w:kern w:val="2"/>
      <w:sz w:val="16"/>
      <w:szCs w:val="16"/>
    </w:rPr>
  </w:style>
  <w:style w:type="character" w:customStyle="1" w:styleId="186">
    <w:name w:val="标题 4 Char2"/>
    <w:link w:val="5"/>
    <w:qFormat/>
    <w:uiPriority w:val="0"/>
    <w:rPr>
      <w:b/>
      <w:bCs/>
      <w:spacing w:val="-2"/>
      <w:sz w:val="24"/>
    </w:rPr>
  </w:style>
  <w:style w:type="character" w:customStyle="1" w:styleId="187">
    <w:name w:val="日期 Char1"/>
    <w:qFormat/>
    <w:uiPriority w:val="0"/>
    <w:rPr>
      <w:rFonts w:ascii="宋体" w:hAnsi="宋体"/>
      <w:sz w:val="24"/>
      <w:szCs w:val="21"/>
    </w:rPr>
  </w:style>
  <w:style w:type="character" w:customStyle="1" w:styleId="188">
    <w:name w:val="Char Char12"/>
    <w:qFormat/>
    <w:uiPriority w:val="0"/>
    <w:rPr>
      <w:rFonts w:ascii="Arial" w:hAnsi="Arial" w:eastAsia="黑体"/>
      <w:sz w:val="24"/>
      <w:szCs w:val="24"/>
    </w:rPr>
  </w:style>
  <w:style w:type="character" w:customStyle="1" w:styleId="189">
    <w:name w:val="Char Char1"/>
    <w:qFormat/>
    <w:uiPriority w:val="0"/>
    <w:rPr>
      <w:rFonts w:hint="eastAsia" w:ascii="宋体" w:hAnsi="宋体" w:eastAsia="宋体"/>
      <w:kern w:val="2"/>
      <w:sz w:val="18"/>
      <w:szCs w:val="18"/>
      <w:lang w:val="en-US" w:eastAsia="zh-CN" w:bidi="ar-SA"/>
    </w:rPr>
  </w:style>
  <w:style w:type="character" w:customStyle="1" w:styleId="190">
    <w:name w:val="纯文本 Char2"/>
    <w:qFormat/>
    <w:uiPriority w:val="0"/>
    <w:rPr>
      <w:rFonts w:ascii="宋体" w:hAnsi="Courier New" w:eastAsia="宋体" w:cs="Courier New"/>
      <w:kern w:val="2"/>
      <w:sz w:val="21"/>
      <w:szCs w:val="21"/>
      <w:lang w:val="en-US" w:eastAsia="zh-CN" w:bidi="ar-SA"/>
    </w:rPr>
  </w:style>
  <w:style w:type="character" w:customStyle="1" w:styleId="191">
    <w:name w:val="Char Char"/>
    <w:qFormat/>
    <w:uiPriority w:val="0"/>
    <w:rPr>
      <w:kern w:val="2"/>
      <w:sz w:val="21"/>
      <w:szCs w:val="24"/>
    </w:rPr>
  </w:style>
  <w:style w:type="character" w:customStyle="1" w:styleId="192">
    <w:name w:val="Char Char11"/>
    <w:qFormat/>
    <w:uiPriority w:val="0"/>
    <w:rPr>
      <w:rFonts w:ascii="Arial" w:hAnsi="Arial" w:eastAsia="黑体"/>
      <w:sz w:val="21"/>
      <w:szCs w:val="21"/>
    </w:rPr>
  </w:style>
  <w:style w:type="character" w:customStyle="1" w:styleId="193">
    <w:name w:val="副标题 Char1"/>
    <w:qFormat/>
    <w:uiPriority w:val="0"/>
    <w:rPr>
      <w:rFonts w:ascii="Cambria" w:hAnsi="Cambria"/>
      <w:b/>
      <w:bCs/>
      <w:kern w:val="28"/>
      <w:sz w:val="32"/>
      <w:szCs w:val="32"/>
    </w:rPr>
  </w:style>
  <w:style w:type="character" w:customStyle="1" w:styleId="194">
    <w:name w:val="普通文字 Char1"/>
    <w:qFormat/>
    <w:uiPriority w:val="0"/>
    <w:rPr>
      <w:rFonts w:ascii="宋体" w:hAnsi="Courier New" w:eastAsia="宋体" w:cs="Courier New"/>
      <w:kern w:val="2"/>
      <w:sz w:val="21"/>
      <w:szCs w:val="21"/>
      <w:lang w:val="en-US" w:eastAsia="zh-CN" w:bidi="ar-SA"/>
    </w:rPr>
  </w:style>
  <w:style w:type="paragraph" w:customStyle="1" w:styleId="195">
    <w:name w:val="样式 标题 2 + Times New Roman 四号 非加粗 段前: 5 磅 段后: 0 磅 行距: 固定值 20..."/>
    <w:basedOn w:val="3"/>
    <w:qFormat/>
    <w:uiPriority w:val="0"/>
    <w:pPr>
      <w:spacing w:line="400" w:lineRule="exact"/>
    </w:pPr>
    <w:rPr>
      <w:rFonts w:ascii="Times New Roman" w:hAnsi="Times New Roman"/>
      <w:b w:val="0"/>
      <w:bCs w:val="0"/>
      <w:kern w:val="2"/>
      <w:szCs w:val="20"/>
    </w:rPr>
  </w:style>
  <w:style w:type="paragraph" w:customStyle="1" w:styleId="196">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7">
    <w:name w:val="p18"/>
    <w:basedOn w:val="1"/>
    <w:qFormat/>
    <w:uiPriority w:val="0"/>
    <w:pPr>
      <w:widowControl/>
      <w:pBdr>
        <w:bottom w:val="single" w:color="000000" w:sz="6" w:space="1"/>
      </w:pBdr>
      <w:jc w:val="center"/>
    </w:pPr>
    <w:rPr>
      <w:kern w:val="0"/>
      <w:sz w:val="18"/>
      <w:szCs w:val="18"/>
    </w:rPr>
  </w:style>
  <w:style w:type="paragraph" w:customStyle="1" w:styleId="198">
    <w:name w:val="CM32"/>
    <w:basedOn w:val="199"/>
    <w:next w:val="199"/>
    <w:qFormat/>
    <w:uiPriority w:val="0"/>
    <w:rPr>
      <w:rFonts w:ascii="HiddenHorzOCl" w:hAnsi="Calibri" w:eastAsia="HiddenHorzOCl" w:cs="Times New Roman"/>
      <w:color w:val="auto"/>
    </w:rPr>
  </w:style>
  <w:style w:type="paragraph" w:customStyle="1" w:styleId="1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0">
    <w:name w:val="Char1"/>
    <w:basedOn w:val="12"/>
    <w:qFormat/>
    <w:uiPriority w:val="0"/>
    <w:pPr>
      <w:tabs>
        <w:tab w:val="right" w:pos="-2120"/>
      </w:tabs>
      <w:snapToGrid w:val="0"/>
    </w:pPr>
    <w:rPr>
      <w:rFonts w:ascii="Tahoma" w:hAnsi="Tahoma" w:eastAsia="仿宋_GB2312"/>
      <w:spacing w:val="6"/>
      <w:sz w:val="28"/>
    </w:rPr>
  </w:style>
  <w:style w:type="paragraph" w:customStyle="1" w:styleId="20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2">
    <w:name w:val="样式 标题 1 + 黑体 三号 非加粗 居中 段前: 6 磅 段后: 6 磅 行距: 固定值 20 磅"/>
    <w:basedOn w:val="2"/>
    <w:qFormat/>
    <w:uiPriority w:val="0"/>
    <w:pPr>
      <w:spacing w:before="120" w:after="120" w:line="400" w:lineRule="exact"/>
      <w:jc w:val="center"/>
    </w:pPr>
    <w:rPr>
      <w:rFonts w:ascii="黑体" w:hAnsi="黑体"/>
      <w:b w:val="0"/>
      <w:bCs w:val="0"/>
      <w:sz w:val="32"/>
      <w:szCs w:val="20"/>
    </w:rPr>
  </w:style>
  <w:style w:type="paragraph" w:customStyle="1" w:styleId="203">
    <w:name w:val="CM22"/>
    <w:basedOn w:val="199"/>
    <w:next w:val="199"/>
    <w:qFormat/>
    <w:uiPriority w:val="0"/>
    <w:pPr>
      <w:spacing w:line="586" w:lineRule="atLeast"/>
    </w:pPr>
    <w:rPr>
      <w:rFonts w:ascii="HiddenHorzOCl" w:hAnsi="Calibri" w:eastAsia="HiddenHorzOCl" w:cs="Times New Roman"/>
      <w:color w:val="auto"/>
    </w:rPr>
  </w:style>
  <w:style w:type="paragraph" w:customStyle="1" w:styleId="204">
    <w:name w:val="样式 悬挂缩进: 2.07 字符 行距: 固定值 20 磅"/>
    <w:basedOn w:val="1"/>
    <w:qFormat/>
    <w:uiPriority w:val="0"/>
    <w:pPr>
      <w:spacing w:line="400" w:lineRule="exact"/>
    </w:pPr>
    <w:rPr>
      <w:rFonts w:ascii="宋体" w:hAnsi="宋体"/>
      <w:color w:val="FF0000"/>
      <w:sz w:val="24"/>
    </w:rPr>
  </w:style>
  <w:style w:type="paragraph" w:customStyle="1" w:styleId="205">
    <w:name w:val="公文编号（中）"/>
    <w:qFormat/>
    <w:uiPriority w:val="0"/>
    <w:pPr>
      <w:jc w:val="center"/>
    </w:pPr>
    <w:rPr>
      <w:rFonts w:ascii="Times New Roman" w:hAnsi="Times New Roman" w:eastAsia="仿宋_GB2312" w:cs="Times New Roman"/>
      <w:sz w:val="32"/>
      <w:lang w:val="en-US" w:eastAsia="zh-CN" w:bidi="ar-SA"/>
    </w:rPr>
  </w:style>
  <w:style w:type="paragraph" w:customStyle="1" w:styleId="206">
    <w:name w:val="Char Char Char"/>
    <w:basedOn w:val="1"/>
    <w:qFormat/>
    <w:uiPriority w:val="0"/>
    <w:rPr>
      <w:szCs w:val="20"/>
    </w:rPr>
  </w:style>
  <w:style w:type="paragraph" w:customStyle="1" w:styleId="207">
    <w:name w:val="zh正文"/>
    <w:basedOn w:val="1"/>
    <w:qFormat/>
    <w:uiPriority w:val="0"/>
    <w:pPr>
      <w:spacing w:line="360" w:lineRule="exact"/>
      <w:ind w:firstLine="560" w:firstLineChars="200"/>
    </w:pPr>
    <w:rPr>
      <w:rFonts w:ascii="宋体" w:hAnsi="宋体"/>
      <w:sz w:val="28"/>
      <w:szCs w:val="20"/>
    </w:rPr>
  </w:style>
  <w:style w:type="paragraph" w:customStyle="1" w:styleId="20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09">
    <w:name w:val="CM27"/>
    <w:basedOn w:val="199"/>
    <w:next w:val="199"/>
    <w:qFormat/>
    <w:uiPriority w:val="0"/>
    <w:rPr>
      <w:rFonts w:ascii="HiddenHorzOCl" w:hAnsi="Calibri" w:eastAsia="HiddenHorzOCl" w:cs="Times New Roman"/>
      <w:color w:val="auto"/>
    </w:rPr>
  </w:style>
  <w:style w:type="paragraph" w:customStyle="1" w:styleId="210">
    <w:name w:val="CM19"/>
    <w:basedOn w:val="199"/>
    <w:next w:val="199"/>
    <w:qFormat/>
    <w:uiPriority w:val="0"/>
    <w:pPr>
      <w:spacing w:line="588" w:lineRule="atLeast"/>
    </w:pPr>
    <w:rPr>
      <w:rFonts w:ascii="HiddenHorzOCl" w:hAnsi="Calibri" w:eastAsia="HiddenHorzOCl" w:cs="Times New Roman"/>
      <w:color w:val="auto"/>
    </w:rPr>
  </w:style>
  <w:style w:type="paragraph" w:customStyle="1" w:styleId="21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12">
    <w:name w:val="CM36"/>
    <w:basedOn w:val="199"/>
    <w:next w:val="199"/>
    <w:qFormat/>
    <w:uiPriority w:val="0"/>
    <w:rPr>
      <w:rFonts w:ascii="HiddenHorzOCl" w:hAnsi="Calibri" w:eastAsia="HiddenHorzOCl" w:cs="Times New Roman"/>
      <w:color w:val="auto"/>
    </w:rPr>
  </w:style>
  <w:style w:type="paragraph" w:customStyle="1" w:styleId="213">
    <w:name w:val="TOC 标题1"/>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14">
    <w:name w:val="CM41"/>
    <w:basedOn w:val="199"/>
    <w:next w:val="199"/>
    <w:qFormat/>
    <w:uiPriority w:val="0"/>
    <w:rPr>
      <w:rFonts w:ascii="HiddenHorzOCl" w:hAnsi="Calibri" w:eastAsia="HiddenHorzOCl" w:cs="Times New Roman"/>
      <w:color w:val="auto"/>
    </w:rPr>
  </w:style>
  <w:style w:type="paragraph" w:customStyle="1" w:styleId="215">
    <w:name w:val="CM8"/>
    <w:basedOn w:val="199"/>
    <w:next w:val="199"/>
    <w:qFormat/>
    <w:uiPriority w:val="0"/>
    <w:rPr>
      <w:rFonts w:ascii="HiddenHorzOCl" w:hAnsi="Calibri" w:eastAsia="HiddenHorzOCl" w:cs="Times New Roman"/>
      <w:color w:val="auto"/>
    </w:rPr>
  </w:style>
  <w:style w:type="paragraph" w:customStyle="1" w:styleId="216">
    <w:name w:val="表格2"/>
    <w:basedOn w:val="1"/>
    <w:qFormat/>
    <w:uiPriority w:val="0"/>
    <w:pPr>
      <w:adjustRightInd w:val="0"/>
      <w:spacing w:line="420" w:lineRule="atLeast"/>
      <w:ind w:left="284" w:firstLine="454"/>
      <w:textAlignment w:val="baseline"/>
    </w:pPr>
    <w:rPr>
      <w:kern w:val="0"/>
      <w:szCs w:val="20"/>
    </w:rPr>
  </w:style>
  <w:style w:type="paragraph" w:customStyle="1" w:styleId="217">
    <w:name w:val="Char Char Char Char Char Char1 Char Char Char Char"/>
    <w:basedOn w:val="1"/>
    <w:qFormat/>
    <w:uiPriority w:val="0"/>
  </w:style>
  <w:style w:type="paragraph" w:customStyle="1" w:styleId="218">
    <w:name w:val="CM7"/>
    <w:basedOn w:val="199"/>
    <w:next w:val="199"/>
    <w:qFormat/>
    <w:uiPriority w:val="0"/>
    <w:rPr>
      <w:rFonts w:ascii="HiddenHorzOCl" w:hAnsi="Calibri" w:eastAsia="HiddenHorzOCl" w:cs="Times New Roman"/>
      <w:color w:val="auto"/>
    </w:rPr>
  </w:style>
  <w:style w:type="paragraph" w:customStyle="1" w:styleId="219">
    <w:name w:val="列表段落1"/>
    <w:basedOn w:val="1"/>
    <w:qFormat/>
    <w:uiPriority w:val="34"/>
    <w:pPr>
      <w:spacing w:line="360" w:lineRule="auto"/>
      <w:ind w:firstLine="420"/>
    </w:pPr>
    <w:rPr>
      <w:sz w:val="24"/>
      <w:szCs w:val="20"/>
    </w:rPr>
  </w:style>
  <w:style w:type="paragraph" w:customStyle="1" w:styleId="220">
    <w:name w:val="CM35"/>
    <w:basedOn w:val="199"/>
    <w:next w:val="199"/>
    <w:qFormat/>
    <w:uiPriority w:val="0"/>
    <w:rPr>
      <w:rFonts w:ascii="HiddenHorzOCl" w:hAnsi="Calibri" w:eastAsia="HiddenHorzOCl" w:cs="Times New Roman"/>
      <w:color w:val="auto"/>
    </w:rPr>
  </w:style>
  <w:style w:type="paragraph" w:customStyle="1" w:styleId="221">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22">
    <w:name w:val="CM1"/>
    <w:basedOn w:val="199"/>
    <w:next w:val="199"/>
    <w:qFormat/>
    <w:uiPriority w:val="0"/>
    <w:rPr>
      <w:rFonts w:ascii="HiddenHorzOCl" w:hAnsi="Calibri" w:eastAsia="HiddenHorzOCl" w:cs="Times New Roman"/>
      <w:color w:val="auto"/>
    </w:rPr>
  </w:style>
  <w:style w:type="paragraph" w:customStyle="1" w:styleId="223">
    <w:name w:val="Char Char Char Char Char Char1 Char"/>
    <w:basedOn w:val="1"/>
    <w:qFormat/>
    <w:uiPriority w:val="0"/>
  </w:style>
  <w:style w:type="paragraph" w:customStyle="1" w:styleId="224">
    <w:name w:val="样式2"/>
    <w:basedOn w:val="137"/>
    <w:qFormat/>
    <w:uiPriority w:val="0"/>
    <w:pPr>
      <w:tabs>
        <w:tab w:val="left" w:pos="360"/>
      </w:tabs>
      <w:spacing w:line="480" w:lineRule="exact"/>
      <w:ind w:left="360" w:hanging="360" w:hangingChars="200"/>
    </w:pPr>
    <w:rPr>
      <w:rFonts w:eastAsia="黑体"/>
      <w:kern w:val="0"/>
      <w:sz w:val="24"/>
      <w:szCs w:val="18"/>
    </w:rPr>
  </w:style>
  <w:style w:type="paragraph" w:customStyle="1" w:styleId="225">
    <w:name w:val="表格方字"/>
    <w:basedOn w:val="1"/>
    <w:qFormat/>
    <w:uiPriority w:val="0"/>
    <w:pPr>
      <w:adjustRightInd w:val="0"/>
      <w:spacing w:before="60" w:after="60" w:line="420" w:lineRule="atLeast"/>
      <w:jc w:val="left"/>
      <w:textAlignment w:val="baseline"/>
    </w:pPr>
    <w:rPr>
      <w:kern w:val="0"/>
      <w:szCs w:val="20"/>
    </w:rPr>
  </w:style>
  <w:style w:type="paragraph" w:customStyle="1" w:styleId="22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CM30"/>
    <w:basedOn w:val="199"/>
    <w:next w:val="199"/>
    <w:qFormat/>
    <w:uiPriority w:val="0"/>
    <w:rPr>
      <w:rFonts w:ascii="HiddenHorzOCl" w:hAnsi="Calibri" w:eastAsia="HiddenHorzOCl" w:cs="Times New Roman"/>
      <w:color w:val="auto"/>
    </w:rPr>
  </w:style>
  <w:style w:type="paragraph" w:customStyle="1" w:styleId="228">
    <w:name w:val="小标题"/>
    <w:basedOn w:val="46"/>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29">
    <w:name w:val="p19"/>
    <w:basedOn w:val="1"/>
    <w:qFormat/>
    <w:uiPriority w:val="0"/>
    <w:pPr>
      <w:widowControl/>
      <w:snapToGrid w:val="0"/>
      <w:jc w:val="left"/>
    </w:pPr>
    <w:rPr>
      <w:rFonts w:ascii="宋体" w:hAnsi="宋体" w:cs="宋体"/>
      <w:color w:val="000000"/>
      <w:kern w:val="0"/>
      <w:sz w:val="24"/>
    </w:rPr>
  </w:style>
  <w:style w:type="paragraph" w:customStyle="1" w:styleId="230">
    <w:name w:val="CM38"/>
    <w:basedOn w:val="199"/>
    <w:next w:val="199"/>
    <w:qFormat/>
    <w:uiPriority w:val="0"/>
    <w:rPr>
      <w:rFonts w:ascii="HiddenHorzOCl" w:hAnsi="Calibri" w:eastAsia="HiddenHorzOCl" w:cs="Times New Roman"/>
      <w:color w:val="auto"/>
    </w:rPr>
  </w:style>
  <w:style w:type="paragraph" w:customStyle="1" w:styleId="231">
    <w:name w:val="正文文字缩进"/>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M6"/>
    <w:basedOn w:val="199"/>
    <w:next w:val="199"/>
    <w:qFormat/>
    <w:uiPriority w:val="0"/>
    <w:rPr>
      <w:rFonts w:ascii="HiddenHorzOCl" w:hAnsi="Calibri" w:eastAsia="HiddenHorzOCl" w:cs="Times New Roman"/>
      <w:color w:val="auto"/>
    </w:rPr>
  </w:style>
  <w:style w:type="paragraph" w:customStyle="1" w:styleId="233">
    <w:name w:val="3级"/>
    <w:basedOn w:val="1"/>
    <w:qFormat/>
    <w:uiPriority w:val="0"/>
    <w:pPr>
      <w:spacing w:line="360" w:lineRule="auto"/>
      <w:outlineLvl w:val="2"/>
    </w:pPr>
    <w:rPr>
      <w:rFonts w:ascii="黑体" w:hAnsi="宋体" w:eastAsia="黑体" w:cs="宋体"/>
      <w:kern w:val="0"/>
      <w:sz w:val="28"/>
      <w:szCs w:val="44"/>
    </w:rPr>
  </w:style>
  <w:style w:type="paragraph" w:customStyle="1" w:styleId="234">
    <w:name w:val="xl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35">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36">
    <w:name w:val="标准 4"/>
    <w:basedOn w:val="1"/>
    <w:qFormat/>
    <w:uiPriority w:val="0"/>
    <w:pPr>
      <w:spacing w:line="540" w:lineRule="exact"/>
      <w:ind w:firstLine="240" w:firstLineChars="100"/>
    </w:pPr>
    <w:rPr>
      <w:rFonts w:ascii="宋体" w:hAnsi="宋体"/>
      <w:color w:val="000000"/>
      <w:sz w:val="24"/>
    </w:rPr>
  </w:style>
  <w:style w:type="paragraph" w:customStyle="1" w:styleId="237">
    <w:name w:val="表格5"/>
    <w:basedOn w:val="216"/>
    <w:qFormat/>
    <w:uiPriority w:val="0"/>
    <w:pPr>
      <w:ind w:left="1021" w:hanging="284"/>
    </w:pPr>
    <w:rPr>
      <w:rFonts w:ascii="宋体"/>
    </w:rPr>
  </w:style>
  <w:style w:type="paragraph" w:customStyle="1" w:styleId="238">
    <w:name w:val="标题二"/>
    <w:basedOn w:val="3"/>
    <w:qFormat/>
    <w:uiPriority w:val="0"/>
    <w:pPr>
      <w:keepLines w:val="0"/>
      <w:spacing w:line="360" w:lineRule="auto"/>
      <w:jc w:val="center"/>
    </w:pPr>
    <w:rPr>
      <w:rFonts w:ascii="Cambria" w:hAnsi="Cambria" w:eastAsia="宋体"/>
      <w:b w:val="0"/>
      <w:kern w:val="2"/>
      <w:sz w:val="44"/>
      <w:szCs w:val="24"/>
    </w:rPr>
  </w:style>
  <w:style w:type="paragraph" w:customStyle="1" w:styleId="239">
    <w:name w:val="CM44"/>
    <w:basedOn w:val="199"/>
    <w:next w:val="199"/>
    <w:qFormat/>
    <w:uiPriority w:val="0"/>
    <w:rPr>
      <w:rFonts w:ascii="HiddenHorzOCl" w:hAnsi="Calibri" w:eastAsia="HiddenHorzOCl" w:cs="Times New Roman"/>
      <w:color w:val="auto"/>
    </w:rPr>
  </w:style>
  <w:style w:type="paragraph" w:customStyle="1" w:styleId="240">
    <w:name w:val="样式 宋体 二号 加粗 居中"/>
    <w:basedOn w:val="2"/>
    <w:qFormat/>
    <w:uiPriority w:val="0"/>
    <w:pPr>
      <w:keepLines w:val="0"/>
      <w:spacing w:before="100" w:beforeAutospacing="1" w:after="100" w:afterAutospacing="1"/>
      <w:jc w:val="center"/>
    </w:pPr>
    <w:rPr>
      <w:rFonts w:ascii="宋体" w:hAnsi="宋体"/>
      <w:kern w:val="2"/>
      <w:szCs w:val="72"/>
    </w:rPr>
  </w:style>
  <w:style w:type="paragraph" w:customStyle="1" w:styleId="241">
    <w:name w:val="CM37"/>
    <w:basedOn w:val="199"/>
    <w:next w:val="199"/>
    <w:qFormat/>
    <w:uiPriority w:val="0"/>
    <w:rPr>
      <w:rFonts w:ascii="HiddenHorzOCl" w:hAnsi="Calibri" w:eastAsia="HiddenHorzOCl" w:cs="Times New Roman"/>
      <w:color w:val="auto"/>
    </w:rPr>
  </w:style>
  <w:style w:type="paragraph" w:customStyle="1" w:styleId="242">
    <w:name w:val="Char Char Char Char Char Char1 Char Char Char Char Char Char Char"/>
    <w:basedOn w:val="1"/>
    <w:qFormat/>
    <w:uiPriority w:val="0"/>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表头"/>
    <w:basedOn w:val="225"/>
    <w:qFormat/>
    <w:uiPriority w:val="0"/>
    <w:rPr>
      <w:rFonts w:ascii="黑体" w:eastAsia="黑体"/>
      <w:b/>
    </w:rPr>
  </w:style>
  <w:style w:type="paragraph" w:customStyle="1" w:styleId="245">
    <w:name w:val="表格文字"/>
    <w:basedOn w:val="1"/>
    <w:qFormat/>
    <w:uiPriority w:val="0"/>
    <w:pPr>
      <w:adjustRightInd w:val="0"/>
      <w:spacing w:line="420" w:lineRule="atLeast"/>
      <w:jc w:val="left"/>
      <w:textAlignment w:val="baseline"/>
    </w:pPr>
    <w:rPr>
      <w:kern w:val="0"/>
      <w:szCs w:val="20"/>
    </w:rPr>
  </w:style>
  <w:style w:type="paragraph" w:customStyle="1" w:styleId="246">
    <w:name w:val="CM28"/>
    <w:basedOn w:val="199"/>
    <w:next w:val="199"/>
    <w:qFormat/>
    <w:uiPriority w:val="0"/>
    <w:rPr>
      <w:rFonts w:ascii="HiddenHorzOCl" w:hAnsi="Calibri" w:eastAsia="HiddenHorzOCl" w:cs="Times New Roman"/>
      <w:color w:val="auto"/>
    </w:rPr>
  </w:style>
  <w:style w:type="paragraph" w:customStyle="1" w:styleId="247">
    <w:name w:val="CM31"/>
    <w:basedOn w:val="199"/>
    <w:next w:val="199"/>
    <w:qFormat/>
    <w:uiPriority w:val="0"/>
    <w:rPr>
      <w:rFonts w:ascii="HiddenHorzOCl" w:hAnsi="Calibri" w:eastAsia="HiddenHorzOCl" w:cs="Times New Roman"/>
      <w:color w:val="auto"/>
    </w:rPr>
  </w:style>
  <w:style w:type="paragraph" w:customStyle="1" w:styleId="248">
    <w:name w:val="CM26"/>
    <w:basedOn w:val="1"/>
    <w:next w:val="1"/>
    <w:qFormat/>
    <w:uiPriority w:val="0"/>
    <w:pPr>
      <w:autoSpaceDE w:val="0"/>
      <w:autoSpaceDN w:val="0"/>
      <w:adjustRightInd w:val="0"/>
      <w:jc w:val="left"/>
    </w:pPr>
    <w:rPr>
      <w:rFonts w:ascii="HiddenHorzOCl" w:hAnsi="Calibri" w:eastAsia="HiddenHorzOCl"/>
      <w:kern w:val="0"/>
      <w:sz w:val="24"/>
    </w:rPr>
  </w:style>
  <w:style w:type="paragraph" w:customStyle="1" w:styleId="249">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250">
    <w:name w:val="CM29"/>
    <w:basedOn w:val="199"/>
    <w:next w:val="199"/>
    <w:qFormat/>
    <w:uiPriority w:val="0"/>
    <w:rPr>
      <w:rFonts w:ascii="HiddenHorzOCl" w:hAnsi="Calibri" w:eastAsia="HiddenHorzOCl" w:cs="Times New Roman"/>
      <w:color w:val="auto"/>
    </w:rPr>
  </w:style>
  <w:style w:type="paragraph" w:customStyle="1" w:styleId="251">
    <w:name w:val="CM25"/>
    <w:basedOn w:val="199"/>
    <w:next w:val="199"/>
    <w:qFormat/>
    <w:uiPriority w:val="0"/>
    <w:rPr>
      <w:rFonts w:ascii="HiddenHorzOCl" w:hAnsi="Calibri" w:eastAsia="HiddenHorzOCl" w:cs="Times New Roman"/>
      <w:color w:val="auto"/>
    </w:rPr>
  </w:style>
  <w:style w:type="paragraph" w:customStyle="1" w:styleId="252">
    <w:name w:val="CM3"/>
    <w:basedOn w:val="199"/>
    <w:next w:val="199"/>
    <w:qFormat/>
    <w:uiPriority w:val="0"/>
    <w:pPr>
      <w:spacing w:line="578" w:lineRule="atLeast"/>
    </w:pPr>
    <w:rPr>
      <w:rFonts w:ascii="HiddenHorzOCl" w:hAnsi="Calibri" w:eastAsia="HiddenHorzOCl" w:cs="Times New Roman"/>
      <w:color w:val="auto"/>
    </w:rPr>
  </w:style>
  <w:style w:type="paragraph" w:customStyle="1" w:styleId="253">
    <w:name w:val="Char Char Char Char Char Char Char Char Char Char Char Char Char Char Char Char Char Char1 Char Char Char Char"/>
    <w:basedOn w:val="1"/>
    <w:qFormat/>
    <w:uiPriority w:val="0"/>
  </w:style>
  <w:style w:type="paragraph" w:customStyle="1" w:styleId="254">
    <w:name w:val="xl22"/>
    <w:basedOn w:val="1"/>
    <w:qFormat/>
    <w:uiPriority w:val="0"/>
    <w:pPr>
      <w:widowControl/>
      <w:spacing w:line="360" w:lineRule="auto"/>
      <w:jc w:val="center"/>
    </w:pPr>
    <w:rPr>
      <w:rFonts w:ascii="宋体" w:hAnsi="宋体"/>
      <w:kern w:val="0"/>
      <w:sz w:val="24"/>
    </w:rPr>
  </w:style>
  <w:style w:type="paragraph" w:customStyle="1" w:styleId="255">
    <w:name w:val="CM20"/>
    <w:basedOn w:val="199"/>
    <w:next w:val="199"/>
    <w:qFormat/>
    <w:uiPriority w:val="0"/>
    <w:pPr>
      <w:spacing w:line="576" w:lineRule="atLeast"/>
    </w:pPr>
    <w:rPr>
      <w:rFonts w:ascii="HiddenHorzOCl" w:hAnsi="Calibri" w:eastAsia="HiddenHorzOCl" w:cs="Times New Roman"/>
      <w:color w:val="auto"/>
    </w:rPr>
  </w:style>
  <w:style w:type="paragraph" w:customStyle="1" w:styleId="256">
    <w:name w:val="Table Paragraph"/>
    <w:basedOn w:val="1"/>
    <w:qFormat/>
    <w:uiPriority w:val="1"/>
    <w:rPr>
      <w:rFonts w:ascii="宋体" w:hAnsi="宋体" w:cs="宋体"/>
    </w:rPr>
  </w:style>
  <w:style w:type="paragraph" w:customStyle="1" w:styleId="257">
    <w:name w:val="样式 (符号) Times New Roman 小四 非加粗 行距: 1.5 倍行距"/>
    <w:basedOn w:val="1"/>
    <w:next w:val="258"/>
    <w:qFormat/>
    <w:uiPriority w:val="0"/>
    <w:pPr>
      <w:spacing w:line="360" w:lineRule="auto"/>
    </w:pPr>
    <w:rPr>
      <w:rFonts w:ascii="楷体_GB2312" w:eastAsia="楷体_GB2312"/>
      <w:sz w:val="24"/>
      <w:szCs w:val="20"/>
    </w:rPr>
  </w:style>
  <w:style w:type="paragraph" w:customStyle="1" w:styleId="258">
    <w:name w:val="文字块"/>
    <w:basedOn w:val="1"/>
    <w:qFormat/>
    <w:uiPriority w:val="0"/>
  </w:style>
  <w:style w:type="paragraph" w:customStyle="1" w:styleId="259">
    <w:name w:val="CM18"/>
    <w:basedOn w:val="199"/>
    <w:next w:val="199"/>
    <w:qFormat/>
    <w:uiPriority w:val="0"/>
    <w:rPr>
      <w:rFonts w:ascii="HiddenHorzOCl" w:hAnsi="Calibri" w:eastAsia="HiddenHorzOCl" w:cs="Times New Roman"/>
      <w:color w:val="auto"/>
    </w:rPr>
  </w:style>
  <w:style w:type="paragraph" w:customStyle="1" w:styleId="260">
    <w:name w:val="CM33"/>
    <w:basedOn w:val="199"/>
    <w:next w:val="199"/>
    <w:qFormat/>
    <w:uiPriority w:val="0"/>
    <w:rPr>
      <w:rFonts w:ascii="HiddenHorzOCl" w:hAnsi="Calibri" w:eastAsia="HiddenHorzOCl" w:cs="Times New Roman"/>
      <w:color w:val="auto"/>
    </w:rPr>
  </w:style>
  <w:style w:type="paragraph" w:customStyle="1" w:styleId="261">
    <w:name w:val="标题 81"/>
    <w:basedOn w:val="1"/>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262">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63">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64">
    <w:name w:val="Char Char Char Char1"/>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265">
    <w:name w:val="标题 91"/>
    <w:basedOn w:val="1"/>
    <w:qFormat/>
    <w:uiPriority w:val="1"/>
    <w:pPr>
      <w:spacing w:before="7"/>
      <w:ind w:right="488"/>
      <w:jc w:val="center"/>
    </w:pPr>
    <w:rPr>
      <w:rFonts w:ascii="宋体" w:hAnsi="宋体" w:cs="宋体"/>
      <w:b/>
      <w:bCs/>
      <w:kern w:val="0"/>
      <w:sz w:val="30"/>
      <w:szCs w:val="30"/>
      <w:lang w:eastAsia="en-US"/>
    </w:rPr>
  </w:style>
  <w:style w:type="paragraph" w:customStyle="1" w:styleId="266">
    <w:name w:val="CM39"/>
    <w:basedOn w:val="199"/>
    <w:next w:val="199"/>
    <w:qFormat/>
    <w:uiPriority w:val="0"/>
    <w:rPr>
      <w:rFonts w:ascii="HiddenHorzOCl" w:hAnsi="Calibri" w:eastAsia="HiddenHorzOCl" w:cs="Times New Roman"/>
      <w:color w:val="auto"/>
    </w:rPr>
  </w:style>
  <w:style w:type="paragraph" w:customStyle="1" w:styleId="267">
    <w:name w:val="图标"/>
    <w:basedOn w:val="14"/>
    <w:qFormat/>
    <w:uiPriority w:val="0"/>
    <w:pPr>
      <w:adjustRightInd w:val="0"/>
      <w:spacing w:before="312" w:beforeLines="100" w:line="400" w:lineRule="exact"/>
      <w:ind w:firstLine="200"/>
      <w:jc w:val="center"/>
    </w:pPr>
    <w:rPr>
      <w:rFonts w:ascii="Times New Roman" w:hAnsi="Times New Roman" w:eastAsia="宋体" w:cs="Times New Roman"/>
      <w:b/>
      <w:sz w:val="24"/>
    </w:rPr>
  </w:style>
  <w:style w:type="paragraph" w:customStyle="1" w:styleId="268">
    <w:name w:val="Char"/>
    <w:basedOn w:val="1"/>
    <w:qFormat/>
    <w:uiPriority w:val="0"/>
    <w:rPr>
      <w:szCs w:val="21"/>
    </w:rPr>
  </w:style>
  <w:style w:type="paragraph" w:customStyle="1" w:styleId="269">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70">
    <w:name w:val="CM13"/>
    <w:basedOn w:val="199"/>
    <w:next w:val="199"/>
    <w:qFormat/>
    <w:uiPriority w:val="0"/>
    <w:pPr>
      <w:spacing w:line="583" w:lineRule="atLeast"/>
    </w:pPr>
    <w:rPr>
      <w:rFonts w:ascii="HiddenHorzOCl" w:hAnsi="Calibri" w:eastAsia="HiddenHorzOCl" w:cs="Times New Roman"/>
      <w:color w:val="auto"/>
    </w:rPr>
  </w:style>
  <w:style w:type="paragraph" w:customStyle="1" w:styleId="271">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272">
    <w:name w:val="CM16"/>
    <w:basedOn w:val="199"/>
    <w:next w:val="199"/>
    <w:qFormat/>
    <w:uiPriority w:val="0"/>
    <w:rPr>
      <w:rFonts w:ascii="HiddenHorzOCl" w:hAnsi="Calibri" w:eastAsia="HiddenHorzOCl" w:cs="Times New Roman"/>
      <w:color w:val="auto"/>
    </w:rPr>
  </w:style>
  <w:style w:type="paragraph" w:customStyle="1" w:styleId="273">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74">
    <w:name w:val="CM40"/>
    <w:basedOn w:val="199"/>
    <w:next w:val="199"/>
    <w:qFormat/>
    <w:uiPriority w:val="0"/>
    <w:rPr>
      <w:rFonts w:ascii="HiddenHorzOCl" w:hAnsi="Calibri" w:eastAsia="HiddenHorzOCl" w:cs="Times New Roman"/>
      <w:color w:val="auto"/>
    </w:rPr>
  </w:style>
  <w:style w:type="paragraph" w:customStyle="1" w:styleId="275">
    <w:name w:val="Char2"/>
    <w:basedOn w:val="1"/>
    <w:qFormat/>
    <w:uiPriority w:val="0"/>
    <w:pPr>
      <w:tabs>
        <w:tab w:val="left" w:pos="360"/>
      </w:tabs>
      <w:spacing w:line="360" w:lineRule="auto"/>
    </w:pPr>
    <w:rPr>
      <w:sz w:val="24"/>
    </w:rPr>
  </w:style>
  <w:style w:type="paragraph" w:customStyle="1" w:styleId="276">
    <w:name w:val="片头题目"/>
    <w:basedOn w:val="26"/>
    <w:next w:val="46"/>
    <w:qFormat/>
    <w:uiPriority w:val="0"/>
    <w:pPr>
      <w:spacing w:line="360" w:lineRule="auto"/>
      <w:ind w:left="495"/>
      <w:jc w:val="center"/>
    </w:pPr>
    <w:rPr>
      <w:rFonts w:hAnsi="宋体"/>
      <w:b/>
      <w:kern w:val="0"/>
      <w:sz w:val="32"/>
    </w:rPr>
  </w:style>
  <w:style w:type="paragraph" w:customStyle="1" w:styleId="277">
    <w:name w:val="超级链接"/>
    <w:basedOn w:val="1"/>
    <w:qFormat/>
    <w:uiPriority w:val="0"/>
  </w:style>
  <w:style w:type="paragraph" w:customStyle="1" w:styleId="278">
    <w:name w:val="样式 标题 2 + Times New Roman 四号 非加粗 行距: 单倍行距"/>
    <w:basedOn w:val="3"/>
    <w:qFormat/>
    <w:uiPriority w:val="0"/>
    <w:rPr>
      <w:rFonts w:ascii="Times New Roman" w:hAnsi="Times New Roman" w:cs="宋体"/>
      <w:b w:val="0"/>
      <w:bCs w:val="0"/>
      <w:kern w:val="44"/>
      <w:szCs w:val="20"/>
    </w:rPr>
  </w:style>
  <w:style w:type="paragraph" w:customStyle="1" w:styleId="279">
    <w:name w:val="p20"/>
    <w:basedOn w:val="1"/>
    <w:qFormat/>
    <w:uiPriority w:val="0"/>
    <w:pPr>
      <w:widowControl/>
    </w:pPr>
    <w:rPr>
      <w:kern w:val="0"/>
      <w:szCs w:val="21"/>
    </w:rPr>
  </w:style>
  <w:style w:type="paragraph" w:customStyle="1" w:styleId="280">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81">
    <w:name w:val="Section VII Header2"/>
    <w:basedOn w:val="2"/>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282">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283">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84">
    <w:name w:val="Char Char Char Char Char Char1 Char Char Char Char Char Char Char Char Char Char Char Char Char"/>
    <w:basedOn w:val="1"/>
    <w:qFormat/>
    <w:uiPriority w:val="0"/>
  </w:style>
  <w:style w:type="paragraph" w:customStyle="1" w:styleId="285">
    <w:name w:val="默认段落字体 Para Char"/>
    <w:basedOn w:val="1"/>
    <w:qFormat/>
    <w:uiPriority w:val="0"/>
    <w:pPr>
      <w:spacing w:line="360" w:lineRule="auto"/>
      <w:ind w:firstLine="200" w:firstLineChars="200"/>
    </w:pPr>
    <w:rPr>
      <w:rFonts w:ascii="宋体" w:hAnsi="宋体" w:cs="宋体"/>
      <w:sz w:val="24"/>
    </w:rPr>
  </w:style>
  <w:style w:type="paragraph" w:customStyle="1" w:styleId="286">
    <w:name w:val="标题3"/>
    <w:basedOn w:val="1"/>
    <w:qFormat/>
    <w:uiPriority w:val="0"/>
    <w:pPr>
      <w:spacing w:line="360" w:lineRule="auto"/>
      <w:jc w:val="center"/>
    </w:pPr>
    <w:rPr>
      <w:rFonts w:ascii="仿宋_GB2312" w:hAnsi="宋体" w:eastAsia="仿宋_GB2312"/>
      <w:b/>
      <w:sz w:val="30"/>
      <w:szCs w:val="20"/>
    </w:rPr>
  </w:style>
  <w:style w:type="paragraph" w:customStyle="1" w:styleId="287">
    <w:name w:val="已访问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p0"/>
    <w:basedOn w:val="1"/>
    <w:qFormat/>
    <w:uiPriority w:val="0"/>
    <w:pPr>
      <w:widowControl/>
    </w:pPr>
    <w:rPr>
      <w:kern w:val="0"/>
      <w:szCs w:val="21"/>
    </w:rPr>
  </w:style>
  <w:style w:type="paragraph" w:customStyle="1" w:styleId="289">
    <w:name w:val="标题3 1、"/>
    <w:basedOn w:val="1"/>
    <w:qFormat/>
    <w:uiPriority w:val="0"/>
    <w:pPr>
      <w:tabs>
        <w:tab w:val="left" w:pos="500"/>
      </w:tabs>
      <w:spacing w:before="156" w:beforeLines="50" w:line="400" w:lineRule="exact"/>
      <w:ind w:firstLine="200"/>
    </w:pPr>
    <w:rPr>
      <w:rFonts w:ascii="宋体" w:hAnsi="宋体"/>
      <w:b/>
      <w:bCs/>
      <w:sz w:val="24"/>
      <w:szCs w:val="21"/>
    </w:rPr>
  </w:style>
  <w:style w:type="paragraph" w:customStyle="1" w:styleId="290">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1">
    <w:name w:val="WPSOffice手动目录 1"/>
    <w:qFormat/>
    <w:uiPriority w:val="0"/>
    <w:rPr>
      <w:rFonts w:ascii="Times New Roman" w:hAnsi="Times New Roman" w:eastAsia="宋体" w:cs="Times New Roman"/>
      <w:lang w:val="en-US" w:eastAsia="zh-CN" w:bidi="ar-SA"/>
    </w:rPr>
  </w:style>
  <w:style w:type="paragraph" w:customStyle="1" w:styleId="292">
    <w:name w:val="TOC 标题2"/>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93">
    <w:name w:val="CM23"/>
    <w:basedOn w:val="199"/>
    <w:next w:val="199"/>
    <w:qFormat/>
    <w:uiPriority w:val="0"/>
    <w:rPr>
      <w:rFonts w:ascii="HiddenHorzOCl" w:hAnsi="Calibri" w:eastAsia="HiddenHorzOCl" w:cs="Times New Roman"/>
      <w:color w:val="auto"/>
    </w:rPr>
  </w:style>
  <w:style w:type="paragraph" w:customStyle="1" w:styleId="294">
    <w:name w:val="CM42"/>
    <w:basedOn w:val="199"/>
    <w:next w:val="199"/>
    <w:qFormat/>
    <w:uiPriority w:val="0"/>
    <w:rPr>
      <w:rFonts w:ascii="HiddenHorzOCl" w:hAnsi="Calibri" w:eastAsia="HiddenHorzOCl" w:cs="Times New Roman"/>
      <w:color w:val="auto"/>
    </w:rPr>
  </w:style>
  <w:style w:type="paragraph" w:customStyle="1" w:styleId="295">
    <w:name w:val="Char Char5 Char Char Char Char"/>
    <w:basedOn w:val="1"/>
    <w:qFormat/>
    <w:uiPriority w:val="0"/>
  </w:style>
  <w:style w:type="paragraph" w:customStyle="1" w:styleId="296">
    <w:name w:val="表格3"/>
    <w:basedOn w:val="1"/>
    <w:qFormat/>
    <w:uiPriority w:val="0"/>
    <w:pPr>
      <w:adjustRightInd w:val="0"/>
      <w:spacing w:line="420" w:lineRule="atLeast"/>
      <w:textAlignment w:val="baseline"/>
    </w:pPr>
    <w:rPr>
      <w:rFonts w:eastAsia="楷体"/>
      <w:kern w:val="0"/>
      <w:szCs w:val="20"/>
    </w:rPr>
  </w:style>
  <w:style w:type="paragraph" w:customStyle="1" w:styleId="297">
    <w:name w:val="条款"/>
    <w:basedOn w:val="1"/>
    <w:qFormat/>
    <w:uiPriority w:val="0"/>
    <w:pPr>
      <w:spacing w:line="480" w:lineRule="exact"/>
    </w:pPr>
    <w:rPr>
      <w:rFonts w:eastAsia="黑体"/>
      <w:sz w:val="24"/>
      <w:szCs w:val="18"/>
    </w:rPr>
  </w:style>
  <w:style w:type="paragraph" w:customStyle="1" w:styleId="298">
    <w:name w:val="CM43"/>
    <w:basedOn w:val="199"/>
    <w:next w:val="199"/>
    <w:qFormat/>
    <w:uiPriority w:val="0"/>
    <w:rPr>
      <w:rFonts w:ascii="HiddenHorzOCl" w:hAnsi="Calibri" w:eastAsia="HiddenHorzOCl" w:cs="Times New Roman"/>
      <w:color w:val="auto"/>
    </w:rPr>
  </w:style>
  <w:style w:type="paragraph" w:customStyle="1" w:styleId="299">
    <w:name w:val="样式王"/>
    <w:basedOn w:val="1"/>
    <w:qFormat/>
    <w:uiPriority w:val="0"/>
  </w:style>
  <w:style w:type="paragraph" w:customStyle="1" w:styleId="300">
    <w:name w:val="表中"/>
    <w:basedOn w:val="1"/>
    <w:qFormat/>
    <w:uiPriority w:val="0"/>
    <w:pPr>
      <w:adjustRightInd w:val="0"/>
      <w:spacing w:line="360" w:lineRule="atLeast"/>
      <w:jc w:val="center"/>
      <w:textAlignment w:val="baseline"/>
    </w:pPr>
    <w:rPr>
      <w:kern w:val="0"/>
      <w:szCs w:val="20"/>
    </w:rPr>
  </w:style>
  <w:style w:type="paragraph" w:customStyle="1" w:styleId="301">
    <w:name w:val="1"/>
    <w:basedOn w:val="1"/>
    <w:next w:val="277"/>
    <w:qFormat/>
    <w:uiPriority w:val="0"/>
  </w:style>
  <w:style w:type="paragraph" w:customStyle="1" w:styleId="302">
    <w:name w:val="CM14"/>
    <w:basedOn w:val="199"/>
    <w:next w:val="199"/>
    <w:qFormat/>
    <w:uiPriority w:val="0"/>
    <w:pPr>
      <w:spacing w:line="573" w:lineRule="atLeast"/>
    </w:pPr>
    <w:rPr>
      <w:rFonts w:ascii="HiddenHorzOCl" w:hAnsi="Calibri" w:eastAsia="HiddenHorzOCl" w:cs="Times New Roman"/>
      <w:color w:val="auto"/>
    </w:rPr>
  </w:style>
  <w:style w:type="paragraph" w:customStyle="1" w:styleId="303">
    <w:name w:val="内容 Char Char"/>
    <w:basedOn w:val="1"/>
    <w:qFormat/>
    <w:uiPriority w:val="0"/>
    <w:pPr>
      <w:spacing w:line="480" w:lineRule="exact"/>
      <w:ind w:firstLine="200" w:firstLineChars="200"/>
    </w:pPr>
    <w:rPr>
      <w:sz w:val="24"/>
    </w:rPr>
  </w:style>
  <w:style w:type="paragraph" w:customStyle="1" w:styleId="304">
    <w:name w:val="CM15"/>
    <w:basedOn w:val="199"/>
    <w:next w:val="199"/>
    <w:qFormat/>
    <w:uiPriority w:val="0"/>
    <w:rPr>
      <w:rFonts w:ascii="HiddenHorzOCl" w:hAnsi="Calibri" w:eastAsia="HiddenHorzOCl" w:cs="Times New Roman"/>
      <w:color w:val="auto"/>
    </w:rPr>
  </w:style>
  <w:style w:type="paragraph" w:customStyle="1" w:styleId="305">
    <w:name w:val="CM11"/>
    <w:basedOn w:val="199"/>
    <w:next w:val="199"/>
    <w:qFormat/>
    <w:uiPriority w:val="0"/>
    <w:pPr>
      <w:spacing w:line="600" w:lineRule="atLeast"/>
    </w:pPr>
    <w:rPr>
      <w:rFonts w:ascii="HiddenHorzOCl" w:hAnsi="Calibri" w:eastAsia="HiddenHorzOCl" w:cs="Times New Roman"/>
      <w:color w:val="auto"/>
    </w:rPr>
  </w:style>
  <w:style w:type="paragraph" w:customStyle="1" w:styleId="306">
    <w:name w:val="表格"/>
    <w:basedOn w:val="1"/>
    <w:qFormat/>
    <w:uiPriority w:val="0"/>
    <w:pPr>
      <w:jc w:val="center"/>
    </w:pPr>
    <w:rPr>
      <w:rFonts w:ascii="华文细黑" w:hAnsi="华文细黑"/>
      <w:kern w:val="0"/>
      <w:szCs w:val="20"/>
    </w:rPr>
  </w:style>
  <w:style w:type="paragraph" w:customStyle="1" w:styleId="307">
    <w:name w:val="表格1"/>
    <w:basedOn w:val="1"/>
    <w:qFormat/>
    <w:uiPriority w:val="0"/>
    <w:pPr>
      <w:adjustRightInd w:val="0"/>
      <w:spacing w:line="420" w:lineRule="atLeast"/>
      <w:ind w:left="284"/>
      <w:textAlignment w:val="baseline"/>
    </w:pPr>
    <w:rPr>
      <w:kern w:val="0"/>
      <w:szCs w:val="20"/>
    </w:rPr>
  </w:style>
  <w:style w:type="paragraph" w:customStyle="1" w:styleId="308">
    <w:name w:val="样式 标题 3 + (中文) 黑体 小四 非加粗 段前: 7.8 磅 段后: 0 磅 行距: 固定值 20 磅"/>
    <w:basedOn w:val="4"/>
    <w:qFormat/>
    <w:uiPriority w:val="0"/>
    <w:pPr>
      <w:spacing w:line="400" w:lineRule="exact"/>
    </w:pPr>
    <w:rPr>
      <w:rFonts w:eastAsia="黑体"/>
      <w:b w:val="0"/>
      <w:bCs w:val="0"/>
      <w:kern w:val="2"/>
      <w:sz w:val="24"/>
      <w:szCs w:val="20"/>
    </w:rPr>
  </w:style>
  <w:style w:type="paragraph" w:customStyle="1" w:styleId="309">
    <w:name w:val="表格6"/>
    <w:basedOn w:val="237"/>
    <w:qFormat/>
    <w:uiPriority w:val="0"/>
    <w:pPr>
      <w:ind w:left="737" w:firstLine="0"/>
    </w:pPr>
  </w:style>
  <w:style w:type="paragraph" w:customStyle="1" w:styleId="310">
    <w:name w:val="CM17"/>
    <w:basedOn w:val="199"/>
    <w:next w:val="199"/>
    <w:qFormat/>
    <w:uiPriority w:val="0"/>
    <w:pPr>
      <w:spacing w:line="573" w:lineRule="atLeast"/>
    </w:pPr>
    <w:rPr>
      <w:rFonts w:ascii="HiddenHorzOCl" w:hAnsi="Calibri" w:eastAsia="HiddenHorzOCl" w:cs="Times New Roman"/>
      <w:color w:val="auto"/>
    </w:rPr>
  </w:style>
  <w:style w:type="paragraph" w:customStyle="1" w:styleId="311">
    <w:name w:val="标题1"/>
    <w:basedOn w:val="1"/>
    <w:qFormat/>
    <w:uiPriority w:val="0"/>
    <w:pPr>
      <w:spacing w:line="360" w:lineRule="auto"/>
    </w:pPr>
    <w:rPr>
      <w:sz w:val="24"/>
      <w:szCs w:val="20"/>
    </w:rPr>
  </w:style>
  <w:style w:type="paragraph" w:customStyle="1" w:styleId="312">
    <w:name w:val="CM4"/>
    <w:basedOn w:val="199"/>
    <w:next w:val="199"/>
    <w:qFormat/>
    <w:uiPriority w:val="0"/>
    <w:pPr>
      <w:spacing w:line="613" w:lineRule="atLeast"/>
    </w:pPr>
    <w:rPr>
      <w:rFonts w:ascii="HiddenHorzOCl" w:hAnsi="Calibri" w:eastAsia="HiddenHorzOCl" w:cs="Times New Roman"/>
      <w:color w:val="auto"/>
    </w:rPr>
  </w:style>
  <w:style w:type="paragraph" w:customStyle="1" w:styleId="313">
    <w:name w:val="CM24"/>
    <w:basedOn w:val="199"/>
    <w:next w:val="199"/>
    <w:qFormat/>
    <w:uiPriority w:val="0"/>
    <w:rPr>
      <w:rFonts w:ascii="HiddenHorzOCl" w:hAnsi="Calibri" w:eastAsia="HiddenHorzOCl" w:cs="Times New Roman"/>
      <w:color w:val="auto"/>
    </w:rPr>
  </w:style>
  <w:style w:type="paragraph" w:customStyle="1" w:styleId="314">
    <w:name w:val="CM5"/>
    <w:basedOn w:val="199"/>
    <w:next w:val="199"/>
    <w:qFormat/>
    <w:uiPriority w:val="0"/>
    <w:rPr>
      <w:rFonts w:ascii="HiddenHorzOCl" w:hAnsi="Calibri" w:eastAsia="HiddenHorzOCl" w:cs="Times New Roman"/>
      <w:color w:val="auto"/>
    </w:rPr>
  </w:style>
  <w:style w:type="paragraph" w:customStyle="1" w:styleId="315">
    <w:name w:val="样式1-正文"/>
    <w:basedOn w:val="1"/>
    <w:qFormat/>
    <w:uiPriority w:val="0"/>
    <w:pPr>
      <w:adjustRightInd w:val="0"/>
      <w:snapToGrid w:val="0"/>
      <w:spacing w:line="500" w:lineRule="exact"/>
      <w:ind w:left="680" w:firstLine="454"/>
    </w:pPr>
    <w:rPr>
      <w:sz w:val="24"/>
    </w:rPr>
  </w:style>
  <w:style w:type="paragraph" w:customStyle="1" w:styleId="316">
    <w:name w:val="样式4"/>
    <w:basedOn w:val="33"/>
    <w:qFormat/>
    <w:uiPriority w:val="0"/>
    <w:pPr>
      <w:jc w:val="both"/>
    </w:pPr>
    <w:rPr>
      <w:sz w:val="21"/>
    </w:rPr>
  </w:style>
  <w:style w:type="paragraph" w:customStyle="1" w:styleId="317">
    <w:name w:val="CM9"/>
    <w:basedOn w:val="199"/>
    <w:next w:val="199"/>
    <w:qFormat/>
    <w:uiPriority w:val="0"/>
    <w:rPr>
      <w:rFonts w:ascii="HiddenHorzOCl" w:hAnsi="Calibri" w:eastAsia="HiddenHorzOCl" w:cs="Times New Roman"/>
      <w:color w:val="auto"/>
    </w:rPr>
  </w:style>
  <w:style w:type="paragraph" w:customStyle="1" w:styleId="318">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319">
    <w:name w:val="2"/>
    <w:basedOn w:val="1"/>
    <w:next w:val="26"/>
    <w:qFormat/>
    <w:uiPriority w:val="0"/>
    <w:rPr>
      <w:rFonts w:ascii="宋体" w:hAnsi="Roman 10cpi"/>
      <w:szCs w:val="20"/>
    </w:rPr>
  </w:style>
  <w:style w:type="paragraph" w:customStyle="1" w:styleId="320">
    <w:name w:val="CM21"/>
    <w:basedOn w:val="199"/>
    <w:next w:val="199"/>
    <w:qFormat/>
    <w:uiPriority w:val="0"/>
    <w:pPr>
      <w:spacing w:line="588" w:lineRule="atLeast"/>
    </w:pPr>
    <w:rPr>
      <w:rFonts w:ascii="HiddenHorzOCl" w:hAnsi="Calibri" w:eastAsia="HiddenHorzOCl" w:cs="Times New Roman"/>
      <w:color w:val="auto"/>
    </w:rPr>
  </w:style>
  <w:style w:type="paragraph" w:customStyle="1" w:styleId="321">
    <w:name w:val="p17"/>
    <w:basedOn w:val="1"/>
    <w:qFormat/>
    <w:uiPriority w:val="0"/>
    <w:pPr>
      <w:widowControl/>
      <w:jc w:val="left"/>
    </w:pPr>
    <w:rPr>
      <w:rFonts w:ascii="Calibri" w:hAnsi="Calibri" w:cs="宋体"/>
      <w:kern w:val="0"/>
      <w:sz w:val="18"/>
      <w:szCs w:val="18"/>
    </w:rPr>
  </w:style>
  <w:style w:type="paragraph" w:customStyle="1" w:styleId="322">
    <w:name w:val="CM34"/>
    <w:basedOn w:val="199"/>
    <w:next w:val="199"/>
    <w:qFormat/>
    <w:uiPriority w:val="0"/>
    <w:rPr>
      <w:rFonts w:ascii="HiddenHorzOCl" w:hAnsi="Calibri" w:eastAsia="HiddenHorzOCl" w:cs="Times New Roman"/>
      <w:color w:val="auto"/>
    </w:rPr>
  </w:style>
  <w:style w:type="paragraph" w:customStyle="1" w:styleId="323">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24">
    <w:name w:val="CM2"/>
    <w:basedOn w:val="199"/>
    <w:next w:val="199"/>
    <w:qFormat/>
    <w:uiPriority w:val="0"/>
    <w:rPr>
      <w:rFonts w:ascii="HiddenHorzOCl" w:hAnsi="Calibri" w:eastAsia="HiddenHorzOCl" w:cs="Times New Roman"/>
      <w:color w:val="auto"/>
    </w:rPr>
  </w:style>
  <w:style w:type="paragraph" w:customStyle="1" w:styleId="3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6">
    <w:name w:val="Char Char Char Char Char Char1 Char1"/>
    <w:basedOn w:val="1"/>
    <w:qFormat/>
    <w:uiPriority w:val="0"/>
  </w:style>
  <w:style w:type="paragraph" w:styleId="3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样式3"/>
    <w:basedOn w:val="33"/>
    <w:qFormat/>
    <w:uiPriority w:val="0"/>
    <w:pPr>
      <w:jc w:val="both"/>
    </w:pPr>
    <w:rPr>
      <w:sz w:val="21"/>
    </w:rPr>
  </w:style>
  <w:style w:type="paragraph" w:customStyle="1" w:styleId="329">
    <w:name w:val="CM45"/>
    <w:basedOn w:val="199"/>
    <w:next w:val="199"/>
    <w:qFormat/>
    <w:uiPriority w:val="0"/>
    <w:rPr>
      <w:rFonts w:ascii="HiddenHorzOCl" w:hAnsi="Calibri" w:eastAsia="HiddenHorzOCl" w:cs="Times New Roman"/>
      <w:color w:val="auto"/>
    </w:rPr>
  </w:style>
  <w:style w:type="paragraph" w:customStyle="1" w:styleId="3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修订2"/>
    <w:qFormat/>
    <w:uiPriority w:val="0"/>
    <w:rPr>
      <w:rFonts w:ascii="Times New Roman" w:hAnsi="Times New Roman" w:eastAsia="宋体" w:cs="Times New Roman"/>
      <w:kern w:val="2"/>
      <w:sz w:val="21"/>
      <w:szCs w:val="24"/>
      <w:lang w:val="en-US" w:eastAsia="zh-CN" w:bidi="ar-SA"/>
    </w:rPr>
  </w:style>
  <w:style w:type="paragraph" w:customStyle="1" w:styleId="332">
    <w:name w:val="标题一"/>
    <w:basedOn w:val="2"/>
    <w:qFormat/>
    <w:uiPriority w:val="0"/>
    <w:pPr>
      <w:keepLines w:val="0"/>
      <w:spacing w:before="100" w:beforeAutospacing="1" w:after="100" w:afterAutospacing="1"/>
      <w:jc w:val="center"/>
    </w:pPr>
    <w:rPr>
      <w:rFonts w:ascii="Calibri" w:hAnsi="Calibri"/>
      <w:kern w:val="2"/>
      <w:szCs w:val="72"/>
    </w:rPr>
  </w:style>
  <w:style w:type="paragraph" w:customStyle="1" w:styleId="333">
    <w:name w:val="CM10"/>
    <w:basedOn w:val="199"/>
    <w:next w:val="199"/>
    <w:qFormat/>
    <w:uiPriority w:val="0"/>
    <w:rPr>
      <w:rFonts w:ascii="HiddenHorzOCl" w:hAnsi="Calibri" w:eastAsia="HiddenHorzOCl" w:cs="Times New Roman"/>
      <w:color w:val="auto"/>
    </w:rPr>
  </w:style>
  <w:style w:type="paragraph" w:customStyle="1" w:styleId="334">
    <w:name w:val="Char Char Char Char"/>
    <w:basedOn w:val="1"/>
    <w:qFormat/>
    <w:uiPriority w:val="0"/>
    <w:rPr>
      <w:szCs w:val="21"/>
    </w:rPr>
  </w:style>
  <w:style w:type="paragraph" w:customStyle="1" w:styleId="335">
    <w:name w:val="Char Char Char Char Char Char3 Char Char Char Char"/>
    <w:basedOn w:val="1"/>
    <w:next w:val="1"/>
    <w:qFormat/>
    <w:uiPriority w:val="0"/>
    <w:pPr>
      <w:spacing w:line="360" w:lineRule="auto"/>
    </w:pPr>
    <w:rPr>
      <w:rFonts w:eastAsia="黑体"/>
      <w:sz w:val="28"/>
    </w:rPr>
  </w:style>
  <w:style w:type="paragraph" w:customStyle="1" w:styleId="336">
    <w:name w:val="表格4"/>
    <w:basedOn w:val="1"/>
    <w:qFormat/>
    <w:uiPriority w:val="0"/>
    <w:pPr>
      <w:adjustRightInd w:val="0"/>
      <w:spacing w:line="420" w:lineRule="atLeast"/>
      <w:ind w:left="1021"/>
      <w:textAlignment w:val="baseline"/>
    </w:pPr>
    <w:rPr>
      <w:kern w:val="0"/>
      <w:szCs w:val="20"/>
    </w:rPr>
  </w:style>
  <w:style w:type="paragraph" w:customStyle="1" w:styleId="337">
    <w:name w:val="p16"/>
    <w:basedOn w:val="1"/>
    <w:qFormat/>
    <w:uiPriority w:val="0"/>
    <w:pPr>
      <w:widowControl/>
    </w:pPr>
    <w:rPr>
      <w:rFonts w:ascii="宋体" w:hAnsi="宋体" w:cs="宋体"/>
      <w:kern w:val="0"/>
      <w:szCs w:val="21"/>
    </w:rPr>
  </w:style>
  <w:style w:type="paragraph" w:customStyle="1" w:styleId="338">
    <w:name w:val="CM12"/>
    <w:basedOn w:val="199"/>
    <w:next w:val="199"/>
    <w:qFormat/>
    <w:uiPriority w:val="0"/>
    <w:rPr>
      <w:rFonts w:ascii="HiddenHorzOCl" w:hAnsi="Calibri" w:eastAsia="HiddenHorzOCl" w:cs="Times New Roman"/>
      <w:color w:val="auto"/>
    </w:rPr>
  </w:style>
  <w:style w:type="paragraph" w:customStyle="1" w:styleId="339">
    <w:name w:val="Char Char Char Char Char"/>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340">
    <w:name w:val="样式5"/>
    <w:basedOn w:val="316"/>
    <w:next w:val="316"/>
    <w:qFormat/>
    <w:uiPriority w:val="0"/>
    <w:pPr>
      <w:pBdr>
        <w:bottom w:val="thinThickSmallGap" w:color="auto" w:sz="12" w:space="1"/>
      </w:pBdr>
    </w:pPr>
  </w:style>
  <w:style w:type="character" w:customStyle="1" w:styleId="341">
    <w:name w:val="脚注文本 Char2"/>
    <w:qFormat/>
    <w:uiPriority w:val="0"/>
    <w:rPr>
      <w:rFonts w:eastAsia="宋体"/>
      <w:kern w:val="2"/>
      <w:sz w:val="18"/>
      <w:szCs w:val="18"/>
      <w:lang w:val="en-US" w:eastAsia="zh-CN" w:bidi="ar-SA"/>
    </w:rPr>
  </w:style>
  <w:style w:type="character" w:customStyle="1" w:styleId="342">
    <w:name w:val="纯文本 Char4"/>
    <w:qFormat/>
    <w:uiPriority w:val="0"/>
    <w:rPr>
      <w:rFonts w:ascii="宋体" w:hAnsi="Courier New" w:eastAsia="宋体" w:cs="Courier New"/>
      <w:kern w:val="2"/>
      <w:sz w:val="21"/>
      <w:szCs w:val="21"/>
      <w:lang w:val="en-US" w:eastAsia="zh-CN" w:bidi="ar-SA"/>
    </w:rPr>
  </w:style>
  <w:style w:type="character" w:customStyle="1" w:styleId="343">
    <w:name w:val="正文首行缩进 2 Char3"/>
    <w:basedOn w:val="88"/>
    <w:link w:val="48"/>
    <w:qFormat/>
    <w:uiPriority w:val="0"/>
    <w:rPr>
      <w:kern w:val="2"/>
      <w:sz w:val="21"/>
      <w:szCs w:val="24"/>
    </w:rPr>
  </w:style>
  <w:style w:type="paragraph" w:styleId="344">
    <w:name w:val="List Paragraph"/>
    <w:basedOn w:val="1"/>
    <w:qFormat/>
    <w:uiPriority w:val="34"/>
    <w:pPr>
      <w:ind w:firstLine="420" w:firstLineChars="200"/>
    </w:pPr>
  </w:style>
  <w:style w:type="paragraph" w:customStyle="1" w:styleId="345">
    <w:name w:val="标题 3 + (西文) Times New Roman (中文) 宋体 + Times New Roman"/>
    <w:basedOn w:val="1"/>
    <w:qFormat/>
    <w:uiPriority w:val="0"/>
    <w:pPr>
      <w:widowControl/>
      <w:snapToGrid w:val="0"/>
      <w:spacing w:before="156" w:after="260" w:afterLines="50" w:line="360" w:lineRule="auto"/>
      <w:outlineLvl w:val="2"/>
    </w:pPr>
    <w:rPr>
      <w:rFonts w:eastAsia="黑体" w:cs="宋体"/>
      <w:kern w:val="0"/>
      <w:sz w:val="24"/>
      <w:szCs w:val="20"/>
    </w:rPr>
  </w:style>
  <w:style w:type="character" w:customStyle="1" w:styleId="346">
    <w:name w:val="表文居中 Char Char"/>
    <w:link w:val="347"/>
    <w:qFormat/>
    <w:uiPriority w:val="0"/>
  </w:style>
  <w:style w:type="paragraph" w:customStyle="1" w:styleId="347">
    <w:name w:val="表文居中"/>
    <w:basedOn w:val="1"/>
    <w:link w:val="346"/>
    <w:qFormat/>
    <w:uiPriority w:val="0"/>
    <w:pPr>
      <w:autoSpaceDE w:val="0"/>
      <w:autoSpaceDN w:val="0"/>
      <w:adjustRightInd w:val="0"/>
      <w:spacing w:before="20"/>
      <w:jc w:val="center"/>
      <w:textAlignment w:val="baseline"/>
    </w:pPr>
    <w:rPr>
      <w:kern w:val="0"/>
      <w:sz w:val="20"/>
      <w:szCs w:val="20"/>
    </w:rPr>
  </w:style>
  <w:style w:type="paragraph" w:customStyle="1" w:styleId="34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349">
    <w:name w:val="脚注文本 字符2"/>
    <w:qFormat/>
    <w:uiPriority w:val="0"/>
    <w:rPr>
      <w:rFonts w:eastAsia="宋体"/>
      <w:kern w:val="2"/>
      <w:sz w:val="18"/>
      <w:szCs w:val="18"/>
      <w:lang w:val="en-US" w:eastAsia="zh-CN" w:bidi="ar-SA"/>
    </w:rPr>
  </w:style>
  <w:style w:type="character" w:customStyle="1" w:styleId="350">
    <w:name w:val="标题 3 字符"/>
    <w:link w:val="4"/>
    <w:qFormat/>
    <w:uiPriority w:val="9"/>
    <w:rPr>
      <w:rFonts w:ascii="Times New Roman" w:hAnsi="Times New Roman" w:eastAsia="黑体"/>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1.xml"/><Relationship Id="rId23" Type="http://schemas.openxmlformats.org/officeDocument/2006/relationships/header" Target="header10.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5AE39-97E6-4E17-87AA-324CB8034369}">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332</Pages>
  <Words>13105</Words>
  <Characters>13813</Characters>
  <Lines>1580</Lines>
  <Paragraphs>444</Paragraphs>
  <TotalTime>6</TotalTime>
  <ScaleCrop>false</ScaleCrop>
  <LinksUpToDate>false</LinksUpToDate>
  <CharactersWithSpaces>15248</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2022-08-25T10:04:00Z</dcterms:created>
  <dc:creator>pc;王爱梅</dc:creator>
  <cp:lastModifiedBy>张文莉</cp:lastModifiedBy>
  <cp:lastPrinted>2022-07-25T10:40:00Z</cp:lastPrinted>
  <dcterms:modified xsi:type="dcterms:W3CDTF">2025-06-04T09:21:47Z</dcterms:modified>
  <dc:title>四川省交通运输厅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9D90BE79BEEE4FEC8A55266FB15F2D62_13</vt:lpwstr>
  </property>
  <property fmtid="{D5CDD505-2E9C-101B-9397-08002B2CF9AE}" pid="4" name="KSOTemplateDocerSaveRecord">
    <vt:lpwstr>eyJoZGlkIjoiYjUzMjFmYjU4Y2ZmZDJhYThlNDI2ZjczMjg0MzFhZWEiLCJ1c2VySWQiOiI0MDUzNzk3MzIifQ==</vt:lpwstr>
  </property>
</Properties>
</file>